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4E6B" w14:textId="38B9EDBA" w:rsidR="008C6980" w:rsidRDefault="008C6980" w:rsidP="004B5EB6">
      <w:pPr>
        <w:spacing w:after="0" w:line="360" w:lineRule="auto"/>
        <w:jc w:val="center"/>
        <w:rPr>
          <w:b/>
          <w:color w:val="A6A6A6" w:themeColor="accent6" w:themeShade="A6"/>
          <w:sz w:val="20"/>
          <w:szCs w:val="20"/>
          <w:lang w:val="it-IT"/>
        </w:rPr>
      </w:pPr>
      <w:bookmarkStart w:id="0" w:name="_Toc433368662"/>
      <w:r w:rsidRPr="008C6980">
        <w:rPr>
          <w:b/>
          <w:color w:val="A6A6A6" w:themeColor="accent6" w:themeShade="A6"/>
          <w:sz w:val="20"/>
          <w:szCs w:val="20"/>
          <w:lang w:val="it-IT"/>
        </w:rPr>
        <w:t>COMUNICATO STAMPA</w:t>
      </w:r>
    </w:p>
    <w:p w14:paraId="4FE1CEBD" w14:textId="77777777" w:rsidR="008C6980" w:rsidRPr="008C6980" w:rsidRDefault="008C6980" w:rsidP="004B5EB6">
      <w:pPr>
        <w:spacing w:after="0" w:line="360" w:lineRule="auto"/>
        <w:jc w:val="center"/>
        <w:rPr>
          <w:b/>
          <w:color w:val="A6A6A6" w:themeColor="accent6" w:themeShade="A6"/>
          <w:sz w:val="20"/>
          <w:szCs w:val="20"/>
          <w:lang w:val="it-IT"/>
        </w:rPr>
      </w:pPr>
    </w:p>
    <w:p w14:paraId="7A82F64C" w14:textId="20C3C450" w:rsidR="00AB2ECD" w:rsidRPr="005B520B" w:rsidRDefault="00465E81" w:rsidP="004B5EB6">
      <w:pPr>
        <w:spacing w:after="0" w:line="360" w:lineRule="auto"/>
        <w:jc w:val="center"/>
        <w:rPr>
          <w:b/>
          <w:color w:val="003B79"/>
          <w:sz w:val="20"/>
          <w:szCs w:val="20"/>
          <w:lang w:val="it-IT"/>
        </w:rPr>
      </w:pPr>
      <w:r>
        <w:rPr>
          <w:b/>
          <w:color w:val="003B79"/>
          <w:sz w:val="20"/>
          <w:szCs w:val="20"/>
          <w:lang w:val="it-IT"/>
        </w:rPr>
        <w:t xml:space="preserve">NEL 2° TRIMESTRE DELL’ANNO </w:t>
      </w:r>
      <w:r w:rsidR="00C54A64">
        <w:rPr>
          <w:b/>
          <w:color w:val="003B79"/>
          <w:sz w:val="20"/>
          <w:szCs w:val="20"/>
          <w:lang w:val="it-IT"/>
        </w:rPr>
        <w:t>BOOM DI</w:t>
      </w:r>
      <w:r w:rsidR="00AB2ECD" w:rsidRPr="005B520B">
        <w:rPr>
          <w:b/>
          <w:color w:val="003B79"/>
          <w:sz w:val="20"/>
          <w:szCs w:val="20"/>
          <w:lang w:val="it-IT"/>
        </w:rPr>
        <w:t xml:space="preserve"> </w:t>
      </w:r>
      <w:r w:rsidR="00DA7744" w:rsidRPr="005B520B">
        <w:rPr>
          <w:b/>
          <w:color w:val="003B79"/>
          <w:sz w:val="20"/>
          <w:szCs w:val="20"/>
          <w:lang w:val="it-IT"/>
        </w:rPr>
        <w:t>RICHIESTE DI</w:t>
      </w:r>
      <w:r w:rsidR="00771FFF" w:rsidRPr="005B520B">
        <w:rPr>
          <w:b/>
          <w:color w:val="003B79"/>
          <w:sz w:val="20"/>
          <w:szCs w:val="20"/>
          <w:lang w:val="it-IT"/>
        </w:rPr>
        <w:t xml:space="preserve"> </w:t>
      </w:r>
      <w:r w:rsidR="00AB2ECD" w:rsidRPr="005B520B">
        <w:rPr>
          <w:b/>
          <w:color w:val="003B79"/>
          <w:sz w:val="20"/>
          <w:szCs w:val="20"/>
          <w:lang w:val="it-IT"/>
        </w:rPr>
        <w:t>VALUTAZIONE E RIVALUTAZIONE DEI CREDITI PRESENTATE DALLE IMPRESE ITALIANE</w:t>
      </w:r>
      <w:r w:rsidR="00C54A64">
        <w:rPr>
          <w:b/>
          <w:color w:val="003B79"/>
          <w:sz w:val="20"/>
          <w:szCs w:val="20"/>
          <w:lang w:val="it-IT"/>
        </w:rPr>
        <w:t xml:space="preserve">: </w:t>
      </w:r>
      <w:r w:rsidR="00C54A64" w:rsidRPr="009049AE">
        <w:rPr>
          <w:b/>
          <w:color w:val="003B79"/>
          <w:sz w:val="20"/>
          <w:szCs w:val="20"/>
          <w:lang w:val="it-IT"/>
        </w:rPr>
        <w:t>+</w:t>
      </w:r>
      <w:r w:rsidR="00C54A64">
        <w:rPr>
          <w:b/>
          <w:color w:val="003B79"/>
          <w:sz w:val="20"/>
          <w:szCs w:val="20"/>
          <w:lang w:val="it-IT"/>
        </w:rPr>
        <w:t>79,3</w:t>
      </w:r>
      <w:r w:rsidR="00C54A64" w:rsidRPr="009049AE">
        <w:rPr>
          <w:b/>
          <w:color w:val="003B79"/>
          <w:sz w:val="20"/>
          <w:szCs w:val="20"/>
          <w:lang w:val="it-IT"/>
        </w:rPr>
        <w:t>%</w:t>
      </w:r>
    </w:p>
    <w:p w14:paraId="7A82F64D" w14:textId="77777777" w:rsidR="00094299" w:rsidRPr="00CD51A2" w:rsidRDefault="00094299" w:rsidP="004B5EB6">
      <w:pPr>
        <w:spacing w:after="0" w:line="240" w:lineRule="auto"/>
        <w:rPr>
          <w:b/>
          <w:bCs/>
          <w:iCs/>
          <w:color w:val="003B79"/>
          <w:sz w:val="20"/>
          <w:szCs w:val="20"/>
          <w:lang w:val="it-IT"/>
        </w:rPr>
      </w:pPr>
    </w:p>
    <w:p w14:paraId="6172D027" w14:textId="09E590D5" w:rsidR="003F6418" w:rsidRDefault="009049AE" w:rsidP="004B5EB6">
      <w:pPr>
        <w:spacing w:after="0" w:line="24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  <w:r>
        <w:rPr>
          <w:b/>
          <w:bCs/>
          <w:iCs/>
          <w:color w:val="003B79"/>
          <w:sz w:val="20"/>
          <w:szCs w:val="20"/>
          <w:lang w:val="it-IT"/>
        </w:rPr>
        <w:t>Cala i</w:t>
      </w:r>
      <w:r w:rsidR="00C54A64">
        <w:rPr>
          <w:b/>
          <w:bCs/>
          <w:iCs/>
          <w:color w:val="003B79"/>
          <w:sz w:val="20"/>
          <w:szCs w:val="20"/>
          <w:lang w:val="it-IT"/>
        </w:rPr>
        <w:t>nvece l’importo medio richiesto (-7,6%) che si attesta a</w:t>
      </w:r>
      <w:r>
        <w:rPr>
          <w:b/>
          <w:bCs/>
          <w:iCs/>
          <w:color w:val="003B79"/>
          <w:sz w:val="20"/>
          <w:szCs w:val="20"/>
          <w:lang w:val="it-IT"/>
        </w:rPr>
        <w:t xml:space="preserve"> </w:t>
      </w:r>
      <w:r w:rsidR="00A746A1" w:rsidRPr="00A746A1">
        <w:rPr>
          <w:b/>
          <w:bCs/>
          <w:iCs/>
          <w:color w:val="003B79"/>
          <w:sz w:val="20"/>
          <w:szCs w:val="20"/>
          <w:lang w:val="it-IT"/>
        </w:rPr>
        <w:t>60.021 Euro</w:t>
      </w:r>
      <w:r w:rsidR="00A746A1">
        <w:rPr>
          <w:b/>
          <w:bCs/>
          <w:iCs/>
          <w:color w:val="003B79"/>
          <w:sz w:val="20"/>
          <w:szCs w:val="20"/>
          <w:lang w:val="it-IT"/>
        </w:rPr>
        <w:t>.</w:t>
      </w:r>
    </w:p>
    <w:p w14:paraId="46F1F29A" w14:textId="1BBF7E7F" w:rsidR="00E65185" w:rsidRDefault="00E65185" w:rsidP="004B5EB6">
      <w:pPr>
        <w:spacing w:after="0" w:line="24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  <w:r>
        <w:rPr>
          <w:b/>
          <w:bCs/>
          <w:iCs/>
          <w:color w:val="003B79"/>
          <w:sz w:val="20"/>
          <w:szCs w:val="20"/>
          <w:lang w:val="it-IT"/>
        </w:rPr>
        <w:t>Richieste in crescita anche nelle prime 3 settimane di luglio.</w:t>
      </w:r>
    </w:p>
    <w:p w14:paraId="1C648630" w14:textId="217AD54A" w:rsidR="00E65185" w:rsidRDefault="00E65185" w:rsidP="004B5EB6">
      <w:pPr>
        <w:spacing w:after="0" w:line="24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  <w:r>
        <w:rPr>
          <w:b/>
          <w:bCs/>
          <w:iCs/>
          <w:color w:val="003B79"/>
          <w:sz w:val="20"/>
          <w:szCs w:val="20"/>
          <w:lang w:val="it-IT"/>
        </w:rPr>
        <w:t xml:space="preserve">Boom per i mutui ma dinamica positiva anche per prestiti e fidi. </w:t>
      </w:r>
    </w:p>
    <w:p w14:paraId="7A82F650" w14:textId="77777777" w:rsidR="00160603" w:rsidRPr="00CD51A2" w:rsidRDefault="00160603" w:rsidP="00160603">
      <w:pPr>
        <w:spacing w:after="0"/>
        <w:rPr>
          <w:sz w:val="16"/>
          <w:szCs w:val="16"/>
          <w:lang w:val="it-IT"/>
        </w:rPr>
      </w:pPr>
    </w:p>
    <w:p w14:paraId="7A82F654" w14:textId="461395BD" w:rsidR="001F225E" w:rsidRDefault="001D45CE" w:rsidP="00793434">
      <w:pPr>
        <w:spacing w:line="360" w:lineRule="auto"/>
        <w:jc w:val="both"/>
        <w:rPr>
          <w:sz w:val="20"/>
          <w:szCs w:val="20"/>
          <w:lang w:val="it-IT"/>
        </w:rPr>
      </w:pPr>
      <w:r w:rsidRPr="00CD51A2">
        <w:rPr>
          <w:i/>
          <w:sz w:val="20"/>
          <w:szCs w:val="20"/>
          <w:lang w:val="it-IT"/>
        </w:rPr>
        <w:br/>
      </w:r>
      <w:r w:rsidR="00E37255" w:rsidRPr="00CD51A2">
        <w:rPr>
          <w:i/>
          <w:sz w:val="20"/>
          <w:szCs w:val="20"/>
          <w:lang w:val="it-IT"/>
        </w:rPr>
        <w:t xml:space="preserve">Bologna, </w:t>
      </w:r>
      <w:r w:rsidR="00465E81">
        <w:rPr>
          <w:i/>
          <w:sz w:val="20"/>
          <w:szCs w:val="20"/>
          <w:lang w:val="it-IT"/>
        </w:rPr>
        <w:t>23</w:t>
      </w:r>
      <w:r w:rsidR="00151A4E">
        <w:rPr>
          <w:i/>
          <w:sz w:val="20"/>
          <w:szCs w:val="20"/>
          <w:lang w:val="it-IT"/>
        </w:rPr>
        <w:t xml:space="preserve"> </w:t>
      </w:r>
      <w:r w:rsidR="00EE578E">
        <w:rPr>
          <w:i/>
          <w:sz w:val="20"/>
          <w:szCs w:val="20"/>
          <w:lang w:val="it-IT"/>
        </w:rPr>
        <w:t>luglio</w:t>
      </w:r>
      <w:r w:rsidR="00E37255" w:rsidRPr="00CD51A2">
        <w:rPr>
          <w:i/>
          <w:sz w:val="20"/>
          <w:szCs w:val="20"/>
          <w:lang w:val="it-IT"/>
        </w:rPr>
        <w:t xml:space="preserve"> </w:t>
      </w:r>
      <w:r w:rsidR="0036130D">
        <w:rPr>
          <w:i/>
          <w:sz w:val="20"/>
          <w:szCs w:val="20"/>
          <w:lang w:val="it-IT"/>
        </w:rPr>
        <w:t>2020</w:t>
      </w:r>
      <w:r w:rsidR="00E37255" w:rsidRPr="00CD51A2">
        <w:rPr>
          <w:sz w:val="20"/>
          <w:szCs w:val="20"/>
          <w:lang w:val="it-IT"/>
        </w:rPr>
        <w:t xml:space="preserve"> –</w:t>
      </w:r>
      <w:r w:rsidR="007A4415" w:rsidRPr="00CD51A2">
        <w:rPr>
          <w:sz w:val="20"/>
          <w:szCs w:val="20"/>
          <w:lang w:val="it-IT"/>
        </w:rPr>
        <w:t xml:space="preserve"> </w:t>
      </w:r>
      <w:r w:rsidR="00187A37">
        <w:rPr>
          <w:sz w:val="20"/>
          <w:szCs w:val="20"/>
          <w:lang w:val="it-IT"/>
        </w:rPr>
        <w:t>Dalle elaborazioni effettuate sul</w:t>
      </w:r>
      <w:r w:rsidR="00DA7744">
        <w:rPr>
          <w:sz w:val="20"/>
          <w:szCs w:val="20"/>
          <w:lang w:val="it-IT"/>
        </w:rPr>
        <w:t xml:space="preserve"> </w:t>
      </w:r>
      <w:r w:rsidR="00187A37" w:rsidRPr="00E37255">
        <w:rPr>
          <w:sz w:val="20"/>
          <w:szCs w:val="20"/>
          <w:lang w:val="it-IT"/>
        </w:rPr>
        <w:t xml:space="preserve">patrimonio informativo di EURISC - il Sistema di Informazioni Creditizie </w:t>
      </w:r>
      <w:r w:rsidR="00187A37">
        <w:rPr>
          <w:sz w:val="20"/>
          <w:szCs w:val="20"/>
          <w:lang w:val="it-IT"/>
        </w:rPr>
        <w:t>di CRIF</w:t>
      </w:r>
      <w:r w:rsidR="00E17BEB">
        <w:rPr>
          <w:sz w:val="20"/>
          <w:szCs w:val="20"/>
          <w:lang w:val="it-IT"/>
        </w:rPr>
        <w:t xml:space="preserve"> </w:t>
      </w:r>
      <w:r w:rsidR="00D7650A">
        <w:rPr>
          <w:sz w:val="20"/>
          <w:szCs w:val="20"/>
          <w:lang w:val="it-IT"/>
        </w:rPr>
        <w:t>-</w:t>
      </w:r>
      <w:r w:rsidR="00793434">
        <w:rPr>
          <w:sz w:val="20"/>
          <w:szCs w:val="20"/>
          <w:lang w:val="it-IT"/>
        </w:rPr>
        <w:t xml:space="preserve"> </w:t>
      </w:r>
      <w:bookmarkStart w:id="1" w:name="_Hlk46389066"/>
      <w:r w:rsidR="00793434">
        <w:rPr>
          <w:sz w:val="20"/>
          <w:szCs w:val="20"/>
          <w:lang w:val="it-IT"/>
        </w:rPr>
        <w:t>emerge un quadro decisamente</w:t>
      </w:r>
      <w:r w:rsidR="00187A37">
        <w:rPr>
          <w:sz w:val="20"/>
          <w:szCs w:val="20"/>
          <w:lang w:val="it-IT"/>
        </w:rPr>
        <w:t xml:space="preserve"> </w:t>
      </w:r>
      <w:r w:rsidR="00465E81">
        <w:rPr>
          <w:sz w:val="20"/>
          <w:szCs w:val="20"/>
          <w:lang w:val="it-IT"/>
        </w:rPr>
        <w:t xml:space="preserve">vivace </w:t>
      </w:r>
      <w:r w:rsidR="009B394C">
        <w:rPr>
          <w:sz w:val="20"/>
          <w:szCs w:val="20"/>
          <w:lang w:val="it-IT"/>
        </w:rPr>
        <w:t xml:space="preserve">relativamente </w:t>
      </w:r>
      <w:r w:rsidR="009B394C" w:rsidRPr="00E17BEB">
        <w:rPr>
          <w:sz w:val="20"/>
          <w:szCs w:val="20"/>
          <w:lang w:val="it-IT"/>
        </w:rPr>
        <w:t>all’</w:t>
      </w:r>
      <w:r w:rsidR="009B394C" w:rsidRPr="00D62464">
        <w:rPr>
          <w:b/>
          <w:sz w:val="20"/>
          <w:szCs w:val="20"/>
          <w:lang w:val="it-IT"/>
        </w:rPr>
        <w:t>andamento delle</w:t>
      </w:r>
      <w:r w:rsidR="00187A37" w:rsidRPr="00D62464">
        <w:rPr>
          <w:b/>
          <w:sz w:val="20"/>
          <w:szCs w:val="20"/>
          <w:lang w:val="it-IT"/>
        </w:rPr>
        <w:t xml:space="preserve"> richieste di valutazione e rivalutazione dei crediti presentate dalle imprese italiane</w:t>
      </w:r>
      <w:r w:rsidR="00793434">
        <w:rPr>
          <w:b/>
          <w:sz w:val="20"/>
          <w:szCs w:val="20"/>
          <w:lang w:val="it-IT"/>
        </w:rPr>
        <w:t xml:space="preserve"> nel II semestre dell’anno</w:t>
      </w:r>
      <w:r w:rsidR="004B7CA7" w:rsidRPr="004B7CA7">
        <w:rPr>
          <w:sz w:val="20"/>
          <w:szCs w:val="20"/>
          <w:lang w:val="it-IT"/>
        </w:rPr>
        <w:t xml:space="preserve">, </w:t>
      </w:r>
      <w:r w:rsidR="00793434">
        <w:rPr>
          <w:sz w:val="20"/>
          <w:szCs w:val="20"/>
          <w:lang w:val="it-IT"/>
        </w:rPr>
        <w:t>che complessivamente fann</w:t>
      </w:r>
      <w:r w:rsidR="004B7CA7" w:rsidRPr="004B7CA7">
        <w:rPr>
          <w:sz w:val="20"/>
          <w:szCs w:val="20"/>
          <w:lang w:val="it-IT"/>
        </w:rPr>
        <w:t xml:space="preserve">o segnare un </w:t>
      </w:r>
      <w:r w:rsidR="00793434">
        <w:rPr>
          <w:sz w:val="20"/>
          <w:szCs w:val="20"/>
          <w:lang w:val="it-IT"/>
        </w:rPr>
        <w:t xml:space="preserve">eloquente </w:t>
      </w:r>
      <w:r w:rsidR="004B7CA7">
        <w:rPr>
          <w:b/>
          <w:sz w:val="20"/>
          <w:szCs w:val="20"/>
          <w:lang w:val="it-IT"/>
        </w:rPr>
        <w:t>+79,3%</w:t>
      </w:r>
      <w:r w:rsidR="00187A37" w:rsidRPr="00E17BEB">
        <w:rPr>
          <w:sz w:val="20"/>
          <w:szCs w:val="20"/>
          <w:lang w:val="it-IT"/>
        </w:rPr>
        <w:t>.</w:t>
      </w:r>
      <w:r w:rsidR="00DA7744" w:rsidRPr="00E17BEB">
        <w:rPr>
          <w:sz w:val="20"/>
          <w:szCs w:val="20"/>
          <w:lang w:val="it-IT"/>
        </w:rPr>
        <w:t xml:space="preserve"> </w:t>
      </w:r>
    </w:p>
    <w:p w14:paraId="333A78C0" w14:textId="6CE2DAD3" w:rsidR="00BE6E9C" w:rsidRPr="00793434" w:rsidRDefault="00816E7E" w:rsidP="00793434">
      <w:pPr>
        <w:pStyle w:val="CRIFBodyText"/>
        <w:rPr>
          <w:b/>
          <w:lang w:val="it-IT"/>
        </w:rPr>
      </w:pPr>
      <w:r w:rsidRPr="00CF31CC">
        <w:rPr>
          <w:lang w:val="it-IT"/>
        </w:rPr>
        <w:t xml:space="preserve">Entrando </w:t>
      </w:r>
      <w:r w:rsidRPr="00E80632">
        <w:rPr>
          <w:lang w:val="it-IT"/>
        </w:rPr>
        <w:t>maggiormente nel dettaglio, l’analisi condotta da CRIF</w:t>
      </w:r>
      <w:r w:rsidR="00260DF6">
        <w:rPr>
          <w:lang w:val="it-IT"/>
        </w:rPr>
        <w:t xml:space="preserve"> </w:t>
      </w:r>
      <w:r w:rsidR="00260DF6" w:rsidRPr="00816E7E">
        <w:rPr>
          <w:lang w:val="it-IT"/>
        </w:rPr>
        <w:t>distingue l’andamento del</w:t>
      </w:r>
      <w:r w:rsidR="00DA7744">
        <w:rPr>
          <w:lang w:val="it-IT"/>
        </w:rPr>
        <w:t>le</w:t>
      </w:r>
      <w:r w:rsidR="00260DF6" w:rsidRPr="00816E7E">
        <w:rPr>
          <w:lang w:val="it-IT"/>
        </w:rPr>
        <w:t xml:space="preserve"> richieste da parte d</w:t>
      </w:r>
      <w:r w:rsidR="00DA7744">
        <w:rPr>
          <w:lang w:val="it-IT"/>
        </w:rPr>
        <w:t>elle</w:t>
      </w:r>
      <w:r w:rsidR="00260DF6" w:rsidRPr="00816E7E">
        <w:rPr>
          <w:lang w:val="it-IT"/>
        </w:rPr>
        <w:t xml:space="preserve"> </w:t>
      </w:r>
      <w:r w:rsidR="00260DF6" w:rsidRPr="007A4FF5">
        <w:rPr>
          <w:b/>
          <w:lang w:val="it-IT"/>
        </w:rPr>
        <w:t>Imprese Individuali</w:t>
      </w:r>
      <w:r w:rsidR="00260DF6" w:rsidRPr="00816E7E">
        <w:rPr>
          <w:lang w:val="it-IT"/>
        </w:rPr>
        <w:t xml:space="preserve"> e</w:t>
      </w:r>
      <w:r w:rsidR="00DA7744">
        <w:rPr>
          <w:lang w:val="it-IT"/>
        </w:rPr>
        <w:t xml:space="preserve"> delle</w:t>
      </w:r>
      <w:r w:rsidR="00260DF6" w:rsidRPr="00816E7E">
        <w:rPr>
          <w:lang w:val="it-IT"/>
        </w:rPr>
        <w:t xml:space="preserve"> </w:t>
      </w:r>
      <w:r w:rsidR="00260DF6" w:rsidRPr="007A4FF5">
        <w:rPr>
          <w:b/>
          <w:lang w:val="it-IT"/>
        </w:rPr>
        <w:t>Società</w:t>
      </w:r>
      <w:r w:rsidR="00260DF6">
        <w:rPr>
          <w:b/>
          <w:lang w:val="it-IT"/>
        </w:rPr>
        <w:t xml:space="preserve"> capitali</w:t>
      </w:r>
      <w:r w:rsidR="00DA7744">
        <w:rPr>
          <w:b/>
          <w:lang w:val="it-IT"/>
        </w:rPr>
        <w:t>,</w:t>
      </w:r>
      <w:r w:rsidR="00260DF6">
        <w:rPr>
          <w:lang w:val="it-IT"/>
        </w:rPr>
        <w:t xml:space="preserve"> evidenziando </w:t>
      </w:r>
      <w:r w:rsidR="00DA7744">
        <w:rPr>
          <w:lang w:val="it-IT"/>
        </w:rPr>
        <w:t>una</w:t>
      </w:r>
      <w:r w:rsidR="00260DF6">
        <w:rPr>
          <w:lang w:val="it-IT"/>
        </w:rPr>
        <w:t xml:space="preserve"> performance </w:t>
      </w:r>
      <w:r w:rsidR="00B04935">
        <w:rPr>
          <w:lang w:val="it-IT"/>
        </w:rPr>
        <w:t>fortemente positiva</w:t>
      </w:r>
      <w:r w:rsidR="00260DF6">
        <w:rPr>
          <w:lang w:val="it-IT"/>
        </w:rPr>
        <w:t xml:space="preserve"> per entramb</w:t>
      </w:r>
      <w:r w:rsidR="00DA7744">
        <w:rPr>
          <w:lang w:val="it-IT"/>
        </w:rPr>
        <w:t>i</w:t>
      </w:r>
      <w:r w:rsidR="00260DF6">
        <w:rPr>
          <w:lang w:val="it-IT"/>
        </w:rPr>
        <w:t xml:space="preserve"> i segmenti. In particolare</w:t>
      </w:r>
      <w:r w:rsidR="00DA7744">
        <w:rPr>
          <w:lang w:val="it-IT"/>
        </w:rPr>
        <w:t>,</w:t>
      </w:r>
      <w:r w:rsidR="00260DF6">
        <w:rPr>
          <w:lang w:val="it-IT"/>
        </w:rPr>
        <w:t xml:space="preserve"> sono state le </w:t>
      </w:r>
      <w:r w:rsidR="00260DF6" w:rsidRPr="00CE205F">
        <w:rPr>
          <w:b/>
          <w:lang w:val="it-IT"/>
        </w:rPr>
        <w:t>Imprese individuali</w:t>
      </w:r>
      <w:r w:rsidR="00260DF6">
        <w:rPr>
          <w:lang w:val="it-IT"/>
        </w:rPr>
        <w:t xml:space="preserve"> a</w:t>
      </w:r>
      <w:r w:rsidR="00DA7744">
        <w:rPr>
          <w:lang w:val="it-IT"/>
        </w:rPr>
        <w:t>d aver</w:t>
      </w:r>
      <w:r w:rsidR="00260DF6">
        <w:rPr>
          <w:lang w:val="it-IT"/>
        </w:rPr>
        <w:t xml:space="preserve"> </w:t>
      </w:r>
      <w:r w:rsidR="00DA7744">
        <w:rPr>
          <w:lang w:val="it-IT"/>
        </w:rPr>
        <w:t xml:space="preserve">fatto </w:t>
      </w:r>
      <w:r w:rsidR="00B04935">
        <w:rPr>
          <w:lang w:val="it-IT"/>
        </w:rPr>
        <w:t>registrare l’aumento più marcato</w:t>
      </w:r>
      <w:r w:rsidR="00DA7744">
        <w:rPr>
          <w:lang w:val="it-IT"/>
        </w:rPr>
        <w:t>,</w:t>
      </w:r>
      <w:r w:rsidR="00260DF6">
        <w:rPr>
          <w:lang w:val="it-IT"/>
        </w:rPr>
        <w:t xml:space="preserve"> con un </w:t>
      </w:r>
      <w:r w:rsidR="00B04935">
        <w:rPr>
          <w:b/>
          <w:lang w:val="it-IT"/>
        </w:rPr>
        <w:t>+99,4</w:t>
      </w:r>
      <w:r w:rsidR="00260DF6" w:rsidRPr="00CE205F">
        <w:rPr>
          <w:b/>
          <w:lang w:val="it-IT"/>
        </w:rPr>
        <w:t>%</w:t>
      </w:r>
      <w:r w:rsidR="00260DF6">
        <w:rPr>
          <w:b/>
          <w:lang w:val="it-IT"/>
        </w:rPr>
        <w:t xml:space="preserve"> </w:t>
      </w:r>
      <w:r w:rsidR="00260DF6" w:rsidRPr="00CE205F">
        <w:rPr>
          <w:lang w:val="it-IT"/>
        </w:rPr>
        <w:t>rispetto allo stesso periodo dello scorso anno</w:t>
      </w:r>
      <w:r w:rsidR="00260DF6">
        <w:rPr>
          <w:lang w:val="it-IT"/>
        </w:rPr>
        <w:t xml:space="preserve">, mentre le società di capitali hanno fatto </w:t>
      </w:r>
      <w:r w:rsidR="00DA7744">
        <w:rPr>
          <w:lang w:val="it-IT"/>
        </w:rPr>
        <w:t xml:space="preserve">segnare </w:t>
      </w:r>
      <w:r w:rsidR="00260DF6">
        <w:rPr>
          <w:lang w:val="it-IT"/>
        </w:rPr>
        <w:t xml:space="preserve">un </w:t>
      </w:r>
      <w:r w:rsidR="00B04935">
        <w:rPr>
          <w:lang w:val="it-IT"/>
        </w:rPr>
        <w:t>aumento</w:t>
      </w:r>
      <w:r w:rsidR="00260DF6">
        <w:rPr>
          <w:lang w:val="it-IT"/>
        </w:rPr>
        <w:t xml:space="preserve"> pari</w:t>
      </w:r>
      <w:r w:rsidR="00B67923">
        <w:rPr>
          <w:lang w:val="it-IT"/>
        </w:rPr>
        <w:t xml:space="preserve"> a</w:t>
      </w:r>
      <w:r w:rsidR="00260DF6">
        <w:rPr>
          <w:lang w:val="it-IT"/>
        </w:rPr>
        <w:t xml:space="preserve"> </w:t>
      </w:r>
      <w:r w:rsidR="00B04935">
        <w:rPr>
          <w:b/>
          <w:lang w:val="it-IT"/>
        </w:rPr>
        <w:t>+66,8</w:t>
      </w:r>
      <w:r w:rsidR="00260DF6" w:rsidRPr="00CE205F">
        <w:rPr>
          <w:b/>
          <w:lang w:val="it-IT"/>
        </w:rPr>
        <w:t>%.</w:t>
      </w:r>
    </w:p>
    <w:bookmarkEnd w:id="1"/>
    <w:p w14:paraId="4339F34D" w14:textId="77777777" w:rsidR="001E384F" w:rsidRDefault="001E384F" w:rsidP="001E384F">
      <w:pPr>
        <w:spacing w:after="24"/>
        <w:jc w:val="center"/>
        <w:rPr>
          <w:b/>
          <w:bCs/>
          <w:color w:val="003B79"/>
          <w:sz w:val="18"/>
          <w:szCs w:val="18"/>
          <w:lang w:val="it-IT"/>
        </w:rPr>
      </w:pPr>
    </w:p>
    <w:p w14:paraId="7A82F67A" w14:textId="7280689B" w:rsidR="00D816F4" w:rsidRPr="001E384F" w:rsidRDefault="00157B87" w:rsidP="001E384F">
      <w:pPr>
        <w:spacing w:after="24"/>
        <w:jc w:val="center"/>
        <w:rPr>
          <w:b/>
          <w:bCs/>
          <w:color w:val="003B79"/>
          <w:sz w:val="18"/>
          <w:szCs w:val="18"/>
          <w:lang w:val="it-IT"/>
        </w:rPr>
      </w:pPr>
      <w:r>
        <w:rPr>
          <w:b/>
          <w:bCs/>
          <w:color w:val="003B79"/>
          <w:sz w:val="18"/>
          <w:szCs w:val="18"/>
          <w:lang w:val="it-IT"/>
        </w:rPr>
        <w:t>Andamento</w:t>
      </w:r>
      <w:r w:rsidRPr="007E08C4">
        <w:rPr>
          <w:b/>
          <w:bCs/>
          <w:color w:val="003B79"/>
          <w:sz w:val="18"/>
          <w:szCs w:val="18"/>
          <w:lang w:val="it-IT"/>
        </w:rPr>
        <w:t xml:space="preserve"> delle </w:t>
      </w:r>
      <w:r>
        <w:rPr>
          <w:b/>
          <w:bCs/>
          <w:color w:val="003B79"/>
          <w:sz w:val="18"/>
          <w:szCs w:val="18"/>
          <w:lang w:val="it-IT"/>
        </w:rPr>
        <w:t xml:space="preserve">interrogazioni relative alle </w:t>
      </w:r>
      <w:r w:rsidRPr="007E08C4">
        <w:rPr>
          <w:b/>
          <w:bCs/>
          <w:color w:val="003B79"/>
          <w:sz w:val="18"/>
          <w:szCs w:val="18"/>
          <w:lang w:val="it-IT"/>
        </w:rPr>
        <w:t>richieste di valutazione e rivalutazione dei crediti presentate dalle imprese rispetto al corrispondente periodo dell’anno precedente</w:t>
      </w:r>
    </w:p>
    <w:p w14:paraId="17CCF30B" w14:textId="417A773D" w:rsidR="00EA6EB4" w:rsidRDefault="001E384F" w:rsidP="00A02D76">
      <w:pPr>
        <w:pStyle w:val="CRIFCaption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23D3123" wp14:editId="0E4681F5">
            <wp:extent cx="5943600" cy="1684655"/>
            <wp:effectExtent l="0" t="0" r="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82F67C" w14:textId="258A5443" w:rsidR="00D22421" w:rsidRDefault="00E8696A" w:rsidP="00793434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14:paraId="32825F40" w14:textId="0C034E9E" w:rsidR="00BE6E9C" w:rsidRDefault="00BE6E9C" w:rsidP="00E65185">
      <w:pPr>
        <w:pStyle w:val="CRIFBodyText"/>
        <w:rPr>
          <w:lang w:val="it-IT"/>
        </w:rPr>
      </w:pPr>
      <w:r>
        <w:rPr>
          <w:lang w:val="it-IT"/>
        </w:rPr>
        <w:lastRenderedPageBreak/>
        <w:t>Nel complesso</w:t>
      </w:r>
      <w:r w:rsidRPr="00BE6E9C">
        <w:rPr>
          <w:lang w:val="it-IT"/>
        </w:rPr>
        <w:t xml:space="preserve">, dopo una fase di debolezza perdurata fino alla metà di aprile, </w:t>
      </w:r>
      <w:r>
        <w:rPr>
          <w:lang w:val="it-IT"/>
        </w:rPr>
        <w:t>in coincidenza con il periodo di lockdown varato dal Governo per contenere la diffusione della pandemia</w:t>
      </w:r>
      <w:r w:rsidRPr="00BE6E9C">
        <w:rPr>
          <w:lang w:val="it-IT"/>
        </w:rPr>
        <w:t xml:space="preserve">, il numero delle richieste di credito presentate </w:t>
      </w:r>
      <w:r>
        <w:rPr>
          <w:lang w:val="it-IT"/>
        </w:rPr>
        <w:t>dalle imprese ha</w:t>
      </w:r>
      <w:r w:rsidRPr="00BE6E9C">
        <w:rPr>
          <w:lang w:val="it-IT"/>
        </w:rPr>
        <w:t xml:space="preserve"> fatto registrare </w:t>
      </w:r>
      <w:r>
        <w:rPr>
          <w:lang w:val="it-IT"/>
        </w:rPr>
        <w:t xml:space="preserve">inizialmente </w:t>
      </w:r>
      <w:r w:rsidRPr="00BE6E9C">
        <w:rPr>
          <w:lang w:val="it-IT"/>
        </w:rPr>
        <w:t xml:space="preserve">una violenta impennata per </w:t>
      </w:r>
      <w:r>
        <w:rPr>
          <w:lang w:val="it-IT"/>
        </w:rPr>
        <w:t>per poi stabilizzarsi a partire da metà giugno su volumi più contenuti seppur decisamente più elevati sia rispetto a quelli pre-Covid, sia rispetto ai corrispondenti periodo del 2019</w:t>
      </w:r>
      <w:r w:rsidRPr="00BE6E9C">
        <w:rPr>
          <w:lang w:val="it-IT"/>
        </w:rPr>
        <w:t>.</w:t>
      </w:r>
    </w:p>
    <w:p w14:paraId="634AF93A" w14:textId="1FAF7D89" w:rsidR="00EA3EBA" w:rsidRDefault="00E65185" w:rsidP="00E65185">
      <w:pPr>
        <w:pStyle w:val="CRIFBodyText"/>
        <w:rPr>
          <w:lang w:val="it-IT"/>
        </w:rPr>
      </w:pPr>
      <w:bookmarkStart w:id="2" w:name="_Hlk46389096"/>
      <w:r w:rsidRPr="00E65185">
        <w:rPr>
          <w:lang w:val="it-IT"/>
        </w:rPr>
        <w:t>A</w:t>
      </w:r>
      <w:r w:rsidR="00BE6E9C">
        <w:rPr>
          <w:lang w:val="it-IT"/>
        </w:rPr>
        <w:t xml:space="preserve"> questo riguardo, a</w:t>
      </w:r>
      <w:r w:rsidRPr="00E65185">
        <w:rPr>
          <w:lang w:val="it-IT"/>
        </w:rPr>
        <w:t xml:space="preserve">nche le rilevazioni relative alle </w:t>
      </w:r>
      <w:r w:rsidRPr="00E65185">
        <w:rPr>
          <w:b/>
          <w:lang w:val="it-IT"/>
        </w:rPr>
        <w:t>prime 3 settimane di luglio</w:t>
      </w:r>
      <w:r w:rsidRPr="00E65185">
        <w:rPr>
          <w:lang w:val="it-IT"/>
        </w:rPr>
        <w:t xml:space="preserve"> confermano la crescita delle richieste</w:t>
      </w:r>
      <w:r>
        <w:rPr>
          <w:lang w:val="it-IT"/>
        </w:rPr>
        <w:t xml:space="preserve"> di credito da parte delle imprese, seppur in progressiva attenuazione</w:t>
      </w:r>
      <w:r w:rsidRPr="00E65185">
        <w:rPr>
          <w:lang w:val="it-IT"/>
        </w:rPr>
        <w:t xml:space="preserve">, con un incremento rispettivamente pari a </w:t>
      </w:r>
      <w:r w:rsidRPr="00E65185">
        <w:rPr>
          <w:b/>
          <w:lang w:val="it-IT"/>
        </w:rPr>
        <w:t>+28%, +12% e +17%</w:t>
      </w:r>
      <w:r w:rsidRPr="00E65185">
        <w:rPr>
          <w:lang w:val="it-IT"/>
        </w:rPr>
        <w:t xml:space="preserve"> rispetto ai corrispondenti periodi del 2019.</w:t>
      </w:r>
      <w:bookmarkEnd w:id="2"/>
    </w:p>
    <w:p w14:paraId="2A6FA9DE" w14:textId="77777777" w:rsidR="00EA3EBA" w:rsidRPr="00E65185" w:rsidRDefault="00EA3EBA" w:rsidP="00E65185">
      <w:pPr>
        <w:pStyle w:val="CRIFBodyText"/>
        <w:rPr>
          <w:lang w:val="it-IT"/>
        </w:rPr>
      </w:pPr>
      <w:bookmarkStart w:id="3" w:name="_GoBack"/>
      <w:bookmarkEnd w:id="3"/>
    </w:p>
    <w:p w14:paraId="7A82F67D" w14:textId="3D538500" w:rsidR="00917E5E" w:rsidRPr="00DF0F1B" w:rsidRDefault="001E41BE" w:rsidP="00917E5E">
      <w:pPr>
        <w:pStyle w:val="CRIFTitle2"/>
        <w:rPr>
          <w:caps/>
        </w:rPr>
      </w:pPr>
      <w:r w:rsidRPr="00DF0F1B">
        <w:rPr>
          <w:caps/>
        </w:rPr>
        <w:t>C</w:t>
      </w:r>
      <w:r w:rsidR="00B31425" w:rsidRPr="00DF0F1B">
        <w:rPr>
          <w:caps/>
        </w:rPr>
        <w:t>alano</w:t>
      </w:r>
      <w:r w:rsidRPr="00DF0F1B">
        <w:rPr>
          <w:caps/>
        </w:rPr>
        <w:t xml:space="preserve"> gli importi medi</w:t>
      </w:r>
      <w:r w:rsidR="00E8696A" w:rsidRPr="00DF0F1B">
        <w:rPr>
          <w:caps/>
        </w:rPr>
        <w:t xml:space="preserve"> </w:t>
      </w:r>
      <w:r w:rsidRPr="00DF0F1B">
        <w:rPr>
          <w:caps/>
        </w:rPr>
        <w:t>richiesti</w:t>
      </w:r>
    </w:p>
    <w:p w14:paraId="09EC19D7" w14:textId="23EB4B6D" w:rsidR="00DA7744" w:rsidRPr="00553451" w:rsidRDefault="00B67923" w:rsidP="00E17BEB">
      <w:pPr>
        <w:pStyle w:val="CRIFTitle2"/>
        <w:rPr>
          <w:b w:val="0"/>
          <w:color w:val="auto"/>
          <w:szCs w:val="20"/>
        </w:rPr>
      </w:pPr>
      <w:bookmarkStart w:id="4" w:name="_Hlk46389108"/>
      <w:r>
        <w:rPr>
          <w:b w:val="0"/>
          <w:color w:val="auto"/>
          <w:szCs w:val="20"/>
        </w:rPr>
        <w:t xml:space="preserve">Un’ulteriore </w:t>
      </w:r>
      <w:r w:rsidR="000048CF">
        <w:rPr>
          <w:b w:val="0"/>
          <w:color w:val="auto"/>
          <w:szCs w:val="20"/>
        </w:rPr>
        <w:t>evidenza</w:t>
      </w:r>
      <w:r w:rsidR="00D4440F" w:rsidRPr="000968A8">
        <w:rPr>
          <w:b w:val="0"/>
          <w:color w:val="auto"/>
          <w:szCs w:val="20"/>
        </w:rPr>
        <w:t xml:space="preserve"> che emerge</w:t>
      </w:r>
      <w:r w:rsidR="00B31425" w:rsidRPr="000968A8">
        <w:rPr>
          <w:b w:val="0"/>
          <w:color w:val="auto"/>
          <w:szCs w:val="20"/>
        </w:rPr>
        <w:t xml:space="preserve"> </w:t>
      </w:r>
      <w:r w:rsidR="00D4440F" w:rsidRPr="000968A8">
        <w:rPr>
          <w:b w:val="0"/>
          <w:color w:val="auto"/>
          <w:szCs w:val="20"/>
        </w:rPr>
        <w:t xml:space="preserve">dall’ultimo </w:t>
      </w:r>
      <w:r w:rsidR="005A427D" w:rsidRPr="000968A8">
        <w:rPr>
          <w:b w:val="0"/>
          <w:color w:val="auto"/>
          <w:szCs w:val="20"/>
        </w:rPr>
        <w:t>aggiornamento del</w:t>
      </w:r>
      <w:r w:rsidR="00875749" w:rsidRPr="000968A8">
        <w:rPr>
          <w:b w:val="0"/>
          <w:color w:val="auto"/>
          <w:szCs w:val="20"/>
        </w:rPr>
        <w:t xml:space="preserve"> Barometro CRIF è rappresentat</w:t>
      </w:r>
      <w:r w:rsidR="007C5D32">
        <w:rPr>
          <w:b w:val="0"/>
          <w:color w:val="auto"/>
          <w:szCs w:val="20"/>
        </w:rPr>
        <w:t>a</w:t>
      </w:r>
      <w:r w:rsidR="00875749" w:rsidRPr="000968A8">
        <w:rPr>
          <w:b w:val="0"/>
          <w:color w:val="auto"/>
          <w:szCs w:val="20"/>
        </w:rPr>
        <w:t xml:space="preserve"> dal</w:t>
      </w:r>
      <w:r w:rsidR="00B31425" w:rsidRPr="000968A8">
        <w:rPr>
          <w:b w:val="0"/>
          <w:color w:val="auto"/>
          <w:szCs w:val="20"/>
        </w:rPr>
        <w:t xml:space="preserve"> </w:t>
      </w:r>
      <w:r w:rsidR="00B31425" w:rsidRPr="000968A8">
        <w:rPr>
          <w:color w:val="auto"/>
          <w:szCs w:val="20"/>
        </w:rPr>
        <w:t>calo de</w:t>
      </w:r>
      <w:r w:rsidR="00875749" w:rsidRPr="000968A8">
        <w:rPr>
          <w:color w:val="auto"/>
          <w:szCs w:val="20"/>
        </w:rPr>
        <w:t xml:space="preserve">ll’importo medio </w:t>
      </w:r>
      <w:r w:rsidR="00DA7744">
        <w:rPr>
          <w:color w:val="auto"/>
          <w:szCs w:val="20"/>
        </w:rPr>
        <w:t xml:space="preserve">delle </w:t>
      </w:r>
      <w:r w:rsidR="00875749" w:rsidRPr="000968A8">
        <w:rPr>
          <w:color w:val="auto"/>
          <w:szCs w:val="20"/>
        </w:rPr>
        <w:t>rich</w:t>
      </w:r>
      <w:r w:rsidR="00917E5E" w:rsidRPr="000968A8">
        <w:rPr>
          <w:color w:val="auto"/>
          <w:szCs w:val="20"/>
        </w:rPr>
        <w:t>iest</w:t>
      </w:r>
      <w:r w:rsidR="00DA7744">
        <w:rPr>
          <w:color w:val="auto"/>
          <w:szCs w:val="20"/>
        </w:rPr>
        <w:t>e,</w:t>
      </w:r>
      <w:r w:rsidR="003F6418">
        <w:rPr>
          <w:b w:val="0"/>
          <w:color w:val="auto"/>
          <w:szCs w:val="20"/>
        </w:rPr>
        <w:t xml:space="preserve"> che</w:t>
      </w:r>
      <w:r w:rsidR="005A427D" w:rsidRPr="000968A8">
        <w:rPr>
          <w:b w:val="0"/>
          <w:color w:val="auto"/>
          <w:szCs w:val="20"/>
        </w:rPr>
        <w:t xml:space="preserve"> </w:t>
      </w:r>
      <w:r w:rsidRPr="000968A8">
        <w:rPr>
          <w:color w:val="auto"/>
          <w:szCs w:val="20"/>
        </w:rPr>
        <w:t>nell’aggregato di imprese individuali e società</w:t>
      </w:r>
      <w:r>
        <w:rPr>
          <w:color w:val="auto"/>
          <w:szCs w:val="20"/>
        </w:rPr>
        <w:t xml:space="preserve"> </w:t>
      </w:r>
      <w:r w:rsidR="003F6418">
        <w:rPr>
          <w:b w:val="0"/>
          <w:color w:val="auto"/>
          <w:szCs w:val="20"/>
        </w:rPr>
        <w:t xml:space="preserve">si </w:t>
      </w:r>
      <w:r w:rsidR="003908AB">
        <w:rPr>
          <w:b w:val="0"/>
          <w:color w:val="auto"/>
          <w:szCs w:val="20"/>
        </w:rPr>
        <w:t>attesta</w:t>
      </w:r>
      <w:r w:rsidRPr="000968A8">
        <w:rPr>
          <w:b w:val="0"/>
          <w:color w:val="auto"/>
          <w:szCs w:val="20"/>
        </w:rPr>
        <w:t xml:space="preserve"> </w:t>
      </w:r>
      <w:r w:rsidR="00D22421" w:rsidRPr="000968A8">
        <w:rPr>
          <w:b w:val="0"/>
          <w:color w:val="auto"/>
          <w:szCs w:val="20"/>
        </w:rPr>
        <w:t xml:space="preserve">a </w:t>
      </w:r>
      <w:r w:rsidR="001E384F" w:rsidRPr="001E384F">
        <w:rPr>
          <w:color w:val="auto"/>
          <w:szCs w:val="20"/>
        </w:rPr>
        <w:t>60.021</w:t>
      </w:r>
      <w:r w:rsidR="001E384F">
        <w:rPr>
          <w:color w:val="auto"/>
          <w:szCs w:val="20"/>
        </w:rPr>
        <w:t xml:space="preserve"> </w:t>
      </w:r>
      <w:r w:rsidR="00D22421" w:rsidRPr="000968A8">
        <w:rPr>
          <w:color w:val="auto"/>
          <w:szCs w:val="20"/>
        </w:rPr>
        <w:t>Euro</w:t>
      </w:r>
      <w:r w:rsidR="003F6418" w:rsidRPr="003F6418">
        <w:rPr>
          <w:color w:val="auto"/>
          <w:szCs w:val="20"/>
        </w:rPr>
        <w:t xml:space="preserve"> </w:t>
      </w:r>
      <w:r w:rsidR="003F6418" w:rsidRPr="00314D03">
        <w:rPr>
          <w:b w:val="0"/>
          <w:color w:val="auto"/>
          <w:szCs w:val="20"/>
        </w:rPr>
        <w:t>(</w:t>
      </w:r>
      <w:r w:rsidR="003908AB">
        <w:rPr>
          <w:b w:val="0"/>
          <w:color w:val="auto"/>
          <w:szCs w:val="20"/>
        </w:rPr>
        <w:t>-</w:t>
      </w:r>
      <w:r w:rsidR="003908AB" w:rsidRPr="003908AB">
        <w:rPr>
          <w:color w:val="auto"/>
          <w:szCs w:val="20"/>
        </w:rPr>
        <w:t>7,6%</w:t>
      </w:r>
      <w:r w:rsidR="003908AB">
        <w:rPr>
          <w:b w:val="0"/>
          <w:color w:val="auto"/>
          <w:szCs w:val="20"/>
        </w:rPr>
        <w:t>)</w:t>
      </w:r>
      <w:r w:rsidR="001E384F">
        <w:rPr>
          <w:b w:val="0"/>
          <w:color w:val="auto"/>
          <w:szCs w:val="20"/>
        </w:rPr>
        <w:t>.</w:t>
      </w:r>
      <w:r w:rsidR="00141FF8" w:rsidRPr="00314D03">
        <w:rPr>
          <w:color w:val="auto"/>
        </w:rPr>
        <w:t xml:space="preserve"> </w:t>
      </w:r>
      <w:r w:rsidR="00960793">
        <w:rPr>
          <w:b w:val="0"/>
          <w:color w:val="auto"/>
          <w:szCs w:val="20"/>
        </w:rPr>
        <w:t>Nello specifico</w:t>
      </w:r>
      <w:r w:rsidR="007C5D32">
        <w:rPr>
          <w:b w:val="0"/>
          <w:color w:val="auto"/>
          <w:szCs w:val="20"/>
        </w:rPr>
        <w:t>,</w:t>
      </w:r>
      <w:r w:rsidR="00B756C1" w:rsidRPr="000968A8">
        <w:rPr>
          <w:b w:val="0"/>
          <w:color w:val="auto"/>
          <w:szCs w:val="20"/>
        </w:rPr>
        <w:t xml:space="preserve"> l</w:t>
      </w:r>
      <w:r w:rsidR="00875749" w:rsidRPr="000968A8">
        <w:rPr>
          <w:b w:val="0"/>
          <w:color w:val="auto"/>
        </w:rPr>
        <w:t xml:space="preserve">e </w:t>
      </w:r>
      <w:r w:rsidR="00DA7744">
        <w:rPr>
          <w:b w:val="0"/>
          <w:color w:val="auto"/>
        </w:rPr>
        <w:t xml:space="preserve">richieste presentate dalle </w:t>
      </w:r>
      <w:r w:rsidR="003B36E7" w:rsidRPr="000968A8">
        <w:rPr>
          <w:color w:val="auto"/>
        </w:rPr>
        <w:t xml:space="preserve">Imprese </w:t>
      </w:r>
      <w:r w:rsidR="00875749" w:rsidRPr="000968A8">
        <w:rPr>
          <w:color w:val="auto"/>
        </w:rPr>
        <w:t>individuali</w:t>
      </w:r>
      <w:r w:rsidR="00F27F57" w:rsidRPr="000968A8">
        <w:rPr>
          <w:b w:val="0"/>
          <w:color w:val="auto"/>
        </w:rPr>
        <w:t xml:space="preserve"> hanno </w:t>
      </w:r>
      <w:r w:rsidR="00DA7744">
        <w:rPr>
          <w:b w:val="0"/>
          <w:color w:val="auto"/>
        </w:rPr>
        <w:t xml:space="preserve">visto un importo </w:t>
      </w:r>
      <w:r w:rsidR="005A427D" w:rsidRPr="000968A8">
        <w:rPr>
          <w:b w:val="0"/>
          <w:color w:val="auto"/>
        </w:rPr>
        <w:t>medi</w:t>
      </w:r>
      <w:r w:rsidR="00DA7744">
        <w:rPr>
          <w:b w:val="0"/>
          <w:color w:val="auto"/>
        </w:rPr>
        <w:t>o</w:t>
      </w:r>
      <w:r>
        <w:rPr>
          <w:b w:val="0"/>
          <w:color w:val="auto"/>
        </w:rPr>
        <w:t xml:space="preserve"> pari a</w:t>
      </w:r>
      <w:r w:rsidR="00917E5E" w:rsidRPr="000968A8">
        <w:rPr>
          <w:b w:val="0"/>
          <w:color w:val="auto"/>
        </w:rPr>
        <w:t xml:space="preserve"> </w:t>
      </w:r>
      <w:r w:rsidR="001E384F" w:rsidRPr="001E384F">
        <w:rPr>
          <w:color w:val="auto"/>
        </w:rPr>
        <w:t>24.941</w:t>
      </w:r>
      <w:r w:rsidR="001E384F">
        <w:rPr>
          <w:color w:val="auto"/>
        </w:rPr>
        <w:t xml:space="preserve"> </w:t>
      </w:r>
      <w:r w:rsidR="004C650B" w:rsidRPr="000968A8">
        <w:rPr>
          <w:color w:val="auto"/>
        </w:rPr>
        <w:t>Euro</w:t>
      </w:r>
      <w:r w:rsidR="00BD03E6">
        <w:rPr>
          <w:b w:val="0"/>
          <w:color w:val="auto"/>
        </w:rPr>
        <w:t>,</w:t>
      </w:r>
      <w:r w:rsidR="00B756C1" w:rsidRPr="000968A8">
        <w:rPr>
          <w:b w:val="0"/>
          <w:color w:val="auto"/>
        </w:rPr>
        <w:t xml:space="preserve"> </w:t>
      </w:r>
      <w:r>
        <w:rPr>
          <w:b w:val="0"/>
          <w:color w:val="auto"/>
        </w:rPr>
        <w:t>in calo del</w:t>
      </w:r>
      <w:r w:rsidR="000968A8" w:rsidRPr="000968A8">
        <w:rPr>
          <w:b w:val="0"/>
          <w:color w:val="auto"/>
        </w:rPr>
        <w:t xml:space="preserve"> </w:t>
      </w:r>
      <w:r w:rsidR="000968A8" w:rsidRPr="007C5D32">
        <w:rPr>
          <w:color w:val="auto"/>
        </w:rPr>
        <w:t>-</w:t>
      </w:r>
      <w:r w:rsidR="001E384F">
        <w:rPr>
          <w:color w:val="auto"/>
        </w:rPr>
        <w:t>16</w:t>
      </w:r>
      <w:r w:rsidR="00B756C1" w:rsidRPr="007C5D32">
        <w:rPr>
          <w:color w:val="auto"/>
        </w:rPr>
        <w:t>%</w:t>
      </w:r>
      <w:r>
        <w:rPr>
          <w:color w:val="auto"/>
        </w:rPr>
        <w:t xml:space="preserve"> </w:t>
      </w:r>
      <w:r w:rsidRPr="00141FF8">
        <w:rPr>
          <w:b w:val="0"/>
          <w:color w:val="auto"/>
        </w:rPr>
        <w:t>rispetto</w:t>
      </w:r>
      <w:r w:rsidR="001E384F">
        <w:rPr>
          <w:b w:val="0"/>
          <w:color w:val="auto"/>
        </w:rPr>
        <w:t xml:space="preserve"> al </w:t>
      </w:r>
      <w:r w:rsidR="00793434">
        <w:rPr>
          <w:b w:val="0"/>
          <w:color w:val="auto"/>
        </w:rPr>
        <w:t>corrispondente periodo</w:t>
      </w:r>
      <w:r w:rsidR="001E384F">
        <w:rPr>
          <w:b w:val="0"/>
          <w:color w:val="auto"/>
        </w:rPr>
        <w:t xml:space="preserve"> 2019</w:t>
      </w:r>
      <w:r w:rsidR="000968A8" w:rsidRPr="00256610">
        <w:rPr>
          <w:b w:val="0"/>
          <w:color w:val="auto"/>
        </w:rPr>
        <w:t>,</w:t>
      </w:r>
      <w:r w:rsidR="003F6418">
        <w:rPr>
          <w:b w:val="0"/>
          <w:color w:val="auto"/>
        </w:rPr>
        <w:t xml:space="preserve"> contro gli</w:t>
      </w:r>
      <w:r w:rsidR="000968A8" w:rsidRPr="000968A8">
        <w:rPr>
          <w:b w:val="0"/>
          <w:color w:val="auto"/>
        </w:rPr>
        <w:t xml:space="preserve"> </w:t>
      </w:r>
      <w:r w:rsidR="001E384F" w:rsidRPr="001E384F">
        <w:rPr>
          <w:color w:val="auto"/>
        </w:rPr>
        <w:t>83.415</w:t>
      </w:r>
      <w:r w:rsidR="001E384F">
        <w:rPr>
          <w:color w:val="auto"/>
        </w:rPr>
        <w:t xml:space="preserve"> </w:t>
      </w:r>
      <w:r w:rsidR="003F6418" w:rsidRPr="000968A8">
        <w:rPr>
          <w:color w:val="auto"/>
        </w:rPr>
        <w:t>Euro</w:t>
      </w:r>
      <w:r w:rsidR="003F6418">
        <w:rPr>
          <w:color w:val="auto"/>
        </w:rPr>
        <w:t xml:space="preserve"> </w:t>
      </w:r>
      <w:r w:rsidR="003F6418">
        <w:rPr>
          <w:b w:val="0"/>
          <w:color w:val="auto"/>
        </w:rPr>
        <w:t>del</w:t>
      </w:r>
      <w:r w:rsidR="000968A8" w:rsidRPr="000968A8">
        <w:rPr>
          <w:b w:val="0"/>
          <w:color w:val="auto"/>
        </w:rPr>
        <w:t xml:space="preserve">le </w:t>
      </w:r>
      <w:r w:rsidR="000968A8" w:rsidRPr="000968A8">
        <w:rPr>
          <w:color w:val="auto"/>
        </w:rPr>
        <w:t xml:space="preserve">Società </w:t>
      </w:r>
      <w:r w:rsidR="00DA7744">
        <w:rPr>
          <w:color w:val="auto"/>
        </w:rPr>
        <w:t xml:space="preserve">di capitali </w:t>
      </w:r>
      <w:r w:rsidR="003F6418">
        <w:rPr>
          <w:b w:val="0"/>
          <w:color w:val="auto"/>
        </w:rPr>
        <w:t>(</w:t>
      </w:r>
      <w:r w:rsidR="00B0240F" w:rsidRPr="000968A8">
        <w:rPr>
          <w:color w:val="auto"/>
        </w:rPr>
        <w:t>-</w:t>
      </w:r>
      <w:r w:rsidR="001E384F">
        <w:rPr>
          <w:color w:val="auto"/>
        </w:rPr>
        <w:t>5</w:t>
      </w:r>
      <w:r w:rsidR="000048CF" w:rsidRPr="000968A8">
        <w:rPr>
          <w:color w:val="auto"/>
        </w:rPr>
        <w:t>%</w:t>
      </w:r>
      <w:r w:rsidR="003F6418" w:rsidRPr="00314D03">
        <w:rPr>
          <w:b w:val="0"/>
          <w:color w:val="auto"/>
        </w:rPr>
        <w:t>)</w:t>
      </w:r>
      <w:r w:rsidR="003F6418" w:rsidRPr="003F6418">
        <w:rPr>
          <w:b w:val="0"/>
          <w:color w:val="auto"/>
        </w:rPr>
        <w:t>.</w:t>
      </w:r>
      <w:r w:rsidR="000048CF" w:rsidRPr="003F6418">
        <w:rPr>
          <w:b w:val="0"/>
          <w:color w:val="auto"/>
        </w:rPr>
        <w:t xml:space="preserve"> </w:t>
      </w:r>
    </w:p>
    <w:bookmarkEnd w:id="4"/>
    <w:p w14:paraId="328E74E8" w14:textId="57B8B56E" w:rsidR="00882F8C" w:rsidRDefault="009738F4" w:rsidP="003F725F">
      <w:pPr>
        <w:pStyle w:val="CRIFBodyText"/>
        <w:rPr>
          <w:lang w:val="it-IT"/>
        </w:rPr>
      </w:pPr>
      <w:r w:rsidRPr="001E41BE">
        <w:rPr>
          <w:lang w:val="it-IT"/>
        </w:rPr>
        <w:t>Relativamente alla</w:t>
      </w:r>
      <w:r w:rsidR="00875749" w:rsidRPr="001E41BE">
        <w:rPr>
          <w:lang w:val="it-IT"/>
        </w:rPr>
        <w:t xml:space="preserve"> </w:t>
      </w:r>
      <w:r w:rsidRPr="001E41BE">
        <w:rPr>
          <w:lang w:val="it-IT"/>
        </w:rPr>
        <w:t>distribuzione per classi</w:t>
      </w:r>
      <w:r w:rsidR="00875749" w:rsidRPr="001E41BE">
        <w:rPr>
          <w:lang w:val="it-IT"/>
        </w:rPr>
        <w:t xml:space="preserve"> di importo,</w:t>
      </w:r>
      <w:r w:rsidR="00D22421">
        <w:rPr>
          <w:lang w:val="it-IT"/>
        </w:rPr>
        <w:t xml:space="preserve"> </w:t>
      </w:r>
      <w:r w:rsidR="00801647" w:rsidRPr="007C5D32">
        <w:rPr>
          <w:lang w:val="it-IT"/>
        </w:rPr>
        <w:t>quasi un terzo del totale</w:t>
      </w:r>
      <w:r w:rsidR="00801647">
        <w:rPr>
          <w:b/>
          <w:lang w:val="it-IT"/>
        </w:rPr>
        <w:t xml:space="preserve"> </w:t>
      </w:r>
      <w:r w:rsidR="00801647">
        <w:rPr>
          <w:lang w:val="it-IT"/>
        </w:rPr>
        <w:t>delle richieste</w:t>
      </w:r>
      <w:r w:rsidR="007C5D32">
        <w:rPr>
          <w:lang w:val="it-IT"/>
        </w:rPr>
        <w:t xml:space="preserve"> (</w:t>
      </w:r>
      <w:r w:rsidR="00882F8C">
        <w:rPr>
          <w:lang w:val="it-IT"/>
        </w:rPr>
        <w:t xml:space="preserve">il </w:t>
      </w:r>
      <w:r w:rsidR="009049AE">
        <w:rPr>
          <w:b/>
          <w:lang w:val="it-IT"/>
        </w:rPr>
        <w:t>29,7</w:t>
      </w:r>
      <w:r w:rsidR="007C5D32" w:rsidRPr="007C5D32">
        <w:rPr>
          <w:b/>
          <w:lang w:val="it-IT"/>
        </w:rPr>
        <w:t>%</w:t>
      </w:r>
      <w:r w:rsidR="00882F8C">
        <w:rPr>
          <w:b/>
          <w:lang w:val="it-IT"/>
        </w:rPr>
        <w:t xml:space="preserve"> </w:t>
      </w:r>
      <w:r w:rsidR="00882F8C" w:rsidRPr="00AB071E">
        <w:rPr>
          <w:lang w:val="it-IT"/>
        </w:rPr>
        <w:t>del totale, per la precisione</w:t>
      </w:r>
      <w:r w:rsidR="007C5D32" w:rsidRPr="00E73022">
        <w:rPr>
          <w:lang w:val="it-IT"/>
        </w:rPr>
        <w:t>)</w:t>
      </w:r>
      <w:r w:rsidR="007C5D32" w:rsidRPr="00875749">
        <w:rPr>
          <w:lang w:val="it-IT"/>
        </w:rPr>
        <w:t xml:space="preserve"> </w:t>
      </w:r>
      <w:r w:rsidR="00E73022">
        <w:rPr>
          <w:lang w:val="it-IT"/>
        </w:rPr>
        <w:t>si colloca</w:t>
      </w:r>
      <w:r w:rsidR="00801647">
        <w:rPr>
          <w:lang w:val="it-IT"/>
        </w:rPr>
        <w:t xml:space="preserve"> nella</w:t>
      </w:r>
      <w:r w:rsidR="00875749" w:rsidRPr="00094299">
        <w:rPr>
          <w:b/>
          <w:lang w:val="it-IT"/>
        </w:rPr>
        <w:t xml:space="preserve"> fascia al </w:t>
      </w:r>
      <w:r w:rsidR="00801647">
        <w:rPr>
          <w:b/>
          <w:lang w:val="it-IT"/>
        </w:rPr>
        <w:t>di sotto dei 5.000 Euro</w:t>
      </w:r>
      <w:r w:rsidR="003F6418">
        <w:rPr>
          <w:b/>
          <w:lang w:val="it-IT"/>
        </w:rPr>
        <w:t xml:space="preserve"> </w:t>
      </w:r>
      <w:r w:rsidR="003F6418" w:rsidRPr="00314D03">
        <w:rPr>
          <w:lang w:val="it-IT"/>
        </w:rPr>
        <w:t xml:space="preserve">in virtù </w:t>
      </w:r>
      <w:r w:rsidR="009B394C">
        <w:rPr>
          <w:lang w:val="it-IT"/>
        </w:rPr>
        <w:t>del peso preponderante</w:t>
      </w:r>
      <w:r w:rsidR="003F6418" w:rsidRPr="00314D03">
        <w:rPr>
          <w:lang w:val="it-IT"/>
        </w:rPr>
        <w:t xml:space="preserve"> delle richieste presentate da ditte individuali e </w:t>
      </w:r>
      <w:r w:rsidR="00793434">
        <w:rPr>
          <w:lang w:val="it-IT"/>
        </w:rPr>
        <w:t>PMI</w:t>
      </w:r>
      <w:r w:rsidR="0064793E" w:rsidRPr="00314D03">
        <w:rPr>
          <w:lang w:val="it-IT"/>
        </w:rPr>
        <w:t>.</w:t>
      </w:r>
      <w:r w:rsidR="0064793E">
        <w:rPr>
          <w:b/>
          <w:lang w:val="it-IT"/>
        </w:rPr>
        <w:t xml:space="preserve"> </w:t>
      </w:r>
    </w:p>
    <w:p w14:paraId="7A82F683" w14:textId="036FF566" w:rsidR="00BD612D" w:rsidRPr="001E41BE" w:rsidRDefault="00D62464" w:rsidP="003F725F">
      <w:pPr>
        <w:pStyle w:val="CRIFBodyText"/>
        <w:rPr>
          <w:lang w:val="it-IT"/>
        </w:rPr>
      </w:pPr>
      <w:r>
        <w:rPr>
          <w:lang w:val="it-IT"/>
        </w:rPr>
        <w:t>Si rileva, i</w:t>
      </w:r>
      <w:r w:rsidR="00DA7744">
        <w:rPr>
          <w:lang w:val="it-IT"/>
        </w:rPr>
        <w:t xml:space="preserve">nvece, un aumento nella fascia </w:t>
      </w:r>
      <w:r w:rsidR="003F725F">
        <w:rPr>
          <w:lang w:val="it-IT"/>
        </w:rPr>
        <w:t xml:space="preserve">di importo </w:t>
      </w:r>
      <w:r w:rsidR="00882F8C">
        <w:rPr>
          <w:lang w:val="it-IT"/>
        </w:rPr>
        <w:t>compres</w:t>
      </w:r>
      <w:r w:rsidR="003F6418">
        <w:rPr>
          <w:lang w:val="it-IT"/>
        </w:rPr>
        <w:t>o</w:t>
      </w:r>
      <w:r w:rsidR="00882F8C">
        <w:rPr>
          <w:lang w:val="it-IT"/>
        </w:rPr>
        <w:t xml:space="preserve"> </w:t>
      </w:r>
      <w:r w:rsidR="003F725F">
        <w:rPr>
          <w:lang w:val="it-IT"/>
        </w:rPr>
        <w:t xml:space="preserve">tra 10.001 </w:t>
      </w:r>
      <w:r w:rsidR="00260F09">
        <w:rPr>
          <w:lang w:val="it-IT"/>
        </w:rPr>
        <w:t xml:space="preserve">e 50.000 Euro, </w:t>
      </w:r>
      <w:r w:rsidR="00882F8C">
        <w:rPr>
          <w:lang w:val="it-IT"/>
        </w:rPr>
        <w:t xml:space="preserve">che complessivamente </w:t>
      </w:r>
      <w:r w:rsidR="00260F09">
        <w:rPr>
          <w:lang w:val="it-IT"/>
        </w:rPr>
        <w:t>raggiung</w:t>
      </w:r>
      <w:r w:rsidR="00441098">
        <w:rPr>
          <w:lang w:val="it-IT"/>
        </w:rPr>
        <w:t>e</w:t>
      </w:r>
      <w:r w:rsidR="00260F09">
        <w:rPr>
          <w:lang w:val="it-IT"/>
        </w:rPr>
        <w:t xml:space="preserve"> una quota pari a</w:t>
      </w:r>
      <w:r w:rsidR="009B394C">
        <w:rPr>
          <w:lang w:val="it-IT"/>
        </w:rPr>
        <w:t>l</w:t>
      </w:r>
      <w:r w:rsidR="003F725F">
        <w:rPr>
          <w:lang w:val="it-IT"/>
        </w:rPr>
        <w:t xml:space="preserve"> </w:t>
      </w:r>
      <w:r w:rsidR="009049AE">
        <w:rPr>
          <w:lang w:val="it-IT"/>
        </w:rPr>
        <w:t>44,6</w:t>
      </w:r>
      <w:r w:rsidR="00260F09">
        <w:rPr>
          <w:lang w:val="it-IT"/>
        </w:rPr>
        <w:t>%</w:t>
      </w:r>
      <w:r w:rsidR="003F725F">
        <w:rPr>
          <w:lang w:val="it-IT"/>
        </w:rPr>
        <w:t xml:space="preserve"> </w:t>
      </w:r>
      <w:r w:rsidR="003F6418">
        <w:rPr>
          <w:lang w:val="it-IT"/>
        </w:rPr>
        <w:t>del totale</w:t>
      </w:r>
      <w:r w:rsidR="00260F09">
        <w:rPr>
          <w:lang w:val="it-IT"/>
        </w:rPr>
        <w:t>.</w:t>
      </w:r>
      <w:r w:rsidR="009B394C">
        <w:rPr>
          <w:lang w:val="it-IT"/>
        </w:rPr>
        <w:t xml:space="preserve"> Le richieste al di sopra dei 50.000 Euro, tipicamente presentate da imprese più strutturate e di dimensione maggiore, rappresentano </w:t>
      </w:r>
      <w:r w:rsidR="009049AE">
        <w:rPr>
          <w:lang w:val="it-IT"/>
        </w:rPr>
        <w:t>solo il 15,8% del totale</w:t>
      </w:r>
      <w:r w:rsidR="009B394C">
        <w:rPr>
          <w:lang w:val="it-IT"/>
        </w:rPr>
        <w:t>.</w:t>
      </w:r>
    </w:p>
    <w:tbl>
      <w:tblPr>
        <w:tblStyle w:val="Predefinita1"/>
        <w:tblW w:w="5014" w:type="dxa"/>
        <w:jc w:val="center"/>
        <w:tblLook w:val="0420" w:firstRow="1" w:lastRow="0" w:firstColumn="0" w:lastColumn="0" w:noHBand="0" w:noVBand="1"/>
      </w:tblPr>
      <w:tblGrid>
        <w:gridCol w:w="2518"/>
        <w:gridCol w:w="2496"/>
      </w:tblGrid>
      <w:tr w:rsidR="00A24997" w:rsidRPr="00F45281" w14:paraId="7A82F686" w14:textId="77777777" w:rsidTr="007C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tcW w:w="2518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A82F684" w14:textId="77777777" w:rsidR="00A24997" w:rsidRPr="00A24997" w:rsidRDefault="00F45281" w:rsidP="007C5D32">
            <w:pPr>
              <w:spacing w:line="276" w:lineRule="auto"/>
              <w:jc w:val="center"/>
              <w:rPr>
                <w:rFonts w:cs="Tahoma"/>
                <w:bCs w:val="0"/>
                <w:color w:val="000000"/>
                <w:sz w:val="18"/>
                <w:szCs w:val="18"/>
                <w:lang w:val="it-IT"/>
              </w:rPr>
            </w:pPr>
            <w:r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C</w:t>
            </w:r>
            <w:r w:rsidR="00A24997" w:rsidRPr="00A24997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lassi di importo</w:t>
            </w:r>
          </w:p>
        </w:tc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63EB889D" w14:textId="77777777" w:rsidR="00A24997" w:rsidRDefault="00F45281" w:rsidP="007C5D32">
            <w:pPr>
              <w:jc w:val="center"/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Distribuzione</w:t>
            </w:r>
          </w:p>
          <w:p w14:paraId="7A82F685" w14:textId="2188743B" w:rsidR="007C5D32" w:rsidRPr="00F45281" w:rsidRDefault="005D0237" w:rsidP="00D520E4">
            <w:pPr>
              <w:jc w:val="center"/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 xml:space="preserve">I </w:t>
            </w:r>
            <w:r w:rsidR="00D520E4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semestre</w:t>
            </w:r>
            <w:r w:rsidR="003908AB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 xml:space="preserve"> 2020</w:t>
            </w:r>
          </w:p>
        </w:tc>
      </w:tr>
      <w:tr w:rsidR="003908AB" w:rsidRPr="00A50A2F" w14:paraId="7A82F689" w14:textId="77777777" w:rsidTr="00196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tcW w:w="2518" w:type="dxa"/>
            <w:vAlign w:val="center"/>
            <w:hideMark/>
          </w:tcPr>
          <w:p w14:paraId="7A82F687" w14:textId="77777777" w:rsidR="003908AB" w:rsidRPr="00F45281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000000"/>
                <w:sz w:val="20"/>
                <w:szCs w:val="20"/>
                <w:lang w:val="it-IT"/>
              </w:rPr>
              <w:t>Fino a 5.000 €</w:t>
            </w:r>
          </w:p>
        </w:tc>
        <w:tc>
          <w:tcPr>
            <w:tcW w:w="2496" w:type="dxa"/>
          </w:tcPr>
          <w:p w14:paraId="7A82F688" w14:textId="71A2B7F6" w:rsidR="003908AB" w:rsidRPr="00D520E4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3B61A3">
              <w:t>29,7%</w:t>
            </w:r>
          </w:p>
        </w:tc>
      </w:tr>
      <w:tr w:rsidR="003908AB" w:rsidRPr="00A50A2F" w14:paraId="7A82F68C" w14:textId="77777777" w:rsidTr="001967E4">
        <w:trPr>
          <w:trHeight w:val="408"/>
          <w:jc w:val="center"/>
        </w:trPr>
        <w:tc>
          <w:tcPr>
            <w:tcW w:w="2518" w:type="dxa"/>
            <w:vAlign w:val="center"/>
            <w:hideMark/>
          </w:tcPr>
          <w:p w14:paraId="7A82F68A" w14:textId="77777777" w:rsidR="003908AB" w:rsidRPr="00F45281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000000"/>
                <w:sz w:val="20"/>
                <w:szCs w:val="20"/>
                <w:lang w:val="it-IT"/>
              </w:rPr>
              <w:t>Da 5 a 10.000 €</w:t>
            </w:r>
          </w:p>
        </w:tc>
        <w:tc>
          <w:tcPr>
            <w:tcW w:w="2496" w:type="dxa"/>
          </w:tcPr>
          <w:p w14:paraId="7A82F68B" w14:textId="423055B9" w:rsidR="003908AB" w:rsidRPr="00D520E4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3B61A3">
              <w:t>9,9%</w:t>
            </w:r>
          </w:p>
        </w:tc>
      </w:tr>
      <w:tr w:rsidR="003908AB" w:rsidRPr="008B0D4B" w14:paraId="7A82F68F" w14:textId="77777777" w:rsidTr="00196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tcW w:w="2518" w:type="dxa"/>
            <w:vAlign w:val="center"/>
            <w:hideMark/>
          </w:tcPr>
          <w:p w14:paraId="7A82F68D" w14:textId="77777777" w:rsidR="003908AB" w:rsidRPr="00F45281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000000"/>
                <w:sz w:val="20"/>
                <w:szCs w:val="20"/>
                <w:lang w:val="it-IT"/>
              </w:rPr>
              <w:lastRenderedPageBreak/>
              <w:t>Da 10 a 20.000 €</w:t>
            </w:r>
          </w:p>
        </w:tc>
        <w:tc>
          <w:tcPr>
            <w:tcW w:w="2496" w:type="dxa"/>
          </w:tcPr>
          <w:p w14:paraId="7A82F68E" w14:textId="0F5D6D07" w:rsidR="003908AB" w:rsidRPr="00D520E4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3B61A3">
              <w:t>14,1%</w:t>
            </w:r>
          </w:p>
        </w:tc>
      </w:tr>
      <w:tr w:rsidR="003908AB" w:rsidRPr="008B0D4B" w14:paraId="7A82F692" w14:textId="77777777" w:rsidTr="001967E4">
        <w:trPr>
          <w:trHeight w:val="302"/>
          <w:jc w:val="center"/>
        </w:trPr>
        <w:tc>
          <w:tcPr>
            <w:tcW w:w="2518" w:type="dxa"/>
            <w:vAlign w:val="center"/>
            <w:hideMark/>
          </w:tcPr>
          <w:p w14:paraId="7A82F690" w14:textId="77777777" w:rsidR="003908AB" w:rsidRPr="00F45281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45281">
              <w:rPr>
                <w:rFonts w:cs="Tahoma"/>
                <w:color w:val="000000"/>
                <w:sz w:val="20"/>
                <w:szCs w:val="20"/>
              </w:rPr>
              <w:t>Da 20 a 50.000 €</w:t>
            </w:r>
          </w:p>
        </w:tc>
        <w:tc>
          <w:tcPr>
            <w:tcW w:w="2496" w:type="dxa"/>
          </w:tcPr>
          <w:p w14:paraId="7A82F691" w14:textId="570F3E99" w:rsidR="003908AB" w:rsidRPr="00D520E4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3B61A3">
              <w:t>30,5%</w:t>
            </w:r>
          </w:p>
        </w:tc>
      </w:tr>
      <w:tr w:rsidR="003908AB" w:rsidRPr="008B0D4B" w14:paraId="7A82F695" w14:textId="77777777" w:rsidTr="00196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tcW w:w="2518" w:type="dxa"/>
            <w:vAlign w:val="center"/>
            <w:hideMark/>
          </w:tcPr>
          <w:p w14:paraId="7A82F693" w14:textId="77777777" w:rsidR="003908AB" w:rsidRPr="00F45281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F45281">
              <w:rPr>
                <w:rFonts w:cs="Tahoma"/>
                <w:color w:val="000000"/>
                <w:sz w:val="20"/>
                <w:szCs w:val="20"/>
              </w:rPr>
              <w:t>Oltre</w:t>
            </w:r>
            <w:proofErr w:type="spellEnd"/>
            <w:r w:rsidRPr="00F45281">
              <w:rPr>
                <w:rFonts w:cs="Tahoma"/>
                <w:color w:val="000000"/>
                <w:sz w:val="20"/>
                <w:szCs w:val="20"/>
              </w:rPr>
              <w:t xml:space="preserve"> 50.000 €</w:t>
            </w:r>
          </w:p>
        </w:tc>
        <w:tc>
          <w:tcPr>
            <w:tcW w:w="2496" w:type="dxa"/>
          </w:tcPr>
          <w:p w14:paraId="7A82F694" w14:textId="26E4FD12" w:rsidR="003908AB" w:rsidRPr="00D520E4" w:rsidRDefault="003908AB" w:rsidP="003908AB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3B61A3">
              <w:t>15,8%</w:t>
            </w:r>
          </w:p>
        </w:tc>
      </w:tr>
    </w:tbl>
    <w:p w14:paraId="376CCCEB" w14:textId="347251C3" w:rsidR="00793434" w:rsidRDefault="009E06A7" w:rsidP="00553451">
      <w:pPr>
        <w:pStyle w:val="CRIFCaption"/>
        <w:jc w:val="center"/>
        <w:rPr>
          <w:lang w:val="it-IT"/>
        </w:rPr>
      </w:pPr>
      <w:r w:rsidRPr="00087A53">
        <w:rPr>
          <w:lang w:val="it-IT"/>
        </w:rPr>
        <w:t>Fonte: EURISC – Il Sistema CRIF di Informazioni Creditizie</w:t>
      </w:r>
      <w:bookmarkEnd w:id="0"/>
    </w:p>
    <w:p w14:paraId="582A4E62" w14:textId="5EACA129" w:rsidR="00553451" w:rsidRDefault="00EA3EBA" w:rsidP="00E65185">
      <w:pPr>
        <w:pStyle w:val="CRIFTitle2"/>
        <w:rPr>
          <w:caps/>
        </w:rPr>
      </w:pPr>
      <w:r>
        <w:rPr>
          <w:caps/>
        </w:rPr>
        <w:br/>
      </w:r>
      <w:r w:rsidR="00E65185">
        <w:rPr>
          <w:caps/>
        </w:rPr>
        <w:t>L’ANALISI PER FORMA TECNICA</w:t>
      </w:r>
    </w:p>
    <w:p w14:paraId="6ADA326E" w14:textId="07AB7AC5" w:rsidR="00AD150D" w:rsidRPr="00747751" w:rsidRDefault="00AD150D" w:rsidP="00AD150D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dinamica registrata non è però omogenea tra le diverse forme tecniche e mostra accentuazioni differenti sia per quanto riguarda l’entità sia la velocità di recupero.</w:t>
      </w:r>
    </w:p>
    <w:p w14:paraId="7651B93D" w14:textId="77777777" w:rsidR="00AD150D" w:rsidRDefault="00AD150D" w:rsidP="00AD150D">
      <w:pPr>
        <w:pStyle w:val="CRIFTitle2"/>
        <w:rPr>
          <w:b w:val="0"/>
          <w:color w:val="auto"/>
          <w:szCs w:val="20"/>
        </w:rPr>
      </w:pPr>
      <w:r w:rsidRPr="00AD150D">
        <w:rPr>
          <w:b w:val="0"/>
          <w:color w:val="auto"/>
          <w:szCs w:val="20"/>
        </w:rPr>
        <w:t xml:space="preserve">Entrando maggiormente nel dettaglio, per quanto riguarda </w:t>
      </w:r>
      <w:r w:rsidRPr="00AD150D">
        <w:rPr>
          <w:color w:val="auto"/>
          <w:szCs w:val="20"/>
        </w:rPr>
        <w:t>i mutui immobiliari</w:t>
      </w:r>
      <w:r w:rsidRPr="00AD150D">
        <w:rPr>
          <w:b w:val="0"/>
          <w:color w:val="auto"/>
          <w:szCs w:val="20"/>
        </w:rPr>
        <w:t>, dopo aver visto le richieste delle imprese quasi dimezzarsi nella 13^ settimana dell’anno, quando i volumi si sono attestati al 57% rispetto a quelli che si registravano prima del lockdown, a partire dalla settimana iniziata il 20 aprile le richieste</w:t>
      </w:r>
      <w:r>
        <w:rPr>
          <w:b w:val="0"/>
          <w:color w:val="auto"/>
          <w:szCs w:val="20"/>
        </w:rPr>
        <w:t xml:space="preserve"> hanno fatto segnare una violenta impennata per poi ripiegare parzialmente a partire dall’inizio di giugno, pur confermandosi su volumi più che doppi rispetto a quelli del 2019.</w:t>
      </w:r>
    </w:p>
    <w:p w14:paraId="794FCB00" w14:textId="1810D5DC" w:rsidR="001F1CCA" w:rsidRPr="001F1CCA" w:rsidRDefault="00AD150D" w:rsidP="00E65185">
      <w:pPr>
        <w:pStyle w:val="CRIFTitle2"/>
        <w:rPr>
          <w:b w:val="0"/>
          <w:color w:val="auto"/>
          <w:szCs w:val="20"/>
        </w:rPr>
      </w:pPr>
      <w:r>
        <w:rPr>
          <w:b w:val="0"/>
          <w:color w:val="auto"/>
          <w:szCs w:val="20"/>
        </w:rPr>
        <w:t xml:space="preserve">In forte aumento anche le richieste di </w:t>
      </w:r>
      <w:r w:rsidRPr="001F1CCA">
        <w:rPr>
          <w:color w:val="auto"/>
          <w:szCs w:val="20"/>
        </w:rPr>
        <w:t>prestiti personali e finalizzati</w:t>
      </w:r>
      <w:r>
        <w:rPr>
          <w:b w:val="0"/>
          <w:color w:val="auto"/>
          <w:szCs w:val="20"/>
        </w:rPr>
        <w:t xml:space="preserve"> così come quelle di </w:t>
      </w:r>
      <w:r w:rsidRPr="001F1CCA">
        <w:rPr>
          <w:color w:val="auto"/>
          <w:szCs w:val="20"/>
        </w:rPr>
        <w:t>fid</w:t>
      </w:r>
      <w:r w:rsidRPr="00AD150D">
        <w:rPr>
          <w:b w:val="0"/>
          <w:color w:val="auto"/>
          <w:szCs w:val="20"/>
        </w:rPr>
        <w:t>i</w:t>
      </w:r>
      <w:r>
        <w:rPr>
          <w:b w:val="0"/>
          <w:color w:val="auto"/>
          <w:szCs w:val="20"/>
        </w:rPr>
        <w:t xml:space="preserve">. </w:t>
      </w:r>
      <w:r w:rsidRPr="00AD150D">
        <w:rPr>
          <w:b w:val="0"/>
          <w:color w:val="auto"/>
          <w:szCs w:val="20"/>
        </w:rPr>
        <w:t>Tra tutte le forme tecniche</w:t>
      </w:r>
      <w:r w:rsidR="001F1CCA">
        <w:rPr>
          <w:b w:val="0"/>
          <w:color w:val="auto"/>
          <w:szCs w:val="20"/>
        </w:rPr>
        <w:t xml:space="preserve"> considerate nell’analisi di CRIF, questi ultimi sono </w:t>
      </w:r>
      <w:r w:rsidRPr="00AD150D">
        <w:rPr>
          <w:b w:val="0"/>
          <w:color w:val="auto"/>
          <w:szCs w:val="20"/>
        </w:rPr>
        <w:t xml:space="preserve">la tipologia </w:t>
      </w:r>
      <w:r w:rsidR="001F1CCA" w:rsidRPr="00AD150D">
        <w:rPr>
          <w:b w:val="0"/>
          <w:color w:val="auto"/>
          <w:szCs w:val="20"/>
        </w:rPr>
        <w:t xml:space="preserve">di credito alle imprese </w:t>
      </w:r>
      <w:r w:rsidRPr="00AD150D">
        <w:rPr>
          <w:b w:val="0"/>
          <w:color w:val="auto"/>
          <w:szCs w:val="20"/>
        </w:rPr>
        <w:t>che ha meno risentito</w:t>
      </w:r>
      <w:r w:rsidR="001F1CCA">
        <w:rPr>
          <w:b w:val="0"/>
          <w:color w:val="auto"/>
          <w:szCs w:val="20"/>
        </w:rPr>
        <w:t xml:space="preserve"> degli impatti dell’emergenza</w:t>
      </w:r>
      <w:r w:rsidRPr="00AD150D">
        <w:rPr>
          <w:b w:val="0"/>
          <w:color w:val="auto"/>
          <w:szCs w:val="20"/>
        </w:rPr>
        <w:t>, avendo contenuto la flessione nelle settimane immediatamente successive al lockdown</w:t>
      </w:r>
      <w:r w:rsidR="001F1CCA">
        <w:rPr>
          <w:b w:val="0"/>
          <w:color w:val="auto"/>
          <w:szCs w:val="20"/>
        </w:rPr>
        <w:t xml:space="preserve"> e</w:t>
      </w:r>
      <w:r w:rsidRPr="00AD150D">
        <w:rPr>
          <w:b w:val="0"/>
          <w:color w:val="auto"/>
          <w:szCs w:val="20"/>
        </w:rPr>
        <w:t xml:space="preserve"> avendo mostrato una significativa accelerazione già a partire dalla settimana compresa tra il 20 e il 26 aprile.</w:t>
      </w:r>
      <w:r w:rsidR="001F1CCA">
        <w:rPr>
          <w:b w:val="0"/>
          <w:color w:val="auto"/>
          <w:szCs w:val="20"/>
        </w:rPr>
        <w:t xml:space="preserve"> Solamente le </w:t>
      </w:r>
      <w:r w:rsidR="001F1CCA" w:rsidRPr="001F1CCA">
        <w:rPr>
          <w:color w:val="auto"/>
          <w:szCs w:val="20"/>
        </w:rPr>
        <w:t>richieste di carte di credito</w:t>
      </w:r>
      <w:r w:rsidR="001F1CCA">
        <w:rPr>
          <w:b w:val="0"/>
          <w:color w:val="auto"/>
          <w:szCs w:val="20"/>
        </w:rPr>
        <w:t xml:space="preserve"> non si sono ancora riprese dallo shock Covid e rmostrano ancora un saldo negativo rispetto ai volumi che si registravano nel 2019.</w:t>
      </w:r>
    </w:p>
    <w:p w14:paraId="6B408B6B" w14:textId="78645C7B" w:rsidR="00E17BEB" w:rsidRDefault="00793434" w:rsidP="00553451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</w:pPr>
      <w:r>
        <w:rPr>
          <w:rFonts w:asciiTheme="majorHAnsi" w:hAnsiTheme="majorHAnsi" w:cstheme="majorHAnsi"/>
          <w:i/>
          <w:sz w:val="20"/>
          <w:szCs w:val="20"/>
          <w:lang w:val="it-IT"/>
        </w:rPr>
        <w:t>“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>L’emergenza Covid-19 ha</w:t>
      </w:r>
      <w:r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 i</w:t>
      </w:r>
      <w:r w:rsidR="009210A5">
        <w:rPr>
          <w:rFonts w:asciiTheme="majorHAnsi" w:hAnsiTheme="majorHAnsi" w:cstheme="majorHAnsi"/>
          <w:i/>
          <w:sz w:val="20"/>
          <w:szCs w:val="20"/>
          <w:lang w:val="it-IT"/>
        </w:rPr>
        <w:t>nciso</w:t>
      </w:r>
      <w:r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 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 xml:space="preserve">pesantemente </w:t>
      </w:r>
      <w:r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su 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 xml:space="preserve">quasi </w:t>
      </w:r>
      <w:r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tutti i settori 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>della nostra economia</w:t>
      </w:r>
      <w:r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 </w:t>
      </w:r>
      <w:r w:rsidR="009210A5">
        <w:rPr>
          <w:rFonts w:asciiTheme="majorHAnsi" w:hAnsiTheme="majorHAnsi" w:cstheme="majorHAnsi"/>
          <w:i/>
          <w:sz w:val="20"/>
          <w:szCs w:val="20"/>
          <w:lang w:val="it-IT"/>
        </w:rPr>
        <w:t>ma</w:t>
      </w:r>
      <w:r w:rsidR="00465E81" w:rsidRPr="00465E81">
        <w:rPr>
          <w:rFonts w:asciiTheme="majorHAnsi" w:hAnsiTheme="majorHAnsi" w:cstheme="majorHAnsi"/>
          <w:i/>
          <w:sz w:val="20"/>
          <w:szCs w:val="20"/>
          <w:lang w:val="it-IT"/>
        </w:rPr>
        <w:t xml:space="preserve"> 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 xml:space="preserve">i </w:t>
      </w:r>
      <w:r w:rsidR="00465E81"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provvedimenti 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>del Governo</w:t>
      </w:r>
      <w:r w:rsidR="00465E81"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 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>per contenerne gli impatti hanno fornito</w:t>
      </w:r>
      <w:r w:rsidR="009210A5">
        <w:rPr>
          <w:rFonts w:asciiTheme="majorHAnsi" w:hAnsiTheme="majorHAnsi" w:cstheme="majorHAnsi"/>
          <w:i/>
          <w:sz w:val="20"/>
          <w:szCs w:val="20"/>
          <w:lang w:val="it-IT"/>
        </w:rPr>
        <w:t xml:space="preserve"> un </w:t>
      </w:r>
      <w:r w:rsidR="00423A2F">
        <w:rPr>
          <w:rFonts w:asciiTheme="majorHAnsi" w:hAnsiTheme="majorHAnsi" w:cstheme="majorHAnsi"/>
          <w:i/>
          <w:sz w:val="20"/>
          <w:szCs w:val="20"/>
          <w:lang w:val="it-IT"/>
        </w:rPr>
        <w:t xml:space="preserve">primo </w:t>
      </w:r>
      <w:r w:rsidR="009210A5">
        <w:rPr>
          <w:rFonts w:asciiTheme="majorHAnsi" w:hAnsiTheme="majorHAnsi" w:cstheme="majorHAnsi"/>
          <w:i/>
          <w:sz w:val="20"/>
          <w:szCs w:val="20"/>
          <w:lang w:val="it-IT"/>
        </w:rPr>
        <w:t>supporto concreto alle imprese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>, specie a quelle</w:t>
      </w:r>
      <w:r w:rsidR="009210A5">
        <w:rPr>
          <w:rFonts w:asciiTheme="majorHAnsi" w:hAnsiTheme="majorHAnsi" w:cstheme="majorHAnsi"/>
          <w:i/>
          <w:sz w:val="20"/>
          <w:szCs w:val="20"/>
          <w:lang w:val="it-IT"/>
        </w:rPr>
        <w:t xml:space="preserve"> di piccola e piccolissima dimensione, tipicamente più fragili ed esposte a shock congiunturali così violenti e inaspett</w:t>
      </w:r>
      <w:r w:rsidR="00465E81">
        <w:rPr>
          <w:rFonts w:asciiTheme="majorHAnsi" w:hAnsiTheme="majorHAnsi" w:cstheme="majorHAnsi"/>
          <w:i/>
          <w:sz w:val="20"/>
          <w:szCs w:val="20"/>
          <w:lang w:val="it-IT"/>
        </w:rPr>
        <w:t xml:space="preserve">ati – commenta </w:t>
      </w:r>
      <w:r w:rsidR="00465E81" w:rsidRPr="00465E81">
        <w:rPr>
          <w:rFonts w:asciiTheme="majorHAnsi" w:hAnsiTheme="majorHAnsi" w:cstheme="majorHAnsi"/>
          <w:b/>
          <w:sz w:val="20"/>
          <w:szCs w:val="20"/>
          <w:lang w:val="it-IT"/>
        </w:rPr>
        <w:t>Simone Capecchi,</w:t>
      </w:r>
      <w:r w:rsidR="009210A5" w:rsidRPr="00465E81">
        <w:rPr>
          <w:rFonts w:asciiTheme="majorHAnsi" w:hAnsiTheme="majorHAnsi" w:cstheme="majorHAnsi"/>
          <w:b/>
          <w:sz w:val="20"/>
          <w:szCs w:val="20"/>
          <w:lang w:val="it-IT"/>
        </w:rPr>
        <w:t xml:space="preserve"> Executive Director di CRIF</w:t>
      </w:r>
      <w:r w:rsidR="009210A5">
        <w:rPr>
          <w:rFonts w:asciiTheme="majorHAnsi" w:hAnsiTheme="majorHAnsi" w:cstheme="majorHAnsi"/>
          <w:i/>
          <w:sz w:val="20"/>
          <w:szCs w:val="20"/>
          <w:lang w:val="it-IT"/>
        </w:rPr>
        <w:t xml:space="preserve"> -</w:t>
      </w:r>
      <w:r w:rsidRPr="00793434">
        <w:rPr>
          <w:rFonts w:asciiTheme="majorHAnsi" w:hAnsiTheme="majorHAnsi" w:cstheme="majorHAnsi"/>
          <w:i/>
          <w:sz w:val="20"/>
          <w:szCs w:val="20"/>
          <w:lang w:val="it-IT"/>
        </w:rPr>
        <w:t xml:space="preserve">. </w:t>
      </w:r>
      <w:r w:rsidR="009210A5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Per quanto riguarda i processi del credito,</w:t>
      </w:r>
      <w:r w:rsidR="00465E81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anche l’operatività degli Istituti è stata fortemente impattata e</w:t>
      </w:r>
      <w:r w:rsidR="009210A5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</w:t>
      </w:r>
      <w:r w:rsidR="00465E81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in questi mesi </w:t>
      </w:r>
      <w:r w:rsidR="00423A2F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l’utilizzo di soluzioni digitali è</w:t>
      </w:r>
      <w:r w:rsidRPr="00793434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</w:t>
      </w:r>
      <w:r w:rsidR="00423A2F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stato fortemente accelerato</w:t>
      </w:r>
      <w:r w:rsidR="009210A5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dall’emergenza</w:t>
      </w:r>
      <w:r w:rsidR="00465E81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, creando i presupposti per</w:t>
      </w:r>
      <w:r w:rsidRPr="00793434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costruire una nuova relazione con </w:t>
      </w:r>
      <w:r w:rsidR="009210A5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la clientela business</w:t>
      </w:r>
      <w:r w:rsidRPr="00793434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attraverso sistemi di remote collaboration e remote advisory </w:t>
      </w:r>
      <w:r w:rsidR="00465E81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che hanno consentito di</w:t>
      </w:r>
      <w:r w:rsidRPr="00793434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non far mancare il supporto</w:t>
      </w:r>
      <w:r w:rsidR="009210A5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,</w:t>
      </w:r>
      <w:r w:rsidRPr="00793434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 xml:space="preserve"> più che mai necessario in quest</w:t>
      </w:r>
      <w:r w:rsidR="009210A5"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  <w:t>a delicata fase”.</w:t>
      </w:r>
    </w:p>
    <w:p w14:paraId="31B50E67" w14:textId="77777777" w:rsidR="00AD63E3" w:rsidRDefault="00AD63E3" w:rsidP="00AD63E3">
      <w:pPr>
        <w:pStyle w:val="CRIFBodyText"/>
        <w:jc w:val="left"/>
        <w:rPr>
          <w:sz w:val="16"/>
          <w:szCs w:val="16"/>
          <w:lang w:val="it-IT"/>
        </w:rPr>
      </w:pPr>
    </w:p>
    <w:p w14:paraId="71EE7E39" w14:textId="634D90B3" w:rsidR="00AD63E3" w:rsidRDefault="00AD63E3" w:rsidP="00AD63E3">
      <w:pPr>
        <w:pStyle w:val="CRIFBodyText"/>
        <w:jc w:val="left"/>
        <w:rPr>
          <w:rFonts w:eastAsia="Calibri"/>
          <w:i/>
          <w:lang w:val="it-IT"/>
        </w:rPr>
      </w:pPr>
      <w:r>
        <w:rPr>
          <w:sz w:val="16"/>
          <w:szCs w:val="16"/>
          <w:lang w:val="it-IT"/>
        </w:rPr>
        <w:t>Per ulteriori informazioni:</w:t>
      </w:r>
      <w:r>
        <w:rPr>
          <w:sz w:val="16"/>
          <w:szCs w:val="16"/>
          <w:lang w:val="it-IT"/>
        </w:rPr>
        <w:br/>
      </w:r>
      <w:r>
        <w:rPr>
          <w:snapToGrid w:val="0"/>
          <w:sz w:val="16"/>
          <w:szCs w:val="16"/>
          <w:lang w:val="it-IT"/>
        </w:rPr>
        <w:t xml:space="preserve">Luca Fumagalli – </w:t>
      </w:r>
      <w:hyperlink r:id="rId15" w:history="1">
        <w:r>
          <w:rPr>
            <w:rStyle w:val="Hyperlink"/>
            <w:snapToGrid w:val="0"/>
            <w:sz w:val="16"/>
            <w:szCs w:val="16"/>
            <w:lang w:val="it-IT"/>
          </w:rPr>
          <w:t>luca.fumagalli@bcw-global.com</w:t>
        </w:r>
      </w:hyperlink>
      <w:r>
        <w:rPr>
          <w:snapToGrid w:val="0"/>
          <w:sz w:val="16"/>
          <w:szCs w:val="16"/>
          <w:lang w:val="it-IT"/>
        </w:rPr>
        <w:t xml:space="preserve"> - Tel. 348 4586948</w:t>
      </w:r>
    </w:p>
    <w:p w14:paraId="3D3CDF4F" w14:textId="77777777" w:rsidR="00AD63E3" w:rsidRPr="00941664" w:rsidRDefault="00AD63E3" w:rsidP="00553451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  <w:shd w:val="clear" w:color="auto" w:fill="FFFFFF"/>
          <w:lang w:val="it-IT"/>
        </w:rPr>
      </w:pPr>
    </w:p>
    <w:sectPr w:rsidR="00AD63E3" w:rsidRPr="00941664" w:rsidSect="00D36FF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9CF4" w14:textId="77777777" w:rsidR="00287F5A" w:rsidRDefault="00287F5A" w:rsidP="002C53BF">
      <w:pPr>
        <w:spacing w:after="0" w:line="240" w:lineRule="auto"/>
      </w:pPr>
      <w:r>
        <w:separator/>
      </w:r>
    </w:p>
  </w:endnote>
  <w:endnote w:type="continuationSeparator" w:id="0">
    <w:p w14:paraId="01C1E113" w14:textId="77777777" w:rsidR="00287F5A" w:rsidRDefault="00287F5A" w:rsidP="002C53BF">
      <w:pPr>
        <w:spacing w:after="0" w:line="240" w:lineRule="auto"/>
      </w:pPr>
      <w:r>
        <w:continuationSeparator/>
      </w:r>
    </w:p>
  </w:endnote>
  <w:endnote w:type="continuationNotice" w:id="1">
    <w:p w14:paraId="23472FC0" w14:textId="77777777" w:rsidR="00287F5A" w:rsidRDefault="00287F5A" w:rsidP="002C5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x New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8" w14:textId="77777777" w:rsidR="00400806" w:rsidRPr="00D36FFA" w:rsidRDefault="00E35491" w:rsidP="00D36FFA">
    <w:pPr>
      <w:spacing w:after="0" w:line="360" w:lineRule="auto"/>
      <w:jc w:val="both"/>
      <w:rPr>
        <w:sz w:val="20"/>
        <w:lang w:val="it-IT"/>
      </w:rPr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2F6AF" wp14:editId="7A82F6B0">
              <wp:simplePos x="0" y="0"/>
              <wp:positionH relativeFrom="column">
                <wp:posOffset>5947410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2F6B5" w14:textId="3B752702" w:rsidR="00400806" w:rsidRPr="005849DB" w:rsidRDefault="00F43F1A" w:rsidP="005849D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="00400806"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1F1CCA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="00400806"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1F1CCA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2F6AF" id="Rectangle 5" o:spid="_x0000_s1026" style="position:absolute;left:0;text-align:left;margin-left:468.3pt;margin-top:-2.9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" fillcolor="#003b79 [3204]" strokecolor="#001d3c [1604]" strokeweight="1pt">
              <v:path arrowok="t"/>
              <v:textbox>
                <w:txbxContent>
                  <w:p w14:paraId="7A82F6B5" w14:textId="3B752702" w:rsidR="00400806" w:rsidRPr="005849DB" w:rsidRDefault="00F43F1A" w:rsidP="005849DB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="00400806"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1F1CCA">
                      <w:rPr>
                        <w:noProof/>
                        <w:sz w:val="20"/>
                      </w:rPr>
                      <w:t>3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 w:rsidR="00400806">
                      <w:rPr>
                        <w:noProof/>
                        <w:sz w:val="20"/>
                      </w:rPr>
                      <w:t xml:space="preserve"> / </w:t>
                    </w:r>
                    <w:r w:rsidR="009D09CA">
                      <w:rPr>
                        <w:noProof/>
                        <w:sz w:val="20"/>
                      </w:rPr>
                      <w:fldChar w:fldCharType="begin"/>
                    </w:r>
                    <w:r w:rsidR="009D09CA"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 w:rsidR="009D09CA">
                      <w:rPr>
                        <w:noProof/>
                        <w:sz w:val="20"/>
                      </w:rPr>
                      <w:fldChar w:fldCharType="separate"/>
                    </w:r>
                    <w:r w:rsidR="001F1CCA">
                      <w:rPr>
                        <w:noProof/>
                        <w:sz w:val="20"/>
                      </w:rPr>
                      <w:t>3</w:t>
                    </w:r>
                    <w:r w:rsidR="009D09CA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C" w14:textId="77777777" w:rsidR="00400806" w:rsidRDefault="00E35491">
    <w:pPr>
      <w:pStyle w:val="Footer"/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82F6B3" wp14:editId="7A82F6B4">
              <wp:simplePos x="0" y="0"/>
              <wp:positionH relativeFrom="column">
                <wp:posOffset>5947410</wp:posOffset>
              </wp:positionH>
              <wp:positionV relativeFrom="paragraph">
                <wp:posOffset>-89535</wp:posOffset>
              </wp:positionV>
              <wp:extent cx="914400" cy="27432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2F6B6" w14:textId="12094045" w:rsidR="00400806" w:rsidRPr="005849DB" w:rsidRDefault="00F43F1A" w:rsidP="00BA392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="00400806"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BE6E9C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="00400806"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BE6E9C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2F6B3" id="_x0000_s1027" style="position:absolute;margin-left:468.3pt;margin-top:-7.05pt;width:1in;height:2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" fillcolor="#003b79 [3204]" strokecolor="#001d3c [1604]" strokeweight="1pt">
              <v:path arrowok="t"/>
              <v:textbox>
                <w:txbxContent>
                  <w:p w14:paraId="7A82F6B6" w14:textId="12094045" w:rsidR="00400806" w:rsidRPr="005849DB" w:rsidRDefault="00F43F1A" w:rsidP="00BA392E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="00400806"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BE6E9C">
                      <w:rPr>
                        <w:noProof/>
                        <w:sz w:val="20"/>
                      </w:rPr>
                      <w:t>1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 w:rsidR="00400806">
                      <w:rPr>
                        <w:noProof/>
                        <w:sz w:val="20"/>
                      </w:rPr>
                      <w:t xml:space="preserve"> / </w:t>
                    </w:r>
                    <w:r w:rsidR="009D09CA">
                      <w:rPr>
                        <w:noProof/>
                        <w:sz w:val="20"/>
                      </w:rPr>
                      <w:fldChar w:fldCharType="begin"/>
                    </w:r>
                    <w:r w:rsidR="009D09CA"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 w:rsidR="009D09CA">
                      <w:rPr>
                        <w:noProof/>
                        <w:sz w:val="20"/>
                      </w:rPr>
                      <w:fldChar w:fldCharType="separate"/>
                    </w:r>
                    <w:r w:rsidR="00BE6E9C">
                      <w:rPr>
                        <w:noProof/>
                        <w:sz w:val="20"/>
                      </w:rPr>
                      <w:t>3</w:t>
                    </w:r>
                    <w:r w:rsidR="009D09CA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ADBD" w14:textId="77777777" w:rsidR="00287F5A" w:rsidRDefault="00287F5A" w:rsidP="002C53BF">
      <w:pPr>
        <w:spacing w:after="0" w:line="240" w:lineRule="auto"/>
      </w:pPr>
      <w:r>
        <w:separator/>
      </w:r>
    </w:p>
  </w:footnote>
  <w:footnote w:type="continuationSeparator" w:id="0">
    <w:p w14:paraId="1CC49B73" w14:textId="77777777" w:rsidR="00287F5A" w:rsidRDefault="00287F5A" w:rsidP="002C53BF">
      <w:pPr>
        <w:spacing w:after="0" w:line="240" w:lineRule="auto"/>
      </w:pPr>
      <w:r>
        <w:continuationSeparator/>
      </w:r>
    </w:p>
  </w:footnote>
  <w:footnote w:type="continuationNotice" w:id="1">
    <w:p w14:paraId="4B031557" w14:textId="77777777" w:rsidR="00287F5A" w:rsidRDefault="00287F5A" w:rsidP="002C5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5" w14:textId="77777777" w:rsidR="00400806" w:rsidRDefault="00400806">
    <w:pPr>
      <w:pStyle w:val="Header"/>
    </w:pPr>
  </w:p>
  <w:p w14:paraId="7A82F6A6" w14:textId="77777777" w:rsidR="00400806" w:rsidRDefault="00400806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7A82F6AD" wp14:editId="7A82F6AE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2F6A7" w14:textId="77777777" w:rsidR="00400806" w:rsidRDefault="0040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9" w14:textId="77777777" w:rsidR="00400806" w:rsidRDefault="00400806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7A82F6B1" wp14:editId="7A82F6B2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2F6AA" w14:textId="77777777" w:rsidR="00400806" w:rsidRDefault="00400806">
    <w:pPr>
      <w:pStyle w:val="Header"/>
    </w:pPr>
  </w:p>
  <w:p w14:paraId="7A82F6AB" w14:textId="77777777" w:rsidR="00400806" w:rsidRDefault="0040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2B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B151B8"/>
    <w:multiLevelType w:val="hybridMultilevel"/>
    <w:tmpl w:val="9604A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D3532"/>
    <w:multiLevelType w:val="hybridMultilevel"/>
    <w:tmpl w:val="EF6CA22E"/>
    <w:lvl w:ilvl="0" w:tplc="3EC8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33"/>
  </w:num>
  <w:num w:numId="5">
    <w:abstractNumId w:val="32"/>
  </w:num>
  <w:num w:numId="6">
    <w:abstractNumId w:val="6"/>
  </w:num>
  <w:num w:numId="7">
    <w:abstractNumId w:val="20"/>
  </w:num>
  <w:num w:numId="8">
    <w:abstractNumId w:val="27"/>
  </w:num>
  <w:num w:numId="9">
    <w:abstractNumId w:val="26"/>
  </w:num>
  <w:num w:numId="10">
    <w:abstractNumId w:val="4"/>
  </w:num>
  <w:num w:numId="11">
    <w:abstractNumId w:val="11"/>
  </w:num>
  <w:num w:numId="12">
    <w:abstractNumId w:val="3"/>
  </w:num>
  <w:num w:numId="13">
    <w:abstractNumId w:val="35"/>
  </w:num>
  <w:num w:numId="14">
    <w:abstractNumId w:val="28"/>
  </w:num>
  <w:num w:numId="15">
    <w:abstractNumId w:val="23"/>
  </w:num>
  <w:num w:numId="16">
    <w:abstractNumId w:val="34"/>
  </w:num>
  <w:num w:numId="17">
    <w:abstractNumId w:val="31"/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9"/>
  </w:num>
  <w:num w:numId="22">
    <w:abstractNumId w:val="13"/>
  </w:num>
  <w:num w:numId="23">
    <w:abstractNumId w:val="9"/>
  </w:num>
  <w:num w:numId="24">
    <w:abstractNumId w:val="41"/>
  </w:num>
  <w:num w:numId="25">
    <w:abstractNumId w:val="5"/>
  </w:num>
  <w:num w:numId="26">
    <w:abstractNumId w:val="10"/>
  </w:num>
  <w:num w:numId="27">
    <w:abstractNumId w:val="39"/>
  </w:num>
  <w:num w:numId="28">
    <w:abstractNumId w:val="22"/>
  </w:num>
  <w:num w:numId="29">
    <w:abstractNumId w:val="40"/>
  </w:num>
  <w:num w:numId="30">
    <w:abstractNumId w:val="15"/>
  </w:num>
  <w:num w:numId="31">
    <w:abstractNumId w:val="7"/>
  </w:num>
  <w:num w:numId="32">
    <w:abstractNumId w:val="0"/>
  </w:num>
  <w:num w:numId="33">
    <w:abstractNumId w:val="21"/>
  </w:num>
  <w:num w:numId="34">
    <w:abstractNumId w:val="37"/>
  </w:num>
  <w:num w:numId="35">
    <w:abstractNumId w:val="38"/>
  </w:num>
  <w:num w:numId="36">
    <w:abstractNumId w:val="12"/>
  </w:num>
  <w:num w:numId="37">
    <w:abstractNumId w:val="42"/>
  </w:num>
  <w:num w:numId="38">
    <w:abstractNumId w:val="8"/>
  </w:num>
  <w:num w:numId="39">
    <w:abstractNumId w:val="24"/>
  </w:num>
  <w:num w:numId="40">
    <w:abstractNumId w:val="36"/>
  </w:num>
  <w:num w:numId="41">
    <w:abstractNumId w:val="30"/>
  </w:num>
  <w:num w:numId="42">
    <w:abstractNumId w:val="18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2E"/>
    <w:rsid w:val="00001471"/>
    <w:rsid w:val="0000197C"/>
    <w:rsid w:val="00002806"/>
    <w:rsid w:val="00004014"/>
    <w:rsid w:val="0000484F"/>
    <w:rsid w:val="000048CF"/>
    <w:rsid w:val="00010FB3"/>
    <w:rsid w:val="00012B1C"/>
    <w:rsid w:val="00012C87"/>
    <w:rsid w:val="0001382A"/>
    <w:rsid w:val="00015B75"/>
    <w:rsid w:val="000200CF"/>
    <w:rsid w:val="00020245"/>
    <w:rsid w:val="0002080F"/>
    <w:rsid w:val="00023EF1"/>
    <w:rsid w:val="0002535B"/>
    <w:rsid w:val="00026167"/>
    <w:rsid w:val="00026200"/>
    <w:rsid w:val="00026212"/>
    <w:rsid w:val="00027D8F"/>
    <w:rsid w:val="00030F14"/>
    <w:rsid w:val="000313D8"/>
    <w:rsid w:val="00032AAA"/>
    <w:rsid w:val="00032DF0"/>
    <w:rsid w:val="00036643"/>
    <w:rsid w:val="00040F5F"/>
    <w:rsid w:val="00044A2A"/>
    <w:rsid w:val="00044B04"/>
    <w:rsid w:val="00045809"/>
    <w:rsid w:val="00045BB6"/>
    <w:rsid w:val="0004615F"/>
    <w:rsid w:val="000465B9"/>
    <w:rsid w:val="00046BE3"/>
    <w:rsid w:val="000508E4"/>
    <w:rsid w:val="00051A77"/>
    <w:rsid w:val="00053DFC"/>
    <w:rsid w:val="0005431A"/>
    <w:rsid w:val="00056010"/>
    <w:rsid w:val="00056315"/>
    <w:rsid w:val="00057649"/>
    <w:rsid w:val="00063A7E"/>
    <w:rsid w:val="000651E7"/>
    <w:rsid w:val="0006563A"/>
    <w:rsid w:val="0007055E"/>
    <w:rsid w:val="000711E3"/>
    <w:rsid w:val="000725C5"/>
    <w:rsid w:val="000731DA"/>
    <w:rsid w:val="00073FD2"/>
    <w:rsid w:val="0007419E"/>
    <w:rsid w:val="00076251"/>
    <w:rsid w:val="00076D22"/>
    <w:rsid w:val="00082233"/>
    <w:rsid w:val="00082B3B"/>
    <w:rsid w:val="00082E64"/>
    <w:rsid w:val="0008397D"/>
    <w:rsid w:val="000853E8"/>
    <w:rsid w:val="00086E39"/>
    <w:rsid w:val="00087314"/>
    <w:rsid w:val="000877E3"/>
    <w:rsid w:val="00087A53"/>
    <w:rsid w:val="00090233"/>
    <w:rsid w:val="000914DA"/>
    <w:rsid w:val="00092DBC"/>
    <w:rsid w:val="00094299"/>
    <w:rsid w:val="000958F4"/>
    <w:rsid w:val="000968A8"/>
    <w:rsid w:val="000A0A43"/>
    <w:rsid w:val="000A22D0"/>
    <w:rsid w:val="000A46D2"/>
    <w:rsid w:val="000A4A33"/>
    <w:rsid w:val="000B11F8"/>
    <w:rsid w:val="000B1462"/>
    <w:rsid w:val="000B15CE"/>
    <w:rsid w:val="000B18A5"/>
    <w:rsid w:val="000B2404"/>
    <w:rsid w:val="000B2D31"/>
    <w:rsid w:val="000B4997"/>
    <w:rsid w:val="000B6C5A"/>
    <w:rsid w:val="000C0CE1"/>
    <w:rsid w:val="000C1188"/>
    <w:rsid w:val="000C14CC"/>
    <w:rsid w:val="000C174E"/>
    <w:rsid w:val="000C257C"/>
    <w:rsid w:val="000C456A"/>
    <w:rsid w:val="000C58E6"/>
    <w:rsid w:val="000C5F97"/>
    <w:rsid w:val="000C614F"/>
    <w:rsid w:val="000C7C51"/>
    <w:rsid w:val="000D0B1B"/>
    <w:rsid w:val="000D1408"/>
    <w:rsid w:val="000D530A"/>
    <w:rsid w:val="000E132E"/>
    <w:rsid w:val="000E2DE9"/>
    <w:rsid w:val="000E44F1"/>
    <w:rsid w:val="000E48C8"/>
    <w:rsid w:val="000E6C9A"/>
    <w:rsid w:val="000E77DD"/>
    <w:rsid w:val="000E7EB0"/>
    <w:rsid w:val="000F4F7B"/>
    <w:rsid w:val="000F6049"/>
    <w:rsid w:val="001017D6"/>
    <w:rsid w:val="00103B56"/>
    <w:rsid w:val="001066F2"/>
    <w:rsid w:val="00106F05"/>
    <w:rsid w:val="00114526"/>
    <w:rsid w:val="0011472F"/>
    <w:rsid w:val="00114E1C"/>
    <w:rsid w:val="00117461"/>
    <w:rsid w:val="00117967"/>
    <w:rsid w:val="00120666"/>
    <w:rsid w:val="00121FDF"/>
    <w:rsid w:val="00123314"/>
    <w:rsid w:val="001237F8"/>
    <w:rsid w:val="00124BA7"/>
    <w:rsid w:val="001268AA"/>
    <w:rsid w:val="00130750"/>
    <w:rsid w:val="00130AF9"/>
    <w:rsid w:val="00130B26"/>
    <w:rsid w:val="0013338A"/>
    <w:rsid w:val="001366DD"/>
    <w:rsid w:val="00137B74"/>
    <w:rsid w:val="00141FF8"/>
    <w:rsid w:val="00143314"/>
    <w:rsid w:val="00146513"/>
    <w:rsid w:val="00146718"/>
    <w:rsid w:val="00147609"/>
    <w:rsid w:val="00151A4E"/>
    <w:rsid w:val="00153A7A"/>
    <w:rsid w:val="001570D8"/>
    <w:rsid w:val="001575FA"/>
    <w:rsid w:val="00157B87"/>
    <w:rsid w:val="001601D9"/>
    <w:rsid w:val="00160603"/>
    <w:rsid w:val="00160C9A"/>
    <w:rsid w:val="0016147A"/>
    <w:rsid w:val="0016302E"/>
    <w:rsid w:val="00164C33"/>
    <w:rsid w:val="0017085D"/>
    <w:rsid w:val="001710D8"/>
    <w:rsid w:val="00171A16"/>
    <w:rsid w:val="00172D2A"/>
    <w:rsid w:val="00173E6D"/>
    <w:rsid w:val="001751F0"/>
    <w:rsid w:val="001759E9"/>
    <w:rsid w:val="001761AE"/>
    <w:rsid w:val="00177359"/>
    <w:rsid w:val="0017759F"/>
    <w:rsid w:val="0017765A"/>
    <w:rsid w:val="00177A9E"/>
    <w:rsid w:val="001824C6"/>
    <w:rsid w:val="00183022"/>
    <w:rsid w:val="00184641"/>
    <w:rsid w:val="00184E81"/>
    <w:rsid w:val="00186E16"/>
    <w:rsid w:val="00187A37"/>
    <w:rsid w:val="00187BDC"/>
    <w:rsid w:val="001906AC"/>
    <w:rsid w:val="00191543"/>
    <w:rsid w:val="00193453"/>
    <w:rsid w:val="00196901"/>
    <w:rsid w:val="00196F4B"/>
    <w:rsid w:val="001A25BE"/>
    <w:rsid w:val="001A2E55"/>
    <w:rsid w:val="001A3931"/>
    <w:rsid w:val="001A6492"/>
    <w:rsid w:val="001A79C2"/>
    <w:rsid w:val="001A7AC3"/>
    <w:rsid w:val="001B239A"/>
    <w:rsid w:val="001B40B4"/>
    <w:rsid w:val="001B752E"/>
    <w:rsid w:val="001B7651"/>
    <w:rsid w:val="001C0489"/>
    <w:rsid w:val="001C0C03"/>
    <w:rsid w:val="001C5B15"/>
    <w:rsid w:val="001C7DCC"/>
    <w:rsid w:val="001D45CE"/>
    <w:rsid w:val="001D5789"/>
    <w:rsid w:val="001D79EE"/>
    <w:rsid w:val="001D7BD4"/>
    <w:rsid w:val="001D7E40"/>
    <w:rsid w:val="001E384F"/>
    <w:rsid w:val="001E41BE"/>
    <w:rsid w:val="001E421D"/>
    <w:rsid w:val="001E4932"/>
    <w:rsid w:val="001E77D8"/>
    <w:rsid w:val="001E7C00"/>
    <w:rsid w:val="001F01C2"/>
    <w:rsid w:val="001F1C08"/>
    <w:rsid w:val="001F1CCA"/>
    <w:rsid w:val="001F1FAF"/>
    <w:rsid w:val="001F225E"/>
    <w:rsid w:val="001F5744"/>
    <w:rsid w:val="002004E1"/>
    <w:rsid w:val="002013AA"/>
    <w:rsid w:val="002032A8"/>
    <w:rsid w:val="00205356"/>
    <w:rsid w:val="00205AEB"/>
    <w:rsid w:val="00206395"/>
    <w:rsid w:val="0020747F"/>
    <w:rsid w:val="00207C1C"/>
    <w:rsid w:val="0021269C"/>
    <w:rsid w:val="00212C7E"/>
    <w:rsid w:val="002144A5"/>
    <w:rsid w:val="002144C0"/>
    <w:rsid w:val="002211D8"/>
    <w:rsid w:val="00224156"/>
    <w:rsid w:val="002243BF"/>
    <w:rsid w:val="00225C00"/>
    <w:rsid w:val="0022792E"/>
    <w:rsid w:val="00230216"/>
    <w:rsid w:val="002319AC"/>
    <w:rsid w:val="00231A0A"/>
    <w:rsid w:val="00231FC6"/>
    <w:rsid w:val="0023251A"/>
    <w:rsid w:val="002326C3"/>
    <w:rsid w:val="00236ED3"/>
    <w:rsid w:val="00241146"/>
    <w:rsid w:val="00241C7D"/>
    <w:rsid w:val="0024238A"/>
    <w:rsid w:val="0024278C"/>
    <w:rsid w:val="0024341C"/>
    <w:rsid w:val="00243C0A"/>
    <w:rsid w:val="0024491C"/>
    <w:rsid w:val="00246197"/>
    <w:rsid w:val="00251451"/>
    <w:rsid w:val="00254F5E"/>
    <w:rsid w:val="00255FCE"/>
    <w:rsid w:val="00256610"/>
    <w:rsid w:val="0025664F"/>
    <w:rsid w:val="002570E0"/>
    <w:rsid w:val="00260A2E"/>
    <w:rsid w:val="00260AFF"/>
    <w:rsid w:val="00260DF6"/>
    <w:rsid w:val="00260F09"/>
    <w:rsid w:val="00261561"/>
    <w:rsid w:val="00261A9A"/>
    <w:rsid w:val="00262227"/>
    <w:rsid w:val="00264489"/>
    <w:rsid w:val="002665E8"/>
    <w:rsid w:val="00267078"/>
    <w:rsid w:val="0027175E"/>
    <w:rsid w:val="00271E0F"/>
    <w:rsid w:val="00272E64"/>
    <w:rsid w:val="002736A6"/>
    <w:rsid w:val="002741F5"/>
    <w:rsid w:val="0027454D"/>
    <w:rsid w:val="00280818"/>
    <w:rsid w:val="00282414"/>
    <w:rsid w:val="00284DB7"/>
    <w:rsid w:val="0028547C"/>
    <w:rsid w:val="00286A85"/>
    <w:rsid w:val="00286BB0"/>
    <w:rsid w:val="00287F5A"/>
    <w:rsid w:val="002912CE"/>
    <w:rsid w:val="002968E5"/>
    <w:rsid w:val="00297C37"/>
    <w:rsid w:val="002A09F3"/>
    <w:rsid w:val="002A26C3"/>
    <w:rsid w:val="002A301B"/>
    <w:rsid w:val="002A46D0"/>
    <w:rsid w:val="002A4F11"/>
    <w:rsid w:val="002A5D09"/>
    <w:rsid w:val="002A7D29"/>
    <w:rsid w:val="002A7E8B"/>
    <w:rsid w:val="002B0386"/>
    <w:rsid w:val="002B1825"/>
    <w:rsid w:val="002B2656"/>
    <w:rsid w:val="002B363D"/>
    <w:rsid w:val="002B389C"/>
    <w:rsid w:val="002B4B0B"/>
    <w:rsid w:val="002C019D"/>
    <w:rsid w:val="002C01E3"/>
    <w:rsid w:val="002C02E3"/>
    <w:rsid w:val="002C1598"/>
    <w:rsid w:val="002C25A9"/>
    <w:rsid w:val="002C26D0"/>
    <w:rsid w:val="002C2C13"/>
    <w:rsid w:val="002C3AFF"/>
    <w:rsid w:val="002C4065"/>
    <w:rsid w:val="002C53BF"/>
    <w:rsid w:val="002C587D"/>
    <w:rsid w:val="002C6DFB"/>
    <w:rsid w:val="002C7091"/>
    <w:rsid w:val="002D2276"/>
    <w:rsid w:val="002D7D55"/>
    <w:rsid w:val="002E39CB"/>
    <w:rsid w:val="002E5D48"/>
    <w:rsid w:val="002E7480"/>
    <w:rsid w:val="002F06C8"/>
    <w:rsid w:val="002F3897"/>
    <w:rsid w:val="002F3898"/>
    <w:rsid w:val="002F4473"/>
    <w:rsid w:val="00302E62"/>
    <w:rsid w:val="003052F7"/>
    <w:rsid w:val="003053C1"/>
    <w:rsid w:val="00307B4B"/>
    <w:rsid w:val="00307E73"/>
    <w:rsid w:val="00311A90"/>
    <w:rsid w:val="003130BE"/>
    <w:rsid w:val="003131E6"/>
    <w:rsid w:val="00314D03"/>
    <w:rsid w:val="00320788"/>
    <w:rsid w:val="003211FF"/>
    <w:rsid w:val="00321914"/>
    <w:rsid w:val="003227A1"/>
    <w:rsid w:val="0032387A"/>
    <w:rsid w:val="00323DAF"/>
    <w:rsid w:val="00324F39"/>
    <w:rsid w:val="003257B5"/>
    <w:rsid w:val="00325DFA"/>
    <w:rsid w:val="003308F4"/>
    <w:rsid w:val="003313CD"/>
    <w:rsid w:val="003329C5"/>
    <w:rsid w:val="00332D61"/>
    <w:rsid w:val="00333BD6"/>
    <w:rsid w:val="00333DCA"/>
    <w:rsid w:val="00334131"/>
    <w:rsid w:val="00334811"/>
    <w:rsid w:val="00335347"/>
    <w:rsid w:val="00335475"/>
    <w:rsid w:val="00335B09"/>
    <w:rsid w:val="0033758A"/>
    <w:rsid w:val="00341025"/>
    <w:rsid w:val="003419D7"/>
    <w:rsid w:val="00342EE4"/>
    <w:rsid w:val="0034439B"/>
    <w:rsid w:val="003470CE"/>
    <w:rsid w:val="00347976"/>
    <w:rsid w:val="00347B1F"/>
    <w:rsid w:val="00347B8E"/>
    <w:rsid w:val="00347FC4"/>
    <w:rsid w:val="003504A9"/>
    <w:rsid w:val="00352872"/>
    <w:rsid w:val="00352D55"/>
    <w:rsid w:val="00356B54"/>
    <w:rsid w:val="00356D7D"/>
    <w:rsid w:val="00356DDB"/>
    <w:rsid w:val="00360967"/>
    <w:rsid w:val="0036130D"/>
    <w:rsid w:val="0036297E"/>
    <w:rsid w:val="003638A6"/>
    <w:rsid w:val="00365064"/>
    <w:rsid w:val="003674BA"/>
    <w:rsid w:val="0037185C"/>
    <w:rsid w:val="003739D9"/>
    <w:rsid w:val="00374355"/>
    <w:rsid w:val="00375B95"/>
    <w:rsid w:val="00376D7D"/>
    <w:rsid w:val="003773BD"/>
    <w:rsid w:val="003778AC"/>
    <w:rsid w:val="003779B8"/>
    <w:rsid w:val="0038508E"/>
    <w:rsid w:val="00385697"/>
    <w:rsid w:val="00387C33"/>
    <w:rsid w:val="003908AB"/>
    <w:rsid w:val="00391C91"/>
    <w:rsid w:val="003935B5"/>
    <w:rsid w:val="003963D6"/>
    <w:rsid w:val="00396482"/>
    <w:rsid w:val="00396DFA"/>
    <w:rsid w:val="0039763D"/>
    <w:rsid w:val="003A2711"/>
    <w:rsid w:val="003A4B33"/>
    <w:rsid w:val="003A4B46"/>
    <w:rsid w:val="003A57CE"/>
    <w:rsid w:val="003A60E9"/>
    <w:rsid w:val="003A6B93"/>
    <w:rsid w:val="003A7A98"/>
    <w:rsid w:val="003B165A"/>
    <w:rsid w:val="003B23E5"/>
    <w:rsid w:val="003B2488"/>
    <w:rsid w:val="003B2C26"/>
    <w:rsid w:val="003B3292"/>
    <w:rsid w:val="003B365C"/>
    <w:rsid w:val="003B36E7"/>
    <w:rsid w:val="003C03A9"/>
    <w:rsid w:val="003C0991"/>
    <w:rsid w:val="003C52FF"/>
    <w:rsid w:val="003C5605"/>
    <w:rsid w:val="003C7710"/>
    <w:rsid w:val="003C7BE0"/>
    <w:rsid w:val="003D00BE"/>
    <w:rsid w:val="003D1563"/>
    <w:rsid w:val="003D191A"/>
    <w:rsid w:val="003D1AC9"/>
    <w:rsid w:val="003D34CE"/>
    <w:rsid w:val="003D37C7"/>
    <w:rsid w:val="003D3840"/>
    <w:rsid w:val="003D4D0D"/>
    <w:rsid w:val="003D5915"/>
    <w:rsid w:val="003D5BA3"/>
    <w:rsid w:val="003E1A26"/>
    <w:rsid w:val="003E1D9F"/>
    <w:rsid w:val="003E1E0E"/>
    <w:rsid w:val="003E367D"/>
    <w:rsid w:val="003E7F00"/>
    <w:rsid w:val="003F1D20"/>
    <w:rsid w:val="003F2542"/>
    <w:rsid w:val="003F3AD4"/>
    <w:rsid w:val="003F454E"/>
    <w:rsid w:val="003F4C4B"/>
    <w:rsid w:val="003F6418"/>
    <w:rsid w:val="003F725F"/>
    <w:rsid w:val="003F74C4"/>
    <w:rsid w:val="0040000E"/>
    <w:rsid w:val="00400806"/>
    <w:rsid w:val="00410891"/>
    <w:rsid w:val="00412128"/>
    <w:rsid w:val="004162D0"/>
    <w:rsid w:val="00422580"/>
    <w:rsid w:val="00423A2F"/>
    <w:rsid w:val="00425069"/>
    <w:rsid w:val="004256C1"/>
    <w:rsid w:val="00427196"/>
    <w:rsid w:val="00430253"/>
    <w:rsid w:val="00431001"/>
    <w:rsid w:val="00431F78"/>
    <w:rsid w:val="00433F49"/>
    <w:rsid w:val="0043527D"/>
    <w:rsid w:val="00435B0F"/>
    <w:rsid w:val="004361FC"/>
    <w:rsid w:val="0043705C"/>
    <w:rsid w:val="00441098"/>
    <w:rsid w:val="004444AA"/>
    <w:rsid w:val="00445FB6"/>
    <w:rsid w:val="00446596"/>
    <w:rsid w:val="0045015E"/>
    <w:rsid w:val="00451D4F"/>
    <w:rsid w:val="00452D91"/>
    <w:rsid w:val="00453722"/>
    <w:rsid w:val="00456C66"/>
    <w:rsid w:val="00460017"/>
    <w:rsid w:val="0046393F"/>
    <w:rsid w:val="00465680"/>
    <w:rsid w:val="00465E81"/>
    <w:rsid w:val="00465F7D"/>
    <w:rsid w:val="00466D82"/>
    <w:rsid w:val="00472540"/>
    <w:rsid w:val="0047375B"/>
    <w:rsid w:val="00473B81"/>
    <w:rsid w:val="00473DC0"/>
    <w:rsid w:val="00473E84"/>
    <w:rsid w:val="00475244"/>
    <w:rsid w:val="0047635F"/>
    <w:rsid w:val="004765EC"/>
    <w:rsid w:val="00476699"/>
    <w:rsid w:val="004766EF"/>
    <w:rsid w:val="004774CE"/>
    <w:rsid w:val="00477C0E"/>
    <w:rsid w:val="0048024F"/>
    <w:rsid w:val="00480A1E"/>
    <w:rsid w:val="004831DA"/>
    <w:rsid w:val="00483C1A"/>
    <w:rsid w:val="00484026"/>
    <w:rsid w:val="00485860"/>
    <w:rsid w:val="004859E9"/>
    <w:rsid w:val="004872FB"/>
    <w:rsid w:val="00487B04"/>
    <w:rsid w:val="004908E6"/>
    <w:rsid w:val="00490E1A"/>
    <w:rsid w:val="00491FDC"/>
    <w:rsid w:val="004938DC"/>
    <w:rsid w:val="00493F3B"/>
    <w:rsid w:val="004957FC"/>
    <w:rsid w:val="00495838"/>
    <w:rsid w:val="004965AD"/>
    <w:rsid w:val="00496A1E"/>
    <w:rsid w:val="004A09DC"/>
    <w:rsid w:val="004A3064"/>
    <w:rsid w:val="004A3B8A"/>
    <w:rsid w:val="004A4D3F"/>
    <w:rsid w:val="004A4D67"/>
    <w:rsid w:val="004A4F76"/>
    <w:rsid w:val="004A70F2"/>
    <w:rsid w:val="004B1495"/>
    <w:rsid w:val="004B154E"/>
    <w:rsid w:val="004B34AA"/>
    <w:rsid w:val="004B5377"/>
    <w:rsid w:val="004B59C2"/>
    <w:rsid w:val="004B5D72"/>
    <w:rsid w:val="004B5EB6"/>
    <w:rsid w:val="004B6067"/>
    <w:rsid w:val="004B6751"/>
    <w:rsid w:val="004B69D5"/>
    <w:rsid w:val="004B7533"/>
    <w:rsid w:val="004B7CA7"/>
    <w:rsid w:val="004C001F"/>
    <w:rsid w:val="004C0F7E"/>
    <w:rsid w:val="004C1465"/>
    <w:rsid w:val="004C38F1"/>
    <w:rsid w:val="004C5C05"/>
    <w:rsid w:val="004C650B"/>
    <w:rsid w:val="004D0B13"/>
    <w:rsid w:val="004D0F9F"/>
    <w:rsid w:val="004D1594"/>
    <w:rsid w:val="004D16C3"/>
    <w:rsid w:val="004D4355"/>
    <w:rsid w:val="004D52F7"/>
    <w:rsid w:val="004D5F6A"/>
    <w:rsid w:val="004D6331"/>
    <w:rsid w:val="004D7A2E"/>
    <w:rsid w:val="004E0121"/>
    <w:rsid w:val="004E3A0F"/>
    <w:rsid w:val="004E5191"/>
    <w:rsid w:val="004E5E93"/>
    <w:rsid w:val="004E636B"/>
    <w:rsid w:val="004E7669"/>
    <w:rsid w:val="004F13DD"/>
    <w:rsid w:val="004F1684"/>
    <w:rsid w:val="004F21F9"/>
    <w:rsid w:val="004F2826"/>
    <w:rsid w:val="004F2A01"/>
    <w:rsid w:val="004F3814"/>
    <w:rsid w:val="004F4816"/>
    <w:rsid w:val="004F4C9A"/>
    <w:rsid w:val="004F5235"/>
    <w:rsid w:val="004F5381"/>
    <w:rsid w:val="004F58A2"/>
    <w:rsid w:val="004F6351"/>
    <w:rsid w:val="004F769C"/>
    <w:rsid w:val="00501782"/>
    <w:rsid w:val="00503E93"/>
    <w:rsid w:val="005107CA"/>
    <w:rsid w:val="00513B00"/>
    <w:rsid w:val="00514032"/>
    <w:rsid w:val="005141E5"/>
    <w:rsid w:val="005146FD"/>
    <w:rsid w:val="00515351"/>
    <w:rsid w:val="00515627"/>
    <w:rsid w:val="00516BB7"/>
    <w:rsid w:val="00516CD3"/>
    <w:rsid w:val="00516FD0"/>
    <w:rsid w:val="00517215"/>
    <w:rsid w:val="00521C06"/>
    <w:rsid w:val="00523D23"/>
    <w:rsid w:val="00524569"/>
    <w:rsid w:val="00526369"/>
    <w:rsid w:val="00527227"/>
    <w:rsid w:val="005323CD"/>
    <w:rsid w:val="0053391E"/>
    <w:rsid w:val="005343B3"/>
    <w:rsid w:val="00534915"/>
    <w:rsid w:val="0053511B"/>
    <w:rsid w:val="00541524"/>
    <w:rsid w:val="0054247C"/>
    <w:rsid w:val="005426F5"/>
    <w:rsid w:val="00542F21"/>
    <w:rsid w:val="005462DE"/>
    <w:rsid w:val="00547A17"/>
    <w:rsid w:val="00550095"/>
    <w:rsid w:val="00550A8B"/>
    <w:rsid w:val="00551F91"/>
    <w:rsid w:val="005529DB"/>
    <w:rsid w:val="00552FE3"/>
    <w:rsid w:val="00553451"/>
    <w:rsid w:val="0055786B"/>
    <w:rsid w:val="005635CC"/>
    <w:rsid w:val="005655BD"/>
    <w:rsid w:val="00566161"/>
    <w:rsid w:val="00567693"/>
    <w:rsid w:val="00567C6B"/>
    <w:rsid w:val="0057025D"/>
    <w:rsid w:val="005707AD"/>
    <w:rsid w:val="005746A5"/>
    <w:rsid w:val="00575E7A"/>
    <w:rsid w:val="00580C4A"/>
    <w:rsid w:val="005811D8"/>
    <w:rsid w:val="00581616"/>
    <w:rsid w:val="00582CCD"/>
    <w:rsid w:val="0058472A"/>
    <w:rsid w:val="005849DB"/>
    <w:rsid w:val="00585FD3"/>
    <w:rsid w:val="00587C54"/>
    <w:rsid w:val="00594053"/>
    <w:rsid w:val="005A038B"/>
    <w:rsid w:val="005A2360"/>
    <w:rsid w:val="005A3412"/>
    <w:rsid w:val="005A427D"/>
    <w:rsid w:val="005A4899"/>
    <w:rsid w:val="005A7A71"/>
    <w:rsid w:val="005B2115"/>
    <w:rsid w:val="005B2831"/>
    <w:rsid w:val="005B408E"/>
    <w:rsid w:val="005B4789"/>
    <w:rsid w:val="005B520B"/>
    <w:rsid w:val="005B6547"/>
    <w:rsid w:val="005B6907"/>
    <w:rsid w:val="005C1409"/>
    <w:rsid w:val="005C1601"/>
    <w:rsid w:val="005C301B"/>
    <w:rsid w:val="005C3C80"/>
    <w:rsid w:val="005C4F93"/>
    <w:rsid w:val="005C508F"/>
    <w:rsid w:val="005C6034"/>
    <w:rsid w:val="005C6CBD"/>
    <w:rsid w:val="005C70BC"/>
    <w:rsid w:val="005D0237"/>
    <w:rsid w:val="005D1CAD"/>
    <w:rsid w:val="005D20BF"/>
    <w:rsid w:val="005D3605"/>
    <w:rsid w:val="005D368E"/>
    <w:rsid w:val="005D3751"/>
    <w:rsid w:val="005D5F48"/>
    <w:rsid w:val="005D703A"/>
    <w:rsid w:val="005D75F1"/>
    <w:rsid w:val="005E1779"/>
    <w:rsid w:val="005E1D4F"/>
    <w:rsid w:val="005E24A5"/>
    <w:rsid w:val="005E36CF"/>
    <w:rsid w:val="005E4145"/>
    <w:rsid w:val="005E4981"/>
    <w:rsid w:val="005E5E40"/>
    <w:rsid w:val="005E71ED"/>
    <w:rsid w:val="005E7F68"/>
    <w:rsid w:val="005F2C99"/>
    <w:rsid w:val="005F3D0B"/>
    <w:rsid w:val="005F3D3E"/>
    <w:rsid w:val="005F4A0F"/>
    <w:rsid w:val="005F5621"/>
    <w:rsid w:val="005F5791"/>
    <w:rsid w:val="005F6252"/>
    <w:rsid w:val="005F7C22"/>
    <w:rsid w:val="00600293"/>
    <w:rsid w:val="00601238"/>
    <w:rsid w:val="00602296"/>
    <w:rsid w:val="00602F06"/>
    <w:rsid w:val="006077E2"/>
    <w:rsid w:val="006107A9"/>
    <w:rsid w:val="006128DE"/>
    <w:rsid w:val="00613054"/>
    <w:rsid w:val="00613F82"/>
    <w:rsid w:val="00614BBC"/>
    <w:rsid w:val="0061723C"/>
    <w:rsid w:val="006206DC"/>
    <w:rsid w:val="006217D5"/>
    <w:rsid w:val="00625A36"/>
    <w:rsid w:val="00627F18"/>
    <w:rsid w:val="0063082B"/>
    <w:rsid w:val="006318ED"/>
    <w:rsid w:val="006357F9"/>
    <w:rsid w:val="00636303"/>
    <w:rsid w:val="00641BA8"/>
    <w:rsid w:val="00642BB3"/>
    <w:rsid w:val="00645E14"/>
    <w:rsid w:val="0064793E"/>
    <w:rsid w:val="00647EED"/>
    <w:rsid w:val="006508F0"/>
    <w:rsid w:val="006532D6"/>
    <w:rsid w:val="006555F4"/>
    <w:rsid w:val="006562AD"/>
    <w:rsid w:val="006575A7"/>
    <w:rsid w:val="0066014E"/>
    <w:rsid w:val="00663B95"/>
    <w:rsid w:val="006641C2"/>
    <w:rsid w:val="0066589B"/>
    <w:rsid w:val="00666C72"/>
    <w:rsid w:val="00667720"/>
    <w:rsid w:val="00670977"/>
    <w:rsid w:val="006721B3"/>
    <w:rsid w:val="006723F2"/>
    <w:rsid w:val="00673B8A"/>
    <w:rsid w:val="00673FE1"/>
    <w:rsid w:val="00674271"/>
    <w:rsid w:val="00681DA4"/>
    <w:rsid w:val="006928D1"/>
    <w:rsid w:val="00693821"/>
    <w:rsid w:val="00695C85"/>
    <w:rsid w:val="0069601D"/>
    <w:rsid w:val="006A036F"/>
    <w:rsid w:val="006A2283"/>
    <w:rsid w:val="006A3251"/>
    <w:rsid w:val="006A32F0"/>
    <w:rsid w:val="006A4112"/>
    <w:rsid w:val="006A4682"/>
    <w:rsid w:val="006A640F"/>
    <w:rsid w:val="006A6480"/>
    <w:rsid w:val="006A6633"/>
    <w:rsid w:val="006B033C"/>
    <w:rsid w:val="006B1FCB"/>
    <w:rsid w:val="006B2373"/>
    <w:rsid w:val="006B27D6"/>
    <w:rsid w:val="006B47F3"/>
    <w:rsid w:val="006B4F1B"/>
    <w:rsid w:val="006B71BF"/>
    <w:rsid w:val="006B7F18"/>
    <w:rsid w:val="006C4EF6"/>
    <w:rsid w:val="006C62D4"/>
    <w:rsid w:val="006D2764"/>
    <w:rsid w:val="006D6BB3"/>
    <w:rsid w:val="006D72AF"/>
    <w:rsid w:val="006D775F"/>
    <w:rsid w:val="006E289F"/>
    <w:rsid w:val="006E4C86"/>
    <w:rsid w:val="006E52B8"/>
    <w:rsid w:val="006E5A55"/>
    <w:rsid w:val="006F0AFF"/>
    <w:rsid w:val="006F0F24"/>
    <w:rsid w:val="006F4E42"/>
    <w:rsid w:val="006F5726"/>
    <w:rsid w:val="006F68B8"/>
    <w:rsid w:val="006F7679"/>
    <w:rsid w:val="006F7EC1"/>
    <w:rsid w:val="007005E9"/>
    <w:rsid w:val="00701E36"/>
    <w:rsid w:val="00702042"/>
    <w:rsid w:val="00702D3D"/>
    <w:rsid w:val="00705BBA"/>
    <w:rsid w:val="00707953"/>
    <w:rsid w:val="00707E24"/>
    <w:rsid w:val="0071185B"/>
    <w:rsid w:val="00712358"/>
    <w:rsid w:val="00712DD4"/>
    <w:rsid w:val="00712DD7"/>
    <w:rsid w:val="00713A3C"/>
    <w:rsid w:val="00714810"/>
    <w:rsid w:val="00715919"/>
    <w:rsid w:val="0072026D"/>
    <w:rsid w:val="0072054D"/>
    <w:rsid w:val="00723732"/>
    <w:rsid w:val="00726AA3"/>
    <w:rsid w:val="00727A95"/>
    <w:rsid w:val="0073072A"/>
    <w:rsid w:val="00731166"/>
    <w:rsid w:val="00731E32"/>
    <w:rsid w:val="00732A73"/>
    <w:rsid w:val="007333E1"/>
    <w:rsid w:val="00737122"/>
    <w:rsid w:val="00746FDC"/>
    <w:rsid w:val="0075042F"/>
    <w:rsid w:val="00750635"/>
    <w:rsid w:val="00751238"/>
    <w:rsid w:val="0075417B"/>
    <w:rsid w:val="00765E1C"/>
    <w:rsid w:val="0076779E"/>
    <w:rsid w:val="00771FFF"/>
    <w:rsid w:val="00772962"/>
    <w:rsid w:val="0077714E"/>
    <w:rsid w:val="00780164"/>
    <w:rsid w:val="00781B0C"/>
    <w:rsid w:val="007861A8"/>
    <w:rsid w:val="0078779B"/>
    <w:rsid w:val="00787AD5"/>
    <w:rsid w:val="00790472"/>
    <w:rsid w:val="007910BD"/>
    <w:rsid w:val="00793434"/>
    <w:rsid w:val="007934BD"/>
    <w:rsid w:val="00793D90"/>
    <w:rsid w:val="007957E5"/>
    <w:rsid w:val="007A22F0"/>
    <w:rsid w:val="007A2D56"/>
    <w:rsid w:val="007A4415"/>
    <w:rsid w:val="007A4FF5"/>
    <w:rsid w:val="007A5322"/>
    <w:rsid w:val="007A6462"/>
    <w:rsid w:val="007B06F3"/>
    <w:rsid w:val="007B0770"/>
    <w:rsid w:val="007B2140"/>
    <w:rsid w:val="007B29CB"/>
    <w:rsid w:val="007B316A"/>
    <w:rsid w:val="007B32CC"/>
    <w:rsid w:val="007B41EF"/>
    <w:rsid w:val="007B5C10"/>
    <w:rsid w:val="007B5F6E"/>
    <w:rsid w:val="007C07D0"/>
    <w:rsid w:val="007C0B99"/>
    <w:rsid w:val="007C2E36"/>
    <w:rsid w:val="007C3850"/>
    <w:rsid w:val="007C55A6"/>
    <w:rsid w:val="007C5D32"/>
    <w:rsid w:val="007C7569"/>
    <w:rsid w:val="007C7F87"/>
    <w:rsid w:val="007D04C7"/>
    <w:rsid w:val="007D0963"/>
    <w:rsid w:val="007D0B04"/>
    <w:rsid w:val="007D218B"/>
    <w:rsid w:val="007D4A1D"/>
    <w:rsid w:val="007D591A"/>
    <w:rsid w:val="007E08C4"/>
    <w:rsid w:val="007E32DC"/>
    <w:rsid w:val="007E3390"/>
    <w:rsid w:val="007E360A"/>
    <w:rsid w:val="007E386D"/>
    <w:rsid w:val="007E3895"/>
    <w:rsid w:val="007E4ED2"/>
    <w:rsid w:val="007E6CCA"/>
    <w:rsid w:val="007F0D26"/>
    <w:rsid w:val="007F1A56"/>
    <w:rsid w:val="007F1CAC"/>
    <w:rsid w:val="007F1FD1"/>
    <w:rsid w:val="007F3FDC"/>
    <w:rsid w:val="007F50A6"/>
    <w:rsid w:val="007F516E"/>
    <w:rsid w:val="007F78CC"/>
    <w:rsid w:val="007F7D71"/>
    <w:rsid w:val="007F7EEF"/>
    <w:rsid w:val="00801647"/>
    <w:rsid w:val="00801AAE"/>
    <w:rsid w:val="00801B2B"/>
    <w:rsid w:val="00804426"/>
    <w:rsid w:val="008053ED"/>
    <w:rsid w:val="008058B8"/>
    <w:rsid w:val="008068CF"/>
    <w:rsid w:val="00806DBE"/>
    <w:rsid w:val="00806FAA"/>
    <w:rsid w:val="008079D0"/>
    <w:rsid w:val="00810D96"/>
    <w:rsid w:val="008113B1"/>
    <w:rsid w:val="00813885"/>
    <w:rsid w:val="00814BAA"/>
    <w:rsid w:val="00816E7E"/>
    <w:rsid w:val="00817E17"/>
    <w:rsid w:val="0082053D"/>
    <w:rsid w:val="00821686"/>
    <w:rsid w:val="00821D8D"/>
    <w:rsid w:val="00822FE3"/>
    <w:rsid w:val="0082354B"/>
    <w:rsid w:val="00823E4D"/>
    <w:rsid w:val="00824157"/>
    <w:rsid w:val="00826019"/>
    <w:rsid w:val="00830173"/>
    <w:rsid w:val="008301A7"/>
    <w:rsid w:val="00832FE4"/>
    <w:rsid w:val="00834944"/>
    <w:rsid w:val="0083607B"/>
    <w:rsid w:val="008367D9"/>
    <w:rsid w:val="00844F4E"/>
    <w:rsid w:val="00845815"/>
    <w:rsid w:val="008507EB"/>
    <w:rsid w:val="0085095E"/>
    <w:rsid w:val="00852C0C"/>
    <w:rsid w:val="0085368C"/>
    <w:rsid w:val="008546B1"/>
    <w:rsid w:val="008558F7"/>
    <w:rsid w:val="00855F84"/>
    <w:rsid w:val="00856349"/>
    <w:rsid w:val="00861DC3"/>
    <w:rsid w:val="00864A3E"/>
    <w:rsid w:val="00865DC9"/>
    <w:rsid w:val="00870C5C"/>
    <w:rsid w:val="008726C9"/>
    <w:rsid w:val="00873485"/>
    <w:rsid w:val="00875749"/>
    <w:rsid w:val="00875D52"/>
    <w:rsid w:val="00881D84"/>
    <w:rsid w:val="00882F8C"/>
    <w:rsid w:val="008836E2"/>
    <w:rsid w:val="00885CEE"/>
    <w:rsid w:val="008912A9"/>
    <w:rsid w:val="00891C31"/>
    <w:rsid w:val="00894AB9"/>
    <w:rsid w:val="00895C94"/>
    <w:rsid w:val="00895D0E"/>
    <w:rsid w:val="00895FE6"/>
    <w:rsid w:val="00896288"/>
    <w:rsid w:val="00897956"/>
    <w:rsid w:val="008A2151"/>
    <w:rsid w:val="008A401A"/>
    <w:rsid w:val="008A44B2"/>
    <w:rsid w:val="008A61FE"/>
    <w:rsid w:val="008A746B"/>
    <w:rsid w:val="008A79E4"/>
    <w:rsid w:val="008B1841"/>
    <w:rsid w:val="008B2954"/>
    <w:rsid w:val="008B3C54"/>
    <w:rsid w:val="008B4E66"/>
    <w:rsid w:val="008B57F6"/>
    <w:rsid w:val="008B6334"/>
    <w:rsid w:val="008B69C2"/>
    <w:rsid w:val="008B7159"/>
    <w:rsid w:val="008C0947"/>
    <w:rsid w:val="008C1CA5"/>
    <w:rsid w:val="008C286E"/>
    <w:rsid w:val="008C6980"/>
    <w:rsid w:val="008C75E6"/>
    <w:rsid w:val="008C7DAF"/>
    <w:rsid w:val="008C7ED3"/>
    <w:rsid w:val="008D0CF9"/>
    <w:rsid w:val="008D0D91"/>
    <w:rsid w:val="008D312F"/>
    <w:rsid w:val="008D6530"/>
    <w:rsid w:val="008D7678"/>
    <w:rsid w:val="008E0A10"/>
    <w:rsid w:val="008E0F22"/>
    <w:rsid w:val="008E2ABE"/>
    <w:rsid w:val="008E2B86"/>
    <w:rsid w:val="008E482D"/>
    <w:rsid w:val="008E4A5D"/>
    <w:rsid w:val="008E4CA6"/>
    <w:rsid w:val="008E5965"/>
    <w:rsid w:val="008E69B0"/>
    <w:rsid w:val="008F504E"/>
    <w:rsid w:val="008F510B"/>
    <w:rsid w:val="008F62CA"/>
    <w:rsid w:val="008F67AA"/>
    <w:rsid w:val="009005B2"/>
    <w:rsid w:val="009017DA"/>
    <w:rsid w:val="00902503"/>
    <w:rsid w:val="0090305C"/>
    <w:rsid w:val="00903BAD"/>
    <w:rsid w:val="00904292"/>
    <w:rsid w:val="009049AE"/>
    <w:rsid w:val="00905AD0"/>
    <w:rsid w:val="00906D2C"/>
    <w:rsid w:val="00907404"/>
    <w:rsid w:val="009110A5"/>
    <w:rsid w:val="00912C76"/>
    <w:rsid w:val="009130B4"/>
    <w:rsid w:val="00913307"/>
    <w:rsid w:val="00915A71"/>
    <w:rsid w:val="00916DE1"/>
    <w:rsid w:val="0091741A"/>
    <w:rsid w:val="00917423"/>
    <w:rsid w:val="00917CE7"/>
    <w:rsid w:val="00917E5E"/>
    <w:rsid w:val="009210A5"/>
    <w:rsid w:val="00921361"/>
    <w:rsid w:val="0092363A"/>
    <w:rsid w:val="00924303"/>
    <w:rsid w:val="00926927"/>
    <w:rsid w:val="009271F5"/>
    <w:rsid w:val="00930E90"/>
    <w:rsid w:val="00932738"/>
    <w:rsid w:val="009328AE"/>
    <w:rsid w:val="009330E6"/>
    <w:rsid w:val="0093460C"/>
    <w:rsid w:val="00935E1F"/>
    <w:rsid w:val="00941664"/>
    <w:rsid w:val="00941A29"/>
    <w:rsid w:val="00944C0D"/>
    <w:rsid w:val="00944C3D"/>
    <w:rsid w:val="00947C16"/>
    <w:rsid w:val="0095138D"/>
    <w:rsid w:val="00952D0F"/>
    <w:rsid w:val="00955CA4"/>
    <w:rsid w:val="0095638A"/>
    <w:rsid w:val="009563B9"/>
    <w:rsid w:val="00957251"/>
    <w:rsid w:val="00957289"/>
    <w:rsid w:val="009575C6"/>
    <w:rsid w:val="00960793"/>
    <w:rsid w:val="00963CE6"/>
    <w:rsid w:val="00964E03"/>
    <w:rsid w:val="00965CEB"/>
    <w:rsid w:val="0096733B"/>
    <w:rsid w:val="009704AA"/>
    <w:rsid w:val="00972BF7"/>
    <w:rsid w:val="00972C01"/>
    <w:rsid w:val="0097362F"/>
    <w:rsid w:val="009738F4"/>
    <w:rsid w:val="00975B99"/>
    <w:rsid w:val="009779CF"/>
    <w:rsid w:val="00977D41"/>
    <w:rsid w:val="00977F42"/>
    <w:rsid w:val="00980151"/>
    <w:rsid w:val="00980A76"/>
    <w:rsid w:val="00980B00"/>
    <w:rsid w:val="009816C5"/>
    <w:rsid w:val="00982CE4"/>
    <w:rsid w:val="00984DA8"/>
    <w:rsid w:val="0098707A"/>
    <w:rsid w:val="009872B6"/>
    <w:rsid w:val="00990C1B"/>
    <w:rsid w:val="00991700"/>
    <w:rsid w:val="0099239A"/>
    <w:rsid w:val="0099340C"/>
    <w:rsid w:val="00996579"/>
    <w:rsid w:val="00996C18"/>
    <w:rsid w:val="00997F6B"/>
    <w:rsid w:val="009A57F9"/>
    <w:rsid w:val="009A6006"/>
    <w:rsid w:val="009A668F"/>
    <w:rsid w:val="009A6842"/>
    <w:rsid w:val="009A7555"/>
    <w:rsid w:val="009B0C9A"/>
    <w:rsid w:val="009B1DE3"/>
    <w:rsid w:val="009B29BC"/>
    <w:rsid w:val="009B2EA6"/>
    <w:rsid w:val="009B394C"/>
    <w:rsid w:val="009B506B"/>
    <w:rsid w:val="009B55FD"/>
    <w:rsid w:val="009B5B79"/>
    <w:rsid w:val="009B5EE7"/>
    <w:rsid w:val="009B6121"/>
    <w:rsid w:val="009B6A62"/>
    <w:rsid w:val="009B716B"/>
    <w:rsid w:val="009B7BAB"/>
    <w:rsid w:val="009C5BF9"/>
    <w:rsid w:val="009C643C"/>
    <w:rsid w:val="009C7420"/>
    <w:rsid w:val="009C7951"/>
    <w:rsid w:val="009D09CA"/>
    <w:rsid w:val="009D0FFA"/>
    <w:rsid w:val="009D257F"/>
    <w:rsid w:val="009D3C96"/>
    <w:rsid w:val="009D6D1F"/>
    <w:rsid w:val="009D7D18"/>
    <w:rsid w:val="009E06A7"/>
    <w:rsid w:val="009E0EBE"/>
    <w:rsid w:val="009E1CE2"/>
    <w:rsid w:val="009E2AB9"/>
    <w:rsid w:val="009E57B8"/>
    <w:rsid w:val="009E6A9C"/>
    <w:rsid w:val="009F03AA"/>
    <w:rsid w:val="009F06C8"/>
    <w:rsid w:val="009F198B"/>
    <w:rsid w:val="009F2978"/>
    <w:rsid w:val="009F59A9"/>
    <w:rsid w:val="009F7794"/>
    <w:rsid w:val="00A004C6"/>
    <w:rsid w:val="00A009CF"/>
    <w:rsid w:val="00A0193C"/>
    <w:rsid w:val="00A02D76"/>
    <w:rsid w:val="00A10478"/>
    <w:rsid w:val="00A119AB"/>
    <w:rsid w:val="00A12E84"/>
    <w:rsid w:val="00A133AC"/>
    <w:rsid w:val="00A13CE3"/>
    <w:rsid w:val="00A20D99"/>
    <w:rsid w:val="00A22348"/>
    <w:rsid w:val="00A22EF5"/>
    <w:rsid w:val="00A24997"/>
    <w:rsid w:val="00A25085"/>
    <w:rsid w:val="00A30918"/>
    <w:rsid w:val="00A31A76"/>
    <w:rsid w:val="00A31D7D"/>
    <w:rsid w:val="00A31E3E"/>
    <w:rsid w:val="00A33897"/>
    <w:rsid w:val="00A349B1"/>
    <w:rsid w:val="00A35F5E"/>
    <w:rsid w:val="00A403A5"/>
    <w:rsid w:val="00A412BB"/>
    <w:rsid w:val="00A42E90"/>
    <w:rsid w:val="00A431A1"/>
    <w:rsid w:val="00A43D2D"/>
    <w:rsid w:val="00A47236"/>
    <w:rsid w:val="00A50A2F"/>
    <w:rsid w:val="00A522B2"/>
    <w:rsid w:val="00A52769"/>
    <w:rsid w:val="00A53453"/>
    <w:rsid w:val="00A54A8E"/>
    <w:rsid w:val="00A55FA9"/>
    <w:rsid w:val="00A56AEE"/>
    <w:rsid w:val="00A57025"/>
    <w:rsid w:val="00A57D12"/>
    <w:rsid w:val="00A601F9"/>
    <w:rsid w:val="00A6063A"/>
    <w:rsid w:val="00A64107"/>
    <w:rsid w:val="00A66108"/>
    <w:rsid w:val="00A7050F"/>
    <w:rsid w:val="00A724B6"/>
    <w:rsid w:val="00A74549"/>
    <w:rsid w:val="00A746A1"/>
    <w:rsid w:val="00A7651C"/>
    <w:rsid w:val="00A776E0"/>
    <w:rsid w:val="00A778BE"/>
    <w:rsid w:val="00A77E50"/>
    <w:rsid w:val="00A807AB"/>
    <w:rsid w:val="00A865CD"/>
    <w:rsid w:val="00A943BB"/>
    <w:rsid w:val="00A94AB4"/>
    <w:rsid w:val="00A95870"/>
    <w:rsid w:val="00A95FB7"/>
    <w:rsid w:val="00A967DF"/>
    <w:rsid w:val="00A96CF3"/>
    <w:rsid w:val="00AA0155"/>
    <w:rsid w:val="00AA18E9"/>
    <w:rsid w:val="00AA3DA5"/>
    <w:rsid w:val="00AA6709"/>
    <w:rsid w:val="00AA6AE8"/>
    <w:rsid w:val="00AA6C3B"/>
    <w:rsid w:val="00AA7BD3"/>
    <w:rsid w:val="00AA7D2F"/>
    <w:rsid w:val="00AB071E"/>
    <w:rsid w:val="00AB244F"/>
    <w:rsid w:val="00AB2567"/>
    <w:rsid w:val="00AB285E"/>
    <w:rsid w:val="00AB2AC6"/>
    <w:rsid w:val="00AB2CA0"/>
    <w:rsid w:val="00AB2ECD"/>
    <w:rsid w:val="00AC080D"/>
    <w:rsid w:val="00AC5066"/>
    <w:rsid w:val="00AC6A32"/>
    <w:rsid w:val="00AD14FE"/>
    <w:rsid w:val="00AD150D"/>
    <w:rsid w:val="00AD22A1"/>
    <w:rsid w:val="00AD3749"/>
    <w:rsid w:val="00AD3E4D"/>
    <w:rsid w:val="00AD474F"/>
    <w:rsid w:val="00AD63E3"/>
    <w:rsid w:val="00AD6B6F"/>
    <w:rsid w:val="00AE0EE4"/>
    <w:rsid w:val="00AE153C"/>
    <w:rsid w:val="00AE1615"/>
    <w:rsid w:val="00AE2AF0"/>
    <w:rsid w:val="00AE3209"/>
    <w:rsid w:val="00AE32B2"/>
    <w:rsid w:val="00AE3BCA"/>
    <w:rsid w:val="00AE4ECF"/>
    <w:rsid w:val="00AE5E2E"/>
    <w:rsid w:val="00AF1AD6"/>
    <w:rsid w:val="00AF5686"/>
    <w:rsid w:val="00AF5A27"/>
    <w:rsid w:val="00AF6384"/>
    <w:rsid w:val="00AF7D98"/>
    <w:rsid w:val="00B0017A"/>
    <w:rsid w:val="00B011D8"/>
    <w:rsid w:val="00B0240F"/>
    <w:rsid w:val="00B034A3"/>
    <w:rsid w:val="00B04935"/>
    <w:rsid w:val="00B0549C"/>
    <w:rsid w:val="00B06185"/>
    <w:rsid w:val="00B06869"/>
    <w:rsid w:val="00B0760E"/>
    <w:rsid w:val="00B07D4F"/>
    <w:rsid w:val="00B10061"/>
    <w:rsid w:val="00B123CB"/>
    <w:rsid w:val="00B12ACE"/>
    <w:rsid w:val="00B137EB"/>
    <w:rsid w:val="00B15D0D"/>
    <w:rsid w:val="00B20BF4"/>
    <w:rsid w:val="00B2412E"/>
    <w:rsid w:val="00B24AC5"/>
    <w:rsid w:val="00B2519F"/>
    <w:rsid w:val="00B25EBE"/>
    <w:rsid w:val="00B26296"/>
    <w:rsid w:val="00B31425"/>
    <w:rsid w:val="00B31C15"/>
    <w:rsid w:val="00B32D73"/>
    <w:rsid w:val="00B3560D"/>
    <w:rsid w:val="00B35618"/>
    <w:rsid w:val="00B36CDD"/>
    <w:rsid w:val="00B40F3D"/>
    <w:rsid w:val="00B449B8"/>
    <w:rsid w:val="00B45F2F"/>
    <w:rsid w:val="00B46838"/>
    <w:rsid w:val="00B46B5E"/>
    <w:rsid w:val="00B51F95"/>
    <w:rsid w:val="00B51FD0"/>
    <w:rsid w:val="00B5229F"/>
    <w:rsid w:val="00B54FF2"/>
    <w:rsid w:val="00B55B56"/>
    <w:rsid w:val="00B55C60"/>
    <w:rsid w:val="00B60708"/>
    <w:rsid w:val="00B64AAB"/>
    <w:rsid w:val="00B64D0D"/>
    <w:rsid w:val="00B64DAA"/>
    <w:rsid w:val="00B65E06"/>
    <w:rsid w:val="00B678B5"/>
    <w:rsid w:val="00B67923"/>
    <w:rsid w:val="00B70101"/>
    <w:rsid w:val="00B70B38"/>
    <w:rsid w:val="00B70DB3"/>
    <w:rsid w:val="00B7182F"/>
    <w:rsid w:val="00B719B4"/>
    <w:rsid w:val="00B73F40"/>
    <w:rsid w:val="00B74466"/>
    <w:rsid w:val="00B745D7"/>
    <w:rsid w:val="00B74C23"/>
    <w:rsid w:val="00B756C1"/>
    <w:rsid w:val="00B769A8"/>
    <w:rsid w:val="00B76B44"/>
    <w:rsid w:val="00B83882"/>
    <w:rsid w:val="00B83CAB"/>
    <w:rsid w:val="00B8788B"/>
    <w:rsid w:val="00B92F3C"/>
    <w:rsid w:val="00B932FB"/>
    <w:rsid w:val="00B94647"/>
    <w:rsid w:val="00B956D5"/>
    <w:rsid w:val="00B97C9D"/>
    <w:rsid w:val="00BA1BDF"/>
    <w:rsid w:val="00BA392E"/>
    <w:rsid w:val="00BA4852"/>
    <w:rsid w:val="00BA56FA"/>
    <w:rsid w:val="00BA5CD1"/>
    <w:rsid w:val="00BA689F"/>
    <w:rsid w:val="00BA734C"/>
    <w:rsid w:val="00BB0506"/>
    <w:rsid w:val="00BB364F"/>
    <w:rsid w:val="00BB399D"/>
    <w:rsid w:val="00BB401C"/>
    <w:rsid w:val="00BB5A17"/>
    <w:rsid w:val="00BB6237"/>
    <w:rsid w:val="00BB69E7"/>
    <w:rsid w:val="00BC09B1"/>
    <w:rsid w:val="00BC09ED"/>
    <w:rsid w:val="00BC0B05"/>
    <w:rsid w:val="00BC2C2C"/>
    <w:rsid w:val="00BC4742"/>
    <w:rsid w:val="00BC4B67"/>
    <w:rsid w:val="00BC63B6"/>
    <w:rsid w:val="00BC7C04"/>
    <w:rsid w:val="00BD03E6"/>
    <w:rsid w:val="00BD19CB"/>
    <w:rsid w:val="00BD244F"/>
    <w:rsid w:val="00BD400A"/>
    <w:rsid w:val="00BD4C6C"/>
    <w:rsid w:val="00BD4FA3"/>
    <w:rsid w:val="00BD5D8C"/>
    <w:rsid w:val="00BD612D"/>
    <w:rsid w:val="00BE1568"/>
    <w:rsid w:val="00BE1A09"/>
    <w:rsid w:val="00BE1EDE"/>
    <w:rsid w:val="00BE25E6"/>
    <w:rsid w:val="00BE2DC8"/>
    <w:rsid w:val="00BE6E9C"/>
    <w:rsid w:val="00BF1039"/>
    <w:rsid w:val="00BF3D96"/>
    <w:rsid w:val="00BF5FF6"/>
    <w:rsid w:val="00BF607B"/>
    <w:rsid w:val="00C00673"/>
    <w:rsid w:val="00C015E7"/>
    <w:rsid w:val="00C0240D"/>
    <w:rsid w:val="00C02B06"/>
    <w:rsid w:val="00C06810"/>
    <w:rsid w:val="00C06CC4"/>
    <w:rsid w:val="00C07973"/>
    <w:rsid w:val="00C10C17"/>
    <w:rsid w:val="00C10DEB"/>
    <w:rsid w:val="00C11254"/>
    <w:rsid w:val="00C11AE6"/>
    <w:rsid w:val="00C11D42"/>
    <w:rsid w:val="00C122F2"/>
    <w:rsid w:val="00C13243"/>
    <w:rsid w:val="00C1529B"/>
    <w:rsid w:val="00C16A71"/>
    <w:rsid w:val="00C220AF"/>
    <w:rsid w:val="00C224D2"/>
    <w:rsid w:val="00C22FDA"/>
    <w:rsid w:val="00C24250"/>
    <w:rsid w:val="00C245C8"/>
    <w:rsid w:val="00C2783F"/>
    <w:rsid w:val="00C30A0E"/>
    <w:rsid w:val="00C333FA"/>
    <w:rsid w:val="00C40246"/>
    <w:rsid w:val="00C41F2B"/>
    <w:rsid w:val="00C431CE"/>
    <w:rsid w:val="00C43840"/>
    <w:rsid w:val="00C4482B"/>
    <w:rsid w:val="00C461DB"/>
    <w:rsid w:val="00C5053A"/>
    <w:rsid w:val="00C521F2"/>
    <w:rsid w:val="00C54A64"/>
    <w:rsid w:val="00C54D92"/>
    <w:rsid w:val="00C559D4"/>
    <w:rsid w:val="00C57B4C"/>
    <w:rsid w:val="00C62D4C"/>
    <w:rsid w:val="00C64DB1"/>
    <w:rsid w:val="00C653BF"/>
    <w:rsid w:val="00C71105"/>
    <w:rsid w:val="00C75F14"/>
    <w:rsid w:val="00C81270"/>
    <w:rsid w:val="00C82BBC"/>
    <w:rsid w:val="00C82BBD"/>
    <w:rsid w:val="00C8390F"/>
    <w:rsid w:val="00C85BBB"/>
    <w:rsid w:val="00C87EA8"/>
    <w:rsid w:val="00C922BD"/>
    <w:rsid w:val="00C93685"/>
    <w:rsid w:val="00C95E92"/>
    <w:rsid w:val="00CA0593"/>
    <w:rsid w:val="00CA1BA5"/>
    <w:rsid w:val="00CA1E37"/>
    <w:rsid w:val="00CA24DF"/>
    <w:rsid w:val="00CA7A6F"/>
    <w:rsid w:val="00CB1EDE"/>
    <w:rsid w:val="00CB33C4"/>
    <w:rsid w:val="00CB3EDC"/>
    <w:rsid w:val="00CB4658"/>
    <w:rsid w:val="00CB4C2B"/>
    <w:rsid w:val="00CB79CB"/>
    <w:rsid w:val="00CB7E77"/>
    <w:rsid w:val="00CC180D"/>
    <w:rsid w:val="00CC3471"/>
    <w:rsid w:val="00CC37BA"/>
    <w:rsid w:val="00CC43EB"/>
    <w:rsid w:val="00CC4FEF"/>
    <w:rsid w:val="00CC5AF9"/>
    <w:rsid w:val="00CC5F9B"/>
    <w:rsid w:val="00CC69A9"/>
    <w:rsid w:val="00CC7483"/>
    <w:rsid w:val="00CD09B0"/>
    <w:rsid w:val="00CD0F9D"/>
    <w:rsid w:val="00CD22D2"/>
    <w:rsid w:val="00CD51A2"/>
    <w:rsid w:val="00CD52F6"/>
    <w:rsid w:val="00CD6B4A"/>
    <w:rsid w:val="00CD7F76"/>
    <w:rsid w:val="00CE0397"/>
    <w:rsid w:val="00CE12EA"/>
    <w:rsid w:val="00CE1548"/>
    <w:rsid w:val="00CE205F"/>
    <w:rsid w:val="00CE274E"/>
    <w:rsid w:val="00CE2862"/>
    <w:rsid w:val="00CE3608"/>
    <w:rsid w:val="00CF03A7"/>
    <w:rsid w:val="00CF0DED"/>
    <w:rsid w:val="00CF1902"/>
    <w:rsid w:val="00CF31CC"/>
    <w:rsid w:val="00CF59B5"/>
    <w:rsid w:val="00CF5C8C"/>
    <w:rsid w:val="00CF7BE5"/>
    <w:rsid w:val="00D01677"/>
    <w:rsid w:val="00D04149"/>
    <w:rsid w:val="00D05587"/>
    <w:rsid w:val="00D1444A"/>
    <w:rsid w:val="00D15D48"/>
    <w:rsid w:val="00D161C8"/>
    <w:rsid w:val="00D16870"/>
    <w:rsid w:val="00D16A87"/>
    <w:rsid w:val="00D16E0C"/>
    <w:rsid w:val="00D204D2"/>
    <w:rsid w:val="00D22421"/>
    <w:rsid w:val="00D241F6"/>
    <w:rsid w:val="00D2660F"/>
    <w:rsid w:val="00D30233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440F"/>
    <w:rsid w:val="00D44E25"/>
    <w:rsid w:val="00D4589B"/>
    <w:rsid w:val="00D45ADF"/>
    <w:rsid w:val="00D47961"/>
    <w:rsid w:val="00D52097"/>
    <w:rsid w:val="00D520AC"/>
    <w:rsid w:val="00D520E4"/>
    <w:rsid w:val="00D529E7"/>
    <w:rsid w:val="00D52F42"/>
    <w:rsid w:val="00D5306A"/>
    <w:rsid w:val="00D5503F"/>
    <w:rsid w:val="00D602BE"/>
    <w:rsid w:val="00D61B09"/>
    <w:rsid w:val="00D6227E"/>
    <w:rsid w:val="00D62464"/>
    <w:rsid w:val="00D63498"/>
    <w:rsid w:val="00D645F7"/>
    <w:rsid w:val="00D6508E"/>
    <w:rsid w:val="00D653D6"/>
    <w:rsid w:val="00D67DC7"/>
    <w:rsid w:val="00D70E58"/>
    <w:rsid w:val="00D720A4"/>
    <w:rsid w:val="00D7448C"/>
    <w:rsid w:val="00D7478F"/>
    <w:rsid w:val="00D7650A"/>
    <w:rsid w:val="00D803E5"/>
    <w:rsid w:val="00D81539"/>
    <w:rsid w:val="00D816F4"/>
    <w:rsid w:val="00D83BA9"/>
    <w:rsid w:val="00D84012"/>
    <w:rsid w:val="00D84ABA"/>
    <w:rsid w:val="00D86667"/>
    <w:rsid w:val="00D8792D"/>
    <w:rsid w:val="00D954D3"/>
    <w:rsid w:val="00D967A6"/>
    <w:rsid w:val="00DA03C7"/>
    <w:rsid w:val="00DA3C87"/>
    <w:rsid w:val="00DA4B3B"/>
    <w:rsid w:val="00DA7744"/>
    <w:rsid w:val="00DA7B3C"/>
    <w:rsid w:val="00DB2B2C"/>
    <w:rsid w:val="00DB536A"/>
    <w:rsid w:val="00DB5C3D"/>
    <w:rsid w:val="00DB6238"/>
    <w:rsid w:val="00DB7CA4"/>
    <w:rsid w:val="00DC1DD2"/>
    <w:rsid w:val="00DC2D92"/>
    <w:rsid w:val="00DC3C01"/>
    <w:rsid w:val="00DC6564"/>
    <w:rsid w:val="00DC6B17"/>
    <w:rsid w:val="00DC6DFD"/>
    <w:rsid w:val="00DD03B1"/>
    <w:rsid w:val="00DD26A1"/>
    <w:rsid w:val="00DD3958"/>
    <w:rsid w:val="00DD4404"/>
    <w:rsid w:val="00DD4CF6"/>
    <w:rsid w:val="00DD5546"/>
    <w:rsid w:val="00DD5666"/>
    <w:rsid w:val="00DD613B"/>
    <w:rsid w:val="00DE178D"/>
    <w:rsid w:val="00DE2D80"/>
    <w:rsid w:val="00DE2E21"/>
    <w:rsid w:val="00DE2FD9"/>
    <w:rsid w:val="00DF0AC5"/>
    <w:rsid w:val="00DF0F1B"/>
    <w:rsid w:val="00DF2DE8"/>
    <w:rsid w:val="00DF41C0"/>
    <w:rsid w:val="00DF544E"/>
    <w:rsid w:val="00DF752C"/>
    <w:rsid w:val="00E002DD"/>
    <w:rsid w:val="00E01A55"/>
    <w:rsid w:val="00E01E0D"/>
    <w:rsid w:val="00E03CD1"/>
    <w:rsid w:val="00E07E28"/>
    <w:rsid w:val="00E07E69"/>
    <w:rsid w:val="00E10AF9"/>
    <w:rsid w:val="00E134C3"/>
    <w:rsid w:val="00E137CA"/>
    <w:rsid w:val="00E1510D"/>
    <w:rsid w:val="00E15DCB"/>
    <w:rsid w:val="00E1638D"/>
    <w:rsid w:val="00E17B0E"/>
    <w:rsid w:val="00E17BEB"/>
    <w:rsid w:val="00E20193"/>
    <w:rsid w:val="00E20FBA"/>
    <w:rsid w:val="00E21920"/>
    <w:rsid w:val="00E235B0"/>
    <w:rsid w:val="00E23EB1"/>
    <w:rsid w:val="00E2438A"/>
    <w:rsid w:val="00E2478C"/>
    <w:rsid w:val="00E24A14"/>
    <w:rsid w:val="00E302DF"/>
    <w:rsid w:val="00E306C1"/>
    <w:rsid w:val="00E310DF"/>
    <w:rsid w:val="00E33DE4"/>
    <w:rsid w:val="00E34339"/>
    <w:rsid w:val="00E35491"/>
    <w:rsid w:val="00E3647C"/>
    <w:rsid w:val="00E37255"/>
    <w:rsid w:val="00E40F94"/>
    <w:rsid w:val="00E41600"/>
    <w:rsid w:val="00E43EBC"/>
    <w:rsid w:val="00E45535"/>
    <w:rsid w:val="00E51657"/>
    <w:rsid w:val="00E52C86"/>
    <w:rsid w:val="00E54838"/>
    <w:rsid w:val="00E54CD9"/>
    <w:rsid w:val="00E55DA7"/>
    <w:rsid w:val="00E6040C"/>
    <w:rsid w:val="00E607AC"/>
    <w:rsid w:val="00E60C38"/>
    <w:rsid w:val="00E62500"/>
    <w:rsid w:val="00E625C0"/>
    <w:rsid w:val="00E626C4"/>
    <w:rsid w:val="00E627B5"/>
    <w:rsid w:val="00E63BD1"/>
    <w:rsid w:val="00E65185"/>
    <w:rsid w:val="00E658B9"/>
    <w:rsid w:val="00E663F0"/>
    <w:rsid w:val="00E67003"/>
    <w:rsid w:val="00E671E4"/>
    <w:rsid w:val="00E724A9"/>
    <w:rsid w:val="00E73022"/>
    <w:rsid w:val="00E76811"/>
    <w:rsid w:val="00E76BE5"/>
    <w:rsid w:val="00E77BF1"/>
    <w:rsid w:val="00E80152"/>
    <w:rsid w:val="00E80632"/>
    <w:rsid w:val="00E81D70"/>
    <w:rsid w:val="00E822DB"/>
    <w:rsid w:val="00E8541F"/>
    <w:rsid w:val="00E85517"/>
    <w:rsid w:val="00E85FBD"/>
    <w:rsid w:val="00E8696A"/>
    <w:rsid w:val="00E875EF"/>
    <w:rsid w:val="00E932C0"/>
    <w:rsid w:val="00E9426E"/>
    <w:rsid w:val="00E95C42"/>
    <w:rsid w:val="00E96D6D"/>
    <w:rsid w:val="00E96FD7"/>
    <w:rsid w:val="00EA0F6A"/>
    <w:rsid w:val="00EA17BD"/>
    <w:rsid w:val="00EA2364"/>
    <w:rsid w:val="00EA3EBA"/>
    <w:rsid w:val="00EA54A2"/>
    <w:rsid w:val="00EA61A8"/>
    <w:rsid w:val="00EA6EB4"/>
    <w:rsid w:val="00EA7C13"/>
    <w:rsid w:val="00EB15C2"/>
    <w:rsid w:val="00EB378C"/>
    <w:rsid w:val="00EB4765"/>
    <w:rsid w:val="00EB4FC1"/>
    <w:rsid w:val="00EB5AD5"/>
    <w:rsid w:val="00EB6096"/>
    <w:rsid w:val="00EC04C7"/>
    <w:rsid w:val="00EC0538"/>
    <w:rsid w:val="00ED0C60"/>
    <w:rsid w:val="00ED12CB"/>
    <w:rsid w:val="00ED171F"/>
    <w:rsid w:val="00ED2CFD"/>
    <w:rsid w:val="00ED5869"/>
    <w:rsid w:val="00ED7F58"/>
    <w:rsid w:val="00EE0C34"/>
    <w:rsid w:val="00EE1395"/>
    <w:rsid w:val="00EE36AB"/>
    <w:rsid w:val="00EE578E"/>
    <w:rsid w:val="00EE5D42"/>
    <w:rsid w:val="00EE7F32"/>
    <w:rsid w:val="00EF0F58"/>
    <w:rsid w:val="00EF2402"/>
    <w:rsid w:val="00EF30CC"/>
    <w:rsid w:val="00EF34EF"/>
    <w:rsid w:val="00EF3B71"/>
    <w:rsid w:val="00EF67C6"/>
    <w:rsid w:val="00EF6A2A"/>
    <w:rsid w:val="00EF7E42"/>
    <w:rsid w:val="00F007F4"/>
    <w:rsid w:val="00F0289D"/>
    <w:rsid w:val="00F03007"/>
    <w:rsid w:val="00F04BFB"/>
    <w:rsid w:val="00F060BB"/>
    <w:rsid w:val="00F070AE"/>
    <w:rsid w:val="00F118F7"/>
    <w:rsid w:val="00F11DA5"/>
    <w:rsid w:val="00F14D40"/>
    <w:rsid w:val="00F1614A"/>
    <w:rsid w:val="00F16669"/>
    <w:rsid w:val="00F16EEF"/>
    <w:rsid w:val="00F26392"/>
    <w:rsid w:val="00F265E2"/>
    <w:rsid w:val="00F277B3"/>
    <w:rsid w:val="00F27F57"/>
    <w:rsid w:val="00F32253"/>
    <w:rsid w:val="00F33B51"/>
    <w:rsid w:val="00F34A90"/>
    <w:rsid w:val="00F36F5F"/>
    <w:rsid w:val="00F37357"/>
    <w:rsid w:val="00F378FF"/>
    <w:rsid w:val="00F412BE"/>
    <w:rsid w:val="00F41CEB"/>
    <w:rsid w:val="00F42149"/>
    <w:rsid w:val="00F423C5"/>
    <w:rsid w:val="00F427B4"/>
    <w:rsid w:val="00F43F1A"/>
    <w:rsid w:val="00F446D0"/>
    <w:rsid w:val="00F45120"/>
    <w:rsid w:val="00F45281"/>
    <w:rsid w:val="00F457F3"/>
    <w:rsid w:val="00F45BC6"/>
    <w:rsid w:val="00F4761A"/>
    <w:rsid w:val="00F5069B"/>
    <w:rsid w:val="00F5442B"/>
    <w:rsid w:val="00F579BA"/>
    <w:rsid w:val="00F61B27"/>
    <w:rsid w:val="00F62C20"/>
    <w:rsid w:val="00F63632"/>
    <w:rsid w:val="00F63633"/>
    <w:rsid w:val="00F64565"/>
    <w:rsid w:val="00F70556"/>
    <w:rsid w:val="00F70816"/>
    <w:rsid w:val="00F74C82"/>
    <w:rsid w:val="00F80A33"/>
    <w:rsid w:val="00F81BC0"/>
    <w:rsid w:val="00F824C3"/>
    <w:rsid w:val="00F868E5"/>
    <w:rsid w:val="00F86FE8"/>
    <w:rsid w:val="00F944E1"/>
    <w:rsid w:val="00F94F1C"/>
    <w:rsid w:val="00F94FB5"/>
    <w:rsid w:val="00F9570F"/>
    <w:rsid w:val="00F95A8C"/>
    <w:rsid w:val="00FA053F"/>
    <w:rsid w:val="00FA0781"/>
    <w:rsid w:val="00FA1FEE"/>
    <w:rsid w:val="00FA23E5"/>
    <w:rsid w:val="00FA46EB"/>
    <w:rsid w:val="00FA5173"/>
    <w:rsid w:val="00FA6281"/>
    <w:rsid w:val="00FB0F1F"/>
    <w:rsid w:val="00FB34FB"/>
    <w:rsid w:val="00FB3569"/>
    <w:rsid w:val="00FB38D6"/>
    <w:rsid w:val="00FB6F1B"/>
    <w:rsid w:val="00FC03E8"/>
    <w:rsid w:val="00FC0ECD"/>
    <w:rsid w:val="00FC19AF"/>
    <w:rsid w:val="00FC3091"/>
    <w:rsid w:val="00FC3411"/>
    <w:rsid w:val="00FC4FFE"/>
    <w:rsid w:val="00FC543B"/>
    <w:rsid w:val="00FC7855"/>
    <w:rsid w:val="00FD041C"/>
    <w:rsid w:val="00FD0A38"/>
    <w:rsid w:val="00FD1339"/>
    <w:rsid w:val="00FD142B"/>
    <w:rsid w:val="00FD531B"/>
    <w:rsid w:val="00FE45B5"/>
    <w:rsid w:val="00FE6041"/>
    <w:rsid w:val="00FE7157"/>
    <w:rsid w:val="00FF207D"/>
    <w:rsid w:val="00FF2122"/>
    <w:rsid w:val="00FF2DFD"/>
    <w:rsid w:val="00FF701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82F64B"/>
  <w15:docId w15:val="{1ED077CB-947D-4BC8-B0D2-53CA9E6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3B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A09F3"/>
    <w:rPr>
      <w:color w:val="808080"/>
    </w:rPr>
  </w:style>
  <w:style w:type="paragraph" w:styleId="Header">
    <w:name w:val="header"/>
    <w:basedOn w:val="Normal"/>
    <w:link w:val="Head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FD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FD"/>
    <w:rPr>
      <w:rFonts w:eastAsiaTheme="minorEastAsia"/>
    </w:rPr>
  </w:style>
  <w:style w:type="paragraph" w:styleId="NoSpacing">
    <w:name w:val="No Spacing"/>
    <w:link w:val="NoSpacingChar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D2CF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aption">
    <w:name w:val="caption"/>
    <w:basedOn w:val="Normal"/>
    <w:next w:val="Normal"/>
    <w:link w:val="CaptionChar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IntenseReference">
    <w:name w:val="Intense Reference"/>
    <w:basedOn w:val="DefaultParagraphFont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ListParagraph">
    <w:name w:val="List Paragraph"/>
    <w:basedOn w:val="Normal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ubtitle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DefaultParagraphFont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ubtitleChar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DefaultParagraphFont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DefaultParagraphFont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DefaultParagraphFont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Caption"/>
    <w:link w:val="CRIFCaptionChar"/>
    <w:qFormat/>
    <w:rsid w:val="002C53BF"/>
  </w:style>
  <w:style w:type="paragraph" w:customStyle="1" w:styleId="CRIFAboutTitle">
    <w:name w:val="CRIF About Title"/>
    <w:basedOn w:val="Normal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DefaultParagraphFont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DefaultParagraphFont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Hyperlink">
    <w:name w:val="Hyperlink"/>
    <w:basedOn w:val="DefaultParagraphFont"/>
    <w:uiPriority w:val="99"/>
    <w:rsid w:val="002C53BF"/>
    <w:rPr>
      <w:color w:val="EC7D1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532D6"/>
    <w:pPr>
      <w:outlineLvl w:val="9"/>
    </w:pPr>
    <w:rPr>
      <w:lang w:val="it-IT"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CRIF Index"/>
    <w:basedOn w:val="Normal"/>
    <w:next w:val="CRIFTitle3"/>
    <w:link w:val="TOC1Char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TOC3">
    <w:name w:val="toc 3"/>
    <w:aliases w:val="Sommario"/>
    <w:basedOn w:val="Normal"/>
    <w:next w:val="Normal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leNormal"/>
    <w:uiPriority w:val="50"/>
    <w:rsid w:val="00246197"/>
    <w:pPr>
      <w:spacing w:after="0" w:line="240" w:lineRule="auto"/>
    </w:pPr>
    <w:tblPr>
      <w:tblStyleRowBandSize w:val="1"/>
      <w:tblStyleCol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TableGrid">
    <w:name w:val="Table Grid"/>
    <w:basedOn w:val="TableNormal"/>
    <w:uiPriority w:val="59"/>
    <w:rsid w:val="0024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TOC4">
    <w:name w:val="toc 4"/>
    <w:basedOn w:val="Normal"/>
    <w:next w:val="Normal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TOC1Char">
    <w:name w:val="TOC 1 Char"/>
    <w:aliases w:val="CRIF Index Char"/>
    <w:basedOn w:val="DefaultParagraphFont"/>
    <w:link w:val="TOC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leSimple1">
    <w:name w:val="Table Simple 1"/>
    <w:basedOn w:val="TableNormal"/>
    <w:uiPriority w:val="99"/>
    <w:semiHidden/>
    <w:unhideWhenUsed/>
    <w:rsid w:val="001F0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LightList-Accent1">
    <w:name w:val="Light List Accent 1"/>
    <w:basedOn w:val="TableNormal"/>
    <w:uiPriority w:val="61"/>
    <w:rsid w:val="00C11AE6"/>
    <w:pPr>
      <w:spacing w:after="0" w:line="240" w:lineRule="auto"/>
    </w:pPr>
    <w:tblPr>
      <w:tblStyleRowBandSize w:val="1"/>
      <w:tblStyleColBandSize w:val="1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D73"/>
    <w:pPr>
      <w:spacing w:after="0" w:line="240" w:lineRule="auto"/>
    </w:pPr>
    <w:tblPr>
      <w:tblStyleRowBandSize w:val="1"/>
      <w:tblStyleColBandSize w:val="1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C75F14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076251"/>
    <w:rPr>
      <w:i/>
      <w:iCs/>
    </w:rPr>
  </w:style>
  <w:style w:type="paragraph" w:styleId="Revision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DocumentMap">
    <w:name w:val="Document Map"/>
    <w:basedOn w:val="Normal"/>
    <w:link w:val="DocumentMapChar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CommentReference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Corpsdetexte1">
    <w:name w:val="Corps de texte1"/>
    <w:basedOn w:val="Normal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Strong">
    <w:name w:val="Strong"/>
    <w:uiPriority w:val="22"/>
    <w:qFormat/>
    <w:rsid w:val="002C5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MediumGrid1-Accent2">
    <w:name w:val="Medium Grid 1 Accent 2"/>
    <w:basedOn w:val="TableNormal"/>
    <w:uiPriority w:val="67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uca.fumagalli@bcw-global.com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u7antgiurda\Desktop\telelavoro\barometri%20giugno\imprese\Barometro_Imprese_2020_Q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[Barometro_Imprese_2020_Q2.xlsx]Pivot_Contratti_Importi!Tabella pivot15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solidFill>
              <a:srgbClr val="A50021"/>
            </a:solidFill>
            <a:round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28575" cap="rnd">
            <a:solidFill>
              <a:srgbClr val="CC3300"/>
            </a:solidFill>
            <a:round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28575" cap="rnd">
            <a:solidFill>
              <a:srgbClr val="002060"/>
            </a:solidFill>
            <a:round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28575" cap="rnd">
            <a:solidFill>
              <a:srgbClr val="CC3300"/>
            </a:solidFill>
            <a:round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28575" cap="rnd">
            <a:solidFill>
              <a:srgbClr val="002060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rgbClr val="A50021"/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rgbClr val="A5002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rgbClr val="A5002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rgbClr val="A5002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41275" cap="rnd" cmpd="sng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41275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29"/>
      </c:pivotFmt>
      <c:pivotFmt>
        <c:idx val="30"/>
      </c:pivotFmt>
      <c:pivotFmt>
        <c:idx val="31"/>
      </c:pivotFmt>
      <c:pivotFmt>
        <c:idx val="32"/>
      </c:pivotFmt>
      <c:pivotFmt>
        <c:idx val="33"/>
      </c:pivotFmt>
      <c:pivotFmt>
        <c:idx val="34"/>
        <c:spPr>
          <a:solidFill>
            <a:schemeClr val="accent1"/>
          </a:solidFill>
          <a:ln w="28575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ln w="31750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ln w="31750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52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53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54"/>
        <c:spPr>
          <a:ln w="31750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55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56"/>
        <c:spPr>
          <a:ln w="31750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57"/>
        <c:spPr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58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59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0"/>
        <c:spPr>
          <a:ln w="31750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61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62"/>
        <c:spPr>
          <a:ln w="31750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63"/>
        <c:spPr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64"/>
        <c:spPr>
          <a:ln w="31750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65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66"/>
        <c:spPr>
          <a:ln w="31750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67"/>
        <c:spPr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68"/>
        <c:spPr>
          <a:ln w="31750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69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70"/>
        <c:spPr>
          <a:ln w="31750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71"/>
        <c:spPr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  <c:pivotFmt>
        <c:idx val="72"/>
        <c:spPr>
          <a:ln w="31750" cap="rnd">
            <a:solidFill>
              <a:srgbClr val="003B79"/>
            </a:solidFill>
            <a:round/>
          </a:ln>
          <a:effectLst/>
        </c:spPr>
        <c:marker>
          <c:symbol val="none"/>
        </c:marker>
      </c:pivotFmt>
      <c:pivotFmt>
        <c:idx val="73"/>
        <c:spPr>
          <a:ln w="28575" cap="rnd">
            <a:solidFill>
              <a:schemeClr val="bg1"/>
            </a:solidFill>
            <a:round/>
          </a:ln>
          <a:effectLst/>
        </c:spPr>
        <c:marker>
          <c:symbol val="none"/>
        </c:marker>
      </c:pivotFmt>
      <c:pivotFmt>
        <c:idx val="74"/>
        <c:spPr>
          <a:ln w="31750" cap="rnd">
            <a:solidFill>
              <a:srgbClr val="EE7D11"/>
            </a:solidFill>
            <a:round/>
          </a:ln>
          <a:effectLst/>
        </c:spPr>
        <c:marker>
          <c:symbol val="none"/>
        </c:marker>
      </c:pivotFmt>
      <c:pivotFmt>
        <c:idx val="75"/>
        <c:spPr>
          <a:ln w="22225" cap="rnd">
            <a:solidFill>
              <a:srgbClr val="C00000"/>
            </a:solidFill>
            <a:round/>
          </a:ln>
          <a:effectLst/>
        </c:spPr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4.9012327464673287E-2"/>
          <c:y val="9.1514410102313773E-2"/>
          <c:w val="0.93745532933346443"/>
          <c:h val="0.66419070769774879"/>
        </c:manualLayout>
      </c:layout>
      <c:lineChart>
        <c:grouping val="standard"/>
        <c:varyColors val="0"/>
        <c:ser>
          <c:idx val="0"/>
          <c:order val="0"/>
          <c:tx>
            <c:strRef>
              <c:f>Pivot_Contratti_Importi!$F$14:$F$16</c:f>
              <c:strCache>
                <c:ptCount val="1"/>
                <c:pt idx="0">
                  <c:v>DITTA INDIVIDUALE -  </c:v>
                </c:pt>
              </c:strCache>
            </c:strRef>
          </c:tx>
          <c:spPr>
            <a:ln w="31750" cap="rnd">
              <a:solidFill>
                <a:srgbClr val="003B79"/>
              </a:solidFill>
              <a:round/>
            </a:ln>
            <a:effectLst/>
          </c:spPr>
          <c:marker>
            <c:symbol val="none"/>
          </c:marker>
          <c:cat>
            <c:multiLvlStrRef>
              <c:f>Pivot_Contratti_Importi!$E$17:$E$54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</c:lvl>
              </c:multiLvlStrCache>
            </c:multiLvlStrRef>
          </c:cat>
          <c:val>
            <c:numRef>
              <c:f>Pivot_Contratti_Importi!$F$17:$F$54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0.25627957772115034</c:v>
                </c:pt>
                <c:pt idx="5">
                  <c:v>9.7770825185764562E-2</c:v>
                </c:pt>
                <c:pt idx="6">
                  <c:v>7.6853526220614825E-3</c:v>
                </c:pt>
                <c:pt idx="7">
                  <c:v>-7.950693374422188E-2</c:v>
                </c:pt>
                <c:pt idx="8">
                  <c:v>-7.2732541292379022E-2</c:v>
                </c:pt>
                <c:pt idx="9">
                  <c:v>6.9469184182401139E-2</c:v>
                </c:pt>
                <c:pt idx="10">
                  <c:v>8.1650964558097797E-2</c:v>
                </c:pt>
                <c:pt idx="11">
                  <c:v>7.8339471041178443E-2</c:v>
                </c:pt>
                <c:pt idx="12">
                  <c:v>3.1875000000000001E-2</c:v>
                </c:pt>
                <c:pt idx="13">
                  <c:v>3.1978680879413725E-2</c:v>
                </c:pt>
                <c:pt idx="14">
                  <c:v>3.0277892990460391E-2</c:v>
                </c:pt>
                <c:pt idx="15">
                  <c:v>4.4706612853151195E-2</c:v>
                </c:pt>
                <c:pt idx="16">
                  <c:v>-1.6959418534221685E-2</c:v>
                </c:pt>
                <c:pt idx="17">
                  <c:v>1.065203357004519E-2</c:v>
                </c:pt>
                <c:pt idx="18">
                  <c:v>-1.6505636070853463E-2</c:v>
                </c:pt>
                <c:pt idx="19">
                  <c:v>-5.3789004457652306E-2</c:v>
                </c:pt>
                <c:pt idx="20">
                  <c:v>8.0098582871226121E-3</c:v>
                </c:pt>
                <c:pt idx="21">
                  <c:v>-1.7566272756307889E-2</c:v>
                </c:pt>
                <c:pt idx="22">
                  <c:v>-3.4383954154727794E-2</c:v>
                </c:pt>
                <c:pt idx="23">
                  <c:v>1.350502512562814E-2</c:v>
                </c:pt>
                <c:pt idx="24">
                  <c:v>-4.8594132029339855E-2</c:v>
                </c:pt>
                <c:pt idx="25">
                  <c:v>-9.4928478543563066E-2</c:v>
                </c:pt>
                <c:pt idx="26">
                  <c:v>-9.4955489614243327E-2</c:v>
                </c:pt>
                <c:pt idx="27">
                  <c:v>-5.8568329718004339E-2</c:v>
                </c:pt>
                <c:pt idx="28">
                  <c:v>-0.1985223257308063</c:v>
                </c:pt>
                <c:pt idx="29">
                  <c:v>0.99389367816091956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7E7A-4E6B-B450-8DDF7215A8B2}"/>
            </c:ext>
          </c:extLst>
        </c:ser>
        <c:ser>
          <c:idx val="1"/>
          <c:order val="1"/>
          <c:tx>
            <c:strRef>
              <c:f>Pivot_Contratti_Importi!$G$14:$G$16</c:f>
              <c:strCache>
                <c:ptCount val="1"/>
                <c:pt idx="0">
                  <c:v>DITTA INDIVIDUALE -   </c:v>
                </c:pt>
              </c:strCache>
            </c:strRef>
          </c:tx>
          <c:spPr>
            <a:ln w="28575" cap="rnd">
              <a:solidFill>
                <a:schemeClr val="bg1"/>
              </a:solidFill>
              <a:round/>
            </a:ln>
            <a:effectLst/>
          </c:spPr>
          <c:marker>
            <c:symbol val="none"/>
          </c:marker>
          <c:cat>
            <c:multiLvlStrRef>
              <c:f>Pivot_Contratti_Importi!$E$17:$E$54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</c:lvl>
              </c:multiLvlStrCache>
            </c:multiLvlStrRef>
          </c:cat>
          <c:val>
            <c:numRef>
              <c:f>Pivot_Contratti_Importi!$G$17:$G$54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7A-4E6B-B450-8DDF7215A8B2}"/>
            </c:ext>
          </c:extLst>
        </c:ser>
        <c:ser>
          <c:idx val="2"/>
          <c:order val="2"/>
          <c:tx>
            <c:strRef>
              <c:f>Pivot_Contratti_Importi!$H$14:$H$16</c:f>
              <c:strCache>
                <c:ptCount val="1"/>
                <c:pt idx="0">
                  <c:v>SOCIETA -  </c:v>
                </c:pt>
              </c:strCache>
            </c:strRef>
          </c:tx>
          <c:spPr>
            <a:ln w="31750" cap="rnd">
              <a:solidFill>
                <a:srgbClr val="EE7D11"/>
              </a:solidFill>
              <a:round/>
            </a:ln>
            <a:effectLst/>
          </c:spPr>
          <c:marker>
            <c:symbol val="none"/>
          </c:marker>
          <c:cat>
            <c:multiLvlStrRef>
              <c:f>Pivot_Contratti_Importi!$E$17:$E$54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</c:lvl>
              </c:multiLvlStrCache>
            </c:multiLvlStrRef>
          </c:cat>
          <c:val>
            <c:numRef>
              <c:f>Pivot_Contratti_Importi!$H$17:$H$54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0.12301790281329923</c:v>
                </c:pt>
                <c:pt idx="5">
                  <c:v>9.3510909606120712E-2</c:v>
                </c:pt>
                <c:pt idx="6">
                  <c:v>7.1240971766250827E-2</c:v>
                </c:pt>
                <c:pt idx="7">
                  <c:v>5.7142857142857141E-2</c:v>
                </c:pt>
                <c:pt idx="8">
                  <c:v>-1.8446823047141882E-2</c:v>
                </c:pt>
                <c:pt idx="9">
                  <c:v>9.924850997667789E-2</c:v>
                </c:pt>
                <c:pt idx="10">
                  <c:v>0.10174685871897027</c:v>
                </c:pt>
                <c:pt idx="11">
                  <c:v>9.6752214399273229E-2</c:v>
                </c:pt>
                <c:pt idx="12">
                  <c:v>8.4918793503480278E-2</c:v>
                </c:pt>
                <c:pt idx="13">
                  <c:v>6.9306930693069313E-2</c:v>
                </c:pt>
                <c:pt idx="14">
                  <c:v>2.5312934631432544E-2</c:v>
                </c:pt>
                <c:pt idx="15">
                  <c:v>5.3634292814247253E-2</c:v>
                </c:pt>
                <c:pt idx="16">
                  <c:v>7.0573139435414888E-3</c:v>
                </c:pt>
                <c:pt idx="17">
                  <c:v>-2.2486772486772486E-2</c:v>
                </c:pt>
                <c:pt idx="18">
                  <c:v>-5.1546391752577317E-2</c:v>
                </c:pt>
                <c:pt idx="19">
                  <c:v>-5.5817610062893083E-2</c:v>
                </c:pt>
                <c:pt idx="20">
                  <c:v>-2.1235931195582927E-4</c:v>
                </c:pt>
                <c:pt idx="21">
                  <c:v>1.9846639603067207E-2</c:v>
                </c:pt>
                <c:pt idx="22">
                  <c:v>4.0045766590389017E-3</c:v>
                </c:pt>
                <c:pt idx="23">
                  <c:v>6.1199000832639468E-2</c:v>
                </c:pt>
                <c:pt idx="24">
                  <c:v>-1.8054375531011045E-2</c:v>
                </c:pt>
                <c:pt idx="25">
                  <c:v>-1.525873507297656E-2</c:v>
                </c:pt>
                <c:pt idx="26">
                  <c:v>1.282051282051282E-2</c:v>
                </c:pt>
                <c:pt idx="27">
                  <c:v>-8.826990976853669E-3</c:v>
                </c:pt>
                <c:pt idx="28">
                  <c:v>-0.11075059485182782</c:v>
                </c:pt>
                <c:pt idx="29">
                  <c:v>0.66808892881203685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7E7A-4E6B-B450-8DDF7215A8B2}"/>
            </c:ext>
          </c:extLst>
        </c:ser>
        <c:ser>
          <c:idx val="3"/>
          <c:order val="3"/>
          <c:tx>
            <c:strRef>
              <c:f>Pivot_Contratti_Importi!$I$14:$I$16</c:f>
              <c:strCache>
                <c:ptCount val="1"/>
                <c:pt idx="0">
                  <c:v>SOCIETA -   </c:v>
                </c:pt>
              </c:strCache>
            </c:strRef>
          </c:tx>
          <c:spPr>
            <a:ln w="222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Pivot_Contratti_Importi!$E$17:$E$54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</c:lvl>
              </c:multiLvlStrCache>
            </c:multiLvlStrRef>
          </c:cat>
          <c:val>
            <c:numRef>
              <c:f>Pivot_Contratti_Importi!$I$17:$I$54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E7A-4E6B-B450-8DDF7215A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3712768"/>
        <c:axId val="553709488"/>
      </c:lineChart>
      <c:catAx>
        <c:axId val="5537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53709488"/>
        <c:crossesAt val="-1"/>
        <c:auto val="1"/>
        <c:lblAlgn val="ctr"/>
        <c:lblOffset val="100"/>
        <c:noMultiLvlLbl val="0"/>
      </c:catAx>
      <c:valAx>
        <c:axId val="553709488"/>
        <c:scaling>
          <c:orientation val="minMax"/>
        </c:scaling>
        <c:delete val="0"/>
        <c:axPos val="l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rgbClr val="002060">
                <a:alpha val="88000"/>
              </a:srgb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53712768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929d194f644aa889bcf860ae35ca86 xmlns="cf0fb631-49ae-44a5-8545-7e7e59db4641">
      <Terms xmlns="http://schemas.microsoft.com/office/infopath/2007/PartnerControls"/>
    </g8929d194f644aa889bcf860ae35ca86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acf51d82acb642079b1ae678463879fe xmlns="cf0fb631-49ae-44a5-8545-7e7e59db4641">
      <Terms xmlns="http://schemas.microsoft.com/office/infopath/2007/PartnerControls"/>
    </acf51d82acb642079b1ae678463879fe>
    <TaxCatchAll xmlns="41b5ca3c-ba29-412d-bcc5-38227231e36f">
      <Value>1</Value>
    </TaxCatchAll>
    <b0991263f9e346e991433195435dbf79 xmlns="cf0fb631-49ae-44a5-8545-7e7e59db4641">
      <Terms xmlns="http://schemas.microsoft.com/office/infopath/2007/PartnerControls"/>
    </b0991263f9e346e991433195435dbf79>
    <gf17117edf8044d9abc3de4921d71b80 xmlns="cf0fb631-49ae-44a5-8545-7e7e59db4641">
      <Terms xmlns="http://schemas.microsoft.com/office/infopath/2007/PartnerControls"/>
    </gf17117edf8044d9abc3de4921d71b80>
    <o057b056b35744d890f57b04607ba3fe xmlns="cf0fb631-49ae-44a5-8545-7e7e59db4641">
      <Terms xmlns="http://schemas.microsoft.com/office/infopath/2007/PartnerControls"/>
    </o057b056b35744d890f57b04607ba3fe>
    <lb8fd312a2fb46c1895b1b8c5a7a74a3 xmlns="cf0fb631-49ae-44a5-8545-7e7e59db4641">
      <Terms xmlns="http://schemas.microsoft.com/office/infopath/2007/PartnerControls"/>
    </lb8fd312a2fb46c1895b1b8c5a7a74a3>
    <f87c1b955ea24a15b99467e74c118700 xmlns="cf0fb631-49ae-44a5-8545-7e7e59db4641">
      <Terms xmlns="http://schemas.microsoft.com/office/infopath/2007/PartnerControls"/>
    </f87c1b955ea24a15b99467e74c118700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5a46070866a63fdb6cb3b1f52a2ff492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3ad0b61f005f5f4e98ba0125bcd5a2ba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73165-87E4-4706-81E2-7300899BAD15}">
  <ds:schemaRefs>
    <ds:schemaRef ds:uri="http://schemas.microsoft.com/office/2006/documentManagement/types"/>
    <ds:schemaRef ds:uri="cf0fb631-49ae-44a5-8545-7e7e59db4641"/>
    <ds:schemaRef ds:uri="http://schemas.openxmlformats.org/package/2006/metadata/core-properties"/>
    <ds:schemaRef ds:uri="http://purl.org/dc/terms/"/>
    <ds:schemaRef ds:uri="41b5ca3c-ba29-412d-bcc5-38227231e36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7ACE2D-507F-4321-BD28-AFC3B5B0CF20}">
  <ds:schemaRefs>
    <ds:schemaRef ds:uri="http://purl.org/dc/elements/1.1/"/>
    <ds:schemaRef ds:uri="http://schemas.openxmlformats.org/package/2006/metadata/core-properties"/>
    <ds:schemaRef ds:uri="41b5ca3c-ba29-412d-bcc5-38227231e36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f0fb631-49ae-44a5-8545-7e7e59db464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1C2A8F7-E0DE-49F5-BDC2-DF501BB5B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5F8F5CD-FFFE-4A14-ACF9-906F61FE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6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Fumagalli, Luca</cp:lastModifiedBy>
  <cp:revision>4</cp:revision>
  <dcterms:created xsi:type="dcterms:W3CDTF">2020-07-23T06:19:00Z</dcterms:created>
  <dcterms:modified xsi:type="dcterms:W3CDTF">2020-07-23T07:34:00Z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CRIFAdditionalDepartment">
    <vt:lpwstr/>
  </property>
  <property fmtid="{D5CDD505-2E9C-101B-9397-08002B2CF9AE}" pid="4" name="CRIFM1Line">
    <vt:lpwstr/>
  </property>
  <property fmtid="{D5CDD505-2E9C-101B-9397-08002B2CF9AE}" pid="5" name="CRIFM1Client">
    <vt:lpwstr/>
  </property>
  <property fmtid="{D5CDD505-2E9C-101B-9397-08002B2CF9AE}" pid="6" name="CRIFDPTDepartment">
    <vt:lpwstr>1;#Finance Italy|8ac120e4-5478-4208-851b-bc26a01850a1</vt:lpwstr>
  </property>
  <property fmtid="{D5CDD505-2E9C-101B-9397-08002B2CF9AE}" pid="7" name="CRIFM1Servic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