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CD1E" w14:textId="77777777" w:rsidR="0080069F" w:rsidRPr="00A904FE" w:rsidRDefault="0080069F" w:rsidP="00E24E36">
      <w:pPr>
        <w:jc w:val="center"/>
        <w:rPr>
          <w:rFonts w:ascii="Verdana" w:hAnsi="Verdana" w:cs="Verdana"/>
          <w:b/>
          <w:color w:val="1F497D" w:themeColor="text2"/>
          <w:sz w:val="18"/>
          <w:szCs w:val="18"/>
        </w:rPr>
      </w:pPr>
    </w:p>
    <w:p w14:paraId="002DF3E6" w14:textId="3CC3B379" w:rsidR="00FA107B" w:rsidRPr="009D0C76" w:rsidRDefault="00FA107B" w:rsidP="00FA107B">
      <w:pPr>
        <w:jc w:val="center"/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</w:pPr>
      <w:r w:rsidRPr="00FA107B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I CONFIDI MAGGIORI ITALIANI </w:t>
      </w:r>
      <w:r w:rsidR="007E27F9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CONSIDERANO</w:t>
      </w:r>
      <w:r w:rsidRPr="00FA107B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 SEMPRE PIU’ STRATEGICO INVESTIRE IN PROGETTI FINTECH</w:t>
      </w:r>
      <w:r>
        <w:rPr>
          <w:rFonts w:ascii="Verdana" w:hAnsi="Verdana" w:cs="Verdana"/>
          <w:b/>
          <w:bCs/>
          <w:caps/>
          <w:color w:val="1F497D" w:themeColor="text2"/>
          <w:sz w:val="22"/>
          <w:szCs w:val="22"/>
          <w:highlight w:val="yellow"/>
        </w:rPr>
        <w:t xml:space="preserve"> </w:t>
      </w:r>
    </w:p>
    <w:p w14:paraId="72D7B4AA" w14:textId="769A8046" w:rsidR="0080069F" w:rsidRPr="009D0C76" w:rsidRDefault="0080069F" w:rsidP="0080069F">
      <w:pPr>
        <w:jc w:val="center"/>
        <w:rPr>
          <w:rFonts w:ascii="Verdana" w:hAnsi="Verdana" w:cs="Verdana"/>
          <w:b/>
          <w:bCs/>
          <w:caps/>
          <w:color w:val="1F497D" w:themeColor="text2"/>
          <w:sz w:val="22"/>
          <w:szCs w:val="22"/>
          <w:highlight w:val="yellow"/>
        </w:rPr>
      </w:pPr>
    </w:p>
    <w:p w14:paraId="583AC382" w14:textId="77777777" w:rsidR="0080069F" w:rsidRPr="009D0C76" w:rsidRDefault="0080069F" w:rsidP="0080069F">
      <w:pPr>
        <w:jc w:val="center"/>
        <w:rPr>
          <w:rFonts w:ascii="Verdana" w:hAnsi="Verdana" w:cs="Verdana"/>
          <w:b/>
          <w:bCs/>
          <w:highlight w:val="yellow"/>
        </w:rPr>
      </w:pPr>
    </w:p>
    <w:p w14:paraId="0509DC73" w14:textId="0340C103" w:rsidR="00990E0C" w:rsidRDefault="007E27F9" w:rsidP="0080069F">
      <w:pPr>
        <w:jc w:val="center"/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Il 77</w:t>
      </w:r>
      <w:r w:rsidR="00FA107B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% ha attivato almeno due progetti Fintech nell’ultimo biennio </w:t>
      </w: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br/>
      </w:r>
      <w:r w:rsidR="00FA107B">
        <w:rPr>
          <w:rFonts w:ascii="Verdana" w:hAnsi="Verdana" w:cs="Verdana"/>
          <w:b/>
          <w:bCs/>
          <w:color w:val="1F497D" w:themeColor="text2"/>
          <w:sz w:val="22"/>
          <w:szCs w:val="22"/>
        </w:rPr>
        <w:t>e l’84,6% ne programma almeno uno nel prossimo futuro</w:t>
      </w:r>
    </w:p>
    <w:p w14:paraId="46AAF98C" w14:textId="77777777" w:rsidR="00FC3BC5" w:rsidRDefault="00102115" w:rsidP="00A11DB2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br/>
      </w:r>
    </w:p>
    <w:p w14:paraId="3093AAF8" w14:textId="7596C589" w:rsidR="00A11DB2" w:rsidRPr="006B1695" w:rsidRDefault="0080069F" w:rsidP="00A11DB2">
      <w:pPr>
        <w:jc w:val="both"/>
        <w:rPr>
          <w:rFonts w:ascii="Verdana" w:hAnsi="Verdana" w:cs="Verdana"/>
          <w:b/>
          <w:bCs/>
          <w:sz w:val="20"/>
          <w:szCs w:val="22"/>
        </w:rPr>
      </w:pPr>
      <w:r w:rsidRPr="003917FB">
        <w:rPr>
          <w:rFonts w:ascii="Verdana" w:hAnsi="Verdana" w:cs="Verdana"/>
          <w:bCs/>
          <w:i/>
          <w:iCs/>
          <w:sz w:val="20"/>
          <w:szCs w:val="22"/>
        </w:rPr>
        <w:t xml:space="preserve">Bologna, </w:t>
      </w:r>
      <w:r w:rsidR="007E5515" w:rsidRPr="003917FB">
        <w:rPr>
          <w:rFonts w:ascii="Verdana" w:hAnsi="Verdana" w:cs="Verdana"/>
          <w:bCs/>
          <w:i/>
          <w:iCs/>
          <w:sz w:val="20"/>
          <w:szCs w:val="22"/>
        </w:rPr>
        <w:t>19</w:t>
      </w:r>
      <w:r w:rsidRPr="003917FB">
        <w:rPr>
          <w:rFonts w:ascii="Verdana" w:hAnsi="Verdana" w:cs="Verdana"/>
          <w:bCs/>
          <w:i/>
          <w:iCs/>
          <w:sz w:val="20"/>
          <w:szCs w:val="22"/>
        </w:rPr>
        <w:t xml:space="preserve"> </w:t>
      </w:r>
      <w:r w:rsidR="009D0C76" w:rsidRPr="003917FB">
        <w:rPr>
          <w:rFonts w:ascii="Verdana" w:hAnsi="Verdana" w:cs="Verdana"/>
          <w:bCs/>
          <w:i/>
          <w:iCs/>
          <w:sz w:val="20"/>
          <w:szCs w:val="22"/>
        </w:rPr>
        <w:t>novembre</w:t>
      </w:r>
      <w:r w:rsidRPr="003917FB">
        <w:rPr>
          <w:rFonts w:ascii="Verdana" w:hAnsi="Verdana" w:cs="Verdana"/>
          <w:bCs/>
          <w:i/>
          <w:iCs/>
          <w:sz w:val="20"/>
          <w:szCs w:val="22"/>
        </w:rPr>
        <w:t xml:space="preserve"> 2020</w:t>
      </w:r>
      <w:r w:rsidRPr="004475AE">
        <w:rPr>
          <w:rFonts w:ascii="Verdana" w:hAnsi="Verdana" w:cs="Verdana"/>
          <w:bCs/>
          <w:sz w:val="20"/>
          <w:szCs w:val="22"/>
        </w:rPr>
        <w:t xml:space="preserve"> </w:t>
      </w:r>
      <w:r w:rsidR="00F014E3" w:rsidRPr="004475AE">
        <w:rPr>
          <w:rFonts w:ascii="Verdana" w:hAnsi="Verdana" w:cs="Verdana"/>
          <w:bCs/>
          <w:sz w:val="20"/>
          <w:szCs w:val="22"/>
        </w:rPr>
        <w:t>–</w:t>
      </w:r>
      <w:r w:rsidRPr="004475AE">
        <w:rPr>
          <w:rFonts w:ascii="Verdana" w:hAnsi="Verdana" w:cs="Verdana"/>
          <w:bCs/>
          <w:sz w:val="20"/>
          <w:szCs w:val="22"/>
        </w:rPr>
        <w:t xml:space="preserve"> </w:t>
      </w:r>
      <w:r w:rsidR="00F62EA0">
        <w:rPr>
          <w:rFonts w:ascii="Verdana" w:hAnsi="Verdana" w:cs="Verdana"/>
          <w:bCs/>
          <w:sz w:val="20"/>
          <w:szCs w:val="22"/>
        </w:rPr>
        <w:t>Nel corso dell’ultimo biennio,</w:t>
      </w:r>
      <w:r w:rsidR="007E27F9">
        <w:rPr>
          <w:rFonts w:ascii="Verdana" w:hAnsi="Verdana" w:cs="Verdana"/>
          <w:bCs/>
          <w:sz w:val="20"/>
          <w:szCs w:val="22"/>
        </w:rPr>
        <w:t xml:space="preserve"> </w:t>
      </w:r>
      <w:r w:rsidR="001E69C2">
        <w:rPr>
          <w:rFonts w:ascii="Verdana" w:hAnsi="Verdana" w:cs="Verdana"/>
          <w:bCs/>
          <w:sz w:val="20"/>
          <w:szCs w:val="22"/>
        </w:rPr>
        <w:t xml:space="preserve">il posizionamento in ambito Fintech dei Confidi maggiori </w:t>
      </w:r>
      <w:r w:rsidR="00C6422B">
        <w:rPr>
          <w:rFonts w:ascii="Verdana" w:hAnsi="Verdana" w:cs="Verdana"/>
          <w:bCs/>
          <w:sz w:val="20"/>
          <w:szCs w:val="22"/>
        </w:rPr>
        <w:t xml:space="preserve">è </w:t>
      </w:r>
      <w:r w:rsidR="001E69C2">
        <w:rPr>
          <w:rFonts w:ascii="Verdana" w:hAnsi="Verdana" w:cs="Verdana"/>
          <w:bCs/>
          <w:sz w:val="20"/>
          <w:szCs w:val="22"/>
        </w:rPr>
        <w:t>risulta</w:t>
      </w:r>
      <w:r w:rsidR="00C6422B">
        <w:rPr>
          <w:rFonts w:ascii="Verdana" w:hAnsi="Verdana" w:cs="Verdana"/>
          <w:bCs/>
          <w:sz w:val="20"/>
          <w:szCs w:val="22"/>
        </w:rPr>
        <w:t>to</w:t>
      </w:r>
      <w:r w:rsidR="001E69C2">
        <w:rPr>
          <w:rFonts w:ascii="Verdana" w:hAnsi="Verdana" w:cs="Verdana"/>
          <w:bCs/>
          <w:sz w:val="20"/>
          <w:szCs w:val="22"/>
        </w:rPr>
        <w:t xml:space="preserve"> particolarmente sentito </w:t>
      </w:r>
      <w:r w:rsidR="001E69C2" w:rsidRPr="009D0C76">
        <w:rPr>
          <w:rFonts w:ascii="Verdana" w:hAnsi="Verdana" w:cs="Verdana"/>
          <w:bCs/>
          <w:sz w:val="20"/>
          <w:szCs w:val="22"/>
        </w:rPr>
        <w:t>a livello strategico</w:t>
      </w:r>
      <w:r w:rsidR="001E69C2">
        <w:rPr>
          <w:rFonts w:ascii="Verdana" w:hAnsi="Verdana" w:cs="Verdana"/>
          <w:bCs/>
          <w:sz w:val="20"/>
          <w:szCs w:val="22"/>
        </w:rPr>
        <w:t>,</w:t>
      </w:r>
      <w:r w:rsidR="00990BC2">
        <w:rPr>
          <w:rFonts w:ascii="Verdana" w:hAnsi="Verdana" w:cs="Verdana"/>
          <w:bCs/>
          <w:sz w:val="20"/>
          <w:szCs w:val="22"/>
        </w:rPr>
        <w:t xml:space="preserve"> in un contesto di forti cambiamenti</w:t>
      </w:r>
      <w:r w:rsidR="001E69C2" w:rsidRPr="009D0C76">
        <w:rPr>
          <w:rFonts w:ascii="Verdana" w:hAnsi="Verdana" w:cs="Verdana"/>
          <w:bCs/>
          <w:sz w:val="20"/>
          <w:szCs w:val="22"/>
        </w:rPr>
        <w:t xml:space="preserve"> </w:t>
      </w:r>
      <w:r w:rsidR="00990BC2">
        <w:rPr>
          <w:rFonts w:ascii="Verdana" w:hAnsi="Verdana" w:cs="Verdana"/>
          <w:bCs/>
          <w:sz w:val="20"/>
          <w:szCs w:val="22"/>
        </w:rPr>
        <w:t xml:space="preserve">sia delle tecnologie sia </w:t>
      </w:r>
      <w:r w:rsidR="001E69C2" w:rsidRPr="009D0C76">
        <w:rPr>
          <w:rFonts w:ascii="Verdana" w:hAnsi="Verdana" w:cs="Verdana"/>
          <w:bCs/>
          <w:sz w:val="20"/>
          <w:szCs w:val="22"/>
        </w:rPr>
        <w:t xml:space="preserve">del business principale </w:t>
      </w:r>
      <w:r w:rsidR="001E69C2">
        <w:rPr>
          <w:rFonts w:ascii="Verdana" w:hAnsi="Verdana" w:cs="Verdana"/>
          <w:bCs/>
          <w:sz w:val="20"/>
          <w:szCs w:val="22"/>
        </w:rPr>
        <w:t>all’interno del comparto</w:t>
      </w:r>
      <w:r w:rsidR="001E69C2" w:rsidRPr="009D0C76">
        <w:rPr>
          <w:rFonts w:ascii="Verdana" w:hAnsi="Verdana" w:cs="Verdana"/>
          <w:bCs/>
          <w:sz w:val="20"/>
          <w:szCs w:val="22"/>
        </w:rPr>
        <w:t>, che spinge</w:t>
      </w:r>
      <w:r w:rsidR="001E69C2">
        <w:rPr>
          <w:rFonts w:ascii="Verdana" w:hAnsi="Verdana" w:cs="Verdana"/>
          <w:bCs/>
          <w:sz w:val="20"/>
          <w:szCs w:val="22"/>
        </w:rPr>
        <w:t xml:space="preserve"> sempre più i player</w:t>
      </w:r>
      <w:r w:rsidR="001E69C2" w:rsidRPr="009D0C76">
        <w:rPr>
          <w:rFonts w:ascii="Verdana" w:hAnsi="Verdana" w:cs="Verdana"/>
          <w:bCs/>
          <w:sz w:val="20"/>
          <w:szCs w:val="22"/>
        </w:rPr>
        <w:t xml:space="preserve"> </w:t>
      </w:r>
      <w:r w:rsidR="001E69C2">
        <w:rPr>
          <w:rFonts w:ascii="Verdana" w:hAnsi="Verdana" w:cs="Verdana"/>
          <w:bCs/>
          <w:sz w:val="20"/>
          <w:szCs w:val="22"/>
        </w:rPr>
        <w:t>verso una</w:t>
      </w:r>
      <w:r w:rsidR="001E69C2" w:rsidRPr="009D0C76">
        <w:rPr>
          <w:rFonts w:ascii="Verdana" w:hAnsi="Verdana" w:cs="Verdana"/>
          <w:bCs/>
          <w:sz w:val="20"/>
          <w:szCs w:val="22"/>
        </w:rPr>
        <w:t xml:space="preserve"> diversifica</w:t>
      </w:r>
      <w:r w:rsidR="001E69C2">
        <w:rPr>
          <w:rFonts w:ascii="Verdana" w:hAnsi="Verdana" w:cs="Verdana"/>
          <w:bCs/>
          <w:sz w:val="20"/>
          <w:szCs w:val="22"/>
        </w:rPr>
        <w:t>zione del</w:t>
      </w:r>
      <w:r w:rsidR="001E69C2" w:rsidRPr="009D0C76">
        <w:rPr>
          <w:rFonts w:ascii="Verdana" w:hAnsi="Verdana" w:cs="Verdana"/>
          <w:bCs/>
          <w:sz w:val="20"/>
          <w:szCs w:val="22"/>
        </w:rPr>
        <w:t>le attività.</w:t>
      </w:r>
      <w:r w:rsidR="001E69C2">
        <w:rPr>
          <w:rFonts w:ascii="Verdana" w:hAnsi="Verdana" w:cs="Verdana"/>
          <w:bCs/>
          <w:sz w:val="20"/>
          <w:szCs w:val="22"/>
        </w:rPr>
        <w:t xml:space="preserve"> Infatti, </w:t>
      </w:r>
      <w:r w:rsidR="007E27F9" w:rsidRPr="00585577">
        <w:rPr>
          <w:rFonts w:ascii="Verdana" w:hAnsi="Verdana" w:cs="Verdana"/>
          <w:b/>
          <w:bCs/>
          <w:sz w:val="20"/>
          <w:szCs w:val="22"/>
        </w:rPr>
        <w:t>il 77</w:t>
      </w:r>
      <w:r w:rsidR="00A11DB2" w:rsidRPr="00585577">
        <w:rPr>
          <w:rFonts w:ascii="Verdana" w:hAnsi="Verdana" w:cs="Verdana"/>
          <w:b/>
          <w:bCs/>
          <w:sz w:val="20"/>
          <w:szCs w:val="22"/>
        </w:rPr>
        <w:t xml:space="preserve">% dei Confidi maggiori in Italia </w:t>
      </w:r>
      <w:r w:rsidR="00F26C7B" w:rsidRPr="006B1695">
        <w:rPr>
          <w:rFonts w:ascii="Verdana" w:hAnsi="Verdana" w:cs="Verdana"/>
          <w:bCs/>
          <w:sz w:val="20"/>
          <w:szCs w:val="22"/>
        </w:rPr>
        <w:t xml:space="preserve">che hanno partecipato </w:t>
      </w:r>
      <w:r w:rsidR="001151BE" w:rsidRPr="006B1695">
        <w:rPr>
          <w:rFonts w:ascii="Verdana" w:hAnsi="Verdana" w:cs="Verdana"/>
          <w:bCs/>
          <w:sz w:val="20"/>
          <w:szCs w:val="22"/>
        </w:rPr>
        <w:t>alla survey</w:t>
      </w:r>
      <w:r w:rsidR="001151BE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A11DB2" w:rsidRPr="00585577">
        <w:rPr>
          <w:rFonts w:ascii="Verdana" w:hAnsi="Verdana" w:cs="Verdana"/>
          <w:b/>
          <w:bCs/>
          <w:sz w:val="20"/>
          <w:szCs w:val="22"/>
        </w:rPr>
        <w:t xml:space="preserve">ha avviato almeno 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>due</w:t>
      </w:r>
      <w:r w:rsidR="00A11DB2" w:rsidRPr="00585577">
        <w:rPr>
          <w:rFonts w:ascii="Verdana" w:hAnsi="Verdana" w:cs="Verdana"/>
          <w:b/>
          <w:bCs/>
          <w:sz w:val="20"/>
          <w:szCs w:val="22"/>
        </w:rPr>
        <w:t xml:space="preserve"> progett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>i</w:t>
      </w:r>
      <w:r w:rsidR="00A11DB2" w:rsidRPr="00585577">
        <w:rPr>
          <w:rFonts w:ascii="Verdana" w:hAnsi="Verdana" w:cs="Verdana"/>
          <w:b/>
          <w:bCs/>
          <w:sz w:val="20"/>
          <w:szCs w:val="22"/>
        </w:rPr>
        <w:t xml:space="preserve"> in ambito Fintech</w:t>
      </w:r>
      <w:r w:rsidR="00DB42B8">
        <w:rPr>
          <w:rFonts w:ascii="Verdana" w:hAnsi="Verdana" w:cs="Verdana"/>
          <w:bCs/>
          <w:sz w:val="20"/>
          <w:szCs w:val="22"/>
        </w:rPr>
        <w:t>, mentre solamente il 7,7% non si è a</w:t>
      </w:r>
      <w:r w:rsidR="00990BC2">
        <w:rPr>
          <w:rFonts w:ascii="Verdana" w:hAnsi="Verdana" w:cs="Verdana"/>
          <w:bCs/>
          <w:sz w:val="20"/>
          <w:szCs w:val="22"/>
        </w:rPr>
        <w:t>ncora attivato</w:t>
      </w:r>
      <w:r w:rsidR="00A11DB2" w:rsidRPr="009D0C76">
        <w:rPr>
          <w:rFonts w:ascii="Verdana" w:hAnsi="Verdana" w:cs="Verdana"/>
          <w:bCs/>
          <w:sz w:val="20"/>
          <w:szCs w:val="22"/>
        </w:rPr>
        <w:t>.</w:t>
      </w:r>
      <w:r w:rsidR="00A11DB2">
        <w:rPr>
          <w:rFonts w:ascii="Verdana" w:hAnsi="Verdana" w:cs="Verdana"/>
          <w:bCs/>
          <w:sz w:val="20"/>
          <w:szCs w:val="22"/>
        </w:rPr>
        <w:t xml:space="preserve"> </w:t>
      </w:r>
      <w:r w:rsidR="007E27F9">
        <w:rPr>
          <w:rFonts w:ascii="Verdana" w:hAnsi="Verdana" w:cs="Verdana"/>
          <w:bCs/>
          <w:sz w:val="20"/>
          <w:szCs w:val="22"/>
        </w:rPr>
        <w:t>Inoltre, s</w:t>
      </w:r>
      <w:r w:rsidR="00DB42B8">
        <w:rPr>
          <w:rFonts w:ascii="Verdana" w:hAnsi="Verdana" w:cs="Verdana"/>
          <w:bCs/>
          <w:sz w:val="20"/>
          <w:szCs w:val="22"/>
        </w:rPr>
        <w:t>ebbene l</w:t>
      </w:r>
      <w:r w:rsidR="00A11DB2" w:rsidRPr="00A11DB2">
        <w:rPr>
          <w:rFonts w:ascii="Verdana" w:hAnsi="Verdana" w:cs="Verdana"/>
          <w:bCs/>
          <w:sz w:val="20"/>
          <w:szCs w:val="22"/>
        </w:rPr>
        <w:t xml:space="preserve">o stato di avanzamento di tali </w:t>
      </w:r>
      <w:r w:rsidR="001E69C2">
        <w:rPr>
          <w:rFonts w:ascii="Verdana" w:hAnsi="Verdana" w:cs="Verdana"/>
          <w:bCs/>
          <w:sz w:val="20"/>
          <w:szCs w:val="22"/>
        </w:rPr>
        <w:t>attività</w:t>
      </w:r>
      <w:r w:rsidR="00A11DB2" w:rsidRPr="00A11DB2">
        <w:rPr>
          <w:rFonts w:ascii="Verdana" w:hAnsi="Verdana" w:cs="Verdana"/>
          <w:bCs/>
          <w:sz w:val="20"/>
          <w:szCs w:val="22"/>
        </w:rPr>
        <w:t xml:space="preserve"> </w:t>
      </w:r>
      <w:r w:rsidR="007E27F9">
        <w:rPr>
          <w:rFonts w:ascii="Verdana" w:hAnsi="Verdana" w:cs="Verdana"/>
          <w:bCs/>
          <w:sz w:val="20"/>
          <w:szCs w:val="22"/>
        </w:rPr>
        <w:t>sia</w:t>
      </w:r>
      <w:r w:rsidR="00A11DB2" w:rsidRPr="00A11DB2">
        <w:rPr>
          <w:rFonts w:ascii="Verdana" w:hAnsi="Verdana" w:cs="Verdana"/>
          <w:bCs/>
          <w:sz w:val="20"/>
          <w:szCs w:val="22"/>
        </w:rPr>
        <w:t xml:space="preserve"> diversificato, una buona parte</w:t>
      </w:r>
      <w:r w:rsidR="00A11DB2">
        <w:rPr>
          <w:rFonts w:ascii="Verdana" w:hAnsi="Verdana" w:cs="Verdana"/>
          <w:bCs/>
          <w:sz w:val="20"/>
          <w:szCs w:val="22"/>
        </w:rPr>
        <w:t xml:space="preserve"> di ess</w:t>
      </w:r>
      <w:r w:rsidR="001E69C2">
        <w:rPr>
          <w:rFonts w:ascii="Verdana" w:hAnsi="Verdana" w:cs="Verdana"/>
          <w:bCs/>
          <w:sz w:val="20"/>
          <w:szCs w:val="22"/>
        </w:rPr>
        <w:t>e</w:t>
      </w:r>
      <w:r w:rsidR="00A11DB2" w:rsidRPr="00A11DB2">
        <w:rPr>
          <w:rFonts w:ascii="Verdana" w:hAnsi="Verdana" w:cs="Verdana"/>
          <w:bCs/>
          <w:sz w:val="20"/>
          <w:szCs w:val="22"/>
        </w:rPr>
        <w:t xml:space="preserve"> risulta essere completat</w:t>
      </w:r>
      <w:r w:rsidR="001E69C2">
        <w:rPr>
          <w:rFonts w:ascii="Verdana" w:hAnsi="Verdana" w:cs="Verdana"/>
          <w:bCs/>
          <w:sz w:val="20"/>
          <w:szCs w:val="22"/>
        </w:rPr>
        <w:t>a</w:t>
      </w:r>
      <w:r w:rsidR="00A11DB2" w:rsidRPr="00A11DB2">
        <w:rPr>
          <w:rFonts w:ascii="Verdana" w:hAnsi="Verdana" w:cs="Verdana"/>
          <w:bCs/>
          <w:sz w:val="20"/>
          <w:szCs w:val="22"/>
        </w:rPr>
        <w:t xml:space="preserve"> o in stato avanzato di completamento</w:t>
      </w:r>
      <w:r w:rsidR="00A11DB2">
        <w:rPr>
          <w:rFonts w:ascii="Verdana" w:hAnsi="Verdana" w:cs="Verdana"/>
          <w:bCs/>
          <w:sz w:val="20"/>
          <w:szCs w:val="22"/>
        </w:rPr>
        <w:t>.</w:t>
      </w:r>
      <w:r w:rsidR="00A11DB2" w:rsidRPr="009D0C76">
        <w:rPr>
          <w:rFonts w:ascii="Verdana" w:hAnsi="Verdana" w:cs="Verdana"/>
          <w:bCs/>
          <w:sz w:val="20"/>
          <w:szCs w:val="22"/>
        </w:rPr>
        <w:t xml:space="preserve"> </w:t>
      </w:r>
      <w:r w:rsidR="00990BC2">
        <w:rPr>
          <w:rFonts w:ascii="Verdana" w:hAnsi="Verdana" w:cs="Verdana"/>
          <w:bCs/>
          <w:sz w:val="20"/>
          <w:szCs w:val="22"/>
        </w:rPr>
        <w:t>Alla luce di questo, s</w:t>
      </w:r>
      <w:r w:rsidR="0053021B" w:rsidRPr="0053021B">
        <w:rPr>
          <w:rFonts w:ascii="Verdana" w:hAnsi="Verdana" w:cs="Verdana"/>
          <w:bCs/>
          <w:sz w:val="20"/>
          <w:szCs w:val="22"/>
        </w:rPr>
        <w:t>olo</w:t>
      </w:r>
      <w:r w:rsidR="0053021B">
        <w:rPr>
          <w:rFonts w:ascii="Verdana" w:hAnsi="Verdana" w:cs="Verdana"/>
          <w:bCs/>
          <w:sz w:val="20"/>
          <w:szCs w:val="22"/>
        </w:rPr>
        <w:t xml:space="preserve"> il</w:t>
      </w:r>
      <w:r w:rsidR="0053021B" w:rsidRPr="0053021B">
        <w:rPr>
          <w:rFonts w:ascii="Verdana" w:hAnsi="Verdana" w:cs="Verdana"/>
          <w:bCs/>
          <w:sz w:val="20"/>
          <w:szCs w:val="22"/>
        </w:rPr>
        <w:t xml:space="preserve"> 15</w:t>
      </w:r>
      <w:r w:rsidR="007E27F9">
        <w:rPr>
          <w:rFonts w:ascii="Verdana" w:hAnsi="Verdana" w:cs="Verdana"/>
          <w:bCs/>
          <w:sz w:val="20"/>
          <w:szCs w:val="22"/>
        </w:rPr>
        <w:t>,4</w:t>
      </w:r>
      <w:r w:rsidR="0053021B" w:rsidRPr="0053021B">
        <w:rPr>
          <w:rFonts w:ascii="Verdana" w:hAnsi="Verdana" w:cs="Verdana"/>
          <w:bCs/>
          <w:sz w:val="20"/>
          <w:szCs w:val="22"/>
        </w:rPr>
        <w:t>%</w:t>
      </w:r>
      <w:r w:rsidR="0053021B">
        <w:rPr>
          <w:rFonts w:ascii="Verdana" w:hAnsi="Verdana" w:cs="Verdana"/>
          <w:bCs/>
          <w:sz w:val="20"/>
          <w:szCs w:val="22"/>
        </w:rPr>
        <w:t xml:space="preserve"> dei Confidi</w:t>
      </w:r>
      <w:r w:rsidR="0053021B" w:rsidRPr="0053021B">
        <w:rPr>
          <w:rFonts w:ascii="Verdana" w:hAnsi="Verdana" w:cs="Verdana"/>
          <w:bCs/>
          <w:sz w:val="20"/>
          <w:szCs w:val="22"/>
        </w:rPr>
        <w:t xml:space="preserve"> </w:t>
      </w:r>
      <w:r w:rsidR="00585577">
        <w:rPr>
          <w:rFonts w:ascii="Verdana" w:hAnsi="Verdana" w:cs="Verdana"/>
          <w:bCs/>
          <w:sz w:val="20"/>
          <w:szCs w:val="22"/>
        </w:rPr>
        <w:t xml:space="preserve">non </w:t>
      </w:r>
      <w:r w:rsidR="0053021B" w:rsidRPr="0053021B">
        <w:rPr>
          <w:rFonts w:ascii="Verdana" w:hAnsi="Verdana" w:cs="Verdana"/>
          <w:bCs/>
          <w:sz w:val="20"/>
          <w:szCs w:val="22"/>
        </w:rPr>
        <w:t>preved</w:t>
      </w:r>
      <w:r w:rsidR="00DB42B8">
        <w:rPr>
          <w:rFonts w:ascii="Verdana" w:hAnsi="Verdana" w:cs="Verdana"/>
          <w:bCs/>
          <w:sz w:val="20"/>
          <w:szCs w:val="22"/>
        </w:rPr>
        <w:t>e</w:t>
      </w:r>
      <w:r w:rsidR="00585577">
        <w:rPr>
          <w:rFonts w:ascii="Verdana" w:hAnsi="Verdana" w:cs="Verdana"/>
          <w:bCs/>
          <w:sz w:val="20"/>
          <w:szCs w:val="22"/>
        </w:rPr>
        <w:t xml:space="preserve"> di </w:t>
      </w:r>
      <w:r w:rsidR="0053021B" w:rsidRPr="0053021B">
        <w:rPr>
          <w:rFonts w:ascii="Verdana" w:hAnsi="Verdana" w:cs="Verdana"/>
          <w:bCs/>
          <w:sz w:val="20"/>
          <w:szCs w:val="22"/>
        </w:rPr>
        <w:t>avviare nuovi progetti</w:t>
      </w:r>
      <w:r w:rsidR="0053021B">
        <w:rPr>
          <w:rFonts w:ascii="Verdana" w:hAnsi="Verdana" w:cs="Verdana"/>
          <w:bCs/>
          <w:sz w:val="20"/>
          <w:szCs w:val="22"/>
        </w:rPr>
        <w:t xml:space="preserve"> Fintech </w:t>
      </w:r>
      <w:r w:rsidR="0053021B" w:rsidRPr="0053021B">
        <w:rPr>
          <w:rFonts w:ascii="Verdana" w:hAnsi="Verdana" w:cs="Verdana"/>
          <w:bCs/>
          <w:sz w:val="20"/>
          <w:szCs w:val="22"/>
        </w:rPr>
        <w:t xml:space="preserve">nel </w:t>
      </w:r>
      <w:r w:rsidR="00DB42B8">
        <w:rPr>
          <w:rFonts w:ascii="Verdana" w:hAnsi="Verdana" w:cs="Verdana"/>
          <w:bCs/>
          <w:sz w:val="20"/>
          <w:szCs w:val="22"/>
        </w:rPr>
        <w:t xml:space="preserve">prossimo </w:t>
      </w:r>
      <w:r w:rsidR="0053021B" w:rsidRPr="0053021B">
        <w:rPr>
          <w:rFonts w:ascii="Verdana" w:hAnsi="Verdana" w:cs="Verdana"/>
          <w:bCs/>
          <w:sz w:val="20"/>
          <w:szCs w:val="22"/>
        </w:rPr>
        <w:t>futuro</w:t>
      </w:r>
      <w:r w:rsidR="00585577">
        <w:rPr>
          <w:rFonts w:ascii="Verdana" w:hAnsi="Verdana" w:cs="Verdana"/>
          <w:bCs/>
          <w:sz w:val="20"/>
          <w:szCs w:val="22"/>
        </w:rPr>
        <w:t>, mentre il restante</w:t>
      </w:r>
      <w:r w:rsidR="00F62EA0">
        <w:rPr>
          <w:rFonts w:ascii="Verdana" w:hAnsi="Verdana" w:cs="Verdana"/>
          <w:bCs/>
          <w:sz w:val="20"/>
          <w:szCs w:val="22"/>
        </w:rPr>
        <w:t xml:space="preserve"> </w:t>
      </w:r>
      <w:r w:rsidR="00F62EA0" w:rsidRPr="00585577">
        <w:rPr>
          <w:rFonts w:ascii="Verdana" w:hAnsi="Verdana" w:cs="Verdana"/>
          <w:b/>
          <w:bCs/>
          <w:sz w:val="20"/>
          <w:szCs w:val="22"/>
        </w:rPr>
        <w:t xml:space="preserve">84,6% 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>ha in programma</w:t>
      </w:r>
      <w:r w:rsidR="00F62EA0" w:rsidRPr="00585577">
        <w:rPr>
          <w:rFonts w:ascii="Verdana" w:hAnsi="Verdana" w:cs="Verdana"/>
          <w:b/>
          <w:bCs/>
          <w:sz w:val="20"/>
          <w:szCs w:val="22"/>
        </w:rPr>
        <w:t xml:space="preserve"> di attivarne almeno uno</w:t>
      </w:r>
      <w:r w:rsidR="0053021B" w:rsidRPr="00585577">
        <w:rPr>
          <w:rFonts w:ascii="Verdana" w:hAnsi="Verdana" w:cs="Verdana"/>
          <w:b/>
          <w:bCs/>
          <w:sz w:val="20"/>
          <w:szCs w:val="22"/>
        </w:rPr>
        <w:t xml:space="preserve">. </w:t>
      </w:r>
    </w:p>
    <w:p w14:paraId="67A1EF19" w14:textId="388DC8F8" w:rsidR="00A11DB2" w:rsidRDefault="00A11DB2" w:rsidP="00A11DB2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Queste sono alcune delle princi</w:t>
      </w:r>
      <w:r w:rsidR="00DB42B8">
        <w:rPr>
          <w:rFonts w:ascii="Verdana" w:hAnsi="Verdana" w:cs="Verdana"/>
          <w:bCs/>
          <w:sz w:val="20"/>
          <w:szCs w:val="22"/>
        </w:rPr>
        <w:t>pa</w:t>
      </w:r>
      <w:r>
        <w:rPr>
          <w:rFonts w:ascii="Verdana" w:hAnsi="Verdana" w:cs="Verdana"/>
          <w:bCs/>
          <w:sz w:val="20"/>
          <w:szCs w:val="22"/>
        </w:rPr>
        <w:t xml:space="preserve">li evidenze emerse dall’indagine svolta da CRIF in collaborazione con </w:t>
      </w:r>
      <w:r w:rsidR="006B1695">
        <w:rPr>
          <w:rFonts w:ascii="Verdana" w:hAnsi="Verdana" w:cs="Verdana"/>
          <w:bCs/>
          <w:sz w:val="20"/>
          <w:szCs w:val="22"/>
        </w:rPr>
        <w:t>il prof. Lorenzo Gai</w:t>
      </w:r>
      <w:r w:rsidR="00B10B73">
        <w:rPr>
          <w:rFonts w:ascii="Verdana" w:hAnsi="Verdana" w:cs="Verdana"/>
          <w:bCs/>
          <w:sz w:val="20"/>
          <w:szCs w:val="22"/>
        </w:rPr>
        <w:t xml:space="preserve"> del</w:t>
      </w:r>
      <w:r>
        <w:rPr>
          <w:rFonts w:ascii="Verdana" w:hAnsi="Verdana" w:cs="Verdana"/>
          <w:bCs/>
          <w:sz w:val="20"/>
          <w:szCs w:val="22"/>
        </w:rPr>
        <w:t xml:space="preserve">l’Università </w:t>
      </w:r>
      <w:r w:rsidRPr="009D0C76">
        <w:rPr>
          <w:rFonts w:ascii="Verdana" w:hAnsi="Verdana" w:cs="Verdana"/>
          <w:bCs/>
          <w:sz w:val="20"/>
          <w:szCs w:val="22"/>
        </w:rPr>
        <w:t>degli Studi di Firenze</w:t>
      </w:r>
      <w:r>
        <w:rPr>
          <w:rFonts w:ascii="Verdana" w:hAnsi="Verdana" w:cs="Verdana"/>
          <w:bCs/>
          <w:sz w:val="20"/>
          <w:szCs w:val="22"/>
        </w:rPr>
        <w:t xml:space="preserve"> su </w:t>
      </w:r>
      <w:r w:rsidR="004E3CEA">
        <w:rPr>
          <w:rFonts w:ascii="Verdana" w:hAnsi="Verdana" w:cs="Verdana"/>
          <w:bCs/>
          <w:sz w:val="20"/>
          <w:szCs w:val="22"/>
        </w:rPr>
        <w:t xml:space="preserve">un </w:t>
      </w:r>
      <w:r w:rsidRPr="009D0C76">
        <w:rPr>
          <w:rFonts w:ascii="Verdana" w:hAnsi="Verdana" w:cs="Verdana"/>
          <w:bCs/>
          <w:sz w:val="20"/>
          <w:szCs w:val="22"/>
        </w:rPr>
        <w:t>campione rappresentativo di Confidi maggiori</w:t>
      </w:r>
      <w:r w:rsidR="001151BE">
        <w:rPr>
          <w:rFonts w:ascii="Verdana" w:hAnsi="Verdana" w:cs="Verdana"/>
          <w:bCs/>
          <w:sz w:val="20"/>
          <w:szCs w:val="22"/>
        </w:rPr>
        <w:t xml:space="preserve"> che complessivamente detiene uno stock </w:t>
      </w:r>
      <w:r w:rsidR="00F26C7B">
        <w:rPr>
          <w:rFonts w:ascii="Verdana" w:hAnsi="Verdana" w:cs="Verdana"/>
          <w:bCs/>
          <w:sz w:val="20"/>
          <w:szCs w:val="22"/>
        </w:rPr>
        <w:t>pari a</w:t>
      </w:r>
      <w:r w:rsidR="001151BE">
        <w:rPr>
          <w:rFonts w:ascii="Verdana" w:hAnsi="Verdana" w:cs="Verdana"/>
          <w:bCs/>
          <w:sz w:val="20"/>
          <w:szCs w:val="22"/>
        </w:rPr>
        <w:t xml:space="preserve"> circa 4,8 miliardi di euro di garanzie alle PMI domestiche (dati al 31.12.2019)</w:t>
      </w:r>
      <w:r>
        <w:rPr>
          <w:rFonts w:ascii="Verdana" w:hAnsi="Verdana" w:cs="Verdana"/>
          <w:bCs/>
          <w:sz w:val="20"/>
          <w:szCs w:val="22"/>
        </w:rPr>
        <w:t xml:space="preserve">. </w:t>
      </w:r>
      <w:r w:rsidR="00990BC2">
        <w:rPr>
          <w:rFonts w:ascii="Verdana" w:hAnsi="Verdana" w:cs="Verdana"/>
          <w:bCs/>
          <w:sz w:val="20"/>
          <w:szCs w:val="22"/>
        </w:rPr>
        <w:t>Obiettivo</w:t>
      </w:r>
      <w:r>
        <w:rPr>
          <w:rFonts w:ascii="Verdana" w:hAnsi="Verdana" w:cs="Verdana"/>
          <w:bCs/>
          <w:sz w:val="20"/>
          <w:szCs w:val="22"/>
        </w:rPr>
        <w:t xml:space="preserve"> della survey è</w:t>
      </w:r>
      <w:r w:rsidR="0053021B">
        <w:rPr>
          <w:rFonts w:ascii="Verdana" w:hAnsi="Verdana" w:cs="Verdana"/>
          <w:bCs/>
          <w:sz w:val="20"/>
          <w:szCs w:val="22"/>
        </w:rPr>
        <w:t xml:space="preserve"> stato</w:t>
      </w:r>
      <w:r>
        <w:rPr>
          <w:rFonts w:ascii="Verdana" w:hAnsi="Verdana" w:cs="Verdana"/>
          <w:bCs/>
          <w:sz w:val="20"/>
          <w:szCs w:val="22"/>
        </w:rPr>
        <w:t xml:space="preserve"> quello di </w:t>
      </w:r>
      <w:r w:rsidRPr="00A11DB2">
        <w:rPr>
          <w:rFonts w:ascii="Verdana" w:hAnsi="Verdana" w:cs="Verdana"/>
          <w:bCs/>
          <w:sz w:val="20"/>
          <w:szCs w:val="22"/>
        </w:rPr>
        <w:t>verificare se i Confidi abbiano o meno percezione</w:t>
      </w:r>
      <w:r>
        <w:rPr>
          <w:rFonts w:ascii="Verdana" w:hAnsi="Verdana" w:cs="Verdana"/>
          <w:bCs/>
          <w:sz w:val="20"/>
          <w:szCs w:val="22"/>
        </w:rPr>
        <w:t xml:space="preserve"> e </w:t>
      </w:r>
      <w:r w:rsidRPr="00A11DB2">
        <w:rPr>
          <w:rFonts w:ascii="Verdana" w:hAnsi="Verdana" w:cs="Verdana"/>
          <w:bCs/>
          <w:sz w:val="20"/>
          <w:szCs w:val="22"/>
        </w:rPr>
        <w:t>consa</w:t>
      </w:r>
      <w:r w:rsidR="00990BC2">
        <w:rPr>
          <w:rFonts w:ascii="Verdana" w:hAnsi="Verdana" w:cs="Verdana"/>
          <w:bCs/>
          <w:sz w:val="20"/>
          <w:szCs w:val="22"/>
        </w:rPr>
        <w:t>pevolezza dell’innovazione e delle nuove tecnologie in ambito finanziario come elementi</w:t>
      </w:r>
      <w:r w:rsidRPr="00A11DB2">
        <w:rPr>
          <w:rFonts w:ascii="Verdana" w:hAnsi="Verdana" w:cs="Verdana"/>
          <w:bCs/>
          <w:sz w:val="20"/>
          <w:szCs w:val="22"/>
        </w:rPr>
        <w:t xml:space="preserve"> in grado di incidere </w:t>
      </w:r>
      <w:r w:rsidR="00990BC2">
        <w:rPr>
          <w:rFonts w:ascii="Verdana" w:hAnsi="Verdana" w:cs="Verdana"/>
          <w:bCs/>
          <w:sz w:val="20"/>
          <w:szCs w:val="22"/>
        </w:rPr>
        <w:t xml:space="preserve">concretamente </w:t>
      </w:r>
      <w:r w:rsidRPr="00A11DB2">
        <w:rPr>
          <w:rFonts w:ascii="Verdana" w:hAnsi="Verdana" w:cs="Verdana"/>
          <w:bCs/>
          <w:sz w:val="20"/>
          <w:szCs w:val="22"/>
        </w:rPr>
        <w:t>sul loro business attuale e prospettico</w:t>
      </w:r>
      <w:r>
        <w:rPr>
          <w:rFonts w:ascii="Verdana" w:hAnsi="Verdana" w:cs="Verdana"/>
          <w:bCs/>
          <w:sz w:val="20"/>
          <w:szCs w:val="22"/>
        </w:rPr>
        <w:t xml:space="preserve"> e di </w:t>
      </w:r>
      <w:r w:rsidRPr="00A11DB2">
        <w:rPr>
          <w:rFonts w:ascii="Verdana" w:hAnsi="Verdana" w:cs="Verdana"/>
          <w:bCs/>
          <w:sz w:val="20"/>
          <w:szCs w:val="22"/>
        </w:rPr>
        <w:t xml:space="preserve">comprendere e valutare come tale variabile sia stata affrontata e gestita internamente dai Confidi, nel rapporto con i </w:t>
      </w:r>
      <w:r w:rsidR="00990BC2">
        <w:rPr>
          <w:rFonts w:ascii="Verdana" w:hAnsi="Verdana" w:cs="Verdana"/>
          <w:bCs/>
          <w:sz w:val="20"/>
          <w:szCs w:val="22"/>
        </w:rPr>
        <w:t xml:space="preserve">propri </w:t>
      </w:r>
      <w:r w:rsidRPr="00A11DB2">
        <w:rPr>
          <w:rFonts w:ascii="Verdana" w:hAnsi="Verdana" w:cs="Verdana"/>
          <w:bCs/>
          <w:sz w:val="20"/>
          <w:szCs w:val="22"/>
        </w:rPr>
        <w:t>clienti e con le banche</w:t>
      </w:r>
      <w:r>
        <w:rPr>
          <w:rFonts w:ascii="Verdana" w:hAnsi="Verdana" w:cs="Verdana"/>
          <w:bCs/>
          <w:sz w:val="20"/>
          <w:szCs w:val="22"/>
        </w:rPr>
        <w:t>.</w:t>
      </w:r>
    </w:p>
    <w:p w14:paraId="293C6A26" w14:textId="77777777" w:rsidR="006B1695" w:rsidRDefault="006B1695" w:rsidP="006B1695">
      <w:pPr>
        <w:rPr>
          <w:color w:val="1F497D"/>
          <w:lang w:eastAsia="en-US"/>
        </w:rPr>
      </w:pPr>
    </w:p>
    <w:p w14:paraId="29B7467D" w14:textId="4A2BEA59" w:rsidR="00904A1B" w:rsidRPr="006B1695" w:rsidRDefault="006B1695" w:rsidP="006B1695">
      <w:pPr>
        <w:jc w:val="center"/>
        <w:rPr>
          <w:rFonts w:ascii="Verdana" w:hAnsi="Verdana"/>
          <w:b/>
          <w:sz w:val="20"/>
          <w:szCs w:val="20"/>
          <w:lang w:eastAsia="en-US"/>
        </w:rPr>
      </w:pPr>
      <w:r w:rsidRPr="006B1695">
        <w:rPr>
          <w:rFonts w:ascii="Verdana" w:hAnsi="Verdana"/>
          <w:b/>
          <w:sz w:val="20"/>
          <w:szCs w:val="20"/>
          <w:lang w:eastAsia="en-US"/>
        </w:rPr>
        <w:t>I progetti in ambito Fintech attivati dai Confidi Maggiori</w:t>
      </w:r>
    </w:p>
    <w:p w14:paraId="6C02C54B" w14:textId="7A40F519" w:rsidR="00904A1B" w:rsidRDefault="00904A1B" w:rsidP="00904A1B">
      <w:pPr>
        <w:jc w:val="center"/>
        <w:rPr>
          <w:rFonts w:ascii="Verdana" w:hAnsi="Verdana" w:cs="Verdana"/>
          <w:bCs/>
          <w:sz w:val="20"/>
          <w:szCs w:val="22"/>
        </w:rPr>
      </w:pPr>
      <w:r w:rsidRPr="00904A1B">
        <w:rPr>
          <w:rFonts w:ascii="Verdana" w:hAnsi="Verdana" w:cs="Verdana"/>
          <w:bCs/>
          <w:noProof/>
          <w:sz w:val="20"/>
          <w:szCs w:val="22"/>
        </w:rPr>
        <w:drawing>
          <wp:inline distT="0" distB="0" distL="0" distR="0" wp14:anchorId="2907B0ED" wp14:editId="338B9402">
            <wp:extent cx="3460750" cy="2076451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C8B255BE-DAC5-437C-B7E0-2DB920C66E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C8B255BE-DAC5-437C-B7E0-2DB920C66E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5393" cy="20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8714" w14:textId="234E6638" w:rsidR="00A11DB2" w:rsidRPr="00990BC2" w:rsidRDefault="00990BC2" w:rsidP="00990BC2">
      <w:pPr>
        <w:jc w:val="center"/>
        <w:rPr>
          <w:rFonts w:ascii="Verdana" w:hAnsi="Verdana" w:cs="Verdana"/>
          <w:b/>
          <w:bCs/>
          <w:sz w:val="20"/>
          <w:szCs w:val="22"/>
        </w:rPr>
      </w:pPr>
      <w:r w:rsidRPr="00990BC2">
        <w:rPr>
          <w:rFonts w:ascii="Verdana" w:hAnsi="Verdana" w:cs="Verdana"/>
          <w:b/>
          <w:bCs/>
          <w:sz w:val="20"/>
          <w:szCs w:val="22"/>
        </w:rPr>
        <w:t>Fonte: CRIF</w:t>
      </w:r>
    </w:p>
    <w:p w14:paraId="1A25ED4A" w14:textId="77777777" w:rsidR="00904A1B" w:rsidRDefault="00904A1B" w:rsidP="00A11DB2">
      <w:pPr>
        <w:jc w:val="both"/>
        <w:rPr>
          <w:rFonts w:ascii="Verdana" w:hAnsi="Verdana" w:cs="Verdana"/>
          <w:bCs/>
          <w:sz w:val="20"/>
          <w:szCs w:val="22"/>
        </w:rPr>
      </w:pPr>
    </w:p>
    <w:p w14:paraId="1E85BC6A" w14:textId="77EA022B" w:rsidR="00A11DB2" w:rsidRPr="00585577" w:rsidRDefault="00A11DB2" w:rsidP="00A11DB2">
      <w:pPr>
        <w:jc w:val="both"/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 xml:space="preserve">Lo studio ha inoltre messo in evidenza </w:t>
      </w:r>
      <w:r w:rsidR="0053021B">
        <w:rPr>
          <w:rFonts w:ascii="Verdana" w:hAnsi="Verdana" w:cs="Verdana"/>
          <w:bCs/>
          <w:sz w:val="20"/>
          <w:szCs w:val="22"/>
        </w:rPr>
        <w:t>che i</w:t>
      </w:r>
      <w:r w:rsidRPr="009D0C76">
        <w:rPr>
          <w:rFonts w:ascii="Verdana" w:hAnsi="Verdana" w:cs="Verdana"/>
          <w:bCs/>
          <w:sz w:val="20"/>
          <w:szCs w:val="22"/>
        </w:rPr>
        <w:t xml:space="preserve"> principali ambiti </w:t>
      </w:r>
      <w:r w:rsidR="0053021B">
        <w:rPr>
          <w:rFonts w:ascii="Verdana" w:hAnsi="Verdana" w:cs="Verdana"/>
          <w:bCs/>
          <w:sz w:val="20"/>
          <w:szCs w:val="22"/>
        </w:rPr>
        <w:t>su cui si concentrano</w:t>
      </w:r>
      <w:r w:rsidR="007E27F9">
        <w:rPr>
          <w:rFonts w:ascii="Verdana" w:hAnsi="Verdana" w:cs="Verdana"/>
          <w:bCs/>
          <w:sz w:val="20"/>
          <w:szCs w:val="22"/>
        </w:rPr>
        <w:t xml:space="preserve"> </w:t>
      </w:r>
      <w:r w:rsidR="007E27F9" w:rsidRPr="00990BC2">
        <w:rPr>
          <w:rFonts w:ascii="Verdana" w:hAnsi="Verdana" w:cs="Verdana"/>
          <w:b/>
          <w:bCs/>
          <w:sz w:val="20"/>
          <w:szCs w:val="22"/>
        </w:rPr>
        <w:t>i progetti Fintech</w:t>
      </w:r>
      <w:r w:rsidR="0053021B" w:rsidRPr="00990BC2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7E27F9" w:rsidRPr="00990BC2">
        <w:rPr>
          <w:rFonts w:ascii="Verdana" w:hAnsi="Verdana" w:cs="Verdana"/>
          <w:b/>
          <w:bCs/>
          <w:sz w:val="20"/>
          <w:szCs w:val="22"/>
        </w:rPr>
        <w:t>de</w:t>
      </w:r>
      <w:r w:rsidR="0053021B" w:rsidRPr="00990BC2">
        <w:rPr>
          <w:rFonts w:ascii="Verdana" w:hAnsi="Verdana" w:cs="Verdana"/>
          <w:b/>
          <w:bCs/>
          <w:sz w:val="20"/>
          <w:szCs w:val="22"/>
        </w:rPr>
        <w:t>i Confidi maggiori</w:t>
      </w:r>
      <w:r w:rsidRPr="00990BC2">
        <w:rPr>
          <w:rFonts w:ascii="Verdana" w:hAnsi="Verdana" w:cs="Verdana"/>
          <w:b/>
          <w:bCs/>
          <w:sz w:val="20"/>
          <w:szCs w:val="22"/>
        </w:rPr>
        <w:t xml:space="preserve"> riguardano il business </w:t>
      </w:r>
      <w:r w:rsidR="0053021B" w:rsidRPr="00990BC2">
        <w:rPr>
          <w:rFonts w:ascii="Verdana" w:hAnsi="Verdana" w:cs="Verdana"/>
          <w:b/>
          <w:bCs/>
          <w:sz w:val="20"/>
          <w:szCs w:val="22"/>
        </w:rPr>
        <w:t>prevalente</w:t>
      </w:r>
      <w:r w:rsidR="0053021B" w:rsidRPr="0053021B">
        <w:rPr>
          <w:rFonts w:ascii="Verdana" w:hAnsi="Verdana" w:cs="Verdana"/>
          <w:bCs/>
          <w:sz w:val="20"/>
          <w:szCs w:val="22"/>
        </w:rPr>
        <w:t xml:space="preserve"> o direttamente ricollegabile</w:t>
      </w:r>
      <w:r w:rsidR="0053021B">
        <w:rPr>
          <w:rFonts w:ascii="Verdana" w:hAnsi="Verdana" w:cs="Verdana"/>
          <w:bCs/>
          <w:sz w:val="20"/>
          <w:szCs w:val="22"/>
        </w:rPr>
        <w:t xml:space="preserve"> ad esso, tra cui la </w:t>
      </w:r>
      <w:r w:rsidRPr="009D0C76">
        <w:rPr>
          <w:rFonts w:ascii="Verdana" w:hAnsi="Verdana" w:cs="Verdana"/>
          <w:bCs/>
          <w:sz w:val="20"/>
          <w:szCs w:val="22"/>
        </w:rPr>
        <w:t xml:space="preserve">gestione delle garanzie, </w:t>
      </w:r>
      <w:r w:rsidR="0053021B">
        <w:rPr>
          <w:rFonts w:ascii="Verdana" w:hAnsi="Verdana" w:cs="Verdana"/>
          <w:bCs/>
          <w:sz w:val="20"/>
          <w:szCs w:val="22"/>
        </w:rPr>
        <w:t xml:space="preserve">la </w:t>
      </w:r>
      <w:r w:rsidRPr="009D0C76">
        <w:rPr>
          <w:rFonts w:ascii="Verdana" w:hAnsi="Verdana" w:cs="Verdana"/>
          <w:bCs/>
          <w:sz w:val="20"/>
          <w:szCs w:val="22"/>
        </w:rPr>
        <w:t xml:space="preserve">consulenza, </w:t>
      </w:r>
      <w:r w:rsidR="0053021B">
        <w:rPr>
          <w:rFonts w:ascii="Verdana" w:hAnsi="Verdana" w:cs="Verdana"/>
          <w:bCs/>
          <w:sz w:val="20"/>
          <w:szCs w:val="22"/>
        </w:rPr>
        <w:t xml:space="preserve">il </w:t>
      </w:r>
      <w:r w:rsidRPr="009D0C76">
        <w:rPr>
          <w:rFonts w:ascii="Verdana" w:hAnsi="Verdana" w:cs="Verdana"/>
          <w:bCs/>
          <w:sz w:val="20"/>
          <w:szCs w:val="22"/>
        </w:rPr>
        <w:t>credito diretto</w:t>
      </w:r>
      <w:r w:rsidR="0053021B">
        <w:rPr>
          <w:rFonts w:ascii="Verdana" w:hAnsi="Verdana" w:cs="Verdana"/>
          <w:bCs/>
          <w:sz w:val="20"/>
          <w:szCs w:val="22"/>
        </w:rPr>
        <w:t xml:space="preserve"> e la</w:t>
      </w:r>
      <w:r w:rsidRPr="009D0C76">
        <w:rPr>
          <w:rFonts w:ascii="Verdana" w:hAnsi="Verdana" w:cs="Verdana"/>
          <w:bCs/>
          <w:sz w:val="20"/>
          <w:szCs w:val="22"/>
        </w:rPr>
        <w:t xml:space="preserve"> valutazione del rischio.</w:t>
      </w:r>
      <w:r w:rsidR="00990BC2">
        <w:rPr>
          <w:rFonts w:ascii="Verdana" w:hAnsi="Verdana" w:cs="Verdana"/>
          <w:bCs/>
          <w:sz w:val="20"/>
          <w:szCs w:val="22"/>
        </w:rPr>
        <w:t xml:space="preserve"> È</w:t>
      </w:r>
      <w:r w:rsidR="0053021B">
        <w:rPr>
          <w:rFonts w:ascii="Verdana" w:hAnsi="Verdana" w:cs="Verdana"/>
          <w:bCs/>
          <w:sz w:val="20"/>
          <w:szCs w:val="22"/>
        </w:rPr>
        <w:t xml:space="preserve"> i</w:t>
      </w:r>
      <w:r w:rsidRPr="009D0C76">
        <w:rPr>
          <w:rFonts w:ascii="Verdana" w:hAnsi="Verdana" w:cs="Verdana"/>
          <w:bCs/>
          <w:sz w:val="20"/>
          <w:szCs w:val="22"/>
        </w:rPr>
        <w:t>nteressante</w:t>
      </w:r>
      <w:r w:rsidR="00943D3B">
        <w:rPr>
          <w:rFonts w:ascii="Verdana" w:hAnsi="Verdana" w:cs="Verdana"/>
          <w:bCs/>
          <w:sz w:val="20"/>
          <w:szCs w:val="22"/>
        </w:rPr>
        <w:t xml:space="preserve"> </w:t>
      </w:r>
      <w:r w:rsidR="001E69C2">
        <w:rPr>
          <w:rFonts w:ascii="Verdana" w:hAnsi="Verdana" w:cs="Verdana"/>
          <w:bCs/>
          <w:sz w:val="20"/>
          <w:szCs w:val="22"/>
        </w:rPr>
        <w:t>però</w:t>
      </w:r>
      <w:r w:rsidRPr="009D0C76">
        <w:rPr>
          <w:rFonts w:ascii="Verdana" w:hAnsi="Verdana" w:cs="Verdana"/>
          <w:bCs/>
          <w:sz w:val="20"/>
          <w:szCs w:val="22"/>
        </w:rPr>
        <w:t xml:space="preserve"> notare che 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quasi il 20% </w:t>
      </w:r>
      <w:r w:rsidR="00793344" w:rsidRPr="00585577">
        <w:rPr>
          <w:rFonts w:ascii="Verdana" w:hAnsi="Verdana" w:cs="Verdana"/>
          <w:b/>
          <w:bCs/>
          <w:sz w:val="20"/>
          <w:szCs w:val="22"/>
        </w:rPr>
        <w:t>delle attività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riguard</w:t>
      </w:r>
      <w:r w:rsidR="0053021B" w:rsidRPr="00585577">
        <w:rPr>
          <w:rFonts w:ascii="Verdana" w:hAnsi="Verdana" w:cs="Verdana"/>
          <w:b/>
          <w:bCs/>
          <w:sz w:val="20"/>
          <w:szCs w:val="22"/>
        </w:rPr>
        <w:t>a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a</w:t>
      </w:r>
      <w:r w:rsidR="00793344" w:rsidRPr="00585577">
        <w:rPr>
          <w:rFonts w:ascii="Verdana" w:hAnsi="Verdana" w:cs="Verdana"/>
          <w:b/>
          <w:bCs/>
          <w:sz w:val="20"/>
          <w:szCs w:val="22"/>
        </w:rPr>
        <w:t>mbiti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nuov</w:t>
      </w:r>
      <w:r w:rsidR="00793344" w:rsidRPr="00585577">
        <w:rPr>
          <w:rFonts w:ascii="Verdana" w:hAnsi="Verdana" w:cs="Verdana"/>
          <w:b/>
          <w:bCs/>
          <w:sz w:val="20"/>
          <w:szCs w:val="22"/>
        </w:rPr>
        <w:t>i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e ad alto contenuto innovativo</w:t>
      </w:r>
      <w:r w:rsidR="0053021B" w:rsidRPr="00585577">
        <w:rPr>
          <w:rFonts w:ascii="Verdana" w:hAnsi="Verdana" w:cs="Verdana"/>
          <w:b/>
          <w:bCs/>
          <w:sz w:val="20"/>
          <w:szCs w:val="22"/>
        </w:rPr>
        <w:t>, come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crowdfunding, social lending, sistemi di pagamento e </w:t>
      </w:r>
      <w:r w:rsidR="0053021B" w:rsidRPr="00585577">
        <w:rPr>
          <w:rFonts w:ascii="Verdana" w:hAnsi="Verdana" w:cs="Verdana"/>
          <w:b/>
          <w:bCs/>
          <w:sz w:val="20"/>
          <w:szCs w:val="22"/>
        </w:rPr>
        <w:t>m</w:t>
      </w:r>
      <w:r w:rsidRPr="00585577">
        <w:rPr>
          <w:rFonts w:ascii="Verdana" w:hAnsi="Verdana" w:cs="Verdana"/>
          <w:b/>
          <w:bCs/>
          <w:sz w:val="20"/>
          <w:szCs w:val="22"/>
        </w:rPr>
        <w:t>inibond.</w:t>
      </w:r>
    </w:p>
    <w:p w14:paraId="43ABFDFC" w14:textId="383B8BA2" w:rsidR="00E17BE3" w:rsidRDefault="00E17BE3" w:rsidP="00A11DB2">
      <w:pPr>
        <w:jc w:val="both"/>
        <w:rPr>
          <w:rFonts w:ascii="Verdana" w:hAnsi="Verdana" w:cs="Verdana"/>
          <w:bCs/>
          <w:sz w:val="20"/>
          <w:szCs w:val="22"/>
        </w:rPr>
      </w:pPr>
    </w:p>
    <w:p w14:paraId="5F688C95" w14:textId="6969EC6A" w:rsidR="00E17BE3" w:rsidRPr="006B1695" w:rsidRDefault="00E17BE3" w:rsidP="006B1695">
      <w:pPr>
        <w:tabs>
          <w:tab w:val="num" w:pos="720"/>
        </w:tabs>
        <w:jc w:val="both"/>
        <w:rPr>
          <w:rFonts w:ascii="Verdana" w:hAnsi="Verdana" w:cs="Verdana"/>
          <w:b/>
          <w:bCs/>
          <w:sz w:val="20"/>
          <w:szCs w:val="22"/>
        </w:rPr>
      </w:pPr>
      <w:r w:rsidRPr="00585577">
        <w:rPr>
          <w:rFonts w:ascii="Verdana" w:hAnsi="Verdana" w:cs="Verdana"/>
          <w:b/>
          <w:bCs/>
          <w:sz w:val="20"/>
          <w:szCs w:val="22"/>
        </w:rPr>
        <w:t>I</w:t>
      </w:r>
      <w:r w:rsidR="00585577" w:rsidRPr="00585577">
        <w:rPr>
          <w:rFonts w:ascii="Verdana" w:hAnsi="Verdana" w:cs="Verdana"/>
          <w:b/>
          <w:bCs/>
          <w:sz w:val="20"/>
          <w:szCs w:val="22"/>
        </w:rPr>
        <w:t>l 78%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585577" w:rsidRPr="00585577">
        <w:rPr>
          <w:rFonts w:ascii="Verdana" w:hAnsi="Verdana" w:cs="Verdana"/>
          <w:b/>
          <w:bCs/>
          <w:sz w:val="20"/>
          <w:szCs w:val="22"/>
        </w:rPr>
        <w:t>de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i progetti </w:t>
      </w:r>
      <w:r w:rsidR="00585577" w:rsidRPr="00585577">
        <w:rPr>
          <w:rFonts w:ascii="Verdana" w:hAnsi="Verdana" w:cs="Verdana"/>
          <w:b/>
          <w:bCs/>
          <w:sz w:val="20"/>
          <w:szCs w:val="22"/>
        </w:rPr>
        <w:t>avviati dai Confidi si rivolgono a</w:t>
      </w:r>
      <w:r w:rsidRPr="00585577">
        <w:rPr>
          <w:rFonts w:ascii="Verdana" w:hAnsi="Verdana" w:cs="Verdana"/>
          <w:b/>
          <w:bCs/>
          <w:sz w:val="20"/>
          <w:szCs w:val="22"/>
        </w:rPr>
        <w:t>lle imprese</w:t>
      </w:r>
      <w:r w:rsidR="00585577" w:rsidRPr="00585577">
        <w:rPr>
          <w:rFonts w:ascii="Verdana" w:hAnsi="Verdana" w:cs="Verdana"/>
          <w:b/>
          <w:bCs/>
          <w:sz w:val="20"/>
          <w:szCs w:val="22"/>
        </w:rPr>
        <w:t xml:space="preserve"> clienti</w:t>
      </w:r>
      <w:r w:rsidR="00943D3B">
        <w:rPr>
          <w:rFonts w:ascii="Verdana" w:hAnsi="Verdana" w:cs="Verdana"/>
          <w:bCs/>
          <w:sz w:val="20"/>
          <w:szCs w:val="22"/>
        </w:rPr>
        <w:t>, mentre il</w:t>
      </w:r>
      <w:r>
        <w:rPr>
          <w:rFonts w:ascii="Verdana" w:hAnsi="Verdana" w:cs="Verdana"/>
          <w:bCs/>
          <w:sz w:val="20"/>
          <w:szCs w:val="22"/>
        </w:rPr>
        <w:t xml:space="preserve"> 22%</w:t>
      </w:r>
      <w:r w:rsidR="00943D3B">
        <w:rPr>
          <w:rFonts w:ascii="Verdana" w:hAnsi="Verdana" w:cs="Verdana"/>
          <w:bCs/>
          <w:sz w:val="20"/>
          <w:szCs w:val="22"/>
        </w:rPr>
        <w:t xml:space="preserve"> è dedicato</w:t>
      </w:r>
      <w:r w:rsidR="00585577">
        <w:rPr>
          <w:rFonts w:ascii="Verdana" w:hAnsi="Verdana" w:cs="Verdana"/>
          <w:bCs/>
          <w:sz w:val="20"/>
          <w:szCs w:val="22"/>
        </w:rPr>
        <w:t xml:space="preserve"> alla relazione con </w:t>
      </w:r>
      <w:r w:rsidRPr="00E17BE3">
        <w:rPr>
          <w:rFonts w:ascii="Verdana" w:hAnsi="Verdana" w:cs="Verdana"/>
          <w:bCs/>
          <w:sz w:val="20"/>
          <w:szCs w:val="22"/>
        </w:rPr>
        <w:t>le banche</w:t>
      </w:r>
      <w:r>
        <w:rPr>
          <w:rFonts w:ascii="Verdana" w:hAnsi="Verdana" w:cs="Verdana"/>
          <w:bCs/>
          <w:sz w:val="20"/>
          <w:szCs w:val="22"/>
        </w:rPr>
        <w:t>. Non risultano</w:t>
      </w:r>
      <w:r w:rsidR="00943D3B">
        <w:rPr>
          <w:rFonts w:ascii="Verdana" w:hAnsi="Verdana" w:cs="Verdana"/>
          <w:bCs/>
          <w:sz w:val="20"/>
          <w:szCs w:val="22"/>
        </w:rPr>
        <w:t xml:space="preserve"> invece</w:t>
      </w:r>
      <w:r>
        <w:rPr>
          <w:rFonts w:ascii="Verdana" w:hAnsi="Verdana" w:cs="Verdana"/>
          <w:bCs/>
          <w:sz w:val="20"/>
          <w:szCs w:val="22"/>
        </w:rPr>
        <w:t xml:space="preserve"> attivi progetti dedicati alla Pubblica </w:t>
      </w:r>
      <w:r>
        <w:rPr>
          <w:rFonts w:ascii="Verdana" w:hAnsi="Verdana" w:cs="Verdana"/>
          <w:bCs/>
          <w:sz w:val="20"/>
          <w:szCs w:val="22"/>
        </w:rPr>
        <w:lastRenderedPageBreak/>
        <w:t>Amministrazione. A</w:t>
      </w:r>
      <w:r w:rsidRPr="00E17BE3">
        <w:rPr>
          <w:rFonts w:ascii="Verdana" w:hAnsi="Verdana" w:cs="Verdana"/>
          <w:bCs/>
          <w:sz w:val="20"/>
          <w:szCs w:val="22"/>
        </w:rPr>
        <w:t xml:space="preserve"> livello tecnologico prevalgono </w:t>
      </w:r>
      <w:r w:rsidR="004E3CEA" w:rsidRPr="00585577">
        <w:rPr>
          <w:rFonts w:ascii="Verdana" w:hAnsi="Verdana" w:cs="Verdana"/>
          <w:b/>
          <w:bCs/>
          <w:sz w:val="20"/>
          <w:szCs w:val="22"/>
        </w:rPr>
        <w:t xml:space="preserve">attività </w:t>
      </w:r>
      <w:r w:rsidRPr="00585577">
        <w:rPr>
          <w:rFonts w:ascii="Verdana" w:hAnsi="Verdana" w:cs="Verdana"/>
          <w:b/>
          <w:bCs/>
          <w:sz w:val="20"/>
          <w:szCs w:val="22"/>
        </w:rPr>
        <w:t>che puntano a digitalizzare il legame con tali segmenti attraverso la firma digitale (28,2% del totale), il cloud e l’API (entramb</w:t>
      </w:r>
      <w:r w:rsidR="004E3CEA" w:rsidRPr="00585577">
        <w:rPr>
          <w:rFonts w:ascii="Verdana" w:hAnsi="Verdana" w:cs="Verdana"/>
          <w:b/>
          <w:bCs/>
          <w:sz w:val="20"/>
          <w:szCs w:val="22"/>
        </w:rPr>
        <w:t>i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al 20,5%).  </w:t>
      </w:r>
    </w:p>
    <w:p w14:paraId="3D47024C" w14:textId="4D332C16" w:rsidR="006B1695" w:rsidRDefault="00E17BE3" w:rsidP="00E17BE3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Analizzando i</w:t>
      </w:r>
      <w:r w:rsidRPr="009D0C76">
        <w:rPr>
          <w:rFonts w:ascii="Verdana" w:hAnsi="Verdana" w:cs="Verdana"/>
          <w:bCs/>
          <w:sz w:val="20"/>
          <w:szCs w:val="22"/>
        </w:rPr>
        <w:t>l rapporto tra costi e ricavi attesi</w:t>
      </w:r>
      <w:r>
        <w:rPr>
          <w:rFonts w:ascii="Verdana" w:hAnsi="Verdana" w:cs="Verdana"/>
          <w:bCs/>
          <w:sz w:val="20"/>
          <w:szCs w:val="22"/>
        </w:rPr>
        <w:t>, l’analisi ha messo in evidenza come questo si d</w:t>
      </w:r>
      <w:r w:rsidR="00793344">
        <w:rPr>
          <w:rFonts w:ascii="Verdana" w:hAnsi="Verdana" w:cs="Verdana"/>
          <w:bCs/>
          <w:sz w:val="20"/>
          <w:szCs w:val="22"/>
        </w:rPr>
        <w:t>i</w:t>
      </w:r>
      <w:r>
        <w:rPr>
          <w:rFonts w:ascii="Verdana" w:hAnsi="Verdana" w:cs="Verdana"/>
          <w:bCs/>
          <w:sz w:val="20"/>
          <w:szCs w:val="22"/>
        </w:rPr>
        <w:t>mostri</w:t>
      </w:r>
      <w:r w:rsidRPr="009D0C76">
        <w:rPr>
          <w:rFonts w:ascii="Verdana" w:hAnsi="Verdana" w:cs="Verdana"/>
          <w:bCs/>
          <w:sz w:val="20"/>
          <w:szCs w:val="22"/>
        </w:rPr>
        <w:t xml:space="preserve"> positivo: </w:t>
      </w:r>
      <w:r>
        <w:rPr>
          <w:rFonts w:ascii="Verdana" w:hAnsi="Verdana" w:cs="Verdana"/>
          <w:bCs/>
          <w:sz w:val="20"/>
          <w:szCs w:val="22"/>
        </w:rPr>
        <w:t xml:space="preserve">infatti, </w:t>
      </w:r>
      <w:r w:rsidRPr="009D0C76">
        <w:rPr>
          <w:rFonts w:ascii="Verdana" w:hAnsi="Verdana" w:cs="Verdana"/>
          <w:bCs/>
          <w:sz w:val="20"/>
          <w:szCs w:val="22"/>
        </w:rPr>
        <w:t xml:space="preserve">mentre </w:t>
      </w:r>
      <w:r>
        <w:rPr>
          <w:rFonts w:ascii="Verdana" w:hAnsi="Verdana" w:cs="Verdana"/>
          <w:bCs/>
          <w:sz w:val="20"/>
          <w:szCs w:val="22"/>
        </w:rPr>
        <w:t xml:space="preserve">oltre </w:t>
      </w:r>
      <w:r w:rsidRPr="009D0C76">
        <w:rPr>
          <w:rFonts w:ascii="Verdana" w:hAnsi="Verdana" w:cs="Verdana"/>
          <w:bCs/>
          <w:sz w:val="20"/>
          <w:szCs w:val="22"/>
        </w:rPr>
        <w:t xml:space="preserve">il 90% dei Confidi riporta costi progettuali ed implementativi compresi entro 100.000 euro, circa il 70% ha ricavi attesi </w:t>
      </w:r>
      <w:r>
        <w:rPr>
          <w:rFonts w:ascii="Verdana" w:hAnsi="Verdana" w:cs="Verdana"/>
          <w:bCs/>
          <w:sz w:val="20"/>
          <w:szCs w:val="22"/>
        </w:rPr>
        <w:t>che superano</w:t>
      </w:r>
      <w:r w:rsidRPr="009D0C76">
        <w:rPr>
          <w:rFonts w:ascii="Verdana" w:hAnsi="Verdana" w:cs="Verdana"/>
          <w:bCs/>
          <w:sz w:val="20"/>
          <w:szCs w:val="22"/>
        </w:rPr>
        <w:t xml:space="preserve"> </w:t>
      </w:r>
      <w:r>
        <w:rPr>
          <w:rFonts w:ascii="Verdana" w:hAnsi="Verdana" w:cs="Verdana"/>
          <w:bCs/>
          <w:sz w:val="20"/>
          <w:szCs w:val="22"/>
        </w:rPr>
        <w:t>questa</w:t>
      </w:r>
      <w:r w:rsidRPr="009D0C76">
        <w:rPr>
          <w:rFonts w:ascii="Verdana" w:hAnsi="Verdana" w:cs="Verdana"/>
          <w:bCs/>
          <w:sz w:val="20"/>
          <w:szCs w:val="22"/>
        </w:rPr>
        <w:t xml:space="preserve"> cifra.</w:t>
      </w:r>
    </w:p>
    <w:p w14:paraId="5E50F965" w14:textId="3D2F9044" w:rsidR="009D0C76" w:rsidRDefault="00E17BE3" w:rsidP="009D0C76">
      <w:pPr>
        <w:jc w:val="both"/>
        <w:rPr>
          <w:rFonts w:ascii="Verdana" w:hAnsi="Verdana" w:cs="Verdana"/>
          <w:bCs/>
          <w:sz w:val="20"/>
          <w:szCs w:val="22"/>
        </w:rPr>
      </w:pPr>
      <w:r w:rsidRPr="00E17BE3">
        <w:rPr>
          <w:rFonts w:ascii="Verdana" w:hAnsi="Verdana" w:cs="Verdana"/>
          <w:bCs/>
          <w:sz w:val="20"/>
          <w:szCs w:val="22"/>
        </w:rPr>
        <w:t>Dal punto di vista organizzativo e delle responsabilità</w:t>
      </w:r>
      <w:r>
        <w:rPr>
          <w:rFonts w:ascii="Verdana" w:hAnsi="Verdana" w:cs="Verdana"/>
          <w:bCs/>
          <w:sz w:val="20"/>
          <w:szCs w:val="22"/>
        </w:rPr>
        <w:t xml:space="preserve"> nell’ideazione e nella realizzazione dei progetti legati all’ambito Fintech</w:t>
      </w:r>
      <w:r w:rsidR="00943D3B">
        <w:rPr>
          <w:rFonts w:ascii="Verdana" w:hAnsi="Verdana" w:cs="Verdana"/>
          <w:bCs/>
          <w:sz w:val="20"/>
          <w:szCs w:val="22"/>
        </w:rPr>
        <w:t xml:space="preserve">, l’indagine ha rilevato </w:t>
      </w:r>
      <w:r w:rsidR="00793344">
        <w:rPr>
          <w:rFonts w:ascii="Verdana" w:hAnsi="Verdana" w:cs="Verdana"/>
          <w:bCs/>
          <w:sz w:val="20"/>
          <w:szCs w:val="22"/>
        </w:rPr>
        <w:t>una</w:t>
      </w:r>
      <w:r w:rsidR="00943D3B">
        <w:rPr>
          <w:rFonts w:ascii="Verdana" w:hAnsi="Verdana" w:cs="Verdana"/>
          <w:bCs/>
          <w:sz w:val="20"/>
          <w:szCs w:val="22"/>
        </w:rPr>
        <w:t xml:space="preserve"> mancanza di</w:t>
      </w:r>
      <w:r w:rsidRPr="00E17BE3">
        <w:rPr>
          <w:rFonts w:ascii="Verdana" w:hAnsi="Verdana" w:cs="Verdana"/>
          <w:bCs/>
          <w:sz w:val="20"/>
          <w:szCs w:val="22"/>
        </w:rPr>
        <w:t xml:space="preserve"> univocità di strategie </w:t>
      </w:r>
      <w:r>
        <w:rPr>
          <w:rFonts w:ascii="Verdana" w:hAnsi="Verdana" w:cs="Verdana"/>
          <w:bCs/>
          <w:sz w:val="20"/>
          <w:szCs w:val="22"/>
        </w:rPr>
        <w:t>all’interno dei Confidi. Per il 22,6% del campione, la responsabilità ricade nella sfera dell’organizzazione aziendale, mentre per il 18,9% il ruolo di guida è assunto direttamente dalla Direzione generale. Seguono poi con il 17% la funzione IT e Risk management e Compliance, entrambi con il 13,2%.</w:t>
      </w:r>
      <w:r w:rsidR="00F62EA0">
        <w:rPr>
          <w:rFonts w:ascii="Verdana" w:hAnsi="Verdana" w:cs="Verdana"/>
          <w:bCs/>
          <w:sz w:val="20"/>
          <w:szCs w:val="22"/>
        </w:rPr>
        <w:t xml:space="preserve"> Inoltre, </w:t>
      </w:r>
      <w:r w:rsidR="00943D3B">
        <w:rPr>
          <w:rFonts w:ascii="Verdana" w:hAnsi="Verdana" w:cs="Verdana"/>
          <w:bCs/>
          <w:sz w:val="20"/>
          <w:szCs w:val="22"/>
        </w:rPr>
        <w:t>la netta maggioranza</w:t>
      </w:r>
      <w:r w:rsidR="00F62EA0" w:rsidRPr="009D0C76">
        <w:rPr>
          <w:rFonts w:ascii="Verdana" w:hAnsi="Verdana" w:cs="Verdana"/>
          <w:bCs/>
          <w:sz w:val="20"/>
          <w:szCs w:val="22"/>
        </w:rPr>
        <w:t xml:space="preserve"> </w:t>
      </w:r>
      <w:r w:rsidR="00943D3B">
        <w:rPr>
          <w:rFonts w:ascii="Verdana" w:hAnsi="Verdana" w:cs="Verdana"/>
          <w:bCs/>
          <w:sz w:val="20"/>
          <w:szCs w:val="22"/>
        </w:rPr>
        <w:t>de</w:t>
      </w:r>
      <w:r w:rsidR="00F62EA0">
        <w:rPr>
          <w:rFonts w:ascii="Verdana" w:hAnsi="Verdana" w:cs="Verdana"/>
          <w:bCs/>
          <w:sz w:val="20"/>
          <w:szCs w:val="22"/>
        </w:rPr>
        <w:t>i progetti</w:t>
      </w:r>
      <w:r w:rsidR="00943D3B">
        <w:rPr>
          <w:rFonts w:ascii="Verdana" w:hAnsi="Verdana" w:cs="Verdana"/>
          <w:bCs/>
          <w:sz w:val="20"/>
          <w:szCs w:val="22"/>
        </w:rPr>
        <w:t xml:space="preserve"> (il 78,6%)</w:t>
      </w:r>
      <w:r w:rsidR="00F62EA0">
        <w:rPr>
          <w:rFonts w:ascii="Verdana" w:hAnsi="Verdana" w:cs="Verdana"/>
          <w:bCs/>
          <w:sz w:val="20"/>
          <w:szCs w:val="22"/>
        </w:rPr>
        <w:t xml:space="preserve"> </w:t>
      </w:r>
      <w:r w:rsidR="00F62EA0" w:rsidRPr="009D0C76">
        <w:rPr>
          <w:rFonts w:ascii="Verdana" w:hAnsi="Verdana" w:cs="Verdana"/>
          <w:bCs/>
          <w:sz w:val="20"/>
          <w:szCs w:val="22"/>
        </w:rPr>
        <w:t>ved</w:t>
      </w:r>
      <w:r w:rsidR="00943D3B">
        <w:rPr>
          <w:rFonts w:ascii="Verdana" w:hAnsi="Verdana" w:cs="Verdana"/>
          <w:bCs/>
          <w:sz w:val="20"/>
          <w:szCs w:val="22"/>
        </w:rPr>
        <w:t>e</w:t>
      </w:r>
      <w:r w:rsidR="00F62EA0" w:rsidRPr="009D0C76">
        <w:rPr>
          <w:rFonts w:ascii="Verdana" w:hAnsi="Verdana" w:cs="Verdana"/>
          <w:bCs/>
          <w:sz w:val="20"/>
          <w:szCs w:val="22"/>
        </w:rPr>
        <w:t xml:space="preserve"> il coinvolgimento di partner </w:t>
      </w:r>
      <w:r w:rsidR="00F62EA0">
        <w:rPr>
          <w:rFonts w:ascii="Verdana" w:hAnsi="Verdana" w:cs="Verdana"/>
          <w:bCs/>
          <w:sz w:val="20"/>
          <w:szCs w:val="22"/>
        </w:rPr>
        <w:t>terzi per attività di</w:t>
      </w:r>
      <w:r w:rsidR="00F62EA0" w:rsidRPr="009D0C76">
        <w:rPr>
          <w:rFonts w:ascii="Verdana" w:hAnsi="Verdana" w:cs="Verdana"/>
          <w:bCs/>
          <w:sz w:val="20"/>
          <w:szCs w:val="22"/>
        </w:rPr>
        <w:t xml:space="preserve"> consulenza </w:t>
      </w:r>
      <w:r w:rsidR="00F62EA0">
        <w:rPr>
          <w:rFonts w:ascii="Verdana" w:hAnsi="Verdana" w:cs="Verdana"/>
          <w:bCs/>
          <w:sz w:val="20"/>
          <w:szCs w:val="22"/>
        </w:rPr>
        <w:t>e</w:t>
      </w:r>
      <w:r w:rsidR="00F62EA0" w:rsidRPr="009D0C76">
        <w:rPr>
          <w:rFonts w:ascii="Verdana" w:hAnsi="Verdana" w:cs="Verdana"/>
          <w:bCs/>
          <w:sz w:val="20"/>
          <w:szCs w:val="22"/>
        </w:rPr>
        <w:t xml:space="preserve"> IT</w:t>
      </w:r>
      <w:r w:rsidR="00F62EA0">
        <w:rPr>
          <w:rFonts w:ascii="Verdana" w:hAnsi="Verdana" w:cs="Verdana"/>
          <w:bCs/>
          <w:sz w:val="20"/>
          <w:szCs w:val="22"/>
        </w:rPr>
        <w:t>.</w:t>
      </w:r>
    </w:p>
    <w:p w14:paraId="64BE5F56" w14:textId="77777777" w:rsidR="006B1695" w:rsidRDefault="006B1695" w:rsidP="009D0C76">
      <w:pPr>
        <w:jc w:val="both"/>
        <w:rPr>
          <w:rFonts w:ascii="Verdana" w:hAnsi="Verdana" w:cs="Verdana"/>
          <w:bCs/>
          <w:sz w:val="20"/>
          <w:szCs w:val="22"/>
        </w:rPr>
      </w:pPr>
    </w:p>
    <w:p w14:paraId="5621DF7E" w14:textId="77777777" w:rsidR="006B1695" w:rsidRPr="006B1695" w:rsidRDefault="006B1695" w:rsidP="006B1695">
      <w:pPr>
        <w:jc w:val="center"/>
        <w:rPr>
          <w:rFonts w:ascii="Verdana" w:hAnsi="Verdana"/>
          <w:b/>
          <w:sz w:val="20"/>
          <w:szCs w:val="20"/>
          <w:lang w:eastAsia="en-US"/>
        </w:rPr>
      </w:pPr>
      <w:r w:rsidRPr="006B1695">
        <w:rPr>
          <w:rFonts w:ascii="Verdana" w:hAnsi="Verdana"/>
          <w:b/>
          <w:sz w:val="20"/>
          <w:szCs w:val="20"/>
          <w:lang w:eastAsia="en-US"/>
        </w:rPr>
        <w:t>Le funzioni interne responsabili dei progetti Fintech</w:t>
      </w:r>
    </w:p>
    <w:p w14:paraId="40C914F2" w14:textId="77777777" w:rsidR="006B1695" w:rsidRDefault="006B1695" w:rsidP="009D0C76">
      <w:pPr>
        <w:jc w:val="both"/>
        <w:rPr>
          <w:rFonts w:ascii="Verdana" w:hAnsi="Verdana" w:cs="Verdana"/>
          <w:bCs/>
          <w:sz w:val="20"/>
          <w:szCs w:val="22"/>
        </w:rPr>
      </w:pPr>
    </w:p>
    <w:p w14:paraId="582A132F" w14:textId="612ED7FA" w:rsidR="00904A1B" w:rsidRDefault="00904A1B" w:rsidP="009D0C76">
      <w:pPr>
        <w:jc w:val="both"/>
        <w:rPr>
          <w:rFonts w:ascii="Verdana" w:hAnsi="Verdana" w:cs="Verdana"/>
          <w:bCs/>
          <w:sz w:val="20"/>
          <w:szCs w:val="22"/>
        </w:rPr>
      </w:pPr>
    </w:p>
    <w:p w14:paraId="5D206CDB" w14:textId="678FDE38" w:rsidR="00904A1B" w:rsidRDefault="00904A1B" w:rsidP="00904A1B">
      <w:pPr>
        <w:jc w:val="center"/>
        <w:rPr>
          <w:rFonts w:ascii="Verdana" w:hAnsi="Verdana" w:cs="Verdana"/>
          <w:bCs/>
          <w:sz w:val="20"/>
          <w:szCs w:val="22"/>
        </w:rPr>
      </w:pPr>
      <w:r w:rsidRPr="00904A1B">
        <w:rPr>
          <w:rFonts w:ascii="Verdana" w:hAnsi="Verdana" w:cs="Verdana"/>
          <w:bCs/>
          <w:noProof/>
          <w:sz w:val="20"/>
          <w:szCs w:val="22"/>
        </w:rPr>
        <w:drawing>
          <wp:inline distT="0" distB="0" distL="0" distR="0" wp14:anchorId="154CF81E" wp14:editId="38FE3C94">
            <wp:extent cx="3460750" cy="1967448"/>
            <wp:effectExtent l="0" t="0" r="0" b="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E0FA5C65-9434-4D21-865D-DB005DA2E3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E0FA5C65-9434-4D21-865D-DB005DA2E3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3505" r="8528" b="6429"/>
                    <a:stretch/>
                  </pic:blipFill>
                  <pic:spPr>
                    <a:xfrm>
                      <a:off x="0" y="0"/>
                      <a:ext cx="3475241" cy="197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6459" w14:textId="77777777" w:rsidR="009D0C76" w:rsidRDefault="009D0C76" w:rsidP="009D0C76">
      <w:pPr>
        <w:jc w:val="both"/>
        <w:rPr>
          <w:rFonts w:ascii="Verdana" w:hAnsi="Verdana" w:cs="Verdana"/>
          <w:bCs/>
          <w:sz w:val="20"/>
          <w:szCs w:val="22"/>
        </w:rPr>
      </w:pPr>
    </w:p>
    <w:p w14:paraId="0BA4094B" w14:textId="77777777" w:rsidR="00CD3367" w:rsidRPr="00990BC2" w:rsidRDefault="00CD3367" w:rsidP="00CD3367">
      <w:pPr>
        <w:jc w:val="center"/>
        <w:rPr>
          <w:rFonts w:ascii="Verdana" w:hAnsi="Verdana" w:cs="Verdana"/>
          <w:b/>
          <w:bCs/>
          <w:sz w:val="20"/>
          <w:szCs w:val="22"/>
        </w:rPr>
      </w:pPr>
      <w:r w:rsidRPr="00990BC2">
        <w:rPr>
          <w:rFonts w:ascii="Verdana" w:hAnsi="Verdana" w:cs="Verdana"/>
          <w:b/>
          <w:bCs/>
          <w:sz w:val="20"/>
          <w:szCs w:val="22"/>
        </w:rPr>
        <w:t>Fonte: CRIF</w:t>
      </w:r>
    </w:p>
    <w:p w14:paraId="2C045D8D" w14:textId="77777777" w:rsidR="00904A1B" w:rsidRDefault="00904A1B" w:rsidP="009D0C76">
      <w:pPr>
        <w:jc w:val="both"/>
        <w:rPr>
          <w:rFonts w:ascii="Verdana" w:hAnsi="Verdana" w:cs="Verdana"/>
          <w:bCs/>
          <w:sz w:val="20"/>
          <w:szCs w:val="22"/>
        </w:rPr>
      </w:pPr>
    </w:p>
    <w:p w14:paraId="3B0B79D2" w14:textId="4FE4049E" w:rsidR="00DB42B8" w:rsidRPr="009D0C76" w:rsidRDefault="009D0C76" w:rsidP="009D0C76">
      <w:pPr>
        <w:jc w:val="both"/>
        <w:rPr>
          <w:rFonts w:ascii="Verdana" w:hAnsi="Verdana" w:cs="Verdana"/>
          <w:bCs/>
          <w:sz w:val="20"/>
          <w:szCs w:val="22"/>
        </w:rPr>
      </w:pPr>
      <w:r w:rsidRPr="00585577">
        <w:rPr>
          <w:rFonts w:ascii="Verdana" w:hAnsi="Verdana" w:cs="Verdana"/>
          <w:b/>
          <w:bCs/>
          <w:sz w:val="20"/>
          <w:szCs w:val="22"/>
        </w:rPr>
        <w:t>Tra i principali vincoli alla piena diffusione del Fintech</w:t>
      </w:r>
      <w:r w:rsidR="00F62EA0" w:rsidRPr="00585577">
        <w:rPr>
          <w:rFonts w:ascii="Verdana" w:hAnsi="Verdana" w:cs="Verdana"/>
          <w:b/>
          <w:bCs/>
          <w:sz w:val="20"/>
          <w:szCs w:val="22"/>
        </w:rPr>
        <w:t>,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i Confidi</w:t>
      </w:r>
      <w:r w:rsidR="00F62EA0" w:rsidRPr="00585577">
        <w:rPr>
          <w:rFonts w:ascii="Verdana" w:hAnsi="Verdana" w:cs="Verdana"/>
          <w:b/>
          <w:bCs/>
          <w:sz w:val="20"/>
          <w:szCs w:val="22"/>
        </w:rPr>
        <w:t xml:space="preserve"> maggiori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indicano al primo posto</w:t>
      </w:r>
      <w:r w:rsidR="00793344" w:rsidRPr="00585577">
        <w:rPr>
          <w:rFonts w:ascii="Verdana" w:hAnsi="Verdana" w:cs="Verdana"/>
          <w:b/>
          <w:bCs/>
          <w:sz w:val="20"/>
          <w:szCs w:val="22"/>
        </w:rPr>
        <w:t>,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F62EA0" w:rsidRPr="00585577">
        <w:rPr>
          <w:rFonts w:ascii="Verdana" w:hAnsi="Verdana" w:cs="Verdana"/>
          <w:b/>
          <w:bCs/>
          <w:sz w:val="20"/>
          <w:szCs w:val="22"/>
        </w:rPr>
        <w:t xml:space="preserve">in circa il </w:t>
      </w:r>
      <w:r w:rsidRPr="00585577">
        <w:rPr>
          <w:rFonts w:ascii="Verdana" w:hAnsi="Verdana" w:cs="Verdana"/>
          <w:b/>
          <w:bCs/>
          <w:sz w:val="20"/>
          <w:szCs w:val="22"/>
        </w:rPr>
        <w:t>40% dei casi</w:t>
      </w:r>
      <w:r w:rsidR="00793344" w:rsidRPr="00585577">
        <w:rPr>
          <w:rFonts w:ascii="Verdana" w:hAnsi="Verdana" w:cs="Verdana"/>
          <w:b/>
          <w:bCs/>
          <w:sz w:val="20"/>
          <w:szCs w:val="22"/>
        </w:rPr>
        <w:t>,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l’incertezza del quadro normativo,</w:t>
      </w:r>
      <w:r w:rsidR="00F62EA0" w:rsidRPr="00585577">
        <w:rPr>
          <w:rFonts w:ascii="Verdana" w:hAnsi="Verdana" w:cs="Verdana"/>
          <w:b/>
          <w:bCs/>
          <w:sz w:val="20"/>
          <w:szCs w:val="22"/>
        </w:rPr>
        <w:t xml:space="preserve"> seguita dagli alti costi di implementazione,</w:t>
      </w:r>
      <w:r w:rsidRPr="00585577">
        <w:rPr>
          <w:rFonts w:ascii="Verdana" w:hAnsi="Verdana" w:cs="Verdana"/>
          <w:b/>
          <w:bCs/>
          <w:sz w:val="20"/>
          <w:szCs w:val="22"/>
        </w:rPr>
        <w:t xml:space="preserve"> </w:t>
      </w:r>
      <w:r w:rsidRPr="009D0C76">
        <w:rPr>
          <w:rFonts w:ascii="Verdana" w:hAnsi="Verdana" w:cs="Verdana"/>
          <w:bCs/>
          <w:sz w:val="20"/>
          <w:szCs w:val="22"/>
        </w:rPr>
        <w:t xml:space="preserve">mentre all’opposto la difficoltà nel prevedere i flussi di cassa futuri e l’assenza di un partner IT sono percepiti come </w:t>
      </w:r>
      <w:r w:rsidR="00F62EA0">
        <w:rPr>
          <w:rFonts w:ascii="Verdana" w:hAnsi="Verdana" w:cs="Verdana"/>
          <w:bCs/>
          <w:sz w:val="20"/>
          <w:szCs w:val="22"/>
        </w:rPr>
        <w:t>meno problematici</w:t>
      </w:r>
      <w:r w:rsidRPr="009D0C76">
        <w:rPr>
          <w:rFonts w:ascii="Verdana" w:hAnsi="Verdana" w:cs="Verdana"/>
          <w:bCs/>
          <w:sz w:val="20"/>
          <w:szCs w:val="22"/>
        </w:rPr>
        <w:t>.</w:t>
      </w:r>
    </w:p>
    <w:p w14:paraId="57EFA206" w14:textId="1DBF3736" w:rsidR="00585577" w:rsidRPr="009D0C76" w:rsidRDefault="00943D3B" w:rsidP="009D0C76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U</w:t>
      </w:r>
      <w:r w:rsidR="00DB42B8">
        <w:rPr>
          <w:rFonts w:ascii="Verdana" w:hAnsi="Verdana" w:cs="Verdana"/>
          <w:bCs/>
          <w:sz w:val="20"/>
          <w:szCs w:val="22"/>
        </w:rPr>
        <w:t>no sguardo al</w:t>
      </w:r>
      <w:r w:rsidR="00FA107B">
        <w:rPr>
          <w:rFonts w:ascii="Verdana" w:hAnsi="Verdana" w:cs="Verdana"/>
          <w:bCs/>
          <w:sz w:val="20"/>
          <w:szCs w:val="22"/>
        </w:rPr>
        <w:t>le previsioni</w:t>
      </w:r>
      <w:r w:rsidR="00DB42B8">
        <w:rPr>
          <w:rFonts w:ascii="Verdana" w:hAnsi="Verdana" w:cs="Verdana"/>
          <w:bCs/>
          <w:sz w:val="20"/>
          <w:szCs w:val="22"/>
        </w:rPr>
        <w:t xml:space="preserve"> futur</w:t>
      </w:r>
      <w:r w:rsidR="00FA107B">
        <w:rPr>
          <w:rFonts w:ascii="Verdana" w:hAnsi="Verdana" w:cs="Verdana"/>
          <w:bCs/>
          <w:sz w:val="20"/>
          <w:szCs w:val="22"/>
        </w:rPr>
        <w:t>e</w:t>
      </w:r>
      <w:r w:rsidR="00DB42B8">
        <w:rPr>
          <w:rFonts w:ascii="Verdana" w:hAnsi="Verdana" w:cs="Verdana"/>
          <w:bCs/>
          <w:sz w:val="20"/>
          <w:szCs w:val="22"/>
        </w:rPr>
        <w:t xml:space="preserve"> evidenzia che </w:t>
      </w:r>
      <w:r w:rsidR="009D0C76" w:rsidRPr="00585577">
        <w:rPr>
          <w:rFonts w:ascii="Verdana" w:hAnsi="Verdana" w:cs="Verdana"/>
          <w:b/>
          <w:bCs/>
          <w:sz w:val="20"/>
          <w:szCs w:val="22"/>
        </w:rPr>
        <w:t>i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>l 36%</w:t>
      </w:r>
      <w:r w:rsidR="009D0C76" w:rsidRPr="00585577">
        <w:rPr>
          <w:rFonts w:ascii="Verdana" w:hAnsi="Verdana" w:cs="Verdana"/>
          <w:b/>
          <w:bCs/>
          <w:sz w:val="20"/>
          <w:szCs w:val="22"/>
        </w:rPr>
        <w:t xml:space="preserve"> Confidi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 xml:space="preserve"> intervistati</w:t>
      </w:r>
      <w:r w:rsidR="009D0C76" w:rsidRPr="00585577">
        <w:rPr>
          <w:rFonts w:ascii="Verdana" w:hAnsi="Verdana" w:cs="Verdana"/>
          <w:b/>
          <w:bCs/>
          <w:sz w:val="20"/>
          <w:szCs w:val="22"/>
        </w:rPr>
        <w:t xml:space="preserve"> attendono un’ulteriore evoluzione in termini di ampliamento dei segmenti di clientela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 xml:space="preserve"> e </w:t>
      </w:r>
      <w:r w:rsidR="009D0C76" w:rsidRPr="00585577">
        <w:rPr>
          <w:rFonts w:ascii="Verdana" w:hAnsi="Verdana" w:cs="Verdana"/>
          <w:b/>
          <w:bCs/>
          <w:sz w:val="20"/>
          <w:szCs w:val="22"/>
        </w:rPr>
        <w:t xml:space="preserve">business coinvolti dal Fintech anche </w:t>
      </w:r>
      <w:r w:rsidR="00DB42B8" w:rsidRPr="00585577">
        <w:rPr>
          <w:rFonts w:ascii="Verdana" w:hAnsi="Verdana" w:cs="Verdana"/>
          <w:b/>
          <w:bCs/>
          <w:sz w:val="20"/>
          <w:szCs w:val="22"/>
        </w:rPr>
        <w:t>grazie all’introduzione di</w:t>
      </w:r>
      <w:r w:rsidR="009D0C76" w:rsidRPr="00585577">
        <w:rPr>
          <w:rFonts w:ascii="Verdana" w:hAnsi="Verdana" w:cs="Verdana"/>
          <w:b/>
          <w:bCs/>
          <w:sz w:val="20"/>
          <w:szCs w:val="22"/>
        </w:rPr>
        <w:t xml:space="preserve"> nuove tecnologie</w:t>
      </w:r>
      <w:r w:rsidR="00DB42B8">
        <w:rPr>
          <w:rFonts w:ascii="Verdana" w:hAnsi="Verdana" w:cs="Verdana"/>
          <w:bCs/>
          <w:sz w:val="20"/>
          <w:szCs w:val="22"/>
        </w:rPr>
        <w:t xml:space="preserve">, come </w:t>
      </w:r>
      <w:r w:rsidR="009D0C76" w:rsidRPr="009D0C76">
        <w:rPr>
          <w:rFonts w:ascii="Verdana" w:hAnsi="Verdana" w:cs="Verdana"/>
          <w:bCs/>
          <w:sz w:val="20"/>
          <w:szCs w:val="22"/>
        </w:rPr>
        <w:t>firma digitale, API, cloud, big data e IA. Meno percepito è il rischio di maggiore concorrenza</w:t>
      </w:r>
      <w:r w:rsidR="00DB42B8">
        <w:rPr>
          <w:rFonts w:ascii="Verdana" w:hAnsi="Verdana" w:cs="Verdana"/>
          <w:bCs/>
          <w:sz w:val="20"/>
          <w:szCs w:val="22"/>
        </w:rPr>
        <w:t>, sia da parte di operatori non finanziari (</w:t>
      </w:r>
      <w:r w:rsidR="00793344">
        <w:rPr>
          <w:rFonts w:ascii="Verdana" w:hAnsi="Verdana" w:cs="Verdana"/>
          <w:bCs/>
          <w:sz w:val="20"/>
          <w:szCs w:val="22"/>
        </w:rPr>
        <w:t xml:space="preserve">indicati dal </w:t>
      </w:r>
      <w:r w:rsidR="00DB42B8">
        <w:rPr>
          <w:rFonts w:ascii="Verdana" w:hAnsi="Verdana" w:cs="Verdana"/>
          <w:bCs/>
          <w:sz w:val="20"/>
          <w:szCs w:val="22"/>
        </w:rPr>
        <w:t>20% del totale), sia di player dello stesso settore di business (8%)</w:t>
      </w:r>
      <w:r w:rsidR="009D0C76" w:rsidRPr="009D0C76">
        <w:rPr>
          <w:rFonts w:ascii="Verdana" w:hAnsi="Verdana" w:cs="Verdana"/>
          <w:bCs/>
          <w:sz w:val="20"/>
          <w:szCs w:val="22"/>
        </w:rPr>
        <w:t>.</w:t>
      </w:r>
      <w:r w:rsidR="00DB42B8">
        <w:rPr>
          <w:rFonts w:ascii="Verdana" w:hAnsi="Verdana" w:cs="Verdana"/>
          <w:bCs/>
          <w:sz w:val="20"/>
          <w:szCs w:val="22"/>
        </w:rPr>
        <w:t xml:space="preserve"> </w:t>
      </w:r>
      <w:r>
        <w:rPr>
          <w:rFonts w:ascii="Verdana" w:hAnsi="Verdana" w:cs="Verdana"/>
          <w:bCs/>
          <w:sz w:val="20"/>
          <w:szCs w:val="22"/>
        </w:rPr>
        <w:t>Infine, l</w:t>
      </w:r>
      <w:r w:rsidR="00DB42B8">
        <w:rPr>
          <w:rFonts w:ascii="Verdana" w:hAnsi="Verdana" w:cs="Verdana"/>
          <w:bCs/>
          <w:sz w:val="20"/>
          <w:szCs w:val="22"/>
        </w:rPr>
        <w:t xml:space="preserve">a combinazione tra l’inizio di </w:t>
      </w:r>
      <w:r w:rsidR="00DB42B8" w:rsidRPr="00DB42B8">
        <w:rPr>
          <w:rFonts w:ascii="Verdana" w:hAnsi="Verdana" w:cs="Verdana"/>
          <w:bCs/>
          <w:sz w:val="20"/>
          <w:szCs w:val="22"/>
        </w:rPr>
        <w:t xml:space="preserve">nuovi progetti </w:t>
      </w:r>
      <w:r w:rsidR="00DB42B8">
        <w:rPr>
          <w:rFonts w:ascii="Verdana" w:hAnsi="Verdana" w:cs="Verdana"/>
          <w:bCs/>
          <w:sz w:val="20"/>
          <w:szCs w:val="22"/>
        </w:rPr>
        <w:t xml:space="preserve">e </w:t>
      </w:r>
      <w:r w:rsidR="00DB42B8" w:rsidRPr="00DB42B8">
        <w:rPr>
          <w:rFonts w:ascii="Verdana" w:hAnsi="Verdana" w:cs="Verdana"/>
          <w:bCs/>
          <w:sz w:val="20"/>
          <w:szCs w:val="22"/>
        </w:rPr>
        <w:t xml:space="preserve">l’entrata in </w:t>
      </w:r>
      <w:r w:rsidR="00DB42B8">
        <w:rPr>
          <w:rFonts w:ascii="Verdana" w:hAnsi="Verdana" w:cs="Verdana"/>
          <w:bCs/>
          <w:sz w:val="20"/>
          <w:szCs w:val="22"/>
        </w:rPr>
        <w:t>attività di quelli</w:t>
      </w:r>
      <w:r w:rsidR="00DB42B8" w:rsidRPr="00DB42B8">
        <w:rPr>
          <w:rFonts w:ascii="Verdana" w:hAnsi="Verdana" w:cs="Verdana"/>
          <w:bCs/>
          <w:sz w:val="20"/>
          <w:szCs w:val="22"/>
        </w:rPr>
        <w:t xml:space="preserve"> in corso potranno portare ad un incremento di ricavi che </w:t>
      </w:r>
      <w:r w:rsidR="00DB42B8">
        <w:rPr>
          <w:rFonts w:ascii="Verdana" w:hAnsi="Verdana" w:cs="Verdana"/>
          <w:bCs/>
          <w:sz w:val="20"/>
          <w:szCs w:val="22"/>
        </w:rPr>
        <w:t>per circa il</w:t>
      </w:r>
      <w:r w:rsidR="00DB42B8" w:rsidRPr="00DB42B8">
        <w:rPr>
          <w:rFonts w:ascii="Verdana" w:hAnsi="Verdana" w:cs="Verdana"/>
          <w:bCs/>
          <w:sz w:val="20"/>
          <w:szCs w:val="22"/>
        </w:rPr>
        <w:t xml:space="preserve"> 70% dei casi è stimato dai Confidi in oltre 100.000 euro annui</w:t>
      </w:r>
      <w:r w:rsidR="00DB42B8">
        <w:rPr>
          <w:rFonts w:ascii="Verdana" w:hAnsi="Verdana" w:cs="Verdana"/>
          <w:bCs/>
          <w:sz w:val="20"/>
          <w:szCs w:val="22"/>
        </w:rPr>
        <w:t>.</w:t>
      </w:r>
    </w:p>
    <w:p w14:paraId="02A29BFB" w14:textId="0755E88B" w:rsidR="00F014E3" w:rsidRDefault="00F014E3" w:rsidP="00F014E3">
      <w:pPr>
        <w:jc w:val="both"/>
        <w:rPr>
          <w:rFonts w:ascii="Verdana" w:hAnsi="Verdana" w:cs="Verdana"/>
          <w:bCs/>
          <w:sz w:val="20"/>
          <w:szCs w:val="22"/>
        </w:rPr>
      </w:pPr>
    </w:p>
    <w:p w14:paraId="12BB446D" w14:textId="47012B05" w:rsidR="0034122C" w:rsidRPr="008F2BB1" w:rsidRDefault="00CD3367" w:rsidP="0034122C">
      <w:pPr>
        <w:jc w:val="both"/>
        <w:rPr>
          <w:rFonts w:ascii="Verdana" w:hAnsi="Verdana"/>
          <w:i/>
          <w:sz w:val="20"/>
          <w:szCs w:val="20"/>
        </w:rPr>
      </w:pPr>
      <w:r w:rsidRPr="00CD3367">
        <w:rPr>
          <w:rFonts w:ascii="Verdana" w:hAnsi="Verdana"/>
          <w:i/>
          <w:sz w:val="20"/>
          <w:szCs w:val="20"/>
        </w:rPr>
        <w:t xml:space="preserve">“I risultati di questa </w:t>
      </w:r>
      <w:r w:rsidR="00315880">
        <w:rPr>
          <w:rFonts w:ascii="Verdana" w:hAnsi="Verdana"/>
          <w:i/>
          <w:sz w:val="20"/>
          <w:szCs w:val="20"/>
        </w:rPr>
        <w:t xml:space="preserve">ricerca </w:t>
      </w:r>
      <w:r w:rsidRPr="00CD3367">
        <w:rPr>
          <w:rFonts w:ascii="Verdana" w:hAnsi="Verdana"/>
          <w:i/>
          <w:sz w:val="20"/>
          <w:szCs w:val="20"/>
        </w:rPr>
        <w:t xml:space="preserve">confermano che anche per i Confidi, così come per tutti </w:t>
      </w:r>
      <w:r w:rsidR="00315880">
        <w:rPr>
          <w:rFonts w:ascii="Verdana" w:hAnsi="Verdana"/>
          <w:i/>
          <w:sz w:val="20"/>
          <w:szCs w:val="20"/>
        </w:rPr>
        <w:t>gli operatori</w:t>
      </w:r>
      <w:r w:rsidRPr="00CD3367">
        <w:rPr>
          <w:rFonts w:ascii="Verdana" w:hAnsi="Verdana"/>
          <w:i/>
          <w:sz w:val="20"/>
          <w:szCs w:val="20"/>
        </w:rPr>
        <w:t xml:space="preserve"> finanziari, il percorso verso un </w:t>
      </w:r>
      <w:r w:rsidR="00315880">
        <w:rPr>
          <w:rFonts w:ascii="Verdana" w:hAnsi="Verdana"/>
          <w:i/>
          <w:sz w:val="20"/>
          <w:szCs w:val="20"/>
        </w:rPr>
        <w:t xml:space="preserve">nuovo </w:t>
      </w:r>
      <w:r w:rsidRPr="00CD3367">
        <w:rPr>
          <w:rFonts w:ascii="Verdana" w:hAnsi="Verdana"/>
          <w:i/>
          <w:sz w:val="20"/>
          <w:szCs w:val="20"/>
        </w:rPr>
        <w:t>approccio al cliente è ormai tracciato</w:t>
      </w:r>
      <w:r w:rsidR="00315880">
        <w:rPr>
          <w:rFonts w:ascii="Verdana" w:hAnsi="Verdana"/>
          <w:i/>
          <w:sz w:val="20"/>
          <w:szCs w:val="20"/>
        </w:rPr>
        <w:t xml:space="preserve"> e che innovazione e nuove tecnologie sono destinate a giocare un ruolo sempre più </w:t>
      </w:r>
      <w:r w:rsidR="0034122C">
        <w:rPr>
          <w:rFonts w:ascii="Verdana" w:hAnsi="Verdana"/>
          <w:i/>
          <w:sz w:val="20"/>
          <w:szCs w:val="20"/>
        </w:rPr>
        <w:t>cruciale</w:t>
      </w:r>
      <w:r w:rsidR="0034122C" w:rsidRPr="0034122C">
        <w:rPr>
          <w:rFonts w:ascii="Verdana" w:hAnsi="Verdana"/>
          <w:sz w:val="20"/>
          <w:szCs w:val="20"/>
        </w:rPr>
        <w:t xml:space="preserve"> </w:t>
      </w:r>
      <w:r w:rsidR="0034122C">
        <w:rPr>
          <w:rFonts w:ascii="Verdana" w:hAnsi="Verdana"/>
          <w:sz w:val="20"/>
          <w:szCs w:val="20"/>
        </w:rPr>
        <w:t xml:space="preserve">- </w:t>
      </w:r>
      <w:r w:rsidR="0034122C" w:rsidRPr="00CD3367">
        <w:rPr>
          <w:rFonts w:ascii="Verdana" w:hAnsi="Verdana"/>
          <w:sz w:val="20"/>
          <w:szCs w:val="20"/>
        </w:rPr>
        <w:t xml:space="preserve">commenta </w:t>
      </w:r>
      <w:r w:rsidR="008D3326" w:rsidRPr="006B1695">
        <w:rPr>
          <w:rFonts w:ascii="Verdana" w:hAnsi="Verdana"/>
          <w:b/>
          <w:sz w:val="20"/>
          <w:szCs w:val="20"/>
        </w:rPr>
        <w:t>Vito Antonio Furio</w:t>
      </w:r>
      <w:r w:rsidR="00F26C7B">
        <w:rPr>
          <w:rFonts w:ascii="Verdana" w:hAnsi="Verdana"/>
          <w:b/>
          <w:sz w:val="20"/>
          <w:szCs w:val="20"/>
        </w:rPr>
        <w:t>,</w:t>
      </w:r>
      <w:r w:rsidR="0034122C" w:rsidRPr="00CD3367">
        <w:rPr>
          <w:rFonts w:ascii="Verdana" w:hAnsi="Verdana"/>
          <w:b/>
          <w:sz w:val="20"/>
          <w:szCs w:val="20"/>
        </w:rPr>
        <w:t xml:space="preserve"> Director di CRIF</w:t>
      </w:r>
      <w:r w:rsidR="0034122C">
        <w:rPr>
          <w:rFonts w:ascii="Verdana" w:hAnsi="Verdana"/>
          <w:b/>
          <w:sz w:val="20"/>
          <w:szCs w:val="20"/>
        </w:rPr>
        <w:t xml:space="preserve"> -</w:t>
      </w:r>
      <w:r w:rsidR="0034122C" w:rsidRPr="00CD3367">
        <w:rPr>
          <w:rFonts w:ascii="Verdana" w:hAnsi="Verdana"/>
          <w:b/>
          <w:sz w:val="20"/>
          <w:szCs w:val="20"/>
        </w:rPr>
        <w:t>.</w:t>
      </w:r>
      <w:r w:rsidR="0034122C">
        <w:rPr>
          <w:rFonts w:ascii="Verdana" w:hAnsi="Verdana"/>
          <w:b/>
          <w:sz w:val="20"/>
          <w:szCs w:val="20"/>
        </w:rPr>
        <w:t xml:space="preserve"> </w:t>
      </w:r>
      <w:r w:rsidR="0034122C" w:rsidRPr="008F2BB1">
        <w:rPr>
          <w:rFonts w:ascii="Verdana" w:hAnsi="Verdana"/>
          <w:i/>
          <w:sz w:val="20"/>
          <w:szCs w:val="20"/>
        </w:rPr>
        <w:t xml:space="preserve">Del resto, in uno scenario in cui gli investimenti nello sviluppo e implementazione di soluzioni Fintech hanno </w:t>
      </w:r>
      <w:r w:rsidR="00A87339">
        <w:rPr>
          <w:rFonts w:ascii="Verdana" w:hAnsi="Verdana"/>
          <w:i/>
          <w:sz w:val="20"/>
          <w:szCs w:val="20"/>
        </w:rPr>
        <w:t xml:space="preserve">abbondantemente </w:t>
      </w:r>
      <w:r w:rsidR="0034122C" w:rsidRPr="008F2BB1">
        <w:rPr>
          <w:rFonts w:ascii="Verdana" w:hAnsi="Verdana"/>
          <w:i/>
          <w:sz w:val="20"/>
          <w:szCs w:val="20"/>
        </w:rPr>
        <w:t>superato i 100 miliardi di dollari, è normale che anche i Confidi sia</w:t>
      </w:r>
      <w:r w:rsidR="0034122C">
        <w:rPr>
          <w:rFonts w:ascii="Verdana" w:hAnsi="Verdana"/>
          <w:i/>
          <w:sz w:val="20"/>
          <w:szCs w:val="20"/>
        </w:rPr>
        <w:t>no focalizzati su</w:t>
      </w:r>
      <w:r w:rsidR="0034122C" w:rsidRPr="008F2BB1">
        <w:rPr>
          <w:rFonts w:ascii="Verdana" w:hAnsi="Verdana"/>
          <w:i/>
          <w:sz w:val="20"/>
          <w:szCs w:val="20"/>
        </w:rPr>
        <w:t xml:space="preserve"> nuove soluzioni in grado di migliorare</w:t>
      </w:r>
      <w:r w:rsidR="0034122C">
        <w:rPr>
          <w:rFonts w:ascii="Verdana" w:hAnsi="Verdana"/>
          <w:i/>
          <w:sz w:val="20"/>
          <w:szCs w:val="20"/>
        </w:rPr>
        <w:t xml:space="preserve"> concretamente</w:t>
      </w:r>
      <w:r w:rsidR="0034122C" w:rsidRPr="008F2BB1">
        <w:rPr>
          <w:rFonts w:ascii="Verdana" w:hAnsi="Verdana"/>
          <w:i/>
          <w:sz w:val="20"/>
          <w:szCs w:val="20"/>
        </w:rPr>
        <w:t xml:space="preserve"> i processi verso i propri clienti finali così come verso le aziende di credito”.</w:t>
      </w:r>
    </w:p>
    <w:p w14:paraId="3661F876" w14:textId="77777777" w:rsidR="0034122C" w:rsidRDefault="0034122C" w:rsidP="00CD3367">
      <w:pPr>
        <w:jc w:val="both"/>
        <w:rPr>
          <w:rFonts w:ascii="Verdana" w:hAnsi="Verdana"/>
          <w:i/>
          <w:sz w:val="20"/>
          <w:szCs w:val="20"/>
        </w:rPr>
      </w:pPr>
    </w:p>
    <w:p w14:paraId="23F2EBD7" w14:textId="77777777" w:rsidR="0034122C" w:rsidRDefault="0034122C" w:rsidP="00CD3367">
      <w:pPr>
        <w:jc w:val="both"/>
        <w:rPr>
          <w:rFonts w:ascii="Verdana" w:hAnsi="Verdana"/>
          <w:i/>
          <w:sz w:val="20"/>
          <w:szCs w:val="20"/>
        </w:rPr>
      </w:pPr>
    </w:p>
    <w:p w14:paraId="4470A4E8" w14:textId="40D035DF" w:rsidR="00CD3367" w:rsidRDefault="00A87339" w:rsidP="00CD33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“CRIF, che per l’8° anno consecutivo </w:t>
      </w:r>
      <w:r w:rsidR="00CD3367" w:rsidRPr="00CD3367">
        <w:rPr>
          <w:rFonts w:ascii="Verdana" w:hAnsi="Verdana"/>
          <w:i/>
          <w:sz w:val="20"/>
          <w:szCs w:val="20"/>
        </w:rPr>
        <w:t xml:space="preserve">è </w:t>
      </w:r>
      <w:r>
        <w:rPr>
          <w:rFonts w:ascii="Verdana" w:hAnsi="Verdana"/>
          <w:i/>
          <w:sz w:val="20"/>
          <w:szCs w:val="20"/>
        </w:rPr>
        <w:t xml:space="preserve">stata citata </w:t>
      </w:r>
      <w:r>
        <w:rPr>
          <w:rFonts w:ascii="Verdana" w:hAnsi="Verdana"/>
          <w:sz w:val="20"/>
          <w:szCs w:val="20"/>
        </w:rPr>
        <w:t>dell’</w:t>
      </w:r>
      <w:r w:rsidRPr="00CD3367">
        <w:rPr>
          <w:rFonts w:ascii="Verdana" w:hAnsi="Verdana"/>
          <w:sz w:val="20"/>
          <w:szCs w:val="20"/>
        </w:rPr>
        <w:t>IDC FinTech Rankings</w:t>
      </w:r>
      <w:r w:rsidRPr="00CD3367">
        <w:rPr>
          <w:rFonts w:ascii="Verdana" w:hAnsi="Verdana"/>
          <w:i/>
          <w:sz w:val="20"/>
          <w:szCs w:val="20"/>
        </w:rPr>
        <w:t xml:space="preserve"> </w:t>
      </w:r>
      <w:r w:rsidR="00CD3367" w:rsidRPr="00CD3367">
        <w:rPr>
          <w:rFonts w:ascii="Verdana" w:hAnsi="Verdana"/>
          <w:i/>
          <w:sz w:val="20"/>
          <w:szCs w:val="20"/>
        </w:rPr>
        <w:t xml:space="preserve">tra le </w:t>
      </w:r>
      <w:r>
        <w:rPr>
          <w:rFonts w:ascii="Verdana" w:hAnsi="Verdana"/>
          <w:i/>
          <w:sz w:val="20"/>
          <w:szCs w:val="20"/>
        </w:rPr>
        <w:t>top</w:t>
      </w:r>
      <w:r w:rsidRPr="00CD3367">
        <w:rPr>
          <w:rFonts w:ascii="Verdana" w:hAnsi="Verdana"/>
          <w:i/>
          <w:sz w:val="20"/>
          <w:szCs w:val="20"/>
        </w:rPr>
        <w:t xml:space="preserve"> </w:t>
      </w:r>
      <w:r w:rsidR="00CD3367" w:rsidRPr="00CD3367">
        <w:rPr>
          <w:rFonts w:ascii="Verdana" w:hAnsi="Verdana"/>
          <w:i/>
          <w:sz w:val="20"/>
          <w:szCs w:val="20"/>
        </w:rPr>
        <w:t xml:space="preserve">100 Fintech al mondo, da oltre 20 anni </w:t>
      </w:r>
      <w:r>
        <w:rPr>
          <w:rFonts w:ascii="Verdana" w:hAnsi="Verdana"/>
          <w:i/>
          <w:sz w:val="20"/>
          <w:szCs w:val="20"/>
        </w:rPr>
        <w:t>si pone come</w:t>
      </w:r>
      <w:r w:rsidRPr="00CD3367">
        <w:rPr>
          <w:rFonts w:ascii="Verdana" w:hAnsi="Verdana"/>
          <w:i/>
          <w:sz w:val="20"/>
          <w:szCs w:val="20"/>
        </w:rPr>
        <w:t xml:space="preserve"> </w:t>
      </w:r>
      <w:r w:rsidR="00CD3367" w:rsidRPr="00CD3367">
        <w:rPr>
          <w:rFonts w:ascii="Verdana" w:hAnsi="Verdana"/>
          <w:i/>
          <w:sz w:val="20"/>
          <w:szCs w:val="20"/>
        </w:rPr>
        <w:t xml:space="preserve">punto di riferimento </w:t>
      </w:r>
      <w:r>
        <w:rPr>
          <w:rFonts w:ascii="Verdana" w:hAnsi="Verdana"/>
          <w:i/>
          <w:sz w:val="20"/>
          <w:szCs w:val="20"/>
        </w:rPr>
        <w:t>nel</w:t>
      </w:r>
      <w:r w:rsidR="00CD3367" w:rsidRPr="00CD3367">
        <w:rPr>
          <w:rFonts w:ascii="Verdana" w:hAnsi="Verdana"/>
          <w:i/>
          <w:sz w:val="20"/>
          <w:szCs w:val="20"/>
        </w:rPr>
        <w:t xml:space="preserve">le soluzioni a supporto dei processi di valutazione delle imprese. </w:t>
      </w:r>
      <w:r>
        <w:rPr>
          <w:rFonts w:ascii="Verdana" w:hAnsi="Verdana"/>
          <w:i/>
          <w:sz w:val="20"/>
          <w:szCs w:val="20"/>
        </w:rPr>
        <w:t>Questo ci ha spinto a sviluppare competenze e soluzioni sempre più avanzate e performanti per</w:t>
      </w:r>
      <w:r w:rsidR="00CD3367" w:rsidRPr="00CD3367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consentire </w:t>
      </w:r>
      <w:r w:rsidR="000304D7">
        <w:rPr>
          <w:rFonts w:ascii="Verdana" w:hAnsi="Verdana"/>
          <w:i/>
          <w:sz w:val="20"/>
          <w:szCs w:val="20"/>
        </w:rPr>
        <w:t xml:space="preserve">anche </w:t>
      </w:r>
      <w:r>
        <w:rPr>
          <w:rFonts w:ascii="Verdana" w:hAnsi="Verdana"/>
          <w:i/>
          <w:sz w:val="20"/>
          <w:szCs w:val="20"/>
        </w:rPr>
        <w:t>ai Confidi</w:t>
      </w:r>
      <w:r w:rsidR="00CD3367" w:rsidRPr="00CD3367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uno</w:t>
      </w:r>
      <w:r w:rsidR="00CD3367" w:rsidRPr="00CD3367">
        <w:rPr>
          <w:rFonts w:ascii="Verdana" w:hAnsi="Verdana"/>
          <w:i/>
          <w:sz w:val="20"/>
          <w:szCs w:val="20"/>
        </w:rPr>
        <w:t xml:space="preserve"> sviluppo </w:t>
      </w:r>
      <w:r>
        <w:rPr>
          <w:rFonts w:ascii="Verdana" w:hAnsi="Verdana"/>
          <w:i/>
          <w:sz w:val="20"/>
          <w:szCs w:val="20"/>
        </w:rPr>
        <w:t xml:space="preserve">profittevole e sostenibile </w:t>
      </w:r>
      <w:r w:rsidR="00CD3367" w:rsidRPr="00CD3367">
        <w:rPr>
          <w:rFonts w:ascii="Verdana" w:hAnsi="Verdana"/>
          <w:i/>
          <w:sz w:val="20"/>
          <w:szCs w:val="20"/>
        </w:rPr>
        <w:t xml:space="preserve">del </w:t>
      </w:r>
      <w:r>
        <w:rPr>
          <w:rFonts w:ascii="Verdana" w:hAnsi="Verdana"/>
          <w:i/>
          <w:sz w:val="20"/>
          <w:szCs w:val="20"/>
        </w:rPr>
        <w:t xml:space="preserve">proprio </w:t>
      </w:r>
      <w:r w:rsidR="00CD3367" w:rsidRPr="00CD3367">
        <w:rPr>
          <w:rFonts w:ascii="Verdana" w:hAnsi="Verdana"/>
          <w:i/>
          <w:sz w:val="20"/>
          <w:szCs w:val="20"/>
        </w:rPr>
        <w:t xml:space="preserve">business. </w:t>
      </w:r>
      <w:r>
        <w:rPr>
          <w:rFonts w:ascii="Verdana" w:hAnsi="Verdana"/>
          <w:i/>
          <w:sz w:val="20"/>
          <w:szCs w:val="20"/>
        </w:rPr>
        <w:t>A questo riguardo, l</w:t>
      </w:r>
      <w:r w:rsidR="00CD3367" w:rsidRPr="00CD3367">
        <w:rPr>
          <w:rFonts w:ascii="Verdana" w:hAnsi="Verdana"/>
          <w:i/>
          <w:sz w:val="20"/>
          <w:szCs w:val="20"/>
        </w:rPr>
        <w:t>a piattaforma CRIF Digital Next</w:t>
      </w:r>
      <w:r>
        <w:rPr>
          <w:rFonts w:ascii="Verdana" w:hAnsi="Verdana"/>
          <w:i/>
          <w:sz w:val="20"/>
          <w:szCs w:val="20"/>
        </w:rPr>
        <w:t xml:space="preserve">, rilasciata all’inizio di quest’anno, </w:t>
      </w:r>
      <w:r w:rsidR="00CD3367" w:rsidRPr="00CD3367">
        <w:rPr>
          <w:rFonts w:ascii="Verdana" w:hAnsi="Verdana"/>
          <w:i/>
          <w:sz w:val="20"/>
          <w:szCs w:val="20"/>
        </w:rPr>
        <w:t>consent</w:t>
      </w:r>
      <w:r w:rsidR="000304D7">
        <w:rPr>
          <w:rFonts w:ascii="Verdana" w:hAnsi="Verdana"/>
          <w:i/>
          <w:sz w:val="20"/>
          <w:szCs w:val="20"/>
        </w:rPr>
        <w:t>e</w:t>
      </w:r>
      <w:r w:rsidR="00CD3367" w:rsidRPr="00CD3367">
        <w:rPr>
          <w:rFonts w:ascii="Verdana" w:hAnsi="Verdana"/>
          <w:i/>
          <w:sz w:val="20"/>
          <w:szCs w:val="20"/>
        </w:rPr>
        <w:t xml:space="preserve"> ai Confidi </w:t>
      </w:r>
      <w:r w:rsidR="002929D1">
        <w:rPr>
          <w:rFonts w:ascii="Verdana" w:hAnsi="Verdana"/>
          <w:i/>
          <w:sz w:val="20"/>
          <w:szCs w:val="20"/>
        </w:rPr>
        <w:t xml:space="preserve">sviluppare il business integrando strumenti di intelligenza artificiale per la valutazione delle imprese e </w:t>
      </w:r>
      <w:r w:rsidR="000304D7">
        <w:rPr>
          <w:rFonts w:ascii="Verdana" w:hAnsi="Verdana"/>
          <w:i/>
          <w:sz w:val="20"/>
          <w:szCs w:val="20"/>
        </w:rPr>
        <w:t xml:space="preserve">di far evolvere </w:t>
      </w:r>
      <w:r w:rsidR="00CD3367" w:rsidRPr="00CD3367">
        <w:rPr>
          <w:rFonts w:ascii="Verdana" w:hAnsi="Verdana"/>
          <w:i/>
          <w:sz w:val="20"/>
          <w:szCs w:val="20"/>
        </w:rPr>
        <w:t xml:space="preserve">la customer experience </w:t>
      </w:r>
      <w:r w:rsidR="000304D7">
        <w:rPr>
          <w:rFonts w:ascii="Verdana" w:hAnsi="Verdana"/>
          <w:i/>
          <w:sz w:val="20"/>
          <w:szCs w:val="20"/>
        </w:rPr>
        <w:t xml:space="preserve">dei propri </w:t>
      </w:r>
      <w:r w:rsidR="00CD3367" w:rsidRPr="00CD3367">
        <w:rPr>
          <w:rFonts w:ascii="Verdana" w:hAnsi="Verdana"/>
          <w:i/>
          <w:sz w:val="20"/>
          <w:szCs w:val="20"/>
        </w:rPr>
        <w:t xml:space="preserve">soci </w:t>
      </w:r>
      <w:r w:rsidR="000304D7">
        <w:rPr>
          <w:rFonts w:ascii="Verdana" w:hAnsi="Verdana"/>
          <w:i/>
          <w:sz w:val="20"/>
          <w:szCs w:val="20"/>
        </w:rPr>
        <w:t xml:space="preserve">offrendo anche </w:t>
      </w:r>
      <w:r w:rsidR="00CD3367" w:rsidRPr="00CD3367">
        <w:rPr>
          <w:rFonts w:ascii="Verdana" w:hAnsi="Verdana"/>
          <w:i/>
          <w:sz w:val="20"/>
          <w:szCs w:val="20"/>
        </w:rPr>
        <w:t xml:space="preserve">servizi </w:t>
      </w:r>
      <w:r w:rsidR="000304D7">
        <w:rPr>
          <w:rFonts w:ascii="Verdana" w:hAnsi="Verdana"/>
          <w:i/>
          <w:sz w:val="20"/>
          <w:szCs w:val="20"/>
        </w:rPr>
        <w:t xml:space="preserve">altamente </w:t>
      </w:r>
      <w:r w:rsidR="00CD3367" w:rsidRPr="00CD3367">
        <w:rPr>
          <w:rFonts w:ascii="Verdana" w:hAnsi="Verdana"/>
          <w:i/>
          <w:sz w:val="20"/>
          <w:szCs w:val="20"/>
        </w:rPr>
        <w:t xml:space="preserve">innovativi </w:t>
      </w:r>
      <w:r w:rsidR="000304D7">
        <w:rPr>
          <w:rFonts w:ascii="Verdana" w:hAnsi="Verdana"/>
          <w:i/>
          <w:sz w:val="20"/>
          <w:szCs w:val="20"/>
        </w:rPr>
        <w:t>relativi, ad esempio, al</w:t>
      </w:r>
      <w:r w:rsidR="00CD3367" w:rsidRPr="00CD3367">
        <w:rPr>
          <w:rFonts w:ascii="Verdana" w:hAnsi="Verdana"/>
          <w:i/>
          <w:sz w:val="20"/>
          <w:szCs w:val="20"/>
        </w:rPr>
        <w:t xml:space="preserve">l’accesso alla finanza agevolata, </w:t>
      </w:r>
      <w:r w:rsidR="000304D7">
        <w:rPr>
          <w:rFonts w:ascii="Verdana" w:hAnsi="Verdana"/>
          <w:i/>
          <w:sz w:val="20"/>
          <w:szCs w:val="20"/>
        </w:rPr>
        <w:t>al</w:t>
      </w:r>
      <w:r w:rsidR="00CD3367" w:rsidRPr="00CD3367">
        <w:rPr>
          <w:rFonts w:ascii="Verdana" w:hAnsi="Verdana"/>
          <w:i/>
          <w:sz w:val="20"/>
          <w:szCs w:val="20"/>
        </w:rPr>
        <w:t xml:space="preserve">l’internazionalizzazione </w:t>
      </w:r>
      <w:r w:rsidR="000304D7">
        <w:rPr>
          <w:rFonts w:ascii="Verdana" w:hAnsi="Verdana"/>
          <w:i/>
          <w:sz w:val="20"/>
          <w:szCs w:val="20"/>
        </w:rPr>
        <w:t xml:space="preserve">delle imprese </w:t>
      </w:r>
      <w:r w:rsidR="00CD3367" w:rsidRPr="00CD3367">
        <w:rPr>
          <w:rFonts w:ascii="Verdana" w:hAnsi="Verdana"/>
          <w:i/>
          <w:sz w:val="20"/>
          <w:szCs w:val="20"/>
        </w:rPr>
        <w:t>o</w:t>
      </w:r>
      <w:r w:rsidR="000304D7">
        <w:rPr>
          <w:rFonts w:ascii="Verdana" w:hAnsi="Verdana"/>
          <w:i/>
          <w:sz w:val="20"/>
          <w:szCs w:val="20"/>
        </w:rPr>
        <w:t>, ancora, al</w:t>
      </w:r>
      <w:r w:rsidR="00CD3367" w:rsidRPr="00CD3367">
        <w:rPr>
          <w:rFonts w:ascii="Verdana" w:hAnsi="Verdana"/>
          <w:i/>
          <w:sz w:val="20"/>
          <w:szCs w:val="20"/>
        </w:rPr>
        <w:t>la consulenza per la gestione finanziaria”</w:t>
      </w:r>
      <w:r w:rsidR="00CD3367" w:rsidRPr="00CD3367">
        <w:rPr>
          <w:rFonts w:ascii="Verdana" w:hAnsi="Verdana"/>
          <w:sz w:val="20"/>
          <w:szCs w:val="20"/>
        </w:rPr>
        <w:t>, co</w:t>
      </w:r>
      <w:r>
        <w:rPr>
          <w:rFonts w:ascii="Verdana" w:hAnsi="Verdana"/>
          <w:sz w:val="20"/>
          <w:szCs w:val="20"/>
        </w:rPr>
        <w:t>nclude</w:t>
      </w:r>
      <w:r w:rsidR="00CD3367" w:rsidRPr="00CD3367">
        <w:rPr>
          <w:rFonts w:ascii="Verdana" w:hAnsi="Verdana"/>
          <w:b/>
          <w:sz w:val="20"/>
          <w:szCs w:val="20"/>
        </w:rPr>
        <w:t xml:space="preserve"> </w:t>
      </w:r>
      <w:r w:rsidR="008D3326">
        <w:rPr>
          <w:rFonts w:ascii="Verdana" w:hAnsi="Verdana"/>
          <w:b/>
          <w:sz w:val="20"/>
          <w:szCs w:val="20"/>
        </w:rPr>
        <w:t>Furio</w:t>
      </w:r>
      <w:r w:rsidR="00CD3367" w:rsidRPr="00CD3367">
        <w:rPr>
          <w:rFonts w:ascii="Verdana" w:hAnsi="Verdana"/>
          <w:b/>
          <w:sz w:val="20"/>
          <w:szCs w:val="20"/>
        </w:rPr>
        <w:t>.</w:t>
      </w:r>
    </w:p>
    <w:p w14:paraId="485721B1" w14:textId="7998A35E" w:rsidR="000304D7" w:rsidRDefault="000304D7" w:rsidP="00F877EA">
      <w:pPr>
        <w:rPr>
          <w:rFonts w:ascii="Verdana" w:hAnsi="Verdana" w:cs="Verdana"/>
          <w:b/>
          <w:bCs/>
        </w:rPr>
      </w:pPr>
    </w:p>
    <w:p w14:paraId="43E699AB" w14:textId="77777777" w:rsidR="003917FB" w:rsidRDefault="003917FB" w:rsidP="00F877EA">
      <w:pPr>
        <w:pStyle w:val="CRIFBodyText"/>
        <w:jc w:val="left"/>
        <w:rPr>
          <w:sz w:val="18"/>
          <w:szCs w:val="18"/>
          <w:lang w:val="it-IT"/>
        </w:rPr>
      </w:pPr>
    </w:p>
    <w:p w14:paraId="6216BCB4" w14:textId="77777777" w:rsidR="003917FB" w:rsidRDefault="003917FB" w:rsidP="00F877EA">
      <w:pPr>
        <w:pStyle w:val="CRIFBodyText"/>
        <w:jc w:val="left"/>
        <w:rPr>
          <w:sz w:val="18"/>
          <w:szCs w:val="18"/>
          <w:lang w:val="it-IT"/>
        </w:rPr>
      </w:pPr>
    </w:p>
    <w:p w14:paraId="763C6CC2" w14:textId="77777777" w:rsidR="003917FB" w:rsidRDefault="003917FB" w:rsidP="00F877EA">
      <w:pPr>
        <w:pStyle w:val="CRIFBodyText"/>
        <w:jc w:val="left"/>
        <w:rPr>
          <w:sz w:val="18"/>
          <w:szCs w:val="18"/>
          <w:lang w:val="it-IT"/>
        </w:rPr>
      </w:pPr>
    </w:p>
    <w:p w14:paraId="3E8FEC37" w14:textId="77777777" w:rsidR="003917FB" w:rsidRDefault="003917FB" w:rsidP="00F877EA">
      <w:pPr>
        <w:pStyle w:val="CRIFBodyText"/>
        <w:jc w:val="left"/>
        <w:rPr>
          <w:sz w:val="18"/>
          <w:szCs w:val="18"/>
          <w:lang w:val="it-IT"/>
        </w:rPr>
      </w:pPr>
    </w:p>
    <w:p w14:paraId="723BF461" w14:textId="07255739" w:rsidR="00F877EA" w:rsidRPr="00102115" w:rsidRDefault="00F877EA" w:rsidP="00F877EA">
      <w:pPr>
        <w:pStyle w:val="CRIFBodyText"/>
        <w:jc w:val="left"/>
        <w:rPr>
          <w:rFonts w:eastAsia="Calibri"/>
          <w:i/>
          <w:sz w:val="18"/>
          <w:szCs w:val="18"/>
          <w:lang w:val="it-IT"/>
        </w:rPr>
      </w:pPr>
      <w:bookmarkStart w:id="0" w:name="_GoBack"/>
      <w:bookmarkEnd w:id="0"/>
      <w:r w:rsidRPr="00102115">
        <w:rPr>
          <w:sz w:val="18"/>
          <w:szCs w:val="18"/>
          <w:lang w:val="it-IT"/>
        </w:rPr>
        <w:t>Per ulteriori informazioni:</w:t>
      </w:r>
      <w:r w:rsidRPr="00102115">
        <w:rPr>
          <w:sz w:val="18"/>
          <w:szCs w:val="18"/>
          <w:lang w:val="it-IT"/>
        </w:rPr>
        <w:br/>
      </w:r>
      <w:r w:rsidRPr="00102115">
        <w:rPr>
          <w:snapToGrid w:val="0"/>
          <w:sz w:val="18"/>
          <w:szCs w:val="18"/>
          <w:lang w:val="it-IT"/>
        </w:rPr>
        <w:t xml:space="preserve">Luca Fumagalli – </w:t>
      </w:r>
      <w:hyperlink r:id="rId13" w:history="1">
        <w:r w:rsidRPr="00102115">
          <w:rPr>
            <w:rStyle w:val="Hyperlink"/>
            <w:snapToGrid w:val="0"/>
            <w:sz w:val="18"/>
            <w:szCs w:val="18"/>
            <w:lang w:val="it-IT"/>
          </w:rPr>
          <w:t>luca.fumagalli@bcw-global.com</w:t>
        </w:r>
      </w:hyperlink>
      <w:r w:rsidRPr="00102115">
        <w:rPr>
          <w:snapToGrid w:val="0"/>
          <w:sz w:val="18"/>
          <w:szCs w:val="18"/>
          <w:lang w:val="it-IT"/>
        </w:rPr>
        <w:t xml:space="preserve"> - Tel. 348 4586948</w:t>
      </w:r>
    </w:p>
    <w:p w14:paraId="31C874F7" w14:textId="77777777" w:rsidR="00F877EA" w:rsidRDefault="00F877EA" w:rsidP="00F877EA">
      <w:pPr>
        <w:rPr>
          <w:rFonts w:ascii="Verdana" w:hAnsi="Verdana" w:cs="Verdana"/>
          <w:b/>
          <w:bCs/>
        </w:rPr>
      </w:pPr>
    </w:p>
    <w:sectPr w:rsidR="00F877EA" w:rsidSect="00102115">
      <w:headerReference w:type="default" r:id="rId14"/>
      <w:footerReference w:type="default" r:id="rId15"/>
      <w:pgSz w:w="11906" w:h="16838"/>
      <w:pgMar w:top="20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6538" w14:textId="77777777" w:rsidR="009B406D" w:rsidRDefault="009B406D" w:rsidP="00C91761">
      <w:r>
        <w:separator/>
      </w:r>
    </w:p>
  </w:endnote>
  <w:endnote w:type="continuationSeparator" w:id="0">
    <w:p w14:paraId="6A409CFB" w14:textId="77777777" w:rsidR="009B406D" w:rsidRDefault="009B406D" w:rsidP="00C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5F3" w14:textId="5ACA047B" w:rsidR="00032839" w:rsidRDefault="000328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515">
      <w:rPr>
        <w:noProof/>
      </w:rPr>
      <w:t>3</w:t>
    </w:r>
    <w:r>
      <w:rPr>
        <w:noProof/>
      </w:rPr>
      <w:fldChar w:fldCharType="end"/>
    </w:r>
  </w:p>
  <w:p w14:paraId="791406F5" w14:textId="77777777" w:rsidR="00032839" w:rsidRDefault="000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8E34" w14:textId="77777777" w:rsidR="009B406D" w:rsidRDefault="009B406D" w:rsidP="00C91761">
      <w:r>
        <w:separator/>
      </w:r>
    </w:p>
  </w:footnote>
  <w:footnote w:type="continuationSeparator" w:id="0">
    <w:p w14:paraId="31AAEAB3" w14:textId="77777777" w:rsidR="009B406D" w:rsidRDefault="009B406D" w:rsidP="00C9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38EE" w14:textId="64F312E0" w:rsidR="00F014E3" w:rsidRDefault="00F014E3">
    <w:pPr>
      <w:pStyle w:val="Header"/>
    </w:pPr>
    <w:r w:rsidRPr="002A09F3">
      <w:rPr>
        <w:noProof/>
      </w:rPr>
      <w:drawing>
        <wp:anchor distT="0" distB="0" distL="114300" distR="114300" simplePos="0" relativeHeight="251659264" behindDoc="0" locked="0" layoutInCell="1" allowOverlap="1" wp14:anchorId="5C2812E2" wp14:editId="08695D7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208405" cy="539750"/>
          <wp:effectExtent l="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D6B"/>
    <w:multiLevelType w:val="multilevel"/>
    <w:tmpl w:val="019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6967"/>
    <w:multiLevelType w:val="hybridMultilevel"/>
    <w:tmpl w:val="C7DCD026"/>
    <w:lvl w:ilvl="0" w:tplc="C75C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3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EE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2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D80DB5"/>
    <w:multiLevelType w:val="hybridMultilevel"/>
    <w:tmpl w:val="959AA5D0"/>
    <w:lvl w:ilvl="0" w:tplc="70328B32">
      <w:numFmt w:val="bullet"/>
      <w:lvlText w:val="-"/>
      <w:lvlJc w:val="left"/>
      <w:pPr>
        <w:ind w:left="1146" w:hanging="360"/>
      </w:pPr>
      <w:rPr>
        <w:rFonts w:ascii="Verdana" w:eastAsia="Calibri" w:hAnsi="Verdana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D5FB9"/>
    <w:multiLevelType w:val="hybridMultilevel"/>
    <w:tmpl w:val="EF9CBB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68DD"/>
    <w:multiLevelType w:val="hybridMultilevel"/>
    <w:tmpl w:val="B3CAFF58"/>
    <w:lvl w:ilvl="0" w:tplc="A5402BEE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212DB"/>
    <w:multiLevelType w:val="multilevel"/>
    <w:tmpl w:val="FE1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61"/>
    <w:rsid w:val="000133FD"/>
    <w:rsid w:val="00013FD8"/>
    <w:rsid w:val="00014B1C"/>
    <w:rsid w:val="0002127B"/>
    <w:rsid w:val="00023DDC"/>
    <w:rsid w:val="0002632A"/>
    <w:rsid w:val="000304D7"/>
    <w:rsid w:val="0003089F"/>
    <w:rsid w:val="00030F46"/>
    <w:rsid w:val="00032839"/>
    <w:rsid w:val="00034411"/>
    <w:rsid w:val="00040D84"/>
    <w:rsid w:val="000455FA"/>
    <w:rsid w:val="00050007"/>
    <w:rsid w:val="00050A7A"/>
    <w:rsid w:val="00050DAA"/>
    <w:rsid w:val="00053997"/>
    <w:rsid w:val="00056DB0"/>
    <w:rsid w:val="00061B35"/>
    <w:rsid w:val="000735C7"/>
    <w:rsid w:val="00077E3E"/>
    <w:rsid w:val="00080E9E"/>
    <w:rsid w:val="00084219"/>
    <w:rsid w:val="00094001"/>
    <w:rsid w:val="0009597B"/>
    <w:rsid w:val="000A2C48"/>
    <w:rsid w:val="000B0748"/>
    <w:rsid w:val="000B2294"/>
    <w:rsid w:val="000B3D3F"/>
    <w:rsid w:val="000B51AB"/>
    <w:rsid w:val="000B5A4C"/>
    <w:rsid w:val="000C3D32"/>
    <w:rsid w:val="000C49DF"/>
    <w:rsid w:val="000C4C28"/>
    <w:rsid w:val="000D0098"/>
    <w:rsid w:val="000D7CC5"/>
    <w:rsid w:val="000E7AE2"/>
    <w:rsid w:val="000E7BB1"/>
    <w:rsid w:val="000F4EB2"/>
    <w:rsid w:val="000F5E68"/>
    <w:rsid w:val="00100989"/>
    <w:rsid w:val="00102115"/>
    <w:rsid w:val="001142CB"/>
    <w:rsid w:val="001151BE"/>
    <w:rsid w:val="00115352"/>
    <w:rsid w:val="00116C2E"/>
    <w:rsid w:val="00117BF6"/>
    <w:rsid w:val="00120D0A"/>
    <w:rsid w:val="00123B46"/>
    <w:rsid w:val="001268DA"/>
    <w:rsid w:val="00126905"/>
    <w:rsid w:val="00131FC2"/>
    <w:rsid w:val="001365C1"/>
    <w:rsid w:val="00137023"/>
    <w:rsid w:val="00137C65"/>
    <w:rsid w:val="00157B81"/>
    <w:rsid w:val="00162287"/>
    <w:rsid w:val="0016337D"/>
    <w:rsid w:val="00163567"/>
    <w:rsid w:val="001635F8"/>
    <w:rsid w:val="00180C63"/>
    <w:rsid w:val="00187B0F"/>
    <w:rsid w:val="001946C9"/>
    <w:rsid w:val="001B074C"/>
    <w:rsid w:val="001B0C07"/>
    <w:rsid w:val="001B286E"/>
    <w:rsid w:val="001B3978"/>
    <w:rsid w:val="001B450E"/>
    <w:rsid w:val="001B4B2B"/>
    <w:rsid w:val="001B6AFF"/>
    <w:rsid w:val="001C0F20"/>
    <w:rsid w:val="001C2677"/>
    <w:rsid w:val="001D4842"/>
    <w:rsid w:val="001D5ADF"/>
    <w:rsid w:val="001D6614"/>
    <w:rsid w:val="001D6CFC"/>
    <w:rsid w:val="001E2FFE"/>
    <w:rsid w:val="001E69C2"/>
    <w:rsid w:val="001F0AE4"/>
    <w:rsid w:val="001F73F9"/>
    <w:rsid w:val="00200F00"/>
    <w:rsid w:val="00202F1A"/>
    <w:rsid w:val="0021176A"/>
    <w:rsid w:val="00211F75"/>
    <w:rsid w:val="00223986"/>
    <w:rsid w:val="00227FDE"/>
    <w:rsid w:val="00241827"/>
    <w:rsid w:val="00274DB3"/>
    <w:rsid w:val="00280617"/>
    <w:rsid w:val="00287150"/>
    <w:rsid w:val="002929D1"/>
    <w:rsid w:val="00296717"/>
    <w:rsid w:val="002A234B"/>
    <w:rsid w:val="002A25A2"/>
    <w:rsid w:val="002A4740"/>
    <w:rsid w:val="002B43B1"/>
    <w:rsid w:val="002B785E"/>
    <w:rsid w:val="002C72D7"/>
    <w:rsid w:val="002E5EB9"/>
    <w:rsid w:val="002F1772"/>
    <w:rsid w:val="002F2FDA"/>
    <w:rsid w:val="002F4A7A"/>
    <w:rsid w:val="00310B35"/>
    <w:rsid w:val="00311BB5"/>
    <w:rsid w:val="00315880"/>
    <w:rsid w:val="00315F7F"/>
    <w:rsid w:val="00317790"/>
    <w:rsid w:val="003204A0"/>
    <w:rsid w:val="00331F48"/>
    <w:rsid w:val="00332784"/>
    <w:rsid w:val="00334EFF"/>
    <w:rsid w:val="003353E5"/>
    <w:rsid w:val="00340273"/>
    <w:rsid w:val="0034122C"/>
    <w:rsid w:val="00347421"/>
    <w:rsid w:val="0035073F"/>
    <w:rsid w:val="00351246"/>
    <w:rsid w:val="00354460"/>
    <w:rsid w:val="00354A5E"/>
    <w:rsid w:val="00354B76"/>
    <w:rsid w:val="0035562E"/>
    <w:rsid w:val="0035777B"/>
    <w:rsid w:val="00364DF0"/>
    <w:rsid w:val="00372846"/>
    <w:rsid w:val="0037662D"/>
    <w:rsid w:val="003904E3"/>
    <w:rsid w:val="003917FB"/>
    <w:rsid w:val="00396878"/>
    <w:rsid w:val="003A0D66"/>
    <w:rsid w:val="003A46E8"/>
    <w:rsid w:val="003A51D9"/>
    <w:rsid w:val="003C0AE9"/>
    <w:rsid w:val="003D4BB5"/>
    <w:rsid w:val="003E4FDD"/>
    <w:rsid w:val="003E54BD"/>
    <w:rsid w:val="00400642"/>
    <w:rsid w:val="004030AC"/>
    <w:rsid w:val="00410FEF"/>
    <w:rsid w:val="00411051"/>
    <w:rsid w:val="00416169"/>
    <w:rsid w:val="00433439"/>
    <w:rsid w:val="00435448"/>
    <w:rsid w:val="00441E5E"/>
    <w:rsid w:val="0044388E"/>
    <w:rsid w:val="0044561D"/>
    <w:rsid w:val="004475AE"/>
    <w:rsid w:val="004521F7"/>
    <w:rsid w:val="00454BA0"/>
    <w:rsid w:val="0045621A"/>
    <w:rsid w:val="00462C0B"/>
    <w:rsid w:val="0046333B"/>
    <w:rsid w:val="004642EA"/>
    <w:rsid w:val="00465586"/>
    <w:rsid w:val="00473BB0"/>
    <w:rsid w:val="00482567"/>
    <w:rsid w:val="004832B5"/>
    <w:rsid w:val="004A14E8"/>
    <w:rsid w:val="004A3B62"/>
    <w:rsid w:val="004B66EF"/>
    <w:rsid w:val="004C1FB3"/>
    <w:rsid w:val="004C285A"/>
    <w:rsid w:val="004C6600"/>
    <w:rsid w:val="004D01A8"/>
    <w:rsid w:val="004D67C2"/>
    <w:rsid w:val="004D6F7E"/>
    <w:rsid w:val="004E3CEA"/>
    <w:rsid w:val="004E71E0"/>
    <w:rsid w:val="004F6A86"/>
    <w:rsid w:val="005052E9"/>
    <w:rsid w:val="00512D72"/>
    <w:rsid w:val="00513857"/>
    <w:rsid w:val="0053021B"/>
    <w:rsid w:val="00536743"/>
    <w:rsid w:val="00544456"/>
    <w:rsid w:val="0054751B"/>
    <w:rsid w:val="0055184C"/>
    <w:rsid w:val="00552E53"/>
    <w:rsid w:val="00564DCF"/>
    <w:rsid w:val="005727BA"/>
    <w:rsid w:val="00572FB5"/>
    <w:rsid w:val="00574071"/>
    <w:rsid w:val="00574557"/>
    <w:rsid w:val="00580F74"/>
    <w:rsid w:val="00585577"/>
    <w:rsid w:val="005A22E2"/>
    <w:rsid w:val="005A3927"/>
    <w:rsid w:val="005B000B"/>
    <w:rsid w:val="005B09CA"/>
    <w:rsid w:val="005B4478"/>
    <w:rsid w:val="005B513F"/>
    <w:rsid w:val="005B69A9"/>
    <w:rsid w:val="005B6CE9"/>
    <w:rsid w:val="005C1FDA"/>
    <w:rsid w:val="005C6357"/>
    <w:rsid w:val="005D1985"/>
    <w:rsid w:val="005D634C"/>
    <w:rsid w:val="005E1919"/>
    <w:rsid w:val="005E2905"/>
    <w:rsid w:val="005E649B"/>
    <w:rsid w:val="005F5E9B"/>
    <w:rsid w:val="0060333E"/>
    <w:rsid w:val="00606936"/>
    <w:rsid w:val="006232B8"/>
    <w:rsid w:val="006346FC"/>
    <w:rsid w:val="00635570"/>
    <w:rsid w:val="006356EE"/>
    <w:rsid w:val="00635EA6"/>
    <w:rsid w:val="0064368A"/>
    <w:rsid w:val="00671118"/>
    <w:rsid w:val="006763E2"/>
    <w:rsid w:val="00680CE6"/>
    <w:rsid w:val="00682AE9"/>
    <w:rsid w:val="006834E9"/>
    <w:rsid w:val="006901D7"/>
    <w:rsid w:val="006928F8"/>
    <w:rsid w:val="0069549C"/>
    <w:rsid w:val="006A1CB5"/>
    <w:rsid w:val="006A39B3"/>
    <w:rsid w:val="006A56B2"/>
    <w:rsid w:val="006A6FB9"/>
    <w:rsid w:val="006A7588"/>
    <w:rsid w:val="006B1695"/>
    <w:rsid w:val="006C0EA7"/>
    <w:rsid w:val="006C2331"/>
    <w:rsid w:val="006D08B0"/>
    <w:rsid w:val="006D2AE0"/>
    <w:rsid w:val="006E2F80"/>
    <w:rsid w:val="006E3A87"/>
    <w:rsid w:val="006E66F2"/>
    <w:rsid w:val="006F08DA"/>
    <w:rsid w:val="006F223A"/>
    <w:rsid w:val="007026BE"/>
    <w:rsid w:val="007045F2"/>
    <w:rsid w:val="00706DB7"/>
    <w:rsid w:val="007105A2"/>
    <w:rsid w:val="00714C77"/>
    <w:rsid w:val="00717CB3"/>
    <w:rsid w:val="00720B74"/>
    <w:rsid w:val="007231D5"/>
    <w:rsid w:val="00723FF0"/>
    <w:rsid w:val="00742D04"/>
    <w:rsid w:val="00755241"/>
    <w:rsid w:val="00755269"/>
    <w:rsid w:val="00762E0E"/>
    <w:rsid w:val="007801DF"/>
    <w:rsid w:val="0078408D"/>
    <w:rsid w:val="00793344"/>
    <w:rsid w:val="00796C47"/>
    <w:rsid w:val="007A794D"/>
    <w:rsid w:val="007B5BDF"/>
    <w:rsid w:val="007C3E2B"/>
    <w:rsid w:val="007D6822"/>
    <w:rsid w:val="007E121B"/>
    <w:rsid w:val="007E27F9"/>
    <w:rsid w:val="007E5515"/>
    <w:rsid w:val="007F5E42"/>
    <w:rsid w:val="007F7E07"/>
    <w:rsid w:val="0080069F"/>
    <w:rsid w:val="00805492"/>
    <w:rsid w:val="0082033F"/>
    <w:rsid w:val="008263E3"/>
    <w:rsid w:val="00852F57"/>
    <w:rsid w:val="008546B7"/>
    <w:rsid w:val="0086179A"/>
    <w:rsid w:val="00864402"/>
    <w:rsid w:val="008717EC"/>
    <w:rsid w:val="00871AF0"/>
    <w:rsid w:val="00871D48"/>
    <w:rsid w:val="0088045B"/>
    <w:rsid w:val="00892653"/>
    <w:rsid w:val="00893D50"/>
    <w:rsid w:val="008B091D"/>
    <w:rsid w:val="008B3D78"/>
    <w:rsid w:val="008C1407"/>
    <w:rsid w:val="008C3011"/>
    <w:rsid w:val="008C685B"/>
    <w:rsid w:val="008D09F9"/>
    <w:rsid w:val="008D3326"/>
    <w:rsid w:val="008D4BAB"/>
    <w:rsid w:val="008D590D"/>
    <w:rsid w:val="008F2BB1"/>
    <w:rsid w:val="00904A1B"/>
    <w:rsid w:val="00924FB3"/>
    <w:rsid w:val="0093326D"/>
    <w:rsid w:val="00943D3B"/>
    <w:rsid w:val="0095067A"/>
    <w:rsid w:val="009554E3"/>
    <w:rsid w:val="00962B50"/>
    <w:rsid w:val="009674BF"/>
    <w:rsid w:val="00972A2F"/>
    <w:rsid w:val="00975B24"/>
    <w:rsid w:val="00976D8C"/>
    <w:rsid w:val="00986B6B"/>
    <w:rsid w:val="00990BC2"/>
    <w:rsid w:val="00990E0C"/>
    <w:rsid w:val="00996EDB"/>
    <w:rsid w:val="009A345F"/>
    <w:rsid w:val="009B406D"/>
    <w:rsid w:val="009C05A2"/>
    <w:rsid w:val="009D0C76"/>
    <w:rsid w:val="009D6BE6"/>
    <w:rsid w:val="009D78F3"/>
    <w:rsid w:val="009E0D94"/>
    <w:rsid w:val="009E6612"/>
    <w:rsid w:val="009F2DDD"/>
    <w:rsid w:val="00A01EB0"/>
    <w:rsid w:val="00A03244"/>
    <w:rsid w:val="00A11DB2"/>
    <w:rsid w:val="00A13DA0"/>
    <w:rsid w:val="00A142A7"/>
    <w:rsid w:val="00A14D78"/>
    <w:rsid w:val="00A242DD"/>
    <w:rsid w:val="00A2632F"/>
    <w:rsid w:val="00A30A06"/>
    <w:rsid w:val="00A32153"/>
    <w:rsid w:val="00A32CA0"/>
    <w:rsid w:val="00A34E82"/>
    <w:rsid w:val="00A358E5"/>
    <w:rsid w:val="00A40571"/>
    <w:rsid w:val="00A44264"/>
    <w:rsid w:val="00A517F7"/>
    <w:rsid w:val="00A57D45"/>
    <w:rsid w:val="00A631F7"/>
    <w:rsid w:val="00A72DC9"/>
    <w:rsid w:val="00A87339"/>
    <w:rsid w:val="00A904FE"/>
    <w:rsid w:val="00A90A23"/>
    <w:rsid w:val="00A96865"/>
    <w:rsid w:val="00AA1FD1"/>
    <w:rsid w:val="00AA23F5"/>
    <w:rsid w:val="00AA7F72"/>
    <w:rsid w:val="00AB0B23"/>
    <w:rsid w:val="00AC0B60"/>
    <w:rsid w:val="00AD1845"/>
    <w:rsid w:val="00AD7195"/>
    <w:rsid w:val="00AE3334"/>
    <w:rsid w:val="00AE3C61"/>
    <w:rsid w:val="00AE54DE"/>
    <w:rsid w:val="00AE6154"/>
    <w:rsid w:val="00AF20F3"/>
    <w:rsid w:val="00AF4EB9"/>
    <w:rsid w:val="00AF6C36"/>
    <w:rsid w:val="00B00432"/>
    <w:rsid w:val="00B0295D"/>
    <w:rsid w:val="00B1086A"/>
    <w:rsid w:val="00B10B73"/>
    <w:rsid w:val="00B1437F"/>
    <w:rsid w:val="00B14881"/>
    <w:rsid w:val="00B17688"/>
    <w:rsid w:val="00B232A1"/>
    <w:rsid w:val="00B255A5"/>
    <w:rsid w:val="00B26489"/>
    <w:rsid w:val="00B30CAC"/>
    <w:rsid w:val="00B3502A"/>
    <w:rsid w:val="00B4087E"/>
    <w:rsid w:val="00B41A2F"/>
    <w:rsid w:val="00B42FD1"/>
    <w:rsid w:val="00B46AD2"/>
    <w:rsid w:val="00B51264"/>
    <w:rsid w:val="00B53989"/>
    <w:rsid w:val="00B556FA"/>
    <w:rsid w:val="00B5696F"/>
    <w:rsid w:val="00B63332"/>
    <w:rsid w:val="00B64EB1"/>
    <w:rsid w:val="00B71918"/>
    <w:rsid w:val="00B7314A"/>
    <w:rsid w:val="00B731DE"/>
    <w:rsid w:val="00B7418B"/>
    <w:rsid w:val="00B74EDB"/>
    <w:rsid w:val="00B77EA8"/>
    <w:rsid w:val="00B81970"/>
    <w:rsid w:val="00B8729A"/>
    <w:rsid w:val="00B9447C"/>
    <w:rsid w:val="00B94BDC"/>
    <w:rsid w:val="00BA05F3"/>
    <w:rsid w:val="00BA0BCA"/>
    <w:rsid w:val="00BA3780"/>
    <w:rsid w:val="00BA4D04"/>
    <w:rsid w:val="00BC2F69"/>
    <w:rsid w:val="00BC4727"/>
    <w:rsid w:val="00BD1FC3"/>
    <w:rsid w:val="00BE6F66"/>
    <w:rsid w:val="00C0052C"/>
    <w:rsid w:val="00C02550"/>
    <w:rsid w:val="00C02E43"/>
    <w:rsid w:val="00C07178"/>
    <w:rsid w:val="00C11956"/>
    <w:rsid w:val="00C144FD"/>
    <w:rsid w:val="00C17CFC"/>
    <w:rsid w:val="00C20ABD"/>
    <w:rsid w:val="00C223CB"/>
    <w:rsid w:val="00C22A8D"/>
    <w:rsid w:val="00C30521"/>
    <w:rsid w:val="00C34A01"/>
    <w:rsid w:val="00C34E60"/>
    <w:rsid w:val="00C37EB7"/>
    <w:rsid w:val="00C43FE7"/>
    <w:rsid w:val="00C44E27"/>
    <w:rsid w:val="00C506E0"/>
    <w:rsid w:val="00C52D12"/>
    <w:rsid w:val="00C620C4"/>
    <w:rsid w:val="00C6422B"/>
    <w:rsid w:val="00C701B4"/>
    <w:rsid w:val="00C73180"/>
    <w:rsid w:val="00C7539E"/>
    <w:rsid w:val="00C75A0F"/>
    <w:rsid w:val="00C77035"/>
    <w:rsid w:val="00C82B87"/>
    <w:rsid w:val="00C8767C"/>
    <w:rsid w:val="00C90B54"/>
    <w:rsid w:val="00C91761"/>
    <w:rsid w:val="00C9717D"/>
    <w:rsid w:val="00CA05AF"/>
    <w:rsid w:val="00CA268F"/>
    <w:rsid w:val="00CA5978"/>
    <w:rsid w:val="00CA6E36"/>
    <w:rsid w:val="00CB08B8"/>
    <w:rsid w:val="00CB516F"/>
    <w:rsid w:val="00CB51E4"/>
    <w:rsid w:val="00CB6C75"/>
    <w:rsid w:val="00CD0A89"/>
    <w:rsid w:val="00CD2EA3"/>
    <w:rsid w:val="00CD3367"/>
    <w:rsid w:val="00CD7BEC"/>
    <w:rsid w:val="00CE0219"/>
    <w:rsid w:val="00CE0F76"/>
    <w:rsid w:val="00CF33FE"/>
    <w:rsid w:val="00CF40CE"/>
    <w:rsid w:val="00CF5E07"/>
    <w:rsid w:val="00D00546"/>
    <w:rsid w:val="00D116BB"/>
    <w:rsid w:val="00D16CE4"/>
    <w:rsid w:val="00D33A17"/>
    <w:rsid w:val="00D404EE"/>
    <w:rsid w:val="00D411AC"/>
    <w:rsid w:val="00D41958"/>
    <w:rsid w:val="00D41B8A"/>
    <w:rsid w:val="00D5678E"/>
    <w:rsid w:val="00D57F11"/>
    <w:rsid w:val="00D62278"/>
    <w:rsid w:val="00D80639"/>
    <w:rsid w:val="00D85BF1"/>
    <w:rsid w:val="00D868BE"/>
    <w:rsid w:val="00D90E02"/>
    <w:rsid w:val="00D913A9"/>
    <w:rsid w:val="00D978AF"/>
    <w:rsid w:val="00DA1F0B"/>
    <w:rsid w:val="00DA2E3C"/>
    <w:rsid w:val="00DA4500"/>
    <w:rsid w:val="00DA7206"/>
    <w:rsid w:val="00DB264E"/>
    <w:rsid w:val="00DB400B"/>
    <w:rsid w:val="00DB42B8"/>
    <w:rsid w:val="00DB54C2"/>
    <w:rsid w:val="00DB56FC"/>
    <w:rsid w:val="00DB7B22"/>
    <w:rsid w:val="00DD44BB"/>
    <w:rsid w:val="00DE1076"/>
    <w:rsid w:val="00DF0C8F"/>
    <w:rsid w:val="00DF1F07"/>
    <w:rsid w:val="00DF3BC4"/>
    <w:rsid w:val="00DF7383"/>
    <w:rsid w:val="00E02F79"/>
    <w:rsid w:val="00E0468A"/>
    <w:rsid w:val="00E07CC0"/>
    <w:rsid w:val="00E14031"/>
    <w:rsid w:val="00E17BE3"/>
    <w:rsid w:val="00E21FB6"/>
    <w:rsid w:val="00E24BB1"/>
    <w:rsid w:val="00E24E36"/>
    <w:rsid w:val="00E2552A"/>
    <w:rsid w:val="00E2786D"/>
    <w:rsid w:val="00E278BD"/>
    <w:rsid w:val="00E321CA"/>
    <w:rsid w:val="00E3525E"/>
    <w:rsid w:val="00E366A8"/>
    <w:rsid w:val="00E41427"/>
    <w:rsid w:val="00E4375B"/>
    <w:rsid w:val="00E44B7F"/>
    <w:rsid w:val="00E53861"/>
    <w:rsid w:val="00E545F5"/>
    <w:rsid w:val="00E62F59"/>
    <w:rsid w:val="00E6343E"/>
    <w:rsid w:val="00E67BCA"/>
    <w:rsid w:val="00E71C08"/>
    <w:rsid w:val="00E82290"/>
    <w:rsid w:val="00E92558"/>
    <w:rsid w:val="00E9292C"/>
    <w:rsid w:val="00E92A75"/>
    <w:rsid w:val="00E954A4"/>
    <w:rsid w:val="00EA1586"/>
    <w:rsid w:val="00EA2DC2"/>
    <w:rsid w:val="00EA38BC"/>
    <w:rsid w:val="00EA7C2D"/>
    <w:rsid w:val="00EB15A1"/>
    <w:rsid w:val="00EB530C"/>
    <w:rsid w:val="00EC52F6"/>
    <w:rsid w:val="00ED62F1"/>
    <w:rsid w:val="00EF0405"/>
    <w:rsid w:val="00EF0920"/>
    <w:rsid w:val="00F014E3"/>
    <w:rsid w:val="00F12829"/>
    <w:rsid w:val="00F254D0"/>
    <w:rsid w:val="00F26C7B"/>
    <w:rsid w:val="00F318A8"/>
    <w:rsid w:val="00F51554"/>
    <w:rsid w:val="00F56C06"/>
    <w:rsid w:val="00F62EA0"/>
    <w:rsid w:val="00F818AB"/>
    <w:rsid w:val="00F8299E"/>
    <w:rsid w:val="00F862D9"/>
    <w:rsid w:val="00F87060"/>
    <w:rsid w:val="00F877EA"/>
    <w:rsid w:val="00F9487F"/>
    <w:rsid w:val="00F962D0"/>
    <w:rsid w:val="00FA107B"/>
    <w:rsid w:val="00FA13F2"/>
    <w:rsid w:val="00FC3BC5"/>
    <w:rsid w:val="00FD3F46"/>
    <w:rsid w:val="00FD4516"/>
    <w:rsid w:val="00FE4DDD"/>
    <w:rsid w:val="00FE5146"/>
    <w:rsid w:val="00FE586D"/>
    <w:rsid w:val="00FF0CB1"/>
    <w:rsid w:val="00FF2390"/>
    <w:rsid w:val="00FF3046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886BAF"/>
  <w15:docId w15:val="{1F1368A6-C701-415F-BF77-15720FA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86A"/>
    <w:rPr>
      <w:rFonts w:ascii="Tahoma" w:hAnsi="Tahoma" w:cs="Tahoma"/>
      <w:sz w:val="16"/>
      <w:szCs w:val="16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C02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BE4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C917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7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7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7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219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locked/>
    <w:rsid w:val="00C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4001"/>
    <w:pPr>
      <w:spacing w:before="100" w:beforeAutospacing="1" w:after="100" w:afterAutospacing="1"/>
    </w:pPr>
  </w:style>
  <w:style w:type="paragraph" w:customStyle="1" w:styleId="Default">
    <w:name w:val="Default"/>
    <w:rsid w:val="001C267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PlainTable3">
    <w:name w:val="Plain Table 3"/>
    <w:basedOn w:val="TableNormal"/>
    <w:uiPriority w:val="43"/>
    <w:rsid w:val="005A22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5A22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30521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521"/>
    <w:rPr>
      <w:rFonts w:ascii="Times New Roman" w:eastAsia="Times New Roman" w:hAnsi="Times New Roman"/>
      <w:sz w:val="24"/>
    </w:rPr>
  </w:style>
  <w:style w:type="paragraph" w:customStyle="1" w:styleId="CRIFBodyText">
    <w:name w:val="CRIF Body Text"/>
    <w:basedOn w:val="Normal"/>
    <w:link w:val="CRIFBodyTextChar"/>
    <w:qFormat/>
    <w:rsid w:val="00F877EA"/>
    <w:pPr>
      <w:spacing w:after="200" w:line="360" w:lineRule="auto"/>
      <w:jc w:val="both"/>
    </w:pPr>
    <w:rPr>
      <w:rFonts w:asciiTheme="minorHAnsi" w:eastAsiaTheme="minorEastAsia" w:hAnsiTheme="minorHAnsi" w:cstheme="minorBidi"/>
      <w:sz w:val="20"/>
      <w:szCs w:val="22"/>
      <w:lang w:val="en-US" w:eastAsia="en-US"/>
    </w:rPr>
  </w:style>
  <w:style w:type="character" w:customStyle="1" w:styleId="CRIFBodyTextChar">
    <w:name w:val="CRIF Body Text Char"/>
    <w:basedOn w:val="DefaultParagraphFont"/>
    <w:link w:val="CRIFBodyText"/>
    <w:rsid w:val="00F877EA"/>
    <w:rPr>
      <w:rFonts w:asciiTheme="minorHAnsi" w:eastAsiaTheme="minorEastAsia" w:hAnsiTheme="minorHAnsi" w:cstheme="minorBidi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877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F014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6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54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4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6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2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2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a.fumagalli@bcw-glob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4F4697A8100478E3CE2297357C872" ma:contentTypeVersion="27" ma:contentTypeDescription="Create a new document." ma:contentTypeScope="" ma:versionID="da89cfbd5b8a832d2d7651ba94c0a053">
  <xsd:schema xmlns:xsd="http://www.w3.org/2001/XMLSchema" xmlns:xs="http://www.w3.org/2001/XMLSchema" xmlns:p="http://schemas.microsoft.com/office/2006/metadata/properties" xmlns:ns2="47975b53-b34b-4e6a-a1ae-96c59dfc1d31" xmlns:ns3="41b5ca3c-ba29-412d-bcc5-38227231e36f" targetNamespace="http://schemas.microsoft.com/office/2006/metadata/properties" ma:root="true" ma:fieldsID="dfe3e2e829ba2661d38c1470ca632d8b" ns2:_="" ns3:_="">
    <xsd:import namespace="47975b53-b34b-4e6a-a1ae-96c59dfc1d3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jea31a22e7324150ab121756c7fd1971" minOccurs="0"/>
                <xsd:element ref="ns2:me64e7cb758644699b45d93f89265e50" minOccurs="0"/>
                <xsd:element ref="ns2:g416c5b215c5493ebd2114f09dfcf2c0" minOccurs="0"/>
                <xsd:element ref="ns2:d3c0e19bca0643f4abbd922895ef01cd" minOccurs="0"/>
                <xsd:element ref="ns2:o8f71e74e36a44d2b4a752279417e2c7" minOccurs="0"/>
                <xsd:element ref="ns2:g7dff4b666d343f5916c5d3450b89e06" minOccurs="0"/>
                <xsd:element ref="ns2:eafc672e51a9478394ed2611612c23c4" minOccurs="0"/>
                <xsd:element ref="ns2:p723e16524e5407cbb9de27505b2ad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5b53-b34b-4e6a-a1ae-96c59dfc1d31" elementFormDefault="qualified">
    <xsd:import namespace="http://schemas.microsoft.com/office/2006/documentManagement/types"/>
    <xsd:import namespace="http://schemas.microsoft.com/office/infopath/2007/PartnerControls"/>
    <xsd:element name="jea31a22e7324150ab121756c7fd1971" ma:index="18" ma:taxonomy="true" ma:internalName="jea31a22e7324150ab121756c7fd1971" ma:taxonomyFieldName="CRIFDPTDepartment" ma:displayName="Crif Department" ma:readOnly="false" ma:default="1;#Finance Italy|8ac120e4-5478-4208-851b-bc26a01850a1" ma:fieldId="{3ea31a22-e732-4150-ab12-1756c7fd1971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64e7cb758644699b45d93f89265e50" ma:index="19" nillable="true" ma:taxonomy="true" ma:internalName="me64e7cb758644699b45d93f89265e50" ma:taxonomyFieldName="CRIFDPTArea" ma:displayName="DPT Area" ma:fieldId="{6e64e7cb-7586-4469-9b45-d93f89265e50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g416c5b215c5493ebd2114f09dfcf2c0" ma:index="20" nillable="true" ma:taxonomy="true" ma:internalName="g416c5b215c5493ebd2114f09dfcf2c0" ma:taxonomyFieldName="CRIFAdditionalDepartment" ma:displayName="Additional Departments" ma:fieldId="{0416c5b2-15c5-493e-bd21-14f09dfcf2c0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c0e19bca0643f4abbd922895ef01cd" ma:index="21" nillable="true" ma:taxonomy="true" ma:internalName="d3c0e19bca0643f4abbd922895ef01cd" ma:taxonomyFieldName="CRIFM1DocumentType" ma:displayName="Type of Document" ma:fieldId="{d3c0e19b-ca06-43f4-abbd-922895ef01cd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71e74e36a44d2b4a752279417e2c7" ma:index="22" nillable="true" ma:taxonomy="true" ma:internalName="o8f71e74e36a44d2b4a752279417e2c7" ma:taxonomyFieldName="CRIFM1FrameworkPhase" ma:displayName="Framework Phase" ma:fieldId="{88f71e74-e36a-44d2-b4a7-52279417e2c7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dff4b666d343f5916c5d3450b89e06" ma:index="23" nillable="true" ma:taxonomy="true" ma:internalName="g7dff4b666d343f5916c5d3450b89e06" ma:taxonomyFieldName="CRIFM1Line" ma:displayName="Line" ma:fieldId="{07dff4b6-66d3-43f5-916c-5d3450b89e06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c672e51a9478394ed2611612c23c4" ma:index="24" nillable="true" ma:displayName="Service_0" ma:hidden="true" ma:internalName="eafc672e51a9478394ed2611612c23c4">
      <xsd:simpleType>
        <xsd:restriction base="dms:Note"/>
      </xsd:simpleType>
    </xsd:element>
    <xsd:element name="p723e16524e5407cbb9de27505b2adf8" ma:index="25" nillable="true" ma:displayName="Client_0" ma:hidden="true" ma:internalName="p723e16524e5407cbb9de27505b2adf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5b2edbb6-e62b-4c8d-9c91-08d6bdf2f9cc}" ma:internalName="TaxCatchAll" ma:showField="CatchAllData" ma:web="47975b53-b34b-4e6a-a1ae-96c59dfc1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a31a22e7324150ab121756c7fd1971 xmlns="47975b53-b34b-4e6a-a1ae-96c59dfc1d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jea31a22e7324150ab121756c7fd1971>
    <p723e16524e5407cbb9de27505b2adf8 xmlns="47975b53-b34b-4e6a-a1ae-96c59dfc1d31">NOT SPECIFIED|01a83b45-1dfb-428f-9685-192f2e281a23</p723e16524e5407cbb9de27505b2adf8>
    <eafc672e51a9478394ed2611612c23c4 xmlns="47975b53-b34b-4e6a-a1ae-96c59dfc1d31">Not Specified|a9223184-192f-4abe-b27b-541d42754eb0</eafc672e51a9478394ed2611612c23c4>
    <TaxCatchAll xmlns="41b5ca3c-ba29-412d-bcc5-38227231e36f">
      <Value>18</Value>
      <Value>15</Value>
      <Value>1</Value>
    </TaxCatchAll>
    <o8f71e74e36a44d2b4a752279417e2c7 xmlns="47975b53-b34b-4e6a-a1ae-96c59dfc1d31">
      <Terms xmlns="http://schemas.microsoft.com/office/infopath/2007/PartnerControls"/>
    </o8f71e74e36a44d2b4a752279417e2c7>
    <g416c5b215c5493ebd2114f09dfcf2c0 xmlns="47975b53-b34b-4e6a-a1ae-96c59dfc1d31">
      <Terms xmlns="http://schemas.microsoft.com/office/infopath/2007/PartnerControls"/>
    </g416c5b215c5493ebd2114f09dfcf2c0>
    <d3c0e19bca0643f4abbd922895ef01cd xmlns="47975b53-b34b-4e6a-a1ae-96c59dfc1d31">
      <Terms xmlns="http://schemas.microsoft.com/office/infopath/2007/PartnerControls"/>
    </d3c0e19bca0643f4abbd922895ef01cd>
    <g7dff4b666d343f5916c5d3450b89e06 xmlns="47975b53-b34b-4e6a-a1ae-96c59dfc1d31">
      <Terms xmlns="http://schemas.microsoft.com/office/infopath/2007/PartnerControls"/>
    </g7dff4b666d343f5916c5d3450b89e06>
    <me64e7cb758644699b45d93f89265e50 xmlns="47975b53-b34b-4e6a-a1ae-96c59dfc1d31">
      <Terms xmlns="http://schemas.microsoft.com/office/infopath/2007/PartnerControls"/>
    </me64e7cb758644699b45d93f89265e5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318D-C722-4762-9945-A383D2CF6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5b53-b34b-4e6a-a1ae-96c59dfc1d3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AED8A-C3B4-47BB-BFD3-248476298FB4}">
  <ds:schemaRefs>
    <ds:schemaRef ds:uri="47975b53-b34b-4e6a-a1ae-96c59dfc1d31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1b5ca3c-ba29-412d-bcc5-38227231e3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ECB50D-7C80-45EB-8B47-379C111DB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3919B-271A-45ED-847B-C2B40319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Analisi Frodi I semestre 2010</vt:lpstr>
      <vt:lpstr>Analisi Frodi I semestre 2010</vt:lpstr>
    </vt:vector>
  </TitlesOfParts>
  <Company>crif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Frodi I semestre 2010</dc:title>
  <dc:creator>Manfredini Maria Cristina</dc:creator>
  <cp:lastModifiedBy>Fumagalli, Luca</cp:lastModifiedBy>
  <cp:revision>3</cp:revision>
  <cp:lastPrinted>2018-07-24T07:04:00Z</cp:lastPrinted>
  <dcterms:created xsi:type="dcterms:W3CDTF">2020-11-18T09:53:00Z</dcterms:created>
  <dcterms:modified xsi:type="dcterms:W3CDTF">2020-11-18T10:08:00Z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0x010100AB44F4697A8100478E3CE2297357C872</vt:lpwstr>
  </property>
  <property fmtid="{D5CDD505-2E9C-101B-9397-08002B2CF9AE}" pid="3" name="CRIFM1Client">
    <vt:lpwstr>18;#NOT SPECIFIED|01a83b45-1dfb-428f-9685-192f2e281a23</vt:lpwstr>
  </property>
  <property fmtid="{D5CDD505-2E9C-101B-9397-08002B2CF9AE}" pid="4" name="CRIFM1Service">
    <vt:lpwstr>15;#Not Specified|a9223184-192f-4abe-b27b-541d42754eb0</vt:lpwstr>
  </property>
  <property fmtid="{D5CDD505-2E9C-101B-9397-08002B2CF9AE}" pid="5" name="CRIFDPTDepartment">
    <vt:lpwstr>1;#Finance Italy|8ac120e4-5478-4208-851b-bc26a01850a1</vt:lpwstr>
  </property>
  <property fmtid="{D5CDD505-2E9C-101B-9397-08002B2CF9AE}" pid="6" name="CRIFAdditionalDepartment">
    <vt:lpwstr/>
  </property>
  <property fmtid="{D5CDD505-2E9C-101B-9397-08002B2CF9AE}" pid="7" name="CRIFM1Lin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