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F8CCA" w14:textId="77777777" w:rsidR="008C48DC" w:rsidRDefault="008C48DC" w:rsidP="00661377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Verdana" w:hAnsi="Verdana" w:cs="Verdana"/>
          <w:sz w:val="20"/>
          <w:szCs w:val="22"/>
          <w:u w:val="single"/>
        </w:rPr>
      </w:pPr>
    </w:p>
    <w:p w14:paraId="3548E2A5" w14:textId="1D52D9AD" w:rsidR="00661377" w:rsidRPr="00E06625" w:rsidRDefault="00AB3380" w:rsidP="00661377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Verdana" w:hAnsi="Verdana" w:cs="Verdana"/>
          <w:sz w:val="20"/>
          <w:szCs w:val="22"/>
          <w:u w:val="single"/>
        </w:rPr>
      </w:pPr>
      <w:r>
        <w:rPr>
          <w:rFonts w:ascii="Verdana" w:hAnsi="Verdana" w:cs="Verdana"/>
          <w:sz w:val="20"/>
          <w:szCs w:val="22"/>
          <w:u w:val="single"/>
        </w:rPr>
        <w:t>4</w:t>
      </w:r>
      <w:r w:rsidR="00ED3B02">
        <w:rPr>
          <w:rFonts w:ascii="Verdana" w:hAnsi="Verdana" w:cs="Verdana"/>
          <w:sz w:val="20"/>
          <w:szCs w:val="22"/>
          <w:u w:val="single"/>
        </w:rPr>
        <w:t>9</w:t>
      </w:r>
      <w:r w:rsidR="00884A36">
        <w:rPr>
          <w:rFonts w:ascii="Verdana" w:hAnsi="Verdana" w:cs="Verdana"/>
          <w:sz w:val="20"/>
          <w:szCs w:val="22"/>
          <w:u w:val="single"/>
        </w:rPr>
        <w:t>^</w:t>
      </w:r>
      <w:r w:rsidR="00661377" w:rsidRPr="00E06625">
        <w:rPr>
          <w:rFonts w:ascii="Verdana" w:hAnsi="Verdana" w:cs="Verdana"/>
          <w:sz w:val="20"/>
          <w:szCs w:val="22"/>
          <w:u w:val="single"/>
        </w:rPr>
        <w:t xml:space="preserve"> edizione dell’Osservatorio Assofin - CRIF - Prometeia</w:t>
      </w:r>
    </w:p>
    <w:p w14:paraId="482BB5CC" w14:textId="77777777" w:rsidR="00661377" w:rsidRPr="009618AC" w:rsidRDefault="00661377" w:rsidP="00661377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22"/>
          <w:szCs w:val="22"/>
        </w:rPr>
      </w:pPr>
    </w:p>
    <w:p w14:paraId="17F32F29" w14:textId="72C2DB63" w:rsidR="006A16D4" w:rsidRDefault="00FB4D9C" w:rsidP="006A16D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Verdana" w:hAnsi="Verdana" w:cs="Verdana"/>
          <w:b/>
          <w:bCs/>
          <w:sz w:val="21"/>
          <w:szCs w:val="21"/>
        </w:rPr>
      </w:pPr>
      <w:r w:rsidRPr="00A27256">
        <w:rPr>
          <w:rFonts w:ascii="Verdana" w:hAnsi="Verdana" w:cs="Verdana"/>
          <w:b/>
          <w:bCs/>
          <w:sz w:val="21"/>
          <w:szCs w:val="21"/>
        </w:rPr>
        <w:t xml:space="preserve">LA PANDEMIA FA CROLLARE </w:t>
      </w:r>
      <w:r w:rsidR="00BE0695" w:rsidRPr="00A27256">
        <w:rPr>
          <w:rFonts w:ascii="Verdana" w:hAnsi="Verdana" w:cs="Verdana"/>
          <w:b/>
          <w:bCs/>
          <w:sz w:val="21"/>
          <w:szCs w:val="21"/>
        </w:rPr>
        <w:t>I FLUSSI DI CREDITO AL CONSUMO</w:t>
      </w:r>
      <w:r w:rsidRPr="00A27256">
        <w:rPr>
          <w:rFonts w:ascii="Verdana" w:hAnsi="Verdana" w:cs="Verdana"/>
          <w:b/>
          <w:bCs/>
          <w:sz w:val="21"/>
          <w:szCs w:val="21"/>
        </w:rPr>
        <w:t xml:space="preserve"> </w:t>
      </w:r>
      <w:r w:rsidRPr="00A27256">
        <w:rPr>
          <w:rFonts w:ascii="Verdana" w:hAnsi="Verdana" w:cs="Verdana"/>
          <w:b/>
          <w:bCs/>
          <w:sz w:val="21"/>
          <w:szCs w:val="21"/>
        </w:rPr>
        <w:br/>
        <w:t>NEI PRIMI N</w:t>
      </w:r>
      <w:r w:rsidR="00EF208A">
        <w:rPr>
          <w:rFonts w:ascii="Verdana" w:hAnsi="Verdana" w:cs="Verdana"/>
          <w:b/>
          <w:bCs/>
          <w:sz w:val="21"/>
          <w:szCs w:val="21"/>
        </w:rPr>
        <w:t xml:space="preserve">OVE MESI DEL 2020 (-24,8%). </w:t>
      </w:r>
      <w:r w:rsidR="00EF208A">
        <w:rPr>
          <w:rFonts w:ascii="Verdana" w:hAnsi="Verdana" w:cs="Verdana"/>
          <w:b/>
          <w:bCs/>
          <w:sz w:val="21"/>
          <w:szCs w:val="21"/>
        </w:rPr>
        <w:br/>
      </w:r>
      <w:r w:rsidRPr="00A27256">
        <w:rPr>
          <w:rFonts w:ascii="Verdana" w:hAnsi="Verdana" w:cs="Verdana"/>
          <w:b/>
          <w:bCs/>
          <w:sz w:val="21"/>
          <w:szCs w:val="21"/>
        </w:rPr>
        <w:t>PARZIALE RECUPERO NEL TERZO TRIMESTRE</w:t>
      </w:r>
      <w:r w:rsidR="006A16D4" w:rsidRPr="00A27256">
        <w:rPr>
          <w:rFonts w:ascii="Verdana" w:hAnsi="Verdana" w:cs="Verdana"/>
          <w:b/>
          <w:bCs/>
          <w:sz w:val="21"/>
          <w:szCs w:val="21"/>
        </w:rPr>
        <w:t xml:space="preserve"> </w:t>
      </w:r>
    </w:p>
    <w:p w14:paraId="386762B2" w14:textId="77777777" w:rsidR="0083256F" w:rsidRDefault="0083256F" w:rsidP="006A16D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Verdana" w:hAnsi="Verdana" w:cs="Verdana"/>
          <w:b/>
          <w:bCs/>
          <w:sz w:val="21"/>
          <w:szCs w:val="21"/>
        </w:rPr>
      </w:pPr>
    </w:p>
    <w:p w14:paraId="5156697B" w14:textId="68E6EECE" w:rsidR="00605A4B" w:rsidRPr="00E80434" w:rsidRDefault="0083256F" w:rsidP="00E804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Verdana" w:hAnsi="Verdana" w:cs="Verdana"/>
          <w:b/>
          <w:bCs/>
          <w:i/>
          <w:sz w:val="20"/>
          <w:szCs w:val="20"/>
        </w:rPr>
      </w:pPr>
      <w:r w:rsidRPr="00E80434">
        <w:rPr>
          <w:rFonts w:ascii="Verdana" w:hAnsi="Verdana" w:cs="Verdana"/>
          <w:b/>
          <w:bCs/>
          <w:i/>
          <w:sz w:val="20"/>
          <w:szCs w:val="20"/>
        </w:rPr>
        <w:t>Decisa</w:t>
      </w:r>
      <w:r w:rsidR="00605A4B" w:rsidRPr="00E80434">
        <w:rPr>
          <w:rFonts w:ascii="Verdana" w:hAnsi="Verdana" w:cs="Verdana"/>
          <w:b/>
          <w:bCs/>
          <w:i/>
          <w:sz w:val="20"/>
          <w:szCs w:val="20"/>
        </w:rPr>
        <w:t xml:space="preserve"> ripresa de</w:t>
      </w:r>
      <w:r w:rsidRPr="00E80434">
        <w:rPr>
          <w:rFonts w:ascii="Verdana" w:hAnsi="Verdana" w:cs="Verdana"/>
          <w:b/>
          <w:bCs/>
          <w:i/>
          <w:sz w:val="20"/>
          <w:szCs w:val="20"/>
        </w:rPr>
        <w:t xml:space="preserve">i finanziamenti </w:t>
      </w:r>
      <w:r w:rsidR="00605A4B" w:rsidRPr="00E80434">
        <w:rPr>
          <w:rFonts w:ascii="Verdana" w:hAnsi="Verdana" w:cs="Verdana"/>
          <w:b/>
          <w:bCs/>
          <w:i/>
          <w:sz w:val="20"/>
          <w:szCs w:val="20"/>
        </w:rPr>
        <w:t>finalizzat</w:t>
      </w:r>
      <w:r w:rsidRPr="00E80434">
        <w:rPr>
          <w:rFonts w:ascii="Verdana" w:hAnsi="Verdana" w:cs="Verdana"/>
          <w:b/>
          <w:bCs/>
          <w:i/>
          <w:sz w:val="20"/>
          <w:szCs w:val="20"/>
        </w:rPr>
        <w:t>i</w:t>
      </w:r>
      <w:r w:rsidR="00605A4B" w:rsidRPr="00E80434">
        <w:rPr>
          <w:rFonts w:ascii="Verdana" w:hAnsi="Verdana" w:cs="Verdana"/>
          <w:b/>
          <w:bCs/>
          <w:i/>
          <w:sz w:val="20"/>
          <w:szCs w:val="20"/>
        </w:rPr>
        <w:t xml:space="preserve"> auto</w:t>
      </w:r>
      <w:r w:rsidRPr="00E80434">
        <w:rPr>
          <w:rFonts w:ascii="Verdana" w:hAnsi="Verdana" w:cs="Verdana"/>
          <w:b/>
          <w:bCs/>
          <w:i/>
          <w:sz w:val="20"/>
          <w:szCs w:val="20"/>
        </w:rPr>
        <w:t>/moto</w:t>
      </w:r>
      <w:r w:rsidR="00B56815" w:rsidRPr="00E80434">
        <w:rPr>
          <w:rFonts w:ascii="Verdana" w:hAnsi="Verdana" w:cs="Verdana"/>
          <w:b/>
          <w:bCs/>
          <w:i/>
          <w:sz w:val="20"/>
          <w:szCs w:val="20"/>
        </w:rPr>
        <w:t xml:space="preserve"> </w:t>
      </w:r>
      <w:r w:rsidR="00605A4B" w:rsidRPr="00E80434">
        <w:rPr>
          <w:rFonts w:ascii="Verdana" w:hAnsi="Verdana" w:cs="Verdana"/>
          <w:b/>
          <w:bCs/>
          <w:i/>
          <w:sz w:val="20"/>
          <w:szCs w:val="20"/>
        </w:rPr>
        <w:t>(</w:t>
      </w:r>
      <w:r w:rsidRPr="00E80434">
        <w:rPr>
          <w:rFonts w:ascii="Verdana" w:hAnsi="Verdana" w:cs="Verdana"/>
          <w:b/>
          <w:bCs/>
          <w:i/>
          <w:sz w:val="20"/>
          <w:szCs w:val="20"/>
        </w:rPr>
        <w:t>+16.3%</w:t>
      </w:r>
      <w:r w:rsidR="00605A4B" w:rsidRPr="00E80434">
        <w:rPr>
          <w:rFonts w:ascii="Verdana" w:hAnsi="Verdana" w:cs="Verdana"/>
          <w:b/>
          <w:bCs/>
          <w:i/>
          <w:sz w:val="20"/>
          <w:szCs w:val="20"/>
        </w:rPr>
        <w:t xml:space="preserve">) e </w:t>
      </w:r>
      <w:r w:rsidRPr="00E80434">
        <w:rPr>
          <w:rFonts w:ascii="Verdana" w:hAnsi="Verdana" w:cs="Verdana"/>
          <w:b/>
          <w:bCs/>
          <w:i/>
          <w:sz w:val="20"/>
          <w:szCs w:val="20"/>
        </w:rPr>
        <w:t xml:space="preserve">per </w:t>
      </w:r>
      <w:r w:rsidR="00605A4B" w:rsidRPr="00E80434">
        <w:rPr>
          <w:rFonts w:ascii="Verdana" w:hAnsi="Verdana" w:cs="Verdana"/>
          <w:b/>
          <w:bCs/>
          <w:i/>
          <w:sz w:val="20"/>
          <w:szCs w:val="20"/>
        </w:rPr>
        <w:t>arredo (</w:t>
      </w:r>
      <w:r w:rsidRPr="00E80434">
        <w:rPr>
          <w:rFonts w:ascii="Verdana" w:hAnsi="Verdana" w:cs="Verdana"/>
          <w:b/>
          <w:bCs/>
          <w:i/>
          <w:sz w:val="20"/>
          <w:szCs w:val="20"/>
        </w:rPr>
        <w:t>+14.4%</w:t>
      </w:r>
      <w:r w:rsidR="00605A4B" w:rsidRPr="00E80434">
        <w:rPr>
          <w:rFonts w:ascii="Verdana" w:hAnsi="Verdana" w:cs="Verdana"/>
          <w:b/>
          <w:bCs/>
          <w:i/>
          <w:sz w:val="20"/>
          <w:szCs w:val="20"/>
        </w:rPr>
        <w:t xml:space="preserve">) nel </w:t>
      </w:r>
      <w:r w:rsidRPr="00E80434">
        <w:rPr>
          <w:rFonts w:ascii="Verdana" w:hAnsi="Verdana" w:cs="Verdana"/>
          <w:b/>
          <w:bCs/>
          <w:i/>
          <w:sz w:val="20"/>
          <w:szCs w:val="20"/>
        </w:rPr>
        <w:t>terzo</w:t>
      </w:r>
      <w:r w:rsidR="00605A4B" w:rsidRPr="00E80434">
        <w:rPr>
          <w:rFonts w:ascii="Verdana" w:hAnsi="Verdana" w:cs="Verdana"/>
          <w:b/>
          <w:bCs/>
          <w:i/>
          <w:sz w:val="20"/>
          <w:szCs w:val="20"/>
        </w:rPr>
        <w:t xml:space="preserve"> trimestre</w:t>
      </w:r>
    </w:p>
    <w:p w14:paraId="6E1D8C06" w14:textId="1954856D" w:rsidR="00FB4D9C" w:rsidRPr="00A27256" w:rsidRDefault="00FB4D9C" w:rsidP="00832DDD">
      <w:pPr>
        <w:numPr>
          <w:ilvl w:val="0"/>
          <w:numId w:val="1"/>
        </w:numPr>
        <w:spacing w:before="120" w:after="120" w:line="276" w:lineRule="auto"/>
        <w:ind w:left="714" w:right="57" w:hanging="357"/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A27256">
        <w:rPr>
          <w:rFonts w:ascii="Verdana" w:hAnsi="Verdana" w:cs="Verdana"/>
          <w:b/>
          <w:bCs/>
          <w:i/>
          <w:iCs/>
          <w:sz w:val="20"/>
          <w:szCs w:val="20"/>
        </w:rPr>
        <w:t xml:space="preserve">I prestiti personali </w:t>
      </w:r>
      <w:r w:rsidR="0083256F">
        <w:rPr>
          <w:rFonts w:ascii="Verdana" w:hAnsi="Verdana" w:cs="Verdana"/>
          <w:b/>
          <w:bCs/>
          <w:i/>
          <w:iCs/>
          <w:sz w:val="20"/>
          <w:szCs w:val="20"/>
        </w:rPr>
        <w:t>sono</w:t>
      </w:r>
      <w:r w:rsidR="0083256F" w:rsidRPr="00A27256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A27256">
        <w:rPr>
          <w:rFonts w:ascii="Verdana" w:hAnsi="Verdana" w:cs="Verdana"/>
          <w:b/>
          <w:bCs/>
          <w:i/>
          <w:iCs/>
          <w:sz w:val="20"/>
          <w:szCs w:val="20"/>
        </w:rPr>
        <w:t>la forma tecnica che ha più risentito del lockdown, accusando una flessione del -35</w:t>
      </w:r>
      <w:r w:rsidR="0083256F">
        <w:rPr>
          <w:rFonts w:ascii="Verdana" w:hAnsi="Verdana" w:cs="Verdana"/>
          <w:b/>
          <w:bCs/>
          <w:i/>
          <w:iCs/>
          <w:sz w:val="20"/>
          <w:szCs w:val="20"/>
        </w:rPr>
        <w:t>.</w:t>
      </w:r>
      <w:r w:rsidRPr="00A27256">
        <w:rPr>
          <w:rFonts w:ascii="Verdana" w:hAnsi="Verdana" w:cs="Verdana"/>
          <w:b/>
          <w:bCs/>
          <w:i/>
          <w:iCs/>
          <w:sz w:val="20"/>
          <w:szCs w:val="20"/>
        </w:rPr>
        <w:t>4% tra gennaio e settembre</w:t>
      </w:r>
    </w:p>
    <w:p w14:paraId="4122AB76" w14:textId="744B5738" w:rsidR="00AF1B14" w:rsidRPr="00A27256" w:rsidRDefault="00A27256" w:rsidP="003E2984">
      <w:pPr>
        <w:numPr>
          <w:ilvl w:val="0"/>
          <w:numId w:val="1"/>
        </w:numPr>
        <w:spacing w:before="120" w:after="120" w:line="276" w:lineRule="auto"/>
        <w:ind w:left="714" w:right="57" w:hanging="357"/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A27256">
        <w:rPr>
          <w:rFonts w:ascii="Verdana" w:hAnsi="Verdana" w:cs="Verdana"/>
          <w:b/>
          <w:bCs/>
          <w:i/>
          <w:iCs/>
          <w:sz w:val="20"/>
          <w:szCs w:val="20"/>
        </w:rPr>
        <w:t xml:space="preserve">Nei primi 9 mesi dell’anno crescono invece le erogazioni di </w:t>
      </w:r>
      <w:r w:rsidR="003A39F8" w:rsidRPr="00A27256">
        <w:rPr>
          <w:rFonts w:ascii="Verdana" w:hAnsi="Verdana" w:cs="Verdana"/>
          <w:b/>
          <w:bCs/>
          <w:i/>
          <w:iCs/>
          <w:sz w:val="20"/>
          <w:szCs w:val="20"/>
        </w:rPr>
        <w:t>mutui immobiliari</w:t>
      </w:r>
      <w:r w:rsidRPr="00A27256">
        <w:rPr>
          <w:rFonts w:ascii="Verdana" w:hAnsi="Verdana" w:cs="Verdana"/>
          <w:b/>
          <w:bCs/>
          <w:i/>
          <w:iCs/>
          <w:sz w:val="20"/>
          <w:szCs w:val="20"/>
        </w:rPr>
        <w:t xml:space="preserve"> (+12</w:t>
      </w:r>
      <w:r w:rsidR="0083256F">
        <w:rPr>
          <w:rFonts w:ascii="Verdana" w:hAnsi="Verdana" w:cs="Verdana"/>
          <w:b/>
          <w:bCs/>
          <w:i/>
          <w:iCs/>
          <w:sz w:val="20"/>
          <w:szCs w:val="20"/>
        </w:rPr>
        <w:t>.</w:t>
      </w:r>
      <w:r w:rsidRPr="00A27256">
        <w:rPr>
          <w:rFonts w:ascii="Verdana" w:hAnsi="Verdana" w:cs="Verdana"/>
          <w:b/>
          <w:bCs/>
          <w:i/>
          <w:iCs/>
          <w:sz w:val="20"/>
          <w:szCs w:val="20"/>
        </w:rPr>
        <w:t>7%), trainat</w:t>
      </w:r>
      <w:r w:rsidR="0083256F">
        <w:rPr>
          <w:rFonts w:ascii="Verdana" w:hAnsi="Verdana" w:cs="Verdana"/>
          <w:b/>
          <w:bCs/>
          <w:i/>
          <w:iCs/>
          <w:sz w:val="20"/>
          <w:szCs w:val="20"/>
        </w:rPr>
        <w:t>e</w:t>
      </w:r>
      <w:r w:rsidRPr="00A27256">
        <w:rPr>
          <w:rFonts w:ascii="Verdana" w:hAnsi="Verdana" w:cs="Verdana"/>
          <w:b/>
          <w:bCs/>
          <w:i/>
          <w:iCs/>
          <w:sz w:val="20"/>
          <w:szCs w:val="20"/>
        </w:rPr>
        <w:t xml:space="preserve"> dal boom delle surroghe</w:t>
      </w:r>
      <w:r w:rsidR="0024316D" w:rsidRPr="00A27256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</w:p>
    <w:p w14:paraId="6A18AE26" w14:textId="5BD950F4" w:rsidR="00AF1B14" w:rsidRPr="00A27256" w:rsidRDefault="00605A4B" w:rsidP="0032436D">
      <w:pPr>
        <w:numPr>
          <w:ilvl w:val="0"/>
          <w:numId w:val="1"/>
        </w:numPr>
        <w:spacing w:before="120" w:after="120" w:line="276" w:lineRule="auto"/>
        <w:ind w:left="714" w:right="57" w:hanging="357"/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P</w:t>
      </w:r>
      <w:r w:rsidR="00C44CEA">
        <w:rPr>
          <w:rFonts w:ascii="Verdana" w:hAnsi="Verdana" w:cs="Verdana"/>
          <w:b/>
          <w:bCs/>
          <w:i/>
          <w:iCs/>
          <w:sz w:val="20"/>
          <w:szCs w:val="20"/>
        </w:rPr>
        <w:t>eggioramento dei</w:t>
      </w:r>
      <w:r w:rsidR="007F66F4" w:rsidRPr="00A27256">
        <w:rPr>
          <w:rFonts w:ascii="Verdana" w:hAnsi="Verdana" w:cs="Verdana"/>
          <w:b/>
          <w:bCs/>
          <w:i/>
          <w:iCs/>
          <w:sz w:val="20"/>
          <w:szCs w:val="20"/>
        </w:rPr>
        <w:t xml:space="preserve"> tass</w:t>
      </w:r>
      <w:r w:rsidR="00C44CEA">
        <w:rPr>
          <w:rFonts w:ascii="Verdana" w:hAnsi="Verdana" w:cs="Verdana"/>
          <w:b/>
          <w:bCs/>
          <w:i/>
          <w:iCs/>
          <w:sz w:val="20"/>
          <w:szCs w:val="20"/>
        </w:rPr>
        <w:t xml:space="preserve">i </w:t>
      </w:r>
      <w:r w:rsidR="007F66F4" w:rsidRPr="00A27256">
        <w:rPr>
          <w:rFonts w:ascii="Verdana" w:hAnsi="Verdana" w:cs="Verdana"/>
          <w:b/>
          <w:bCs/>
          <w:i/>
          <w:iCs/>
          <w:sz w:val="20"/>
          <w:szCs w:val="20"/>
        </w:rPr>
        <w:t>di default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, </w:t>
      </w:r>
      <w:r w:rsidR="00337B37">
        <w:rPr>
          <w:rFonts w:ascii="Verdana" w:hAnsi="Verdana" w:cs="Verdana"/>
          <w:b/>
          <w:bCs/>
          <w:i/>
          <w:iCs/>
          <w:sz w:val="20"/>
          <w:szCs w:val="20"/>
        </w:rPr>
        <w:t xml:space="preserve">in modo lieve per il credito al consumo,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più </w:t>
      </w:r>
      <w:r w:rsidR="00337B37">
        <w:rPr>
          <w:rFonts w:ascii="Verdana" w:hAnsi="Verdana" w:cs="Verdana"/>
          <w:b/>
          <w:bCs/>
          <w:i/>
          <w:iCs/>
          <w:sz w:val="20"/>
          <w:szCs w:val="20"/>
        </w:rPr>
        <w:t>marcato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per </w:t>
      </w:r>
      <w:r>
        <w:rPr>
          <w:rFonts w:ascii="Verdana" w:hAnsi="Verdana" w:cs="Tahoma"/>
          <w:b/>
          <w:i/>
          <w:sz w:val="20"/>
          <w:szCs w:val="20"/>
        </w:rPr>
        <w:t>i</w:t>
      </w:r>
      <w:r w:rsidR="00AF1B14" w:rsidRPr="00A27256">
        <w:rPr>
          <w:rFonts w:ascii="Verdana" w:hAnsi="Verdana" w:cs="Tahoma"/>
          <w:b/>
          <w:i/>
          <w:sz w:val="20"/>
          <w:szCs w:val="20"/>
        </w:rPr>
        <w:t xml:space="preserve"> mutui</w:t>
      </w:r>
    </w:p>
    <w:p w14:paraId="1A8E944E" w14:textId="18C9DAD3" w:rsidR="00A27256" w:rsidRPr="00A27256" w:rsidRDefault="004D58C2" w:rsidP="00433B3D">
      <w:pPr>
        <w:numPr>
          <w:ilvl w:val="0"/>
          <w:numId w:val="1"/>
        </w:numPr>
        <w:spacing w:before="120" w:after="120" w:line="276" w:lineRule="auto"/>
        <w:ind w:left="714" w:right="57" w:hanging="357"/>
        <w:jc w:val="both"/>
        <w:rPr>
          <w:rFonts w:ascii="Verdana" w:hAnsi="Verdana" w:cs="Verdana"/>
          <w:bCs/>
          <w:sz w:val="20"/>
          <w:szCs w:val="20"/>
        </w:rPr>
      </w:pPr>
      <w:r w:rsidRPr="00A27256">
        <w:rPr>
          <w:rFonts w:ascii="Verdana" w:hAnsi="Verdana" w:cs="Verdana"/>
          <w:b/>
          <w:bCs/>
          <w:i/>
          <w:iCs/>
          <w:sz w:val="20"/>
          <w:szCs w:val="20"/>
        </w:rPr>
        <w:t>Le previsioni indicano un</w:t>
      </w:r>
      <w:r w:rsidR="00AF1B14" w:rsidRPr="00A27256">
        <w:rPr>
          <w:rFonts w:ascii="Verdana" w:hAnsi="Verdana" w:cs="Verdana"/>
          <w:b/>
          <w:bCs/>
          <w:i/>
          <w:iCs/>
          <w:sz w:val="20"/>
          <w:szCs w:val="20"/>
        </w:rPr>
        <w:t xml:space="preserve"> ritorno </w:t>
      </w:r>
      <w:r w:rsidR="00A27256" w:rsidRPr="00A27256">
        <w:rPr>
          <w:rFonts w:ascii="Verdana" w:hAnsi="Verdana" w:cs="Verdana"/>
          <w:b/>
          <w:bCs/>
          <w:i/>
          <w:iCs/>
          <w:sz w:val="20"/>
          <w:szCs w:val="20"/>
        </w:rPr>
        <w:t xml:space="preserve">graduale </w:t>
      </w:r>
      <w:r w:rsidR="004F4DA5" w:rsidRPr="00A27256">
        <w:rPr>
          <w:rFonts w:ascii="Verdana" w:hAnsi="Verdana" w:cs="Verdana"/>
          <w:b/>
          <w:bCs/>
          <w:i/>
          <w:iCs/>
          <w:sz w:val="20"/>
          <w:szCs w:val="20"/>
        </w:rPr>
        <w:t xml:space="preserve">alla </w:t>
      </w:r>
      <w:r w:rsidR="00AF1B14" w:rsidRPr="00A27256">
        <w:rPr>
          <w:rFonts w:ascii="Verdana" w:hAnsi="Verdana" w:cs="Verdana"/>
          <w:b/>
          <w:bCs/>
          <w:i/>
          <w:iCs/>
          <w:sz w:val="20"/>
          <w:szCs w:val="20"/>
        </w:rPr>
        <w:t xml:space="preserve">crescita </w:t>
      </w:r>
      <w:r w:rsidR="00A27256" w:rsidRPr="00A27256">
        <w:rPr>
          <w:rFonts w:ascii="Verdana" w:hAnsi="Verdana" w:cs="Verdana"/>
          <w:b/>
          <w:bCs/>
          <w:i/>
          <w:iCs/>
          <w:sz w:val="20"/>
          <w:szCs w:val="20"/>
        </w:rPr>
        <w:t xml:space="preserve">dei flussi di credito a partire dal prossimo anno e un consolidamento </w:t>
      </w:r>
      <w:r w:rsidR="00EF208A">
        <w:rPr>
          <w:rFonts w:ascii="Verdana" w:hAnsi="Verdana" w:cs="Verdana"/>
          <w:b/>
          <w:bCs/>
          <w:i/>
          <w:iCs/>
          <w:sz w:val="20"/>
          <w:szCs w:val="20"/>
        </w:rPr>
        <w:t xml:space="preserve">solamente </w:t>
      </w:r>
      <w:r w:rsidR="00A27256" w:rsidRPr="00A27256">
        <w:rPr>
          <w:rFonts w:ascii="Verdana" w:hAnsi="Verdana" w:cs="Verdana"/>
          <w:b/>
          <w:bCs/>
          <w:i/>
          <w:iCs/>
          <w:sz w:val="20"/>
          <w:szCs w:val="20"/>
        </w:rPr>
        <w:t>nel 2022. Anche la rischiosità è prevista in riduzione a partire dal 2022.</w:t>
      </w:r>
    </w:p>
    <w:p w14:paraId="342FAD82" w14:textId="3C5B2239" w:rsidR="00B56815" w:rsidRDefault="00A27256" w:rsidP="00B61B29">
      <w:pPr>
        <w:spacing w:before="120" w:after="120"/>
        <w:ind w:right="57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br/>
      </w:r>
      <w:r w:rsidR="00661377" w:rsidRPr="00A27256">
        <w:rPr>
          <w:rFonts w:ascii="Verdana" w:hAnsi="Verdana" w:cs="Verdana"/>
          <w:i/>
          <w:sz w:val="20"/>
          <w:szCs w:val="20"/>
        </w:rPr>
        <w:t>Bologna</w:t>
      </w:r>
      <w:r w:rsidR="00AF1B39" w:rsidRPr="00A27256">
        <w:rPr>
          <w:rFonts w:ascii="Verdana" w:hAnsi="Verdana" w:cs="Verdana"/>
          <w:i/>
          <w:sz w:val="20"/>
          <w:szCs w:val="20"/>
        </w:rPr>
        <w:t xml:space="preserve"> e Milano</w:t>
      </w:r>
      <w:r w:rsidR="00661377" w:rsidRPr="00A27256">
        <w:rPr>
          <w:rFonts w:ascii="Verdana" w:hAnsi="Verdana" w:cs="Verdana"/>
          <w:i/>
          <w:sz w:val="20"/>
          <w:szCs w:val="20"/>
        </w:rPr>
        <w:t xml:space="preserve">, </w:t>
      </w:r>
      <w:r w:rsidR="00491E20" w:rsidRPr="00A27256">
        <w:rPr>
          <w:rFonts w:ascii="Verdana" w:hAnsi="Verdana" w:cs="Verdana"/>
          <w:i/>
          <w:sz w:val="20"/>
          <w:szCs w:val="20"/>
        </w:rPr>
        <w:t>1</w:t>
      </w:r>
      <w:r w:rsidR="00ED3B02" w:rsidRPr="00A27256">
        <w:rPr>
          <w:rFonts w:ascii="Verdana" w:hAnsi="Verdana" w:cs="Verdana"/>
          <w:i/>
          <w:sz w:val="20"/>
          <w:szCs w:val="20"/>
        </w:rPr>
        <w:t>4</w:t>
      </w:r>
      <w:r w:rsidR="005E5439" w:rsidRPr="00A27256">
        <w:rPr>
          <w:rFonts w:ascii="Verdana" w:hAnsi="Verdana" w:cs="Verdana"/>
          <w:i/>
          <w:sz w:val="20"/>
          <w:szCs w:val="20"/>
        </w:rPr>
        <w:t xml:space="preserve"> </w:t>
      </w:r>
      <w:r w:rsidR="00BB1D3A" w:rsidRPr="00A27256">
        <w:rPr>
          <w:rFonts w:ascii="Verdana" w:hAnsi="Verdana" w:cs="Verdana"/>
          <w:i/>
          <w:sz w:val="20"/>
          <w:szCs w:val="20"/>
        </w:rPr>
        <w:t>dicembre</w:t>
      </w:r>
      <w:r w:rsidR="008753FF" w:rsidRPr="00A27256">
        <w:rPr>
          <w:rFonts w:ascii="Verdana" w:hAnsi="Verdana" w:cs="Verdana"/>
          <w:i/>
          <w:sz w:val="20"/>
          <w:szCs w:val="20"/>
        </w:rPr>
        <w:t xml:space="preserve"> 20</w:t>
      </w:r>
      <w:r w:rsidR="00ED3B02" w:rsidRPr="00A27256">
        <w:rPr>
          <w:rFonts w:ascii="Verdana" w:hAnsi="Verdana" w:cs="Verdana"/>
          <w:i/>
          <w:sz w:val="20"/>
          <w:szCs w:val="20"/>
        </w:rPr>
        <w:t>20</w:t>
      </w:r>
      <w:r w:rsidR="00CF0047" w:rsidRPr="00A27256">
        <w:rPr>
          <w:rFonts w:ascii="Verdana" w:hAnsi="Verdana" w:cs="Verdana"/>
          <w:sz w:val="20"/>
          <w:szCs w:val="20"/>
        </w:rPr>
        <w:t xml:space="preserve"> </w:t>
      </w:r>
      <w:r w:rsidR="00661377" w:rsidRPr="00A27256">
        <w:rPr>
          <w:rFonts w:ascii="Verdana" w:hAnsi="Verdana" w:cs="Verdana"/>
          <w:sz w:val="20"/>
          <w:szCs w:val="20"/>
        </w:rPr>
        <w:t xml:space="preserve">- </w:t>
      </w:r>
      <w:r w:rsidR="00661377" w:rsidRPr="00A27256">
        <w:rPr>
          <w:rFonts w:ascii="Verdana" w:hAnsi="Verdana"/>
          <w:sz w:val="20"/>
        </w:rPr>
        <w:t>Secondo</w:t>
      </w:r>
      <w:r w:rsidR="00661377" w:rsidRPr="00A27256">
        <w:rPr>
          <w:rFonts w:ascii="Verdana" w:hAnsi="Verdana" w:cs="Verdana"/>
          <w:b/>
          <w:sz w:val="20"/>
          <w:szCs w:val="20"/>
        </w:rPr>
        <w:t xml:space="preserve"> </w:t>
      </w:r>
      <w:r w:rsidR="00661377" w:rsidRPr="00A27256">
        <w:rPr>
          <w:rFonts w:ascii="Verdana" w:hAnsi="Verdana"/>
          <w:sz w:val="20"/>
        </w:rPr>
        <w:t>la</w:t>
      </w:r>
      <w:r w:rsidR="00E628A8" w:rsidRPr="00A27256">
        <w:rPr>
          <w:rFonts w:ascii="Verdana" w:hAnsi="Verdana" w:cs="Verdana"/>
          <w:b/>
          <w:sz w:val="20"/>
          <w:szCs w:val="20"/>
        </w:rPr>
        <w:t xml:space="preserve"> </w:t>
      </w:r>
      <w:r w:rsidR="00B81973" w:rsidRPr="00A27256">
        <w:rPr>
          <w:rFonts w:ascii="Verdana" w:hAnsi="Verdana" w:cs="Verdana"/>
          <w:b/>
          <w:sz w:val="20"/>
          <w:szCs w:val="20"/>
        </w:rPr>
        <w:t>4</w:t>
      </w:r>
      <w:r w:rsidR="00ED3B02" w:rsidRPr="00A27256">
        <w:rPr>
          <w:rFonts w:ascii="Verdana" w:hAnsi="Verdana" w:cs="Verdana"/>
          <w:b/>
          <w:sz w:val="20"/>
          <w:szCs w:val="20"/>
        </w:rPr>
        <w:t>9</w:t>
      </w:r>
      <w:r w:rsidR="00884A36" w:rsidRPr="00A27256">
        <w:rPr>
          <w:rFonts w:ascii="Verdana" w:hAnsi="Verdana" w:cs="Verdana"/>
          <w:b/>
          <w:sz w:val="20"/>
          <w:szCs w:val="20"/>
        </w:rPr>
        <w:t>^</w:t>
      </w:r>
      <w:r w:rsidR="00661377" w:rsidRPr="00A27256">
        <w:rPr>
          <w:rFonts w:ascii="Verdana" w:hAnsi="Verdana" w:cs="Verdana"/>
          <w:b/>
          <w:sz w:val="20"/>
          <w:szCs w:val="20"/>
        </w:rPr>
        <w:t xml:space="preserve"> edizione dell’Osservatorio sul Credito al Dettaglio</w:t>
      </w:r>
      <w:r w:rsidR="00661377" w:rsidRPr="00A27256">
        <w:rPr>
          <w:rFonts w:ascii="Verdana" w:hAnsi="Verdana" w:cs="Verdana"/>
          <w:sz w:val="20"/>
          <w:szCs w:val="20"/>
        </w:rPr>
        <w:t xml:space="preserve"> realizzato da </w:t>
      </w:r>
      <w:r w:rsidR="00661377" w:rsidRPr="00A27256">
        <w:rPr>
          <w:rFonts w:ascii="Verdana" w:hAnsi="Verdana" w:cs="Verdana"/>
          <w:b/>
          <w:sz w:val="20"/>
          <w:szCs w:val="20"/>
        </w:rPr>
        <w:t>Assofin, CRIF e Prometeia</w:t>
      </w:r>
      <w:r w:rsidR="00661377" w:rsidRPr="00A27256">
        <w:rPr>
          <w:rFonts w:ascii="Verdana" w:hAnsi="Verdana" w:cs="Verdana"/>
          <w:sz w:val="20"/>
          <w:szCs w:val="20"/>
        </w:rPr>
        <w:t xml:space="preserve">, </w:t>
      </w:r>
      <w:bookmarkStart w:id="0" w:name="_Hlk27123615"/>
      <w:r w:rsidR="00313DB8" w:rsidRPr="00A27256">
        <w:rPr>
          <w:rFonts w:ascii="Verdana" w:hAnsi="Verdana" w:cs="Verdana"/>
          <w:sz w:val="20"/>
          <w:szCs w:val="20"/>
        </w:rPr>
        <w:t>ne</w:t>
      </w:r>
      <w:r w:rsidR="001A2EB4" w:rsidRPr="00A27256">
        <w:rPr>
          <w:rFonts w:ascii="Verdana" w:hAnsi="Verdana" w:cs="Verdana"/>
          <w:sz w:val="20"/>
          <w:szCs w:val="20"/>
        </w:rPr>
        <w:t xml:space="preserve">i </w:t>
      </w:r>
      <w:r w:rsidR="00884A36" w:rsidRPr="00A27256">
        <w:rPr>
          <w:rFonts w:ascii="Verdana" w:hAnsi="Verdana" w:cs="Verdana"/>
          <w:b/>
          <w:sz w:val="20"/>
          <w:szCs w:val="20"/>
        </w:rPr>
        <w:t xml:space="preserve">primi nove mesi del </w:t>
      </w:r>
      <w:r w:rsidR="00B81973" w:rsidRPr="00A27256">
        <w:rPr>
          <w:rFonts w:ascii="Verdana" w:hAnsi="Verdana" w:cs="Verdana"/>
          <w:b/>
          <w:sz w:val="20"/>
          <w:szCs w:val="20"/>
        </w:rPr>
        <w:t>20</w:t>
      </w:r>
      <w:r w:rsidR="00ED3B02" w:rsidRPr="00A27256">
        <w:rPr>
          <w:rFonts w:ascii="Verdana" w:hAnsi="Verdana" w:cs="Verdana"/>
          <w:b/>
          <w:sz w:val="20"/>
          <w:szCs w:val="20"/>
        </w:rPr>
        <w:t>20</w:t>
      </w:r>
      <w:r w:rsidR="001A2EB4" w:rsidRPr="00A27256">
        <w:rPr>
          <w:rFonts w:ascii="Verdana" w:hAnsi="Verdana" w:cs="Verdana"/>
          <w:b/>
          <w:sz w:val="20"/>
          <w:szCs w:val="20"/>
        </w:rPr>
        <w:t xml:space="preserve"> </w:t>
      </w:r>
      <w:r w:rsidR="00ED3B02" w:rsidRPr="00A27256">
        <w:rPr>
          <w:rFonts w:ascii="Verdana" w:hAnsi="Verdana" w:cs="Verdana"/>
          <w:bCs/>
          <w:sz w:val="20"/>
          <w:szCs w:val="20"/>
        </w:rPr>
        <w:t xml:space="preserve">la pandemia di </w:t>
      </w:r>
      <w:r w:rsidR="00ED3B02" w:rsidRPr="00A27256">
        <w:rPr>
          <w:rFonts w:ascii="Verdana" w:hAnsi="Verdana" w:cs="Verdana"/>
          <w:b/>
          <w:sz w:val="20"/>
          <w:szCs w:val="20"/>
        </w:rPr>
        <w:t>COVID-19</w:t>
      </w:r>
      <w:r w:rsidR="00ED3B02" w:rsidRPr="00A27256">
        <w:rPr>
          <w:rFonts w:ascii="Verdana" w:hAnsi="Verdana" w:cs="Verdana"/>
          <w:bCs/>
          <w:sz w:val="20"/>
          <w:szCs w:val="20"/>
        </w:rPr>
        <w:t xml:space="preserve"> ha provocato un </w:t>
      </w:r>
      <w:r w:rsidR="00ED3B02" w:rsidRPr="00A27256">
        <w:rPr>
          <w:rFonts w:ascii="Verdana" w:hAnsi="Verdana" w:cs="Verdana"/>
          <w:b/>
          <w:sz w:val="20"/>
          <w:szCs w:val="20"/>
        </w:rPr>
        <w:t>brusco arresto del credito al</w:t>
      </w:r>
      <w:r w:rsidR="00AF1E9E">
        <w:rPr>
          <w:rFonts w:ascii="Verdana" w:hAnsi="Verdana" w:cs="Verdana"/>
          <w:b/>
          <w:sz w:val="20"/>
          <w:szCs w:val="20"/>
        </w:rPr>
        <w:t xml:space="preserve"> </w:t>
      </w:r>
      <w:r w:rsidR="00ED3B02" w:rsidRPr="00E80434">
        <w:rPr>
          <w:rFonts w:ascii="Verdana" w:hAnsi="Verdana" w:cs="Verdana"/>
          <w:b/>
          <w:sz w:val="20"/>
          <w:szCs w:val="20"/>
        </w:rPr>
        <w:t>consum</w:t>
      </w:r>
      <w:r w:rsidR="00AF1E9E">
        <w:rPr>
          <w:rFonts w:ascii="Verdana" w:hAnsi="Verdana" w:cs="Verdana"/>
          <w:b/>
          <w:sz w:val="20"/>
          <w:szCs w:val="20"/>
        </w:rPr>
        <w:t>o:</w:t>
      </w:r>
      <w:r w:rsidR="00ED3B02" w:rsidRPr="00A27256">
        <w:rPr>
          <w:rFonts w:ascii="Verdana" w:hAnsi="Verdana" w:cs="Verdana"/>
          <w:bCs/>
          <w:sz w:val="20"/>
          <w:szCs w:val="20"/>
        </w:rPr>
        <w:t xml:space="preserve"> </w:t>
      </w:r>
      <w:r w:rsidR="00AF1E9E">
        <w:rPr>
          <w:rFonts w:ascii="Verdana" w:hAnsi="Verdana" w:cs="Verdana"/>
          <w:bCs/>
          <w:sz w:val="20"/>
          <w:szCs w:val="20"/>
        </w:rPr>
        <w:t>le erogazioni</w:t>
      </w:r>
      <w:r w:rsidR="00ED3B02" w:rsidRPr="00A27256">
        <w:rPr>
          <w:rFonts w:ascii="Verdana" w:hAnsi="Verdana" w:cs="Verdana"/>
          <w:bCs/>
          <w:sz w:val="20"/>
          <w:szCs w:val="20"/>
        </w:rPr>
        <w:t xml:space="preserve"> si sono </w:t>
      </w:r>
      <w:r w:rsidR="00ED3B02" w:rsidRPr="00A27256">
        <w:rPr>
          <w:rFonts w:ascii="Verdana" w:hAnsi="Verdana" w:cs="Verdana"/>
          <w:b/>
          <w:sz w:val="20"/>
          <w:szCs w:val="20"/>
        </w:rPr>
        <w:t>ridotte di circa un quarto (-24,8%)</w:t>
      </w:r>
      <w:r w:rsidR="00ED3B02" w:rsidRPr="00A27256">
        <w:rPr>
          <w:rFonts w:ascii="Verdana" w:hAnsi="Verdana" w:cs="Verdana"/>
          <w:bCs/>
          <w:sz w:val="20"/>
          <w:szCs w:val="20"/>
        </w:rPr>
        <w:t xml:space="preserve"> rispetto allo stesso periodo dell’anno precedente. Nel </w:t>
      </w:r>
      <w:r w:rsidR="00ED3B02" w:rsidRPr="00A27256">
        <w:rPr>
          <w:rFonts w:ascii="Verdana" w:hAnsi="Verdana" w:cs="Verdana"/>
          <w:b/>
          <w:sz w:val="20"/>
          <w:szCs w:val="20"/>
        </w:rPr>
        <w:t>terzo trimestre 2020</w:t>
      </w:r>
      <w:r w:rsidR="00ED3B02" w:rsidRPr="00A27256">
        <w:rPr>
          <w:rFonts w:ascii="Verdana" w:hAnsi="Verdana" w:cs="Verdana"/>
          <w:bCs/>
          <w:sz w:val="20"/>
          <w:szCs w:val="20"/>
        </w:rPr>
        <w:t xml:space="preserve"> si registra</w:t>
      </w:r>
      <w:r w:rsidR="00AF1E9E">
        <w:rPr>
          <w:rFonts w:ascii="Verdana" w:hAnsi="Verdana" w:cs="Verdana"/>
          <w:bCs/>
          <w:sz w:val="20"/>
          <w:szCs w:val="20"/>
        </w:rPr>
        <w:t xml:space="preserve">, tuttavia, </w:t>
      </w:r>
      <w:r w:rsidR="00ED3B02" w:rsidRPr="00A27256">
        <w:rPr>
          <w:rFonts w:ascii="Verdana" w:hAnsi="Verdana" w:cs="Verdana"/>
          <w:bCs/>
          <w:sz w:val="20"/>
          <w:szCs w:val="20"/>
        </w:rPr>
        <w:t xml:space="preserve">un </w:t>
      </w:r>
      <w:r w:rsidR="00ED3B02" w:rsidRPr="00A27256">
        <w:rPr>
          <w:rFonts w:ascii="Verdana" w:hAnsi="Verdana" w:cs="Verdana"/>
          <w:b/>
          <w:sz w:val="20"/>
          <w:szCs w:val="20"/>
        </w:rPr>
        <w:t>parziale recupero</w:t>
      </w:r>
      <w:r w:rsidR="00ED3B02" w:rsidRPr="00A27256">
        <w:rPr>
          <w:rFonts w:ascii="Verdana" w:hAnsi="Verdana" w:cs="Verdana"/>
          <w:bCs/>
          <w:sz w:val="20"/>
          <w:szCs w:val="20"/>
        </w:rPr>
        <w:t xml:space="preserve">, in linea con il graduale miglioramento degli indicatori macroeconomici durante i mesi estivi e con l’allentamento delle misure a contenimento della pandemia in atto. </w:t>
      </w:r>
      <w:r w:rsidR="00D60DE2">
        <w:rPr>
          <w:rFonts w:ascii="Verdana" w:hAnsi="Verdana" w:cs="Verdana"/>
          <w:bCs/>
          <w:sz w:val="20"/>
          <w:szCs w:val="20"/>
        </w:rPr>
        <w:t xml:space="preserve">Nei primi nove mesi dell’anno </w:t>
      </w:r>
      <w:r w:rsidR="00D60DE2" w:rsidRPr="00E80434">
        <w:rPr>
          <w:rFonts w:ascii="Verdana" w:hAnsi="Verdana" w:cs="Verdana"/>
          <w:b/>
          <w:sz w:val="20"/>
          <w:szCs w:val="20"/>
        </w:rPr>
        <w:t>crescono</w:t>
      </w:r>
      <w:r w:rsidR="00D60DE2" w:rsidRPr="00AF1E9E">
        <w:rPr>
          <w:rFonts w:ascii="Verdana" w:hAnsi="Verdana" w:cs="Verdana"/>
          <w:bCs/>
          <w:sz w:val="20"/>
          <w:szCs w:val="20"/>
        </w:rPr>
        <w:t xml:space="preserve"> invece le erogazioni </w:t>
      </w:r>
      <w:r w:rsidR="00D60DE2">
        <w:rPr>
          <w:rFonts w:ascii="Verdana" w:hAnsi="Verdana" w:cs="Verdana"/>
          <w:bCs/>
          <w:sz w:val="20"/>
          <w:szCs w:val="20"/>
        </w:rPr>
        <w:t xml:space="preserve">complessive </w:t>
      </w:r>
      <w:r w:rsidR="00D60DE2" w:rsidRPr="00AF1E9E">
        <w:rPr>
          <w:rFonts w:ascii="Verdana" w:hAnsi="Verdana" w:cs="Verdana"/>
          <w:bCs/>
          <w:sz w:val="20"/>
          <w:szCs w:val="20"/>
        </w:rPr>
        <w:t xml:space="preserve">di </w:t>
      </w:r>
      <w:r w:rsidR="00D60DE2" w:rsidRPr="00E80434">
        <w:rPr>
          <w:rFonts w:ascii="Verdana" w:hAnsi="Verdana" w:cs="Verdana"/>
          <w:b/>
          <w:sz w:val="20"/>
          <w:szCs w:val="20"/>
        </w:rPr>
        <w:t>mutui immobiliari</w:t>
      </w:r>
      <w:r w:rsidR="00D60DE2" w:rsidRPr="00AF1E9E">
        <w:rPr>
          <w:rFonts w:ascii="Verdana" w:hAnsi="Verdana" w:cs="Verdana"/>
          <w:bCs/>
          <w:sz w:val="20"/>
          <w:szCs w:val="20"/>
        </w:rPr>
        <w:t>, trainat</w:t>
      </w:r>
      <w:r w:rsidR="00D60DE2">
        <w:rPr>
          <w:rFonts w:ascii="Verdana" w:hAnsi="Verdana" w:cs="Verdana"/>
          <w:bCs/>
          <w:sz w:val="20"/>
          <w:szCs w:val="20"/>
        </w:rPr>
        <w:t>e</w:t>
      </w:r>
      <w:r w:rsidR="00D60DE2" w:rsidRPr="00AF1E9E">
        <w:rPr>
          <w:rFonts w:ascii="Verdana" w:hAnsi="Verdana" w:cs="Verdana"/>
          <w:bCs/>
          <w:sz w:val="20"/>
          <w:szCs w:val="20"/>
        </w:rPr>
        <w:t xml:space="preserve"> dal boom delle surroghe.</w:t>
      </w:r>
      <w:r w:rsidR="00D60DE2">
        <w:rPr>
          <w:rFonts w:ascii="Verdana" w:hAnsi="Verdana" w:cs="Verdana"/>
          <w:bCs/>
          <w:sz w:val="20"/>
          <w:szCs w:val="20"/>
        </w:rPr>
        <w:t xml:space="preserve"> </w:t>
      </w:r>
    </w:p>
    <w:p w14:paraId="222866AF" w14:textId="5B9E6FD1" w:rsidR="00ED3B02" w:rsidRPr="00A27256" w:rsidRDefault="00ED3B02" w:rsidP="00B61B29">
      <w:pPr>
        <w:spacing w:before="120" w:after="120"/>
        <w:ind w:right="57"/>
        <w:jc w:val="both"/>
        <w:rPr>
          <w:rFonts w:ascii="Verdana" w:hAnsi="Verdana" w:cs="Verdana"/>
          <w:bCs/>
          <w:sz w:val="20"/>
          <w:szCs w:val="20"/>
        </w:rPr>
      </w:pPr>
      <w:r w:rsidRPr="00A27256">
        <w:rPr>
          <w:rFonts w:ascii="Verdana" w:hAnsi="Verdana" w:cs="Verdana"/>
          <w:bCs/>
          <w:sz w:val="20"/>
          <w:szCs w:val="20"/>
        </w:rPr>
        <w:t xml:space="preserve">Con l’arrivo della </w:t>
      </w:r>
      <w:r w:rsidR="00EF208A">
        <w:rPr>
          <w:rFonts w:ascii="Verdana" w:hAnsi="Verdana" w:cs="Verdana"/>
          <w:b/>
          <w:sz w:val="20"/>
          <w:szCs w:val="20"/>
        </w:rPr>
        <w:t>seconda ondata di contagi</w:t>
      </w:r>
      <w:r w:rsidRPr="00A27256">
        <w:rPr>
          <w:rFonts w:ascii="Verdana" w:hAnsi="Verdana" w:cs="Verdana"/>
          <w:bCs/>
          <w:sz w:val="20"/>
          <w:szCs w:val="20"/>
        </w:rPr>
        <w:t xml:space="preserve">, </w:t>
      </w:r>
      <w:r w:rsidR="00D60DE2">
        <w:rPr>
          <w:rFonts w:ascii="Verdana" w:hAnsi="Verdana" w:cs="Verdana"/>
          <w:bCs/>
          <w:sz w:val="20"/>
          <w:szCs w:val="20"/>
        </w:rPr>
        <w:t>i flussi di</w:t>
      </w:r>
      <w:r w:rsidRPr="00A27256">
        <w:rPr>
          <w:rFonts w:ascii="Verdana" w:hAnsi="Verdana" w:cs="Verdana"/>
          <w:bCs/>
          <w:sz w:val="20"/>
          <w:szCs w:val="20"/>
        </w:rPr>
        <w:t xml:space="preserve"> credito al </w:t>
      </w:r>
      <w:r w:rsidR="004F4DA5">
        <w:rPr>
          <w:rFonts w:ascii="Verdana" w:hAnsi="Verdana" w:cs="Verdana"/>
          <w:bCs/>
          <w:sz w:val="20"/>
          <w:szCs w:val="20"/>
        </w:rPr>
        <w:t>consumo</w:t>
      </w:r>
      <w:r w:rsidR="004F4DA5" w:rsidRPr="00A27256">
        <w:rPr>
          <w:rFonts w:ascii="Verdana" w:hAnsi="Verdana" w:cs="Verdana"/>
          <w:bCs/>
          <w:sz w:val="20"/>
          <w:szCs w:val="20"/>
        </w:rPr>
        <w:t xml:space="preserve"> </w:t>
      </w:r>
      <w:r w:rsidR="00AF1E9E">
        <w:rPr>
          <w:rFonts w:ascii="Verdana" w:hAnsi="Verdana" w:cs="Verdana"/>
          <w:bCs/>
          <w:sz w:val="20"/>
          <w:szCs w:val="20"/>
        </w:rPr>
        <w:t>mostrano</w:t>
      </w:r>
      <w:r w:rsidR="00AF1E9E" w:rsidRPr="00A27256">
        <w:rPr>
          <w:rFonts w:ascii="Verdana" w:hAnsi="Verdana" w:cs="Verdana"/>
          <w:bCs/>
          <w:sz w:val="20"/>
          <w:szCs w:val="20"/>
        </w:rPr>
        <w:t xml:space="preserve"> </w:t>
      </w:r>
      <w:r w:rsidRPr="00A27256">
        <w:rPr>
          <w:rFonts w:ascii="Verdana" w:hAnsi="Verdana" w:cs="Verdana"/>
          <w:bCs/>
          <w:sz w:val="20"/>
          <w:szCs w:val="20"/>
        </w:rPr>
        <w:t xml:space="preserve">un </w:t>
      </w:r>
      <w:r w:rsidR="00EF208A">
        <w:rPr>
          <w:rFonts w:ascii="Verdana" w:hAnsi="Verdana" w:cs="Verdana"/>
          <w:b/>
          <w:sz w:val="20"/>
          <w:szCs w:val="20"/>
        </w:rPr>
        <w:t>nuov</w:t>
      </w:r>
      <w:r w:rsidR="00AF1E9E">
        <w:rPr>
          <w:rFonts w:ascii="Verdana" w:hAnsi="Verdana" w:cs="Verdana"/>
          <w:b/>
          <w:sz w:val="20"/>
          <w:szCs w:val="20"/>
        </w:rPr>
        <w:t>o</w:t>
      </w:r>
      <w:r w:rsidR="00EF208A">
        <w:rPr>
          <w:rFonts w:ascii="Verdana" w:hAnsi="Verdana" w:cs="Verdana"/>
          <w:b/>
          <w:sz w:val="20"/>
          <w:szCs w:val="20"/>
        </w:rPr>
        <w:t xml:space="preserve"> </w:t>
      </w:r>
      <w:r w:rsidR="00AF1E9E">
        <w:rPr>
          <w:rFonts w:ascii="Verdana" w:hAnsi="Verdana" w:cs="Verdana"/>
          <w:b/>
          <w:sz w:val="20"/>
          <w:szCs w:val="20"/>
        </w:rPr>
        <w:t xml:space="preserve">peggioramento, </w:t>
      </w:r>
      <w:r w:rsidR="00AF1E9E">
        <w:rPr>
          <w:rFonts w:ascii="Verdana" w:hAnsi="Verdana" w:cs="Verdana"/>
          <w:bCs/>
          <w:sz w:val="20"/>
          <w:szCs w:val="20"/>
        </w:rPr>
        <w:t>sebbene con cali più contenuti rispetto a quelli registrati in primavera</w:t>
      </w:r>
      <w:r w:rsidR="00D60DE2">
        <w:rPr>
          <w:rFonts w:ascii="Verdana" w:hAnsi="Verdana" w:cs="Verdana"/>
          <w:bCs/>
          <w:sz w:val="20"/>
          <w:szCs w:val="20"/>
        </w:rPr>
        <w:t xml:space="preserve">, mentre </w:t>
      </w:r>
      <w:r w:rsidR="00D60DE2" w:rsidRPr="00D60DE2">
        <w:rPr>
          <w:rFonts w:ascii="Verdana" w:hAnsi="Verdana" w:cs="Verdana"/>
          <w:bCs/>
          <w:sz w:val="20"/>
          <w:szCs w:val="20"/>
        </w:rPr>
        <w:t>prosegue la ripresa dei mutui d’acquisto e la crescita delle surroghe, che tuttavia comincia a mostrare segnali di rallentamento.</w:t>
      </w:r>
    </w:p>
    <w:p w14:paraId="02F80013" w14:textId="77777777" w:rsidR="00ED3B02" w:rsidRPr="00ED3B02" w:rsidRDefault="00ED3B02" w:rsidP="00ED3B02">
      <w:pPr>
        <w:jc w:val="both"/>
        <w:rPr>
          <w:rFonts w:ascii="Verdana" w:hAnsi="Verdana" w:cs="Verdana"/>
          <w:bCs/>
          <w:sz w:val="20"/>
          <w:szCs w:val="20"/>
        </w:rPr>
      </w:pPr>
    </w:p>
    <w:bookmarkEnd w:id="0"/>
    <w:p w14:paraId="26C14B88" w14:textId="77777777" w:rsidR="00661377" w:rsidRPr="00C17A1F" w:rsidRDefault="006264A3" w:rsidP="00661377">
      <w:pPr>
        <w:pStyle w:val="Nessunaspaziatura1"/>
        <w:spacing w:after="160"/>
        <w:jc w:val="both"/>
        <w:outlineLvl w:val="0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Il</w:t>
      </w:r>
      <w:r w:rsidR="00661377" w:rsidRPr="00C17A1F">
        <w:rPr>
          <w:rFonts w:ascii="Verdana" w:hAnsi="Verdana" w:cs="Verdana"/>
          <w:b/>
          <w:bCs/>
          <w:sz w:val="20"/>
          <w:szCs w:val="20"/>
          <w:u w:val="single"/>
        </w:rPr>
        <w:t xml:space="preserve"> credito al consumo</w:t>
      </w:r>
    </w:p>
    <w:p w14:paraId="0A4FCD71" w14:textId="2FD73FDB" w:rsidR="00543594" w:rsidRDefault="00543594" w:rsidP="008131AB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Anche se n</w:t>
      </w:r>
      <w:r w:rsidR="005E398F">
        <w:rPr>
          <w:rFonts w:ascii="Verdana" w:hAnsi="Verdana" w:cs="Verdana"/>
          <w:sz w:val="20"/>
          <w:szCs w:val="20"/>
        </w:rPr>
        <w:t>ei primi nove mesi del 20</w:t>
      </w:r>
      <w:r w:rsidR="00ED3B02">
        <w:rPr>
          <w:rFonts w:ascii="Verdana" w:hAnsi="Verdana" w:cs="Verdana"/>
          <w:sz w:val="20"/>
          <w:szCs w:val="20"/>
        </w:rPr>
        <w:t>20</w:t>
      </w:r>
      <w:r w:rsidR="00A308F5">
        <w:rPr>
          <w:rFonts w:ascii="Verdana" w:hAnsi="Verdana" w:cs="Verdana"/>
          <w:sz w:val="20"/>
          <w:szCs w:val="20"/>
        </w:rPr>
        <w:t xml:space="preserve"> </w:t>
      </w:r>
      <w:r w:rsidR="00115022">
        <w:rPr>
          <w:rFonts w:ascii="Verdana" w:hAnsi="Verdana" w:cs="Verdana"/>
          <w:sz w:val="20"/>
          <w:szCs w:val="20"/>
        </w:rPr>
        <w:t xml:space="preserve">le </w:t>
      </w:r>
      <w:r w:rsidR="00115022" w:rsidRPr="007B600F">
        <w:rPr>
          <w:rFonts w:ascii="Verdana" w:hAnsi="Verdana" w:cs="Verdana"/>
          <w:b/>
          <w:sz w:val="20"/>
          <w:szCs w:val="20"/>
        </w:rPr>
        <w:t xml:space="preserve">erogazioni </w:t>
      </w:r>
      <w:r w:rsidR="004F4DA5">
        <w:rPr>
          <w:rFonts w:ascii="Verdana" w:hAnsi="Verdana" w:cs="Verdana"/>
          <w:b/>
          <w:sz w:val="20"/>
          <w:szCs w:val="20"/>
        </w:rPr>
        <w:t xml:space="preserve">complessive </w:t>
      </w:r>
      <w:r w:rsidR="00115022" w:rsidRPr="007B600F">
        <w:rPr>
          <w:rFonts w:ascii="Verdana" w:hAnsi="Verdana" w:cs="Verdana"/>
          <w:b/>
          <w:sz w:val="20"/>
          <w:szCs w:val="20"/>
        </w:rPr>
        <w:t>di credito al consumo</w:t>
      </w:r>
      <w:r w:rsidR="00917200">
        <w:rPr>
          <w:rFonts w:ascii="Verdana" w:hAnsi="Verdana" w:cs="Verdana"/>
          <w:sz w:val="20"/>
          <w:szCs w:val="20"/>
        </w:rPr>
        <w:t xml:space="preserve"> </w:t>
      </w:r>
      <w:r w:rsidR="00A308F5" w:rsidRPr="005A299D">
        <w:rPr>
          <w:rFonts w:ascii="Verdana" w:hAnsi="Verdana" w:cs="Verdana"/>
          <w:sz w:val="20"/>
          <w:szCs w:val="20"/>
        </w:rPr>
        <w:t xml:space="preserve">hanno </w:t>
      </w:r>
      <w:r w:rsidR="00ED3B02">
        <w:rPr>
          <w:rFonts w:ascii="Verdana" w:hAnsi="Verdana" w:cs="Verdana"/>
          <w:sz w:val="20"/>
          <w:szCs w:val="20"/>
        </w:rPr>
        <w:t>registrato una forte contrazione</w:t>
      </w:r>
      <w:r>
        <w:rPr>
          <w:rFonts w:ascii="Verdana" w:hAnsi="Verdana" w:cs="Verdana"/>
          <w:sz w:val="20"/>
          <w:szCs w:val="20"/>
        </w:rPr>
        <w:t xml:space="preserve">, nel </w:t>
      </w:r>
      <w:r w:rsidRPr="00E80434">
        <w:rPr>
          <w:rFonts w:ascii="Verdana" w:hAnsi="Verdana" w:cs="Verdana"/>
          <w:b/>
          <w:bCs/>
          <w:sz w:val="20"/>
          <w:szCs w:val="20"/>
        </w:rPr>
        <w:t>terzo trimestre</w:t>
      </w:r>
      <w:r>
        <w:rPr>
          <w:rFonts w:ascii="Verdana" w:hAnsi="Verdana" w:cs="Verdana"/>
          <w:sz w:val="20"/>
          <w:szCs w:val="20"/>
        </w:rPr>
        <w:t xml:space="preserve"> dell’anno si </w:t>
      </w:r>
      <w:r w:rsidR="004F4DA5">
        <w:rPr>
          <w:rFonts w:ascii="Verdana" w:hAnsi="Verdana" w:cs="Verdana"/>
          <w:sz w:val="20"/>
          <w:szCs w:val="20"/>
        </w:rPr>
        <w:t>osservano segnali di</w:t>
      </w:r>
      <w:r w:rsidR="00AF1E9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recupero, </w:t>
      </w:r>
      <w:r w:rsidR="004F4DA5">
        <w:rPr>
          <w:rFonts w:ascii="Verdana" w:hAnsi="Verdana" w:cs="Verdana"/>
          <w:sz w:val="20"/>
          <w:szCs w:val="20"/>
        </w:rPr>
        <w:t>con crescite a doppia cifra per alcuni prodotti. In particolare</w:t>
      </w:r>
      <w:r w:rsidR="00451CD9">
        <w:rPr>
          <w:rFonts w:ascii="Verdana" w:hAnsi="Verdana" w:cs="Verdana"/>
          <w:sz w:val="20"/>
          <w:szCs w:val="20"/>
        </w:rPr>
        <w:t>,</w:t>
      </w:r>
      <w:r w:rsidR="004F4DA5">
        <w:rPr>
          <w:rFonts w:ascii="Verdana" w:hAnsi="Verdana" w:cs="Verdana"/>
          <w:sz w:val="20"/>
          <w:szCs w:val="20"/>
        </w:rPr>
        <w:t xml:space="preserve"> </w:t>
      </w:r>
      <w:bookmarkStart w:id="1" w:name="_Hlk27123707"/>
      <w:r w:rsidR="004F4DA5">
        <w:rPr>
          <w:rFonts w:ascii="Verdana" w:hAnsi="Verdana" w:cs="Verdana"/>
          <w:b/>
          <w:sz w:val="20"/>
          <w:szCs w:val="20"/>
        </w:rPr>
        <w:t>i</w:t>
      </w:r>
      <w:r w:rsidR="000A143A" w:rsidRPr="005247CB">
        <w:rPr>
          <w:rFonts w:ascii="Verdana" w:hAnsi="Verdana" w:cs="Verdana"/>
          <w:b/>
          <w:sz w:val="20"/>
          <w:szCs w:val="20"/>
        </w:rPr>
        <w:t xml:space="preserve"> finanziamenti finalizzati</w:t>
      </w:r>
      <w:bookmarkStart w:id="2" w:name="_Hlk532218480"/>
      <w:r>
        <w:rPr>
          <w:rFonts w:ascii="Verdana" w:hAnsi="Verdana" w:cs="Verdana"/>
          <w:b/>
          <w:sz w:val="20"/>
          <w:szCs w:val="20"/>
        </w:rPr>
        <w:t xml:space="preserve"> </w:t>
      </w:r>
      <w:r w:rsidR="000A143A" w:rsidRPr="003A5C2E">
        <w:rPr>
          <w:rFonts w:ascii="Verdana" w:hAnsi="Verdana" w:cs="Verdana"/>
          <w:sz w:val="20"/>
          <w:szCs w:val="20"/>
        </w:rPr>
        <w:t xml:space="preserve">destinati </w:t>
      </w:r>
      <w:r w:rsidR="000A143A">
        <w:rPr>
          <w:rFonts w:ascii="Verdana" w:hAnsi="Verdana" w:cs="Verdana"/>
          <w:b/>
          <w:sz w:val="20"/>
          <w:szCs w:val="20"/>
        </w:rPr>
        <w:t xml:space="preserve">all’acquisto di </w:t>
      </w:r>
      <w:r>
        <w:rPr>
          <w:rFonts w:ascii="Verdana" w:hAnsi="Verdana" w:cs="Verdana"/>
          <w:b/>
          <w:sz w:val="20"/>
          <w:szCs w:val="20"/>
        </w:rPr>
        <w:t>auto e moto</w:t>
      </w:r>
      <w:r>
        <w:rPr>
          <w:rFonts w:ascii="Verdana" w:hAnsi="Verdana" w:cs="Verdana"/>
          <w:bCs/>
          <w:sz w:val="20"/>
          <w:szCs w:val="20"/>
        </w:rPr>
        <w:t xml:space="preserve">, cresciuti del </w:t>
      </w:r>
      <w:r w:rsidRPr="006D2F9A">
        <w:rPr>
          <w:rFonts w:ascii="Verdana" w:hAnsi="Verdana" w:cs="Verdana"/>
          <w:b/>
          <w:sz w:val="20"/>
          <w:szCs w:val="20"/>
        </w:rPr>
        <w:t>+16</w:t>
      </w:r>
      <w:r w:rsidR="00B56815">
        <w:rPr>
          <w:rFonts w:ascii="Verdana" w:hAnsi="Verdana" w:cs="Verdana"/>
          <w:b/>
          <w:sz w:val="20"/>
          <w:szCs w:val="20"/>
        </w:rPr>
        <w:t>.</w:t>
      </w:r>
      <w:r w:rsidRPr="006D2F9A">
        <w:rPr>
          <w:rFonts w:ascii="Verdana" w:hAnsi="Verdana" w:cs="Verdana"/>
          <w:b/>
          <w:sz w:val="20"/>
          <w:szCs w:val="20"/>
        </w:rPr>
        <w:t>3%</w:t>
      </w:r>
      <w:r>
        <w:rPr>
          <w:rFonts w:ascii="Verdana" w:hAnsi="Verdana" w:cs="Verdana"/>
          <w:bCs/>
          <w:sz w:val="20"/>
          <w:szCs w:val="20"/>
        </w:rPr>
        <w:t xml:space="preserve"> rispetto allo stesso periodo dell’anno precedente, </w:t>
      </w:r>
      <w:r w:rsidR="00EF208A">
        <w:rPr>
          <w:rFonts w:ascii="Verdana" w:hAnsi="Verdana" w:cs="Verdana"/>
          <w:bCs/>
          <w:sz w:val="20"/>
          <w:szCs w:val="20"/>
        </w:rPr>
        <w:t xml:space="preserve">principalmente </w:t>
      </w:r>
      <w:r>
        <w:rPr>
          <w:rFonts w:ascii="Verdana" w:hAnsi="Verdana" w:cs="Verdana"/>
          <w:bCs/>
          <w:sz w:val="20"/>
          <w:szCs w:val="20"/>
        </w:rPr>
        <w:t xml:space="preserve">grazie </w:t>
      </w:r>
      <w:r w:rsidRPr="00543594">
        <w:rPr>
          <w:rFonts w:ascii="Verdana" w:hAnsi="Verdana" w:cs="Verdana"/>
          <w:bCs/>
          <w:sz w:val="20"/>
          <w:szCs w:val="20"/>
        </w:rPr>
        <w:t>all’evasione degli ordini dei mesi precedenti</w:t>
      </w:r>
      <w:r w:rsidR="00451CD9">
        <w:rPr>
          <w:rFonts w:ascii="Verdana" w:hAnsi="Verdana" w:cs="Verdana"/>
          <w:bCs/>
          <w:sz w:val="20"/>
          <w:szCs w:val="20"/>
        </w:rPr>
        <w:t xml:space="preserve">, </w:t>
      </w:r>
      <w:r>
        <w:rPr>
          <w:rFonts w:ascii="Verdana" w:hAnsi="Verdana" w:cs="Verdana"/>
          <w:bCs/>
          <w:sz w:val="20"/>
          <w:szCs w:val="20"/>
        </w:rPr>
        <w:t>al</w:t>
      </w:r>
      <w:r w:rsidRPr="00543594">
        <w:rPr>
          <w:rFonts w:ascii="Verdana" w:hAnsi="Verdana" w:cs="Verdana"/>
          <w:bCs/>
          <w:sz w:val="20"/>
          <w:szCs w:val="20"/>
        </w:rPr>
        <w:t xml:space="preserve">la spinta fornita dagli incentivi </w:t>
      </w:r>
      <w:r w:rsidR="00865714">
        <w:rPr>
          <w:rFonts w:ascii="Verdana" w:hAnsi="Verdana" w:cs="Verdana"/>
          <w:bCs/>
          <w:sz w:val="20"/>
          <w:szCs w:val="20"/>
        </w:rPr>
        <w:t>e dalla maggiore necessità di mobilità individuale e sostenibile</w:t>
      </w:r>
      <w:r w:rsidRPr="00543594">
        <w:rPr>
          <w:rFonts w:ascii="Verdana" w:hAnsi="Verdana" w:cs="Verdana"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543594">
        <w:rPr>
          <w:rFonts w:ascii="Verdana" w:hAnsi="Verdana" w:cs="Verdana"/>
          <w:bCs/>
          <w:sz w:val="20"/>
          <w:szCs w:val="20"/>
        </w:rPr>
        <w:t>Le erogazioni complessive</w:t>
      </w:r>
      <w:r>
        <w:rPr>
          <w:rFonts w:ascii="Verdana" w:hAnsi="Verdana" w:cs="Verdana"/>
          <w:bCs/>
          <w:sz w:val="20"/>
          <w:szCs w:val="20"/>
        </w:rPr>
        <w:t xml:space="preserve"> del settore</w:t>
      </w:r>
      <w:r w:rsidRPr="00543594">
        <w:rPr>
          <w:rFonts w:ascii="Verdana" w:hAnsi="Verdana" w:cs="Verdana"/>
          <w:bCs/>
          <w:sz w:val="20"/>
          <w:szCs w:val="20"/>
        </w:rPr>
        <w:t xml:space="preserve"> </w:t>
      </w:r>
      <w:r w:rsidR="00B56815">
        <w:rPr>
          <w:rFonts w:ascii="Verdana" w:hAnsi="Verdana" w:cs="Verdana"/>
          <w:bCs/>
          <w:sz w:val="20"/>
          <w:szCs w:val="20"/>
        </w:rPr>
        <w:t>n</w:t>
      </w:r>
      <w:r w:rsidRPr="00543594">
        <w:rPr>
          <w:rFonts w:ascii="Verdana" w:hAnsi="Verdana" w:cs="Verdana"/>
          <w:bCs/>
          <w:sz w:val="20"/>
          <w:szCs w:val="20"/>
        </w:rPr>
        <w:t xml:space="preserve">ei </w:t>
      </w:r>
      <w:r w:rsidRPr="006D2F9A">
        <w:rPr>
          <w:rFonts w:ascii="Verdana" w:hAnsi="Verdana" w:cs="Verdana"/>
          <w:b/>
          <w:sz w:val="20"/>
          <w:szCs w:val="20"/>
        </w:rPr>
        <w:t>primi nove mesi</w:t>
      </w:r>
      <w:r w:rsidRPr="00543594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chiudono</w:t>
      </w:r>
      <w:r w:rsidR="00451CD9">
        <w:rPr>
          <w:rFonts w:ascii="Verdana" w:hAnsi="Verdana" w:cs="Verdana"/>
          <w:bCs/>
          <w:sz w:val="20"/>
          <w:szCs w:val="20"/>
        </w:rPr>
        <w:t>, tuttavia, in negativo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451CD9" w:rsidRPr="00E80434">
        <w:rPr>
          <w:rFonts w:ascii="Verdana" w:hAnsi="Verdana" w:cs="Verdana"/>
          <w:b/>
          <w:sz w:val="20"/>
          <w:szCs w:val="20"/>
        </w:rPr>
        <w:t>(</w:t>
      </w:r>
      <w:r w:rsidRPr="006D2F9A">
        <w:rPr>
          <w:rFonts w:ascii="Verdana" w:hAnsi="Verdana" w:cs="Verdana"/>
          <w:b/>
          <w:sz w:val="20"/>
          <w:szCs w:val="20"/>
        </w:rPr>
        <w:t>-18</w:t>
      </w:r>
      <w:r w:rsidR="00B56815">
        <w:rPr>
          <w:rFonts w:ascii="Verdana" w:hAnsi="Verdana" w:cs="Verdana"/>
          <w:b/>
          <w:sz w:val="20"/>
          <w:szCs w:val="20"/>
        </w:rPr>
        <w:t>.</w:t>
      </w:r>
      <w:r w:rsidRPr="006D2F9A">
        <w:rPr>
          <w:rFonts w:ascii="Verdana" w:hAnsi="Verdana" w:cs="Verdana"/>
          <w:b/>
          <w:sz w:val="20"/>
          <w:szCs w:val="20"/>
        </w:rPr>
        <w:t>3%</w:t>
      </w:r>
      <w:r w:rsidR="00451CD9">
        <w:rPr>
          <w:rFonts w:ascii="Verdana" w:hAnsi="Verdana" w:cs="Verdana"/>
          <w:b/>
          <w:sz w:val="20"/>
          <w:szCs w:val="20"/>
        </w:rPr>
        <w:t>)</w:t>
      </w:r>
      <w:r w:rsidRPr="00543594">
        <w:rPr>
          <w:rFonts w:ascii="Verdana" w:hAnsi="Verdana" w:cs="Verdana"/>
          <w:bCs/>
          <w:sz w:val="20"/>
          <w:szCs w:val="20"/>
        </w:rPr>
        <w:t>.</w:t>
      </w:r>
    </w:p>
    <w:p w14:paraId="496F613A" w14:textId="6BABFD49" w:rsidR="00543594" w:rsidRDefault="00543594" w:rsidP="008131AB">
      <w:pPr>
        <w:jc w:val="both"/>
        <w:rPr>
          <w:rFonts w:ascii="Verdana" w:hAnsi="Verdana" w:cs="Verdana"/>
          <w:bCs/>
          <w:sz w:val="20"/>
          <w:szCs w:val="20"/>
        </w:rPr>
      </w:pPr>
    </w:p>
    <w:p w14:paraId="4020D3BA" w14:textId="28E3BAAF" w:rsidR="00543594" w:rsidRDefault="00C5595D" w:rsidP="008131AB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I</w:t>
      </w:r>
      <w:r w:rsidR="00543594" w:rsidRPr="00543594">
        <w:rPr>
          <w:rFonts w:ascii="Verdana" w:hAnsi="Verdana" w:cs="Verdana"/>
          <w:bCs/>
          <w:sz w:val="20"/>
          <w:szCs w:val="20"/>
        </w:rPr>
        <w:t xml:space="preserve"> finanziamenti </w:t>
      </w:r>
      <w:r w:rsidR="00543594" w:rsidRPr="00E80434">
        <w:rPr>
          <w:rFonts w:ascii="Verdana" w:hAnsi="Verdana" w:cs="Verdana"/>
          <w:b/>
          <w:sz w:val="20"/>
          <w:szCs w:val="20"/>
        </w:rPr>
        <w:t>finalizzati</w:t>
      </w:r>
      <w:r w:rsidR="00543594" w:rsidRPr="00543594">
        <w:rPr>
          <w:rFonts w:ascii="Verdana" w:hAnsi="Verdana" w:cs="Verdana"/>
          <w:bCs/>
          <w:sz w:val="20"/>
          <w:szCs w:val="20"/>
        </w:rPr>
        <w:t xml:space="preserve"> all’</w:t>
      </w:r>
      <w:r w:rsidR="00543594" w:rsidRPr="006D2F9A">
        <w:rPr>
          <w:rFonts w:ascii="Verdana" w:hAnsi="Verdana" w:cs="Verdana"/>
          <w:b/>
          <w:sz w:val="20"/>
          <w:szCs w:val="20"/>
        </w:rPr>
        <w:t>acquisto di altri beni/servizi</w:t>
      </w:r>
      <w:r w:rsidR="00543594" w:rsidRPr="00543594">
        <w:rPr>
          <w:rFonts w:ascii="Verdana" w:hAnsi="Verdana" w:cs="Verdana"/>
          <w:bCs/>
          <w:sz w:val="20"/>
          <w:szCs w:val="20"/>
        </w:rPr>
        <w:t xml:space="preserve"> (appartenenti a settori quali arredo, elettronica ed elettrodomestici, energie rinnovabili,</w:t>
      </w:r>
      <w:r w:rsidR="00543594">
        <w:rPr>
          <w:rFonts w:ascii="Verdana" w:hAnsi="Verdana" w:cs="Verdana"/>
          <w:bCs/>
          <w:sz w:val="20"/>
          <w:szCs w:val="20"/>
        </w:rPr>
        <w:t xml:space="preserve"> </w:t>
      </w:r>
      <w:r w:rsidR="00543594" w:rsidRPr="00543594">
        <w:rPr>
          <w:rFonts w:ascii="Verdana" w:hAnsi="Verdana" w:cs="Verdana"/>
          <w:bCs/>
          <w:sz w:val="20"/>
          <w:szCs w:val="20"/>
        </w:rPr>
        <w:t xml:space="preserve">ciclomotori ed altri beni e servizi finanziabili), nel </w:t>
      </w:r>
      <w:r w:rsidR="00543594" w:rsidRPr="00E80434">
        <w:rPr>
          <w:rFonts w:ascii="Verdana" w:hAnsi="Verdana" w:cs="Verdana"/>
          <w:b/>
          <w:sz w:val="20"/>
          <w:szCs w:val="20"/>
        </w:rPr>
        <w:t>terzo trimestre 2020</w:t>
      </w:r>
      <w:r w:rsidR="00543594" w:rsidRPr="00543594">
        <w:rPr>
          <w:rFonts w:ascii="Verdana" w:hAnsi="Verdana" w:cs="Verdana"/>
          <w:bCs/>
          <w:sz w:val="20"/>
          <w:szCs w:val="20"/>
        </w:rPr>
        <w:t xml:space="preserve"> riescono a </w:t>
      </w:r>
      <w:r w:rsidR="00543594" w:rsidRPr="006D2F9A">
        <w:rPr>
          <w:rFonts w:ascii="Verdana" w:hAnsi="Verdana" w:cs="Verdana"/>
          <w:b/>
          <w:sz w:val="20"/>
          <w:szCs w:val="20"/>
        </w:rPr>
        <w:t>replicare i</w:t>
      </w:r>
      <w:r w:rsidR="008B4635">
        <w:rPr>
          <w:rFonts w:ascii="Verdana" w:hAnsi="Verdana" w:cs="Verdana"/>
          <w:b/>
          <w:sz w:val="20"/>
          <w:szCs w:val="20"/>
        </w:rPr>
        <w:t xml:space="preserve"> volumi di un anno prima</w:t>
      </w:r>
      <w:r w:rsidR="00543594" w:rsidRPr="00543594">
        <w:rPr>
          <w:rFonts w:ascii="Verdana" w:hAnsi="Verdana" w:cs="Verdana"/>
          <w:bCs/>
          <w:sz w:val="20"/>
          <w:szCs w:val="20"/>
        </w:rPr>
        <w:t xml:space="preserve">, recuperando in parte il deciso calo della prima metà dell’anno. L’evoluzione complessiva dei </w:t>
      </w:r>
      <w:r w:rsidR="00543594" w:rsidRPr="006D2F9A">
        <w:rPr>
          <w:rFonts w:ascii="Verdana" w:hAnsi="Verdana" w:cs="Verdana"/>
          <w:b/>
          <w:sz w:val="20"/>
          <w:szCs w:val="20"/>
        </w:rPr>
        <w:t>primi nove mesi del 2020</w:t>
      </w:r>
      <w:r w:rsidR="00543594" w:rsidRPr="00543594">
        <w:rPr>
          <w:rFonts w:ascii="Verdana" w:hAnsi="Verdana" w:cs="Verdana"/>
          <w:bCs/>
          <w:sz w:val="20"/>
          <w:szCs w:val="20"/>
        </w:rPr>
        <w:t xml:space="preserve"> si porta a </w:t>
      </w:r>
      <w:r w:rsidR="00543594" w:rsidRPr="006D2F9A">
        <w:rPr>
          <w:rFonts w:ascii="Verdana" w:hAnsi="Verdana" w:cs="Verdana"/>
          <w:b/>
          <w:sz w:val="20"/>
          <w:szCs w:val="20"/>
        </w:rPr>
        <w:t>-15</w:t>
      </w:r>
      <w:r w:rsidR="00B56815">
        <w:rPr>
          <w:rFonts w:ascii="Verdana" w:hAnsi="Verdana" w:cs="Verdana"/>
          <w:b/>
          <w:sz w:val="20"/>
          <w:szCs w:val="20"/>
        </w:rPr>
        <w:t>.</w:t>
      </w:r>
      <w:r w:rsidR="00543594" w:rsidRPr="006D2F9A">
        <w:rPr>
          <w:rFonts w:ascii="Verdana" w:hAnsi="Verdana" w:cs="Verdana"/>
          <w:b/>
          <w:sz w:val="20"/>
          <w:szCs w:val="20"/>
        </w:rPr>
        <w:t>2%</w:t>
      </w:r>
      <w:r>
        <w:rPr>
          <w:rFonts w:ascii="Verdana" w:hAnsi="Verdana" w:cs="Verdana"/>
          <w:b/>
          <w:sz w:val="20"/>
          <w:szCs w:val="20"/>
        </w:rPr>
        <w:t xml:space="preserve">. </w:t>
      </w:r>
      <w:r w:rsidRPr="00E80434">
        <w:rPr>
          <w:rFonts w:ascii="Verdana" w:hAnsi="Verdana" w:cs="Verdana"/>
          <w:bCs/>
          <w:sz w:val="20"/>
          <w:szCs w:val="20"/>
        </w:rPr>
        <w:t>N</w:t>
      </w:r>
      <w:r>
        <w:rPr>
          <w:rFonts w:ascii="Verdana" w:hAnsi="Verdana" w:cs="Verdana"/>
          <w:bCs/>
          <w:sz w:val="20"/>
          <w:szCs w:val="20"/>
        </w:rPr>
        <w:t>el terzo trimestre è stata trainante la</w:t>
      </w:r>
      <w:r w:rsidR="003F761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buona performance d</w:t>
      </w:r>
      <w:r w:rsidR="00865714">
        <w:rPr>
          <w:rFonts w:ascii="Verdana" w:hAnsi="Verdana" w:cs="Verdana"/>
          <w:bCs/>
          <w:sz w:val="20"/>
          <w:szCs w:val="20"/>
        </w:rPr>
        <w:t>e</w:t>
      </w:r>
      <w:r w:rsidR="00543594" w:rsidRPr="00543594">
        <w:rPr>
          <w:rFonts w:ascii="Verdana" w:hAnsi="Verdana" w:cs="Verdana"/>
          <w:bCs/>
          <w:sz w:val="20"/>
          <w:szCs w:val="20"/>
        </w:rPr>
        <w:t xml:space="preserve">i </w:t>
      </w:r>
      <w:r w:rsidR="00543594" w:rsidRPr="006D2F9A">
        <w:rPr>
          <w:rFonts w:ascii="Verdana" w:hAnsi="Verdana" w:cs="Verdana"/>
          <w:b/>
          <w:sz w:val="20"/>
          <w:szCs w:val="20"/>
        </w:rPr>
        <w:t>finanziamenti per mobili/arredamento (+14</w:t>
      </w:r>
      <w:r w:rsidR="00B56815">
        <w:rPr>
          <w:rFonts w:ascii="Verdana" w:hAnsi="Verdana" w:cs="Verdana"/>
          <w:b/>
          <w:sz w:val="20"/>
          <w:szCs w:val="20"/>
        </w:rPr>
        <w:t>.</w:t>
      </w:r>
      <w:r w:rsidR="00543594" w:rsidRPr="006D2F9A">
        <w:rPr>
          <w:rFonts w:ascii="Verdana" w:hAnsi="Verdana" w:cs="Verdana"/>
          <w:b/>
          <w:sz w:val="20"/>
          <w:szCs w:val="20"/>
        </w:rPr>
        <w:t>4%)</w:t>
      </w:r>
      <w:r w:rsidR="00543594">
        <w:rPr>
          <w:rFonts w:ascii="Verdana" w:hAnsi="Verdana" w:cs="Verdana"/>
          <w:bCs/>
          <w:sz w:val="20"/>
          <w:szCs w:val="20"/>
        </w:rPr>
        <w:t>, grazie</w:t>
      </w:r>
      <w:r w:rsidR="00543594" w:rsidRPr="00543594">
        <w:rPr>
          <w:rFonts w:ascii="Verdana" w:hAnsi="Verdana" w:cs="Verdana"/>
          <w:bCs/>
          <w:sz w:val="20"/>
          <w:szCs w:val="20"/>
        </w:rPr>
        <w:t xml:space="preserve"> </w:t>
      </w:r>
      <w:r w:rsidR="00543594">
        <w:rPr>
          <w:rFonts w:ascii="Verdana" w:hAnsi="Verdana" w:cs="Verdana"/>
          <w:bCs/>
          <w:sz w:val="20"/>
          <w:szCs w:val="20"/>
        </w:rPr>
        <w:t>a</w:t>
      </w:r>
      <w:r w:rsidR="00543594" w:rsidRPr="00543594">
        <w:rPr>
          <w:rFonts w:ascii="Verdana" w:hAnsi="Verdana" w:cs="Verdana"/>
          <w:bCs/>
          <w:sz w:val="20"/>
          <w:szCs w:val="20"/>
        </w:rPr>
        <w:t xml:space="preserve">lle </w:t>
      </w:r>
      <w:r w:rsidR="00543594" w:rsidRPr="00543594">
        <w:rPr>
          <w:rFonts w:ascii="Verdana" w:hAnsi="Verdana" w:cs="Verdana"/>
          <w:bCs/>
          <w:sz w:val="20"/>
          <w:szCs w:val="20"/>
        </w:rPr>
        <w:lastRenderedPageBreak/>
        <w:t>riaperture dei punti vendita</w:t>
      </w:r>
      <w:r w:rsidR="00EF208A">
        <w:rPr>
          <w:rFonts w:ascii="Verdana" w:hAnsi="Verdana" w:cs="Verdana"/>
          <w:bCs/>
          <w:sz w:val="20"/>
          <w:szCs w:val="20"/>
        </w:rPr>
        <w:t xml:space="preserve"> nonché</w:t>
      </w:r>
      <w:r w:rsidR="00543594" w:rsidRPr="00543594">
        <w:rPr>
          <w:rFonts w:ascii="Verdana" w:hAnsi="Verdana" w:cs="Verdana"/>
          <w:bCs/>
          <w:sz w:val="20"/>
          <w:szCs w:val="20"/>
        </w:rPr>
        <w:t xml:space="preserve"> </w:t>
      </w:r>
      <w:r w:rsidR="00E16E8B">
        <w:rPr>
          <w:rFonts w:ascii="Verdana" w:hAnsi="Verdana" w:cs="Verdana"/>
          <w:bCs/>
          <w:sz w:val="20"/>
          <w:szCs w:val="20"/>
        </w:rPr>
        <w:t>a</w:t>
      </w:r>
      <w:r w:rsidR="00543594" w:rsidRPr="00543594">
        <w:rPr>
          <w:rFonts w:ascii="Verdana" w:hAnsi="Verdana" w:cs="Verdana"/>
          <w:bCs/>
          <w:sz w:val="20"/>
          <w:szCs w:val="20"/>
        </w:rPr>
        <w:t>ll</w:t>
      </w:r>
      <w:r w:rsidR="00EF208A">
        <w:rPr>
          <w:rFonts w:ascii="Verdana" w:hAnsi="Verdana" w:cs="Verdana"/>
          <w:bCs/>
          <w:sz w:val="20"/>
          <w:szCs w:val="20"/>
        </w:rPr>
        <w:t>a crescente esigenza</w:t>
      </w:r>
      <w:r w:rsidR="00543594" w:rsidRPr="00543594">
        <w:rPr>
          <w:rFonts w:ascii="Verdana" w:hAnsi="Verdana" w:cs="Verdana"/>
          <w:bCs/>
          <w:sz w:val="20"/>
          <w:szCs w:val="20"/>
        </w:rPr>
        <w:t xml:space="preserve"> di rendere la casa più efficiente e confortevole</w:t>
      </w:r>
      <w:r w:rsidR="00865714">
        <w:rPr>
          <w:rFonts w:ascii="Verdana" w:hAnsi="Verdana" w:cs="Verdana"/>
          <w:bCs/>
          <w:sz w:val="20"/>
          <w:szCs w:val="20"/>
        </w:rPr>
        <w:t>. Segnali</w:t>
      </w:r>
      <w:r w:rsidR="00E16E8B">
        <w:rPr>
          <w:rFonts w:ascii="Verdana" w:hAnsi="Verdana" w:cs="Verdana"/>
          <w:bCs/>
          <w:sz w:val="20"/>
          <w:szCs w:val="20"/>
        </w:rPr>
        <w:t xml:space="preserve"> </w:t>
      </w:r>
      <w:r w:rsidR="00865714">
        <w:rPr>
          <w:rFonts w:ascii="Verdana" w:hAnsi="Verdana" w:cs="Verdana"/>
          <w:bCs/>
          <w:sz w:val="20"/>
          <w:szCs w:val="20"/>
        </w:rPr>
        <w:t xml:space="preserve">di recupero nel terzo trimestre anche dai </w:t>
      </w:r>
      <w:r w:rsidR="00E16E8B" w:rsidRPr="00E16E8B">
        <w:rPr>
          <w:rFonts w:ascii="Verdana" w:hAnsi="Verdana" w:cs="Verdana"/>
          <w:bCs/>
          <w:sz w:val="20"/>
          <w:szCs w:val="20"/>
        </w:rPr>
        <w:t>finanziamenti destinati agli acquisti di impianti “green” e di beni per l’efficientamento energetico della casa</w:t>
      </w:r>
      <w:r w:rsidR="00E16E8B">
        <w:rPr>
          <w:rFonts w:ascii="Verdana" w:hAnsi="Verdana" w:cs="Verdana"/>
          <w:bCs/>
          <w:sz w:val="20"/>
          <w:szCs w:val="20"/>
        </w:rPr>
        <w:t>,</w:t>
      </w:r>
      <w:r w:rsidR="00E16E8B" w:rsidRPr="00E16E8B">
        <w:rPr>
          <w:rFonts w:ascii="Verdana" w:hAnsi="Verdana" w:cs="Verdana"/>
          <w:bCs/>
          <w:sz w:val="20"/>
          <w:szCs w:val="20"/>
        </w:rPr>
        <w:t xml:space="preserve"> </w:t>
      </w:r>
      <w:r w:rsidR="00EF0929">
        <w:rPr>
          <w:rFonts w:ascii="Verdana" w:hAnsi="Verdana" w:cs="Verdana"/>
          <w:bCs/>
          <w:sz w:val="20"/>
          <w:szCs w:val="20"/>
        </w:rPr>
        <w:t>sull’onda della</w:t>
      </w:r>
      <w:r w:rsidR="00E16E8B" w:rsidRPr="00E16E8B">
        <w:rPr>
          <w:rFonts w:ascii="Verdana" w:hAnsi="Verdana" w:cs="Verdana"/>
          <w:bCs/>
          <w:sz w:val="20"/>
          <w:szCs w:val="20"/>
        </w:rPr>
        <w:t xml:space="preserve"> proroga delle agevolazioni fiscali</w:t>
      </w:r>
      <w:r w:rsidR="00EF208A">
        <w:rPr>
          <w:rFonts w:ascii="Verdana" w:hAnsi="Verdana" w:cs="Verdana"/>
          <w:bCs/>
          <w:sz w:val="20"/>
          <w:szCs w:val="20"/>
        </w:rPr>
        <w:t xml:space="preserve"> varate dal Governo</w:t>
      </w:r>
      <w:r w:rsidR="00865714">
        <w:rPr>
          <w:rFonts w:ascii="Verdana" w:hAnsi="Verdana" w:cs="Verdana"/>
          <w:bCs/>
          <w:sz w:val="20"/>
          <w:szCs w:val="20"/>
        </w:rPr>
        <w:t xml:space="preserve"> e di quelli </w:t>
      </w:r>
      <w:r w:rsidR="00865714" w:rsidRPr="00865714">
        <w:rPr>
          <w:rFonts w:ascii="Verdana" w:hAnsi="Verdana" w:cs="Verdana"/>
          <w:bCs/>
          <w:sz w:val="20"/>
          <w:szCs w:val="20"/>
        </w:rPr>
        <w:t>finalizzati ad acquisti di ciclomotori</w:t>
      </w:r>
      <w:r w:rsidR="00E16E8B" w:rsidRPr="00E16E8B">
        <w:rPr>
          <w:rFonts w:ascii="Verdana" w:hAnsi="Verdana" w:cs="Verdana"/>
          <w:bCs/>
          <w:sz w:val="20"/>
          <w:szCs w:val="20"/>
        </w:rPr>
        <w:t>.</w:t>
      </w:r>
      <w:r w:rsidR="00E16E8B">
        <w:rPr>
          <w:rFonts w:ascii="Verdana" w:hAnsi="Verdana" w:cs="Verdana"/>
          <w:bCs/>
          <w:sz w:val="20"/>
          <w:szCs w:val="20"/>
        </w:rPr>
        <w:t xml:space="preserve"> </w:t>
      </w:r>
      <w:r w:rsidR="00E16E8B" w:rsidRPr="00E16E8B">
        <w:rPr>
          <w:rFonts w:ascii="Verdana" w:hAnsi="Verdana" w:cs="Verdana"/>
          <w:bCs/>
          <w:sz w:val="20"/>
          <w:szCs w:val="20"/>
        </w:rPr>
        <w:t xml:space="preserve">I finanziamenti per </w:t>
      </w:r>
      <w:r w:rsidR="00E16E8B">
        <w:rPr>
          <w:rFonts w:ascii="Verdana" w:hAnsi="Verdana" w:cs="Verdana"/>
          <w:bCs/>
          <w:sz w:val="20"/>
          <w:szCs w:val="20"/>
        </w:rPr>
        <w:t xml:space="preserve">l’acquisto di </w:t>
      </w:r>
      <w:r w:rsidR="00E16E8B" w:rsidRPr="006D2F9A">
        <w:rPr>
          <w:rFonts w:ascii="Verdana" w:hAnsi="Verdana" w:cs="Verdana"/>
          <w:b/>
          <w:sz w:val="20"/>
          <w:szCs w:val="20"/>
        </w:rPr>
        <w:t>elettrodomestici/elettronica</w:t>
      </w:r>
      <w:r w:rsidR="00E16E8B" w:rsidRPr="00E16E8B">
        <w:rPr>
          <w:rFonts w:ascii="Verdana" w:hAnsi="Verdana" w:cs="Verdana"/>
          <w:bCs/>
          <w:sz w:val="20"/>
          <w:szCs w:val="20"/>
        </w:rPr>
        <w:t xml:space="preserve"> restano in </w:t>
      </w:r>
      <w:r w:rsidR="00E16E8B" w:rsidRPr="006D2F9A">
        <w:rPr>
          <w:rFonts w:ascii="Verdana" w:hAnsi="Verdana" w:cs="Verdana"/>
          <w:b/>
          <w:sz w:val="20"/>
          <w:szCs w:val="20"/>
        </w:rPr>
        <w:t>territorio negativo</w:t>
      </w:r>
      <w:r w:rsidR="00E16E8B">
        <w:rPr>
          <w:rFonts w:ascii="Verdana" w:hAnsi="Verdana" w:cs="Verdana"/>
          <w:bCs/>
          <w:sz w:val="20"/>
          <w:szCs w:val="20"/>
        </w:rPr>
        <w:t xml:space="preserve">, accusando un calo del </w:t>
      </w:r>
      <w:r w:rsidR="00E16E8B" w:rsidRPr="006D2F9A">
        <w:rPr>
          <w:rFonts w:ascii="Verdana" w:hAnsi="Verdana" w:cs="Verdana"/>
          <w:b/>
          <w:sz w:val="20"/>
          <w:szCs w:val="20"/>
        </w:rPr>
        <w:t>-10% nei nove mesi</w:t>
      </w:r>
      <w:r w:rsidR="00E16E8B">
        <w:rPr>
          <w:rFonts w:ascii="Verdana" w:hAnsi="Verdana" w:cs="Verdana"/>
          <w:bCs/>
          <w:sz w:val="20"/>
          <w:szCs w:val="20"/>
        </w:rPr>
        <w:t xml:space="preserve"> e del </w:t>
      </w:r>
      <w:r w:rsidR="00E16E8B" w:rsidRPr="00E16E8B">
        <w:rPr>
          <w:rFonts w:ascii="Verdana" w:hAnsi="Verdana" w:cs="Verdana"/>
          <w:bCs/>
          <w:sz w:val="20"/>
          <w:szCs w:val="20"/>
        </w:rPr>
        <w:t>-1</w:t>
      </w:r>
      <w:r w:rsidR="00B56815">
        <w:rPr>
          <w:rFonts w:ascii="Verdana" w:hAnsi="Verdana" w:cs="Verdana"/>
          <w:bCs/>
          <w:sz w:val="20"/>
          <w:szCs w:val="20"/>
        </w:rPr>
        <w:t>.</w:t>
      </w:r>
      <w:r w:rsidR="00E16E8B" w:rsidRPr="00E16E8B">
        <w:rPr>
          <w:rFonts w:ascii="Verdana" w:hAnsi="Verdana" w:cs="Verdana"/>
          <w:bCs/>
          <w:sz w:val="20"/>
          <w:szCs w:val="20"/>
        </w:rPr>
        <w:t>9% nel terzo trimestre</w:t>
      </w:r>
      <w:r w:rsidR="00E16E8B">
        <w:rPr>
          <w:rFonts w:ascii="Verdana" w:hAnsi="Verdana" w:cs="Verdana"/>
          <w:bCs/>
          <w:sz w:val="20"/>
          <w:szCs w:val="20"/>
        </w:rPr>
        <w:t>.</w:t>
      </w:r>
    </w:p>
    <w:p w14:paraId="44891BE6" w14:textId="77777777" w:rsidR="00451CD9" w:rsidRPr="00543594" w:rsidRDefault="00451CD9" w:rsidP="008131AB">
      <w:pPr>
        <w:jc w:val="both"/>
        <w:rPr>
          <w:rFonts w:ascii="Verdana" w:hAnsi="Verdana" w:cs="Verdana"/>
          <w:bCs/>
          <w:sz w:val="20"/>
          <w:szCs w:val="20"/>
        </w:rPr>
      </w:pPr>
    </w:p>
    <w:p w14:paraId="09F7D7E9" w14:textId="6A67E63D" w:rsidR="00451CD9" w:rsidRDefault="00451CD9" w:rsidP="00451CD9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N</w:t>
      </w:r>
      <w:r w:rsidRPr="00E16E8B">
        <w:rPr>
          <w:rFonts w:ascii="Verdana" w:hAnsi="Verdana" w:cs="Verdana"/>
          <w:bCs/>
          <w:sz w:val="20"/>
          <w:szCs w:val="20"/>
        </w:rPr>
        <w:t>el terzo trimestre 2020</w:t>
      </w:r>
      <w:r>
        <w:rPr>
          <w:rFonts w:ascii="Verdana" w:hAnsi="Verdana" w:cs="Verdana"/>
          <w:bCs/>
          <w:sz w:val="20"/>
          <w:szCs w:val="20"/>
        </w:rPr>
        <w:t xml:space="preserve"> t</w:t>
      </w:r>
      <w:r w:rsidRPr="00E16E8B">
        <w:rPr>
          <w:rFonts w:ascii="Verdana" w:hAnsi="Verdana" w:cs="Verdana"/>
          <w:bCs/>
          <w:sz w:val="20"/>
          <w:szCs w:val="20"/>
        </w:rPr>
        <w:t xml:space="preserve">ornano in territorio positivo i flussi dei finanziamenti </w:t>
      </w:r>
      <w:r w:rsidRPr="006D2F9A">
        <w:rPr>
          <w:rFonts w:ascii="Verdana" w:hAnsi="Verdana" w:cs="Verdana"/>
          <w:b/>
          <w:sz w:val="20"/>
          <w:szCs w:val="20"/>
        </w:rPr>
        <w:t>c</w:t>
      </w:r>
      <w:r w:rsidRPr="003C7508">
        <w:rPr>
          <w:rFonts w:ascii="Verdana" w:hAnsi="Verdana" w:cs="Verdana"/>
          <w:b/>
          <w:sz w:val="20"/>
          <w:szCs w:val="20"/>
        </w:rPr>
        <w:t>ontro cessione del quinto dello stipendio/pensione</w:t>
      </w:r>
      <w:r w:rsidRPr="00E16E8B">
        <w:rPr>
          <w:rFonts w:ascii="Verdana" w:hAnsi="Verdana" w:cs="Verdana"/>
          <w:bCs/>
          <w:sz w:val="20"/>
          <w:szCs w:val="20"/>
        </w:rPr>
        <w:t xml:space="preserve"> </w:t>
      </w:r>
      <w:r w:rsidRPr="006D2F9A">
        <w:rPr>
          <w:rFonts w:ascii="Verdana" w:hAnsi="Verdana" w:cs="Verdana"/>
          <w:b/>
          <w:sz w:val="20"/>
          <w:szCs w:val="20"/>
        </w:rPr>
        <w:t>(+5</w:t>
      </w:r>
      <w:r w:rsidR="00B56815">
        <w:rPr>
          <w:rFonts w:ascii="Verdana" w:hAnsi="Verdana" w:cs="Verdana"/>
          <w:b/>
          <w:sz w:val="20"/>
          <w:szCs w:val="20"/>
        </w:rPr>
        <w:t>.</w:t>
      </w:r>
      <w:r w:rsidRPr="006D2F9A">
        <w:rPr>
          <w:rFonts w:ascii="Verdana" w:hAnsi="Verdana" w:cs="Verdana"/>
          <w:b/>
          <w:sz w:val="20"/>
          <w:szCs w:val="20"/>
        </w:rPr>
        <w:t>2%)</w:t>
      </w:r>
      <w:r>
        <w:rPr>
          <w:rFonts w:ascii="Verdana" w:hAnsi="Verdana" w:cs="Verdana"/>
          <w:bCs/>
          <w:sz w:val="20"/>
          <w:szCs w:val="20"/>
        </w:rPr>
        <w:t>,</w:t>
      </w:r>
      <w:r w:rsidRPr="00E16E8B">
        <w:rPr>
          <w:rFonts w:ascii="Verdana" w:hAnsi="Verdana" w:cs="Verdana"/>
          <w:bCs/>
          <w:sz w:val="20"/>
          <w:szCs w:val="20"/>
        </w:rPr>
        <w:t xml:space="preserve"> </w:t>
      </w:r>
      <w:r w:rsidR="00D60DE2">
        <w:rPr>
          <w:rFonts w:ascii="Verdana" w:hAnsi="Verdana" w:cs="Verdana"/>
          <w:bCs/>
          <w:sz w:val="20"/>
          <w:szCs w:val="20"/>
        </w:rPr>
        <w:t xml:space="preserve">prodotto rivolto prevalentemente a categorie di </w:t>
      </w:r>
      <w:r w:rsidR="00D60DE2" w:rsidRPr="00D60DE2">
        <w:rPr>
          <w:rFonts w:ascii="Verdana" w:hAnsi="Verdana" w:cs="Verdana"/>
          <w:bCs/>
          <w:sz w:val="20"/>
          <w:szCs w:val="20"/>
        </w:rPr>
        <w:t xml:space="preserve">soggetti </w:t>
      </w:r>
      <w:r w:rsidR="00D60DE2" w:rsidRPr="00E80434">
        <w:rPr>
          <w:rFonts w:ascii="Verdana" w:hAnsi="Verdana" w:cs="Verdana"/>
          <w:bCs/>
          <w:sz w:val="20"/>
          <w:szCs w:val="20"/>
        </w:rPr>
        <w:t>(d</w:t>
      </w:r>
      <w:r w:rsidRPr="00D60DE2">
        <w:rPr>
          <w:rFonts w:ascii="Verdana" w:hAnsi="Verdana" w:cs="Verdana"/>
          <w:bCs/>
          <w:sz w:val="20"/>
          <w:szCs w:val="20"/>
        </w:rPr>
        <w:t>ipendenti</w:t>
      </w:r>
      <w:r w:rsidRPr="00E16E8B">
        <w:rPr>
          <w:rFonts w:ascii="Verdana" w:hAnsi="Verdana" w:cs="Verdana"/>
          <w:bCs/>
          <w:sz w:val="20"/>
          <w:szCs w:val="20"/>
        </w:rPr>
        <w:t xml:space="preserve"> pubblici e pensionati</w:t>
      </w:r>
      <w:r w:rsidR="00D60DE2">
        <w:rPr>
          <w:rFonts w:ascii="Verdana" w:hAnsi="Verdana" w:cs="Verdana"/>
          <w:bCs/>
          <w:sz w:val="20"/>
          <w:szCs w:val="20"/>
        </w:rPr>
        <w:t>)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E16E8B">
        <w:rPr>
          <w:rFonts w:ascii="Verdana" w:hAnsi="Verdana" w:cs="Verdana"/>
          <w:bCs/>
          <w:sz w:val="20"/>
          <w:szCs w:val="20"/>
        </w:rPr>
        <w:t>meno soggett</w:t>
      </w:r>
      <w:r>
        <w:rPr>
          <w:rFonts w:ascii="Verdana" w:hAnsi="Verdana" w:cs="Verdana"/>
          <w:bCs/>
          <w:sz w:val="20"/>
          <w:szCs w:val="20"/>
        </w:rPr>
        <w:t>e</w:t>
      </w:r>
      <w:r w:rsidRPr="00E16E8B">
        <w:rPr>
          <w:rFonts w:ascii="Verdana" w:hAnsi="Verdana" w:cs="Verdana"/>
          <w:bCs/>
          <w:sz w:val="20"/>
          <w:szCs w:val="20"/>
        </w:rPr>
        <w:t xml:space="preserve"> agli impatti negativi sul reddito indotti dalla pandemia. </w:t>
      </w:r>
    </w:p>
    <w:p w14:paraId="53A0DCCE" w14:textId="77777777" w:rsidR="00543594" w:rsidRDefault="00543594" w:rsidP="008131AB">
      <w:pPr>
        <w:jc w:val="both"/>
        <w:rPr>
          <w:rFonts w:ascii="Verdana" w:hAnsi="Verdana" w:cs="Verdana"/>
          <w:b/>
          <w:sz w:val="20"/>
          <w:szCs w:val="20"/>
        </w:rPr>
      </w:pPr>
    </w:p>
    <w:bookmarkEnd w:id="1"/>
    <w:p w14:paraId="3FAED10B" w14:textId="2E35EC04" w:rsidR="008131AB" w:rsidRPr="00E16E8B" w:rsidRDefault="00E16E8B" w:rsidP="009D38C9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 </w:t>
      </w:r>
      <w:r w:rsidRPr="006D2F9A">
        <w:rPr>
          <w:rFonts w:ascii="Verdana" w:hAnsi="Verdana" w:cs="Verdana"/>
          <w:b/>
          <w:sz w:val="20"/>
          <w:szCs w:val="20"/>
        </w:rPr>
        <w:t>prestiti personali</w:t>
      </w:r>
      <w:r w:rsidRPr="00E16E8B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risultano</w:t>
      </w:r>
      <w:r w:rsidRPr="00E16E8B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la forma tecnica</w:t>
      </w:r>
      <w:r w:rsidRPr="00E16E8B">
        <w:rPr>
          <w:rFonts w:ascii="Verdana" w:hAnsi="Verdana" w:cs="Verdana"/>
          <w:bCs/>
          <w:sz w:val="20"/>
          <w:szCs w:val="20"/>
        </w:rPr>
        <w:t xml:space="preserve"> che </w:t>
      </w:r>
      <w:r w:rsidRPr="006D2F9A">
        <w:rPr>
          <w:rFonts w:ascii="Verdana" w:hAnsi="Verdana" w:cs="Verdana"/>
          <w:b/>
          <w:sz w:val="20"/>
          <w:szCs w:val="20"/>
        </w:rPr>
        <w:t>più ha risentito della crisi</w:t>
      </w:r>
      <w:r w:rsidRPr="00E16E8B">
        <w:rPr>
          <w:rFonts w:ascii="Verdana" w:hAnsi="Verdana" w:cs="Verdana"/>
          <w:bCs/>
          <w:sz w:val="20"/>
          <w:szCs w:val="20"/>
        </w:rPr>
        <w:t xml:space="preserve"> in atto e chiudono i primi 9 mesi del 2020 </w:t>
      </w:r>
      <w:r w:rsidR="00C81A19">
        <w:rPr>
          <w:rFonts w:ascii="Verdana" w:hAnsi="Verdana" w:cs="Verdana"/>
          <w:bCs/>
          <w:sz w:val="20"/>
          <w:szCs w:val="20"/>
        </w:rPr>
        <w:t>registrando</w:t>
      </w:r>
      <w:r w:rsidR="005E73E5" w:rsidRPr="00E16E8B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un </w:t>
      </w:r>
      <w:r w:rsidRPr="006D2F9A">
        <w:rPr>
          <w:rFonts w:ascii="Verdana" w:hAnsi="Verdana" w:cs="Verdana"/>
          <w:b/>
          <w:sz w:val="20"/>
          <w:szCs w:val="20"/>
        </w:rPr>
        <w:t>-35</w:t>
      </w:r>
      <w:r w:rsidR="00B56815">
        <w:rPr>
          <w:rFonts w:ascii="Verdana" w:hAnsi="Verdana" w:cs="Verdana"/>
          <w:b/>
          <w:sz w:val="20"/>
          <w:szCs w:val="20"/>
        </w:rPr>
        <w:t>.</w:t>
      </w:r>
      <w:r w:rsidRPr="006D2F9A">
        <w:rPr>
          <w:rFonts w:ascii="Verdana" w:hAnsi="Verdana" w:cs="Verdana"/>
          <w:b/>
          <w:sz w:val="20"/>
          <w:szCs w:val="20"/>
        </w:rPr>
        <w:t>4%</w:t>
      </w:r>
      <w:r>
        <w:rPr>
          <w:rFonts w:ascii="Verdana" w:hAnsi="Verdana" w:cs="Verdana"/>
          <w:bCs/>
          <w:sz w:val="20"/>
          <w:szCs w:val="20"/>
        </w:rPr>
        <w:t>, rimanendo in territorio negativo a</w:t>
      </w:r>
      <w:r w:rsidRPr="00E16E8B">
        <w:rPr>
          <w:rFonts w:ascii="Verdana" w:hAnsi="Verdana" w:cs="Verdana"/>
          <w:bCs/>
          <w:sz w:val="20"/>
          <w:szCs w:val="20"/>
        </w:rPr>
        <w:t>nche nel terzo trimestre</w:t>
      </w:r>
      <w:r>
        <w:rPr>
          <w:rFonts w:ascii="Verdana" w:hAnsi="Verdana" w:cs="Verdana"/>
          <w:bCs/>
          <w:sz w:val="20"/>
          <w:szCs w:val="20"/>
        </w:rPr>
        <w:t xml:space="preserve"> del 2020 (-25%)</w:t>
      </w:r>
      <w:r w:rsidRPr="00E16E8B">
        <w:rPr>
          <w:rFonts w:ascii="Verdana" w:hAnsi="Verdana" w:cs="Verdana"/>
          <w:bCs/>
          <w:sz w:val="20"/>
          <w:szCs w:val="20"/>
        </w:rPr>
        <w:t xml:space="preserve">. </w:t>
      </w:r>
      <w:r w:rsidR="005E73E5">
        <w:rPr>
          <w:rFonts w:ascii="Verdana" w:hAnsi="Verdana" w:cs="Verdana"/>
          <w:bCs/>
          <w:sz w:val="20"/>
          <w:szCs w:val="20"/>
        </w:rPr>
        <w:t>L’</w:t>
      </w:r>
      <w:r w:rsidRPr="00E16E8B">
        <w:rPr>
          <w:rFonts w:ascii="Verdana" w:hAnsi="Verdana" w:cs="Verdana"/>
          <w:bCs/>
          <w:sz w:val="20"/>
          <w:szCs w:val="20"/>
        </w:rPr>
        <w:t xml:space="preserve">ampliamento dell’offerta sui canali digitali non </w:t>
      </w:r>
      <w:r>
        <w:rPr>
          <w:rFonts w:ascii="Verdana" w:hAnsi="Verdana" w:cs="Verdana"/>
          <w:bCs/>
          <w:sz w:val="20"/>
          <w:szCs w:val="20"/>
        </w:rPr>
        <w:t>è riuscito a</w:t>
      </w:r>
      <w:r w:rsidRPr="00E16E8B">
        <w:rPr>
          <w:rFonts w:ascii="Verdana" w:hAnsi="Verdana" w:cs="Verdana"/>
          <w:bCs/>
          <w:sz w:val="20"/>
          <w:szCs w:val="20"/>
        </w:rPr>
        <w:t xml:space="preserve"> compensa</w:t>
      </w:r>
      <w:r>
        <w:rPr>
          <w:rFonts w:ascii="Verdana" w:hAnsi="Verdana" w:cs="Verdana"/>
          <w:bCs/>
          <w:sz w:val="20"/>
          <w:szCs w:val="20"/>
        </w:rPr>
        <w:t>re</w:t>
      </w:r>
      <w:r w:rsidRPr="00E16E8B">
        <w:rPr>
          <w:rFonts w:ascii="Verdana" w:hAnsi="Verdana" w:cs="Verdana"/>
          <w:bCs/>
          <w:sz w:val="20"/>
          <w:szCs w:val="20"/>
        </w:rPr>
        <w:t xml:space="preserve"> le limitazioni alle aperture degli sportelli</w:t>
      </w:r>
      <w:r>
        <w:rPr>
          <w:rFonts w:ascii="Verdana" w:hAnsi="Verdana" w:cs="Verdana"/>
          <w:bCs/>
          <w:sz w:val="20"/>
          <w:szCs w:val="20"/>
        </w:rPr>
        <w:t xml:space="preserve"> fisici</w:t>
      </w:r>
      <w:r w:rsidRPr="00E16E8B">
        <w:rPr>
          <w:rFonts w:ascii="Verdana" w:hAnsi="Verdana" w:cs="Verdana"/>
          <w:bCs/>
          <w:sz w:val="20"/>
          <w:szCs w:val="20"/>
        </w:rPr>
        <w:t xml:space="preserve"> delle banche e delle istituzioni finanziarie specializzate.</w:t>
      </w:r>
      <w:r>
        <w:rPr>
          <w:rFonts w:ascii="Verdana" w:hAnsi="Verdana" w:cs="Verdana"/>
          <w:bCs/>
          <w:sz w:val="20"/>
          <w:szCs w:val="20"/>
        </w:rPr>
        <w:t xml:space="preserve"> </w:t>
      </w:r>
    </w:p>
    <w:p w14:paraId="1395B44F" w14:textId="5B1B3410" w:rsidR="00E16E8B" w:rsidRDefault="00E16E8B" w:rsidP="009D38C9">
      <w:pPr>
        <w:jc w:val="both"/>
        <w:rPr>
          <w:rFonts w:ascii="Verdana" w:hAnsi="Verdana" w:cs="Verdana"/>
          <w:bCs/>
          <w:sz w:val="20"/>
          <w:szCs w:val="20"/>
        </w:rPr>
      </w:pPr>
    </w:p>
    <w:p w14:paraId="3DA931E3" w14:textId="11EC98D3" w:rsidR="00E16E8B" w:rsidRPr="00E16E8B" w:rsidRDefault="006E65FE" w:rsidP="006E65FE">
      <w:pPr>
        <w:jc w:val="both"/>
        <w:rPr>
          <w:rFonts w:ascii="Verdana" w:hAnsi="Verdana" w:cs="Verdana"/>
          <w:bCs/>
          <w:sz w:val="20"/>
          <w:szCs w:val="20"/>
        </w:rPr>
      </w:pPr>
      <w:r w:rsidRPr="006E65FE">
        <w:rPr>
          <w:rFonts w:ascii="Verdana" w:hAnsi="Verdana" w:cs="Verdana"/>
          <w:bCs/>
          <w:sz w:val="20"/>
          <w:szCs w:val="20"/>
        </w:rPr>
        <w:t xml:space="preserve">In linea con l’evoluzione dei consumi delle famiglie, le erogazioni complessive via </w:t>
      </w:r>
      <w:r w:rsidRPr="006D2F9A">
        <w:rPr>
          <w:rFonts w:ascii="Verdana" w:hAnsi="Verdana" w:cs="Verdana"/>
          <w:b/>
          <w:sz w:val="20"/>
          <w:szCs w:val="20"/>
        </w:rPr>
        <w:t>carte opzione/rateali</w:t>
      </w:r>
      <w:r w:rsidRPr="006E65FE">
        <w:rPr>
          <w:rFonts w:ascii="Verdana" w:hAnsi="Verdana" w:cs="Verdana"/>
          <w:bCs/>
          <w:sz w:val="20"/>
          <w:szCs w:val="20"/>
        </w:rPr>
        <w:t xml:space="preserve"> nel terzo trimestre, pur invertendo il trend in peggioramento, chiudono </w:t>
      </w:r>
      <w:r w:rsidR="008B4635">
        <w:rPr>
          <w:rFonts w:ascii="Verdana" w:hAnsi="Verdana" w:cs="Verdana"/>
          <w:b/>
          <w:sz w:val="20"/>
          <w:szCs w:val="20"/>
        </w:rPr>
        <w:t>i primi 9 mesi dell’anno</w:t>
      </w:r>
      <w:r w:rsidR="008B4635" w:rsidRPr="006D2F9A">
        <w:rPr>
          <w:rFonts w:ascii="Verdana" w:hAnsi="Verdana" w:cs="Verdana"/>
          <w:b/>
          <w:sz w:val="20"/>
          <w:szCs w:val="20"/>
        </w:rPr>
        <w:t xml:space="preserve"> </w:t>
      </w:r>
      <w:r w:rsidRPr="006E65FE">
        <w:rPr>
          <w:rFonts w:ascii="Verdana" w:hAnsi="Verdana" w:cs="Verdana"/>
          <w:bCs/>
          <w:sz w:val="20"/>
          <w:szCs w:val="20"/>
        </w:rPr>
        <w:t xml:space="preserve">con una </w:t>
      </w:r>
      <w:r w:rsidRPr="006D2F9A">
        <w:rPr>
          <w:rFonts w:ascii="Verdana" w:hAnsi="Verdana" w:cs="Verdana"/>
          <w:b/>
          <w:sz w:val="20"/>
          <w:szCs w:val="20"/>
        </w:rPr>
        <w:t xml:space="preserve">contrazione </w:t>
      </w:r>
      <w:r w:rsidR="008B4635">
        <w:rPr>
          <w:rFonts w:ascii="Verdana" w:hAnsi="Verdana" w:cs="Verdana"/>
          <w:b/>
          <w:sz w:val="20"/>
          <w:szCs w:val="20"/>
        </w:rPr>
        <w:t>del -13</w:t>
      </w:r>
      <w:r w:rsidR="00B56815">
        <w:rPr>
          <w:rFonts w:ascii="Verdana" w:hAnsi="Verdana" w:cs="Verdana"/>
          <w:b/>
          <w:sz w:val="20"/>
          <w:szCs w:val="20"/>
        </w:rPr>
        <w:t>.</w:t>
      </w:r>
      <w:r w:rsidR="008B4635">
        <w:rPr>
          <w:rFonts w:ascii="Verdana" w:hAnsi="Verdana" w:cs="Verdana"/>
          <w:b/>
          <w:sz w:val="20"/>
          <w:szCs w:val="20"/>
        </w:rPr>
        <w:t>7%</w:t>
      </w:r>
      <w:r w:rsidRPr="006E65FE">
        <w:rPr>
          <w:rFonts w:ascii="Verdana" w:hAnsi="Verdana" w:cs="Verdana"/>
          <w:bCs/>
          <w:sz w:val="20"/>
          <w:szCs w:val="20"/>
        </w:rPr>
        <w:t xml:space="preserve">. Si tratta, tuttavia, di una riduzione meno pronunciata rispetto agli altri prodotti, per via del maggior utilizzo delle carte di pagamento a scapito del contante, intensificatosi a seguito della pandemia per motivi igienici e per il maggiore ricorso all’e-commerce. </w:t>
      </w:r>
    </w:p>
    <w:bookmarkEnd w:id="2"/>
    <w:p w14:paraId="14840ECF" w14:textId="77777777" w:rsidR="000A143A" w:rsidRDefault="000A143A" w:rsidP="009D38C9">
      <w:pPr>
        <w:jc w:val="both"/>
        <w:rPr>
          <w:rFonts w:ascii="Verdana" w:hAnsi="Verdana" w:cs="Verdana"/>
          <w:sz w:val="20"/>
          <w:szCs w:val="20"/>
        </w:rPr>
      </w:pPr>
    </w:p>
    <w:p w14:paraId="7F7A4DC3" w14:textId="77777777" w:rsidR="00661377" w:rsidRPr="00DC1EC7" w:rsidRDefault="002D6168" w:rsidP="00661377">
      <w:pPr>
        <w:pStyle w:val="Nessunaspaziatura1"/>
        <w:spacing w:after="160"/>
        <w:jc w:val="both"/>
        <w:outlineLvl w:val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DC1EC7">
        <w:rPr>
          <w:rFonts w:ascii="Verdana" w:hAnsi="Verdana" w:cs="Verdana"/>
          <w:b/>
          <w:bCs/>
          <w:sz w:val="20"/>
          <w:szCs w:val="20"/>
          <w:u w:val="single"/>
        </w:rPr>
        <w:t>I</w:t>
      </w:r>
      <w:r w:rsidR="00661377" w:rsidRPr="00DC1EC7">
        <w:rPr>
          <w:rFonts w:ascii="Verdana" w:hAnsi="Verdana" w:cs="Verdana"/>
          <w:b/>
          <w:bCs/>
          <w:sz w:val="20"/>
          <w:szCs w:val="20"/>
          <w:u w:val="single"/>
        </w:rPr>
        <w:t xml:space="preserve"> mutui immobiliari</w:t>
      </w:r>
    </w:p>
    <w:p w14:paraId="3C814160" w14:textId="0954F2F0" w:rsidR="006E65FE" w:rsidRDefault="00A12145" w:rsidP="003A39F8">
      <w:pPr>
        <w:pStyle w:val="Nessunaspaziatura1"/>
        <w:jc w:val="both"/>
        <w:outlineLvl w:val="0"/>
        <w:rPr>
          <w:rFonts w:ascii="Verdana" w:hAnsi="Verdana" w:cs="Verdana"/>
          <w:sz w:val="20"/>
          <w:szCs w:val="20"/>
        </w:rPr>
      </w:pPr>
      <w:bookmarkStart w:id="3" w:name="_Hlk27123636"/>
      <w:r>
        <w:rPr>
          <w:rFonts w:ascii="Verdana" w:hAnsi="Verdana" w:cs="Verdana"/>
          <w:sz w:val="20"/>
          <w:szCs w:val="20"/>
        </w:rPr>
        <w:t>Nei primi 9 mesi del 20</w:t>
      </w:r>
      <w:r w:rsidR="006E65FE">
        <w:rPr>
          <w:rFonts w:ascii="Verdana" w:hAnsi="Verdana" w:cs="Verdana"/>
          <w:sz w:val="20"/>
          <w:szCs w:val="20"/>
        </w:rPr>
        <w:t xml:space="preserve">20 </w:t>
      </w:r>
      <w:r w:rsidR="006E65FE" w:rsidRPr="006E65FE">
        <w:rPr>
          <w:rFonts w:ascii="Verdana" w:hAnsi="Verdana" w:cs="Verdana"/>
          <w:sz w:val="20"/>
          <w:szCs w:val="20"/>
        </w:rPr>
        <w:t>l</w:t>
      </w:r>
      <w:r w:rsidR="006E65FE">
        <w:rPr>
          <w:rFonts w:ascii="Verdana" w:hAnsi="Verdana" w:cs="Verdana"/>
          <w:sz w:val="20"/>
          <w:szCs w:val="20"/>
        </w:rPr>
        <w:t xml:space="preserve">e </w:t>
      </w:r>
      <w:r w:rsidR="006E65FE" w:rsidRPr="006D2F9A">
        <w:rPr>
          <w:rFonts w:ascii="Verdana" w:hAnsi="Verdana" w:cs="Verdana"/>
          <w:b/>
          <w:bCs/>
          <w:sz w:val="20"/>
          <w:szCs w:val="20"/>
        </w:rPr>
        <w:t>erogazioni di mutui immobiliari</w:t>
      </w:r>
      <w:r w:rsidR="006E65FE" w:rsidRPr="006E65FE">
        <w:rPr>
          <w:rFonts w:ascii="Verdana" w:hAnsi="Verdana" w:cs="Verdana"/>
          <w:sz w:val="20"/>
          <w:szCs w:val="20"/>
        </w:rPr>
        <w:t xml:space="preserve"> alle famiglie consumatrici cresc</w:t>
      </w:r>
      <w:r w:rsidR="006E65FE">
        <w:rPr>
          <w:rFonts w:ascii="Verdana" w:hAnsi="Verdana" w:cs="Verdana"/>
          <w:sz w:val="20"/>
          <w:szCs w:val="20"/>
        </w:rPr>
        <w:t>ono</w:t>
      </w:r>
      <w:r w:rsidR="006E65FE" w:rsidRPr="006E65FE">
        <w:rPr>
          <w:rFonts w:ascii="Verdana" w:hAnsi="Verdana" w:cs="Verdana"/>
          <w:sz w:val="20"/>
          <w:szCs w:val="20"/>
        </w:rPr>
        <w:t xml:space="preserve"> </w:t>
      </w:r>
      <w:r w:rsidR="00C81A19">
        <w:rPr>
          <w:rFonts w:ascii="Verdana" w:hAnsi="Verdana" w:cs="Verdana"/>
          <w:sz w:val="20"/>
          <w:szCs w:val="20"/>
        </w:rPr>
        <w:t xml:space="preserve">nel </w:t>
      </w:r>
      <w:r w:rsidR="00C81A19" w:rsidRPr="006E65FE">
        <w:rPr>
          <w:rFonts w:ascii="Verdana" w:hAnsi="Verdana" w:cs="Verdana"/>
          <w:sz w:val="20"/>
          <w:szCs w:val="20"/>
        </w:rPr>
        <w:t>compless</w:t>
      </w:r>
      <w:r w:rsidR="00C81A19">
        <w:rPr>
          <w:rFonts w:ascii="Verdana" w:hAnsi="Verdana" w:cs="Verdana"/>
          <w:sz w:val="20"/>
          <w:szCs w:val="20"/>
        </w:rPr>
        <w:t>o</w:t>
      </w:r>
      <w:r w:rsidR="00C81A19" w:rsidRPr="006E65FE">
        <w:rPr>
          <w:rFonts w:ascii="Verdana" w:hAnsi="Verdana" w:cs="Verdana"/>
          <w:sz w:val="20"/>
          <w:szCs w:val="20"/>
        </w:rPr>
        <w:t xml:space="preserve"> </w:t>
      </w:r>
      <w:r w:rsidR="006E65FE">
        <w:rPr>
          <w:rFonts w:ascii="Verdana" w:hAnsi="Verdana" w:cs="Verdana"/>
          <w:sz w:val="20"/>
          <w:szCs w:val="20"/>
        </w:rPr>
        <w:t xml:space="preserve">del </w:t>
      </w:r>
      <w:r w:rsidR="006E65FE" w:rsidRPr="006D2F9A">
        <w:rPr>
          <w:rFonts w:ascii="Verdana" w:hAnsi="Verdana" w:cs="Verdana"/>
          <w:b/>
          <w:bCs/>
          <w:sz w:val="20"/>
          <w:szCs w:val="20"/>
        </w:rPr>
        <w:t>+12</w:t>
      </w:r>
      <w:r w:rsidR="00B56815">
        <w:rPr>
          <w:rFonts w:ascii="Verdana" w:hAnsi="Verdana" w:cs="Verdana"/>
          <w:b/>
          <w:bCs/>
          <w:sz w:val="20"/>
          <w:szCs w:val="20"/>
        </w:rPr>
        <w:t>.</w:t>
      </w:r>
      <w:r w:rsidR="006E65FE" w:rsidRPr="006D2F9A">
        <w:rPr>
          <w:rFonts w:ascii="Verdana" w:hAnsi="Verdana" w:cs="Verdana"/>
          <w:b/>
          <w:bCs/>
          <w:sz w:val="20"/>
          <w:szCs w:val="20"/>
        </w:rPr>
        <w:t>7%</w:t>
      </w:r>
      <w:r w:rsidR="00EF0929">
        <w:rPr>
          <w:rFonts w:ascii="Verdana" w:hAnsi="Verdana" w:cs="Verdana"/>
          <w:sz w:val="20"/>
          <w:szCs w:val="20"/>
        </w:rPr>
        <w:t xml:space="preserve">. A trainare il comparto sono state </w:t>
      </w:r>
      <w:r w:rsidR="006E65FE" w:rsidRPr="006E65FE">
        <w:rPr>
          <w:rFonts w:ascii="Verdana" w:hAnsi="Verdana" w:cs="Verdana"/>
          <w:sz w:val="20"/>
          <w:szCs w:val="20"/>
        </w:rPr>
        <w:t xml:space="preserve">le </w:t>
      </w:r>
      <w:r w:rsidR="006E65FE" w:rsidRPr="006D2F9A">
        <w:rPr>
          <w:rFonts w:ascii="Verdana" w:hAnsi="Verdana" w:cs="Verdana"/>
          <w:b/>
          <w:bCs/>
          <w:sz w:val="20"/>
          <w:szCs w:val="20"/>
        </w:rPr>
        <w:t>surroghe</w:t>
      </w:r>
      <w:r w:rsidR="006E65FE">
        <w:rPr>
          <w:rFonts w:ascii="Verdana" w:hAnsi="Verdana" w:cs="Verdana"/>
          <w:sz w:val="20"/>
          <w:szCs w:val="20"/>
        </w:rPr>
        <w:t xml:space="preserve">, che registrano </w:t>
      </w:r>
      <w:r w:rsidR="005E73E5">
        <w:rPr>
          <w:rFonts w:ascii="Verdana" w:hAnsi="Verdana" w:cs="Verdana"/>
          <w:sz w:val="20"/>
          <w:szCs w:val="20"/>
        </w:rPr>
        <w:t xml:space="preserve">un </w:t>
      </w:r>
      <w:r w:rsidR="006E65FE">
        <w:rPr>
          <w:rFonts w:ascii="Verdana" w:hAnsi="Verdana" w:cs="Verdana"/>
          <w:sz w:val="20"/>
          <w:szCs w:val="20"/>
        </w:rPr>
        <w:t>ver</w:t>
      </w:r>
      <w:r w:rsidR="005E73E5">
        <w:rPr>
          <w:rFonts w:ascii="Verdana" w:hAnsi="Verdana" w:cs="Verdana"/>
          <w:sz w:val="20"/>
          <w:szCs w:val="20"/>
        </w:rPr>
        <w:t>o</w:t>
      </w:r>
      <w:r w:rsidR="006E65FE">
        <w:rPr>
          <w:rFonts w:ascii="Verdana" w:hAnsi="Verdana" w:cs="Verdana"/>
          <w:sz w:val="20"/>
          <w:szCs w:val="20"/>
        </w:rPr>
        <w:t xml:space="preserve"> e propri</w:t>
      </w:r>
      <w:r w:rsidR="005E73E5">
        <w:rPr>
          <w:rFonts w:ascii="Verdana" w:hAnsi="Verdana" w:cs="Verdana"/>
          <w:sz w:val="20"/>
          <w:szCs w:val="20"/>
        </w:rPr>
        <w:t>o</w:t>
      </w:r>
      <w:r w:rsidR="006E65FE">
        <w:rPr>
          <w:rFonts w:ascii="Verdana" w:hAnsi="Verdana" w:cs="Verdana"/>
          <w:sz w:val="20"/>
          <w:szCs w:val="20"/>
        </w:rPr>
        <w:t xml:space="preserve"> boom grazie a </w:t>
      </w:r>
      <w:r w:rsidR="006E65FE" w:rsidRPr="006E65FE">
        <w:rPr>
          <w:rFonts w:ascii="Verdana" w:hAnsi="Verdana" w:cs="Verdana"/>
          <w:sz w:val="20"/>
          <w:szCs w:val="20"/>
        </w:rPr>
        <w:t>tassi di riferimento ancora estremamente vantaggiosi</w:t>
      </w:r>
      <w:r w:rsidR="00C8770F">
        <w:rPr>
          <w:rFonts w:ascii="Verdana" w:hAnsi="Verdana" w:cs="Verdana"/>
          <w:sz w:val="20"/>
          <w:szCs w:val="20"/>
        </w:rPr>
        <w:t xml:space="preserve">, che hanno indotto le famiglie in </w:t>
      </w:r>
      <w:r w:rsidR="006E65FE" w:rsidRPr="006E65FE">
        <w:rPr>
          <w:rFonts w:ascii="Verdana" w:hAnsi="Verdana" w:cs="Verdana"/>
          <w:sz w:val="20"/>
          <w:szCs w:val="20"/>
        </w:rPr>
        <w:t xml:space="preserve">cerca di soluzioni più sostenibili </w:t>
      </w:r>
      <w:r w:rsidR="00C8770F">
        <w:rPr>
          <w:rFonts w:ascii="Verdana" w:hAnsi="Verdana" w:cs="Verdana"/>
          <w:sz w:val="20"/>
          <w:szCs w:val="20"/>
        </w:rPr>
        <w:t xml:space="preserve">a surrogare </w:t>
      </w:r>
      <w:r w:rsidR="006E65FE" w:rsidRPr="006E65FE">
        <w:rPr>
          <w:rFonts w:ascii="Verdana" w:hAnsi="Verdana" w:cs="Verdana"/>
          <w:sz w:val="20"/>
          <w:szCs w:val="20"/>
        </w:rPr>
        <w:t>anche</w:t>
      </w:r>
      <w:r w:rsidR="006E65FE">
        <w:rPr>
          <w:rFonts w:ascii="Verdana" w:hAnsi="Verdana" w:cs="Verdana"/>
          <w:sz w:val="20"/>
          <w:szCs w:val="20"/>
        </w:rPr>
        <w:t xml:space="preserve"> </w:t>
      </w:r>
      <w:r w:rsidR="006E65FE" w:rsidRPr="006E65FE">
        <w:rPr>
          <w:rFonts w:ascii="Verdana" w:hAnsi="Verdana" w:cs="Verdana"/>
          <w:sz w:val="20"/>
          <w:szCs w:val="20"/>
        </w:rPr>
        <w:t>mutui di recente stipula.</w:t>
      </w:r>
      <w:r w:rsidR="006E65FE">
        <w:rPr>
          <w:rFonts w:ascii="Verdana" w:hAnsi="Verdana" w:cs="Verdana"/>
          <w:sz w:val="20"/>
          <w:szCs w:val="20"/>
        </w:rPr>
        <w:t xml:space="preserve"> Nel corso del </w:t>
      </w:r>
      <w:r w:rsidR="006E65FE" w:rsidRPr="006D2F9A">
        <w:rPr>
          <w:rFonts w:ascii="Verdana" w:hAnsi="Verdana" w:cs="Verdana"/>
          <w:b/>
          <w:bCs/>
          <w:sz w:val="20"/>
          <w:szCs w:val="20"/>
        </w:rPr>
        <w:t>terzo trimestre</w:t>
      </w:r>
      <w:r w:rsidR="006E65FE">
        <w:rPr>
          <w:rFonts w:ascii="Verdana" w:hAnsi="Verdana" w:cs="Verdana"/>
          <w:sz w:val="20"/>
          <w:szCs w:val="20"/>
        </w:rPr>
        <w:t xml:space="preserve">, tuttavia, si assiste a una </w:t>
      </w:r>
      <w:r w:rsidR="006E65FE" w:rsidRPr="006D2F9A">
        <w:rPr>
          <w:rFonts w:ascii="Verdana" w:hAnsi="Verdana" w:cs="Verdana"/>
          <w:b/>
          <w:bCs/>
          <w:sz w:val="20"/>
          <w:szCs w:val="20"/>
        </w:rPr>
        <w:t>ripresa anche dei mutui d’acquisto</w:t>
      </w:r>
      <w:r w:rsidR="006E65FE">
        <w:rPr>
          <w:rFonts w:ascii="Verdana" w:hAnsi="Verdana" w:cs="Verdana"/>
          <w:sz w:val="20"/>
          <w:szCs w:val="20"/>
        </w:rPr>
        <w:t xml:space="preserve">, che, </w:t>
      </w:r>
      <w:r w:rsidR="006E65FE" w:rsidRPr="006E65FE">
        <w:rPr>
          <w:rFonts w:ascii="Verdana" w:hAnsi="Verdana" w:cs="Verdana"/>
          <w:sz w:val="20"/>
          <w:szCs w:val="20"/>
        </w:rPr>
        <w:t xml:space="preserve">dopo il brusco arresto prodotto dal lockdown nei primi due trimestri dell’anno, </w:t>
      </w:r>
      <w:r w:rsidR="006E65FE">
        <w:rPr>
          <w:rFonts w:ascii="Verdana" w:hAnsi="Verdana" w:cs="Verdana"/>
          <w:sz w:val="20"/>
          <w:szCs w:val="20"/>
        </w:rPr>
        <w:t>segna</w:t>
      </w:r>
      <w:r w:rsidR="00EF0929">
        <w:rPr>
          <w:rFonts w:ascii="Verdana" w:hAnsi="Verdana" w:cs="Verdana"/>
          <w:sz w:val="20"/>
          <w:szCs w:val="20"/>
        </w:rPr>
        <w:t>no</w:t>
      </w:r>
      <w:r w:rsidR="006E65FE">
        <w:rPr>
          <w:rFonts w:ascii="Verdana" w:hAnsi="Verdana" w:cs="Verdana"/>
          <w:sz w:val="20"/>
          <w:szCs w:val="20"/>
        </w:rPr>
        <w:t xml:space="preserve"> un </w:t>
      </w:r>
      <w:r w:rsidR="006E65FE" w:rsidRPr="006D2F9A">
        <w:rPr>
          <w:rFonts w:ascii="Verdana" w:hAnsi="Verdana" w:cs="Verdana"/>
          <w:b/>
          <w:bCs/>
          <w:sz w:val="20"/>
          <w:szCs w:val="20"/>
        </w:rPr>
        <w:t>+6</w:t>
      </w:r>
      <w:r w:rsidR="00B56815">
        <w:rPr>
          <w:rFonts w:ascii="Verdana" w:hAnsi="Verdana" w:cs="Verdana"/>
          <w:b/>
          <w:bCs/>
          <w:sz w:val="20"/>
          <w:szCs w:val="20"/>
        </w:rPr>
        <w:t>.</w:t>
      </w:r>
      <w:r w:rsidR="006E65FE" w:rsidRPr="006D2F9A">
        <w:rPr>
          <w:rFonts w:ascii="Verdana" w:hAnsi="Verdana" w:cs="Verdana"/>
          <w:b/>
          <w:bCs/>
          <w:sz w:val="20"/>
          <w:szCs w:val="20"/>
        </w:rPr>
        <w:t>9%</w:t>
      </w:r>
      <w:r w:rsidR="006E65FE">
        <w:rPr>
          <w:rFonts w:ascii="Verdana" w:hAnsi="Verdana" w:cs="Verdana"/>
          <w:sz w:val="20"/>
          <w:szCs w:val="20"/>
        </w:rPr>
        <w:t>.</w:t>
      </w:r>
      <w:r w:rsidR="00C8770F">
        <w:rPr>
          <w:rFonts w:ascii="Verdana" w:hAnsi="Verdana" w:cs="Verdana"/>
          <w:sz w:val="20"/>
          <w:szCs w:val="20"/>
        </w:rPr>
        <w:t xml:space="preserve"> </w:t>
      </w:r>
    </w:p>
    <w:p w14:paraId="3FADA605" w14:textId="1A9D9AA4" w:rsidR="00DC0E43" w:rsidRDefault="00DC0E43" w:rsidP="003A39F8">
      <w:pPr>
        <w:pStyle w:val="Nessunaspaziatura1"/>
        <w:jc w:val="both"/>
        <w:outlineLvl w:val="0"/>
        <w:rPr>
          <w:rFonts w:ascii="Verdana" w:hAnsi="Verdana" w:cs="Verdana"/>
          <w:sz w:val="20"/>
          <w:szCs w:val="20"/>
        </w:rPr>
      </w:pPr>
    </w:p>
    <w:bookmarkEnd w:id="3"/>
    <w:p w14:paraId="6ADBE75F" w14:textId="77777777" w:rsidR="00661377" w:rsidRPr="004C3BB0" w:rsidRDefault="00661377" w:rsidP="00661377">
      <w:pPr>
        <w:pStyle w:val="Nessunaspaziatura1"/>
        <w:spacing w:after="160"/>
        <w:jc w:val="both"/>
        <w:outlineLvl w:val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4C3BB0">
        <w:rPr>
          <w:rFonts w:ascii="Verdana" w:hAnsi="Verdana" w:cs="Verdana"/>
          <w:b/>
          <w:bCs/>
          <w:sz w:val="20"/>
          <w:szCs w:val="20"/>
          <w:u w:val="single"/>
        </w:rPr>
        <w:t>L’analisi della rischiosità</w:t>
      </w:r>
      <w:r w:rsidR="00C74DC9">
        <w:rPr>
          <w:rFonts w:ascii="Verdana" w:hAnsi="Verdana" w:cs="Verdana"/>
          <w:b/>
          <w:bCs/>
          <w:sz w:val="20"/>
          <w:szCs w:val="20"/>
          <w:u w:val="single"/>
        </w:rPr>
        <w:t xml:space="preserve"> del credito alle famiglie</w:t>
      </w:r>
    </w:p>
    <w:p w14:paraId="496AA16C" w14:textId="08667924" w:rsidR="006D2F9A" w:rsidRDefault="00D1419A" w:rsidP="007A4C85">
      <w:pPr>
        <w:jc w:val="both"/>
        <w:rPr>
          <w:rFonts w:ascii="Verdana" w:hAnsi="Verdana" w:cs="Verdana"/>
          <w:sz w:val="20"/>
          <w:szCs w:val="20"/>
        </w:rPr>
      </w:pPr>
      <w:bookmarkStart w:id="4" w:name="_Hlk27123649"/>
      <w:r w:rsidRPr="00D1419A">
        <w:rPr>
          <w:rFonts w:ascii="Verdana" w:hAnsi="Verdana" w:cs="Verdana"/>
          <w:sz w:val="20"/>
          <w:szCs w:val="20"/>
        </w:rPr>
        <w:t xml:space="preserve">Nel </w:t>
      </w:r>
      <w:r>
        <w:rPr>
          <w:rFonts w:ascii="Verdana" w:hAnsi="Verdana" w:cs="Verdana"/>
          <w:sz w:val="20"/>
          <w:szCs w:val="20"/>
        </w:rPr>
        <w:t xml:space="preserve">corso del </w:t>
      </w:r>
      <w:r w:rsidRPr="00D1419A">
        <w:rPr>
          <w:rFonts w:ascii="Verdana" w:hAnsi="Verdana" w:cs="Verdana"/>
          <w:sz w:val="20"/>
          <w:szCs w:val="20"/>
        </w:rPr>
        <w:t>20</w:t>
      </w:r>
      <w:r w:rsidR="00DC0E43">
        <w:rPr>
          <w:rFonts w:ascii="Verdana" w:hAnsi="Verdana" w:cs="Verdana"/>
          <w:sz w:val="20"/>
          <w:szCs w:val="20"/>
        </w:rPr>
        <w:t>20</w:t>
      </w:r>
      <w:r w:rsidRPr="00D1419A">
        <w:rPr>
          <w:rFonts w:ascii="Verdana" w:hAnsi="Verdana" w:cs="Verdana"/>
          <w:sz w:val="20"/>
          <w:szCs w:val="20"/>
        </w:rPr>
        <w:t xml:space="preserve"> la </w:t>
      </w:r>
      <w:r w:rsidRPr="003E273E">
        <w:rPr>
          <w:rFonts w:ascii="Verdana" w:hAnsi="Verdana" w:cs="Verdana"/>
          <w:b/>
          <w:sz w:val="20"/>
          <w:szCs w:val="20"/>
        </w:rPr>
        <w:t>rischiosità nel credito al dettaglio</w:t>
      </w:r>
      <w:r w:rsidRPr="00D1419A">
        <w:rPr>
          <w:rFonts w:ascii="Verdana" w:hAnsi="Verdana" w:cs="Verdana"/>
          <w:sz w:val="20"/>
          <w:szCs w:val="20"/>
        </w:rPr>
        <w:t xml:space="preserve"> </w:t>
      </w:r>
      <w:r w:rsidR="00812D3D">
        <w:rPr>
          <w:rFonts w:ascii="Verdana" w:hAnsi="Verdana" w:cs="Verdana"/>
          <w:sz w:val="20"/>
          <w:szCs w:val="20"/>
        </w:rPr>
        <w:t xml:space="preserve">ha </w:t>
      </w:r>
      <w:r w:rsidR="00DC0E43" w:rsidRPr="00DC0E43">
        <w:rPr>
          <w:rFonts w:ascii="Verdana" w:hAnsi="Verdana" w:cs="Verdana"/>
          <w:sz w:val="20"/>
          <w:szCs w:val="20"/>
        </w:rPr>
        <w:t>invert</w:t>
      </w:r>
      <w:r w:rsidR="00DC0E43">
        <w:rPr>
          <w:rFonts w:ascii="Verdana" w:hAnsi="Verdana" w:cs="Verdana"/>
          <w:sz w:val="20"/>
          <w:szCs w:val="20"/>
        </w:rPr>
        <w:t>ito</w:t>
      </w:r>
      <w:r w:rsidR="00DC0E43" w:rsidRPr="00DC0E43">
        <w:rPr>
          <w:rFonts w:ascii="Verdana" w:hAnsi="Verdana" w:cs="Verdana"/>
          <w:sz w:val="20"/>
          <w:szCs w:val="20"/>
        </w:rPr>
        <w:t xml:space="preserve"> la tendenza</w:t>
      </w:r>
      <w:r w:rsidR="00DC0E43">
        <w:rPr>
          <w:rFonts w:ascii="Verdana" w:hAnsi="Verdana" w:cs="Verdana"/>
          <w:sz w:val="20"/>
          <w:szCs w:val="20"/>
        </w:rPr>
        <w:t xml:space="preserve"> evidenziata nelle più recenti rilevazioni ed</w:t>
      </w:r>
      <w:r w:rsidR="00DC0E43" w:rsidRPr="00DC0E43">
        <w:rPr>
          <w:rFonts w:ascii="Verdana" w:hAnsi="Verdana" w:cs="Verdana"/>
          <w:sz w:val="20"/>
          <w:szCs w:val="20"/>
        </w:rPr>
        <w:t xml:space="preserve"> </w:t>
      </w:r>
      <w:r w:rsidR="00DC0E43">
        <w:rPr>
          <w:rFonts w:ascii="Verdana" w:hAnsi="Verdana" w:cs="Verdana"/>
          <w:sz w:val="20"/>
          <w:szCs w:val="20"/>
        </w:rPr>
        <w:t>è</w:t>
      </w:r>
      <w:r w:rsidR="00DC0E43" w:rsidRPr="00DC0E43">
        <w:rPr>
          <w:rFonts w:ascii="Verdana" w:hAnsi="Verdana" w:cs="Verdana"/>
          <w:sz w:val="20"/>
          <w:szCs w:val="20"/>
        </w:rPr>
        <w:t xml:space="preserve"> </w:t>
      </w:r>
      <w:r w:rsidR="00DC0E43" w:rsidRPr="006D2F9A">
        <w:rPr>
          <w:rFonts w:ascii="Verdana" w:hAnsi="Verdana" w:cs="Verdana"/>
          <w:b/>
          <w:bCs/>
          <w:sz w:val="20"/>
          <w:szCs w:val="20"/>
        </w:rPr>
        <w:t>tornata a crescere</w:t>
      </w:r>
      <w:r w:rsidR="00DC0E43" w:rsidRPr="00DC0E43">
        <w:rPr>
          <w:rFonts w:ascii="Verdana" w:hAnsi="Verdana" w:cs="Verdana"/>
          <w:sz w:val="20"/>
          <w:szCs w:val="20"/>
        </w:rPr>
        <w:t>, sotto la pressione dello shock economico e sanitario</w:t>
      </w:r>
      <w:r w:rsidR="00DC0E43">
        <w:rPr>
          <w:rFonts w:ascii="Verdana" w:hAnsi="Verdana" w:cs="Verdana"/>
          <w:sz w:val="20"/>
          <w:szCs w:val="20"/>
        </w:rPr>
        <w:t>.</w:t>
      </w:r>
      <w:bookmarkEnd w:id="4"/>
      <w:r w:rsidR="00DC0E43">
        <w:rPr>
          <w:rFonts w:ascii="Verdana" w:hAnsi="Verdana" w:cs="Verdana"/>
          <w:sz w:val="20"/>
          <w:szCs w:val="20"/>
        </w:rPr>
        <w:t xml:space="preserve"> </w:t>
      </w:r>
      <w:r w:rsidR="007A4C85">
        <w:rPr>
          <w:rFonts w:ascii="Verdana" w:hAnsi="Verdana" w:cs="Verdana"/>
          <w:sz w:val="20"/>
          <w:szCs w:val="20"/>
        </w:rPr>
        <w:t>Entrando nel dettaglio, p</w:t>
      </w:r>
      <w:r w:rsidR="004C3BB0" w:rsidRPr="004C3BB0">
        <w:rPr>
          <w:rFonts w:ascii="Verdana" w:hAnsi="Verdana" w:cs="Verdana"/>
          <w:sz w:val="20"/>
          <w:szCs w:val="20"/>
        </w:rPr>
        <w:t>er il</w:t>
      </w:r>
      <w:r w:rsidR="004C3BB0" w:rsidRPr="004C3BB0">
        <w:rPr>
          <w:rFonts w:ascii="Verdana" w:hAnsi="Verdana" w:cs="Verdana"/>
          <w:b/>
          <w:sz w:val="20"/>
          <w:szCs w:val="20"/>
        </w:rPr>
        <w:t xml:space="preserve"> credito al consumo</w:t>
      </w:r>
      <w:r w:rsidR="004C3BB0">
        <w:rPr>
          <w:rFonts w:ascii="Verdana" w:hAnsi="Verdana" w:cs="Verdana"/>
          <w:b/>
          <w:sz w:val="20"/>
          <w:szCs w:val="20"/>
        </w:rPr>
        <w:t xml:space="preserve"> </w:t>
      </w:r>
      <w:r w:rsidR="007A4C85">
        <w:rPr>
          <w:rFonts w:ascii="Verdana" w:hAnsi="Verdana" w:cs="Verdana"/>
          <w:sz w:val="20"/>
          <w:szCs w:val="20"/>
        </w:rPr>
        <w:t xml:space="preserve">a </w:t>
      </w:r>
      <w:r w:rsidR="004C3E4A">
        <w:rPr>
          <w:rFonts w:ascii="Verdana" w:hAnsi="Verdana" w:cs="Verdana"/>
          <w:sz w:val="20"/>
          <w:szCs w:val="20"/>
        </w:rPr>
        <w:t>settembre 20</w:t>
      </w:r>
      <w:r w:rsidR="00DC0E43">
        <w:rPr>
          <w:rFonts w:ascii="Verdana" w:hAnsi="Verdana" w:cs="Verdana"/>
          <w:sz w:val="20"/>
          <w:szCs w:val="20"/>
        </w:rPr>
        <w:t>20</w:t>
      </w:r>
      <w:r w:rsidR="00311A17" w:rsidRPr="00311A17">
        <w:rPr>
          <w:rFonts w:ascii="Verdana" w:hAnsi="Verdana" w:cs="Verdana"/>
          <w:sz w:val="20"/>
          <w:szCs w:val="20"/>
        </w:rPr>
        <w:t xml:space="preserve"> </w:t>
      </w:r>
      <w:r w:rsidR="00000666">
        <w:rPr>
          <w:rFonts w:ascii="Verdana" w:hAnsi="Verdana" w:cs="Verdana"/>
          <w:sz w:val="20"/>
          <w:szCs w:val="20"/>
        </w:rPr>
        <w:t xml:space="preserve">il tasso di default </w:t>
      </w:r>
      <w:r w:rsidR="00C8770F" w:rsidRPr="00E628A8">
        <w:rPr>
          <w:rFonts w:ascii="Verdana" w:hAnsi="Verdana" w:cs="Verdana"/>
          <w:sz w:val="20"/>
          <w:szCs w:val="20"/>
        </w:rPr>
        <w:t>(nella definizione a 90 past due)</w:t>
      </w:r>
      <w:r w:rsidR="001342D7">
        <w:rPr>
          <w:rFonts w:ascii="Verdana" w:hAnsi="Verdana" w:cs="Verdana"/>
          <w:sz w:val="20"/>
          <w:szCs w:val="20"/>
        </w:rPr>
        <w:t xml:space="preserve"> </w:t>
      </w:r>
      <w:r w:rsidR="004C3E4A">
        <w:rPr>
          <w:rFonts w:ascii="Verdana" w:hAnsi="Verdana" w:cs="Verdana"/>
          <w:sz w:val="20"/>
          <w:szCs w:val="20"/>
        </w:rPr>
        <w:t xml:space="preserve">è </w:t>
      </w:r>
      <w:r w:rsidR="00812D3D">
        <w:rPr>
          <w:rFonts w:ascii="Verdana" w:hAnsi="Verdana" w:cs="Verdana"/>
          <w:sz w:val="20"/>
          <w:szCs w:val="20"/>
        </w:rPr>
        <w:t>s</w:t>
      </w:r>
      <w:r w:rsidR="00DC0E43">
        <w:rPr>
          <w:rFonts w:ascii="Verdana" w:hAnsi="Verdana" w:cs="Verdana"/>
          <w:sz w:val="20"/>
          <w:szCs w:val="20"/>
        </w:rPr>
        <w:t>alito</w:t>
      </w:r>
      <w:r w:rsidR="00311A17" w:rsidRPr="00311A17">
        <w:rPr>
          <w:rFonts w:ascii="Verdana" w:hAnsi="Verdana" w:cs="Verdana"/>
          <w:sz w:val="20"/>
          <w:szCs w:val="20"/>
        </w:rPr>
        <w:t xml:space="preserve"> </w:t>
      </w:r>
      <w:r w:rsidR="00311A17" w:rsidRPr="002F627C">
        <w:rPr>
          <w:rFonts w:ascii="Verdana" w:hAnsi="Verdana" w:cs="Verdana"/>
          <w:b/>
          <w:sz w:val="20"/>
          <w:szCs w:val="20"/>
        </w:rPr>
        <w:t>all’</w:t>
      </w:r>
      <w:r w:rsidR="007A4C85">
        <w:rPr>
          <w:rFonts w:ascii="Verdana" w:hAnsi="Verdana" w:cs="Verdana"/>
          <w:b/>
          <w:sz w:val="20"/>
          <w:szCs w:val="20"/>
        </w:rPr>
        <w:t>1</w:t>
      </w:r>
      <w:r w:rsidR="00B56815">
        <w:rPr>
          <w:rFonts w:ascii="Verdana" w:hAnsi="Verdana" w:cs="Verdana"/>
          <w:b/>
          <w:sz w:val="20"/>
          <w:szCs w:val="20"/>
        </w:rPr>
        <w:t>.</w:t>
      </w:r>
      <w:r w:rsidR="00DC0E43">
        <w:rPr>
          <w:rFonts w:ascii="Verdana" w:hAnsi="Verdana" w:cs="Verdana"/>
          <w:b/>
          <w:sz w:val="20"/>
          <w:szCs w:val="20"/>
        </w:rPr>
        <w:t>9</w:t>
      </w:r>
      <w:r w:rsidR="00311A17" w:rsidRPr="002F627C">
        <w:rPr>
          <w:rFonts w:ascii="Verdana" w:hAnsi="Verdana" w:cs="Verdana"/>
          <w:b/>
          <w:sz w:val="20"/>
          <w:szCs w:val="20"/>
        </w:rPr>
        <w:t>%</w:t>
      </w:r>
      <w:r w:rsidR="00812D3D" w:rsidRPr="00337B37">
        <w:rPr>
          <w:rFonts w:ascii="Verdana" w:hAnsi="Verdana" w:cs="Verdana"/>
          <w:bCs/>
          <w:sz w:val="20"/>
          <w:szCs w:val="20"/>
        </w:rPr>
        <w:t>,</w:t>
      </w:r>
      <w:r w:rsidR="00812D3D">
        <w:rPr>
          <w:rFonts w:ascii="Verdana" w:hAnsi="Verdana" w:cs="Verdana"/>
          <w:sz w:val="20"/>
          <w:szCs w:val="20"/>
        </w:rPr>
        <w:t xml:space="preserve"> </w:t>
      </w:r>
      <w:r w:rsidR="00DC0E43">
        <w:rPr>
          <w:rFonts w:ascii="Verdana" w:hAnsi="Verdana" w:cs="Verdana"/>
          <w:sz w:val="20"/>
          <w:szCs w:val="20"/>
        </w:rPr>
        <w:t>riflettendo la dinamica</w:t>
      </w:r>
      <w:r w:rsidR="00812D3D">
        <w:rPr>
          <w:rFonts w:ascii="Verdana" w:hAnsi="Verdana" w:cs="Verdana"/>
          <w:sz w:val="20"/>
          <w:szCs w:val="20"/>
        </w:rPr>
        <w:t xml:space="preserve"> </w:t>
      </w:r>
      <w:r w:rsidR="00337B37">
        <w:rPr>
          <w:rFonts w:ascii="Verdana" w:hAnsi="Verdana" w:cs="Verdana"/>
          <w:sz w:val="20"/>
          <w:szCs w:val="20"/>
        </w:rPr>
        <w:t xml:space="preserve">più accentuata </w:t>
      </w:r>
      <w:r w:rsidR="00812D3D">
        <w:rPr>
          <w:rFonts w:ascii="Verdana" w:hAnsi="Verdana" w:cs="Verdana"/>
          <w:sz w:val="20"/>
          <w:szCs w:val="20"/>
        </w:rPr>
        <w:t>dei prestiti personali.</w:t>
      </w:r>
      <w:r w:rsidR="00812D3D" w:rsidRPr="00812D3D">
        <w:rPr>
          <w:rFonts w:ascii="Verdana" w:hAnsi="Verdana" w:cs="Verdana"/>
          <w:sz w:val="20"/>
          <w:szCs w:val="20"/>
        </w:rPr>
        <w:t xml:space="preserve"> </w:t>
      </w:r>
      <w:r w:rsidR="00DC0E43">
        <w:rPr>
          <w:rFonts w:ascii="Verdana" w:hAnsi="Verdana" w:cs="Verdana"/>
          <w:sz w:val="20"/>
          <w:szCs w:val="20"/>
        </w:rPr>
        <w:t>I prestiti finalizzati mostrano invece una certa stabilità.</w:t>
      </w:r>
    </w:p>
    <w:p w14:paraId="176AB1C4" w14:textId="1ABF7CEF" w:rsidR="000320D1" w:rsidRDefault="000320D1" w:rsidP="007A4C85">
      <w:pPr>
        <w:jc w:val="both"/>
        <w:rPr>
          <w:rFonts w:ascii="Verdana" w:hAnsi="Verdana" w:cs="Verdana"/>
          <w:sz w:val="20"/>
          <w:szCs w:val="20"/>
        </w:rPr>
      </w:pPr>
    </w:p>
    <w:p w14:paraId="42211FC5" w14:textId="7361B896" w:rsidR="00337B37" w:rsidRDefault="00DC0E43" w:rsidP="00337B37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 quanto riguarda</w:t>
      </w:r>
      <w:r w:rsidR="007A4C85">
        <w:rPr>
          <w:rFonts w:ascii="Verdana" w:hAnsi="Verdana" w:cs="Verdana"/>
          <w:sz w:val="20"/>
          <w:szCs w:val="20"/>
        </w:rPr>
        <w:t xml:space="preserve"> i</w:t>
      </w:r>
      <w:r w:rsidR="004C3BB0" w:rsidRPr="003C7508">
        <w:rPr>
          <w:rFonts w:ascii="Verdana" w:hAnsi="Verdana" w:cs="Verdana"/>
          <w:b/>
          <w:sz w:val="20"/>
          <w:szCs w:val="20"/>
        </w:rPr>
        <w:t xml:space="preserve"> mutui immobiliari</w:t>
      </w:r>
      <w:r>
        <w:rPr>
          <w:rFonts w:ascii="Verdana" w:hAnsi="Verdana" w:cs="Verdana"/>
          <w:b/>
          <w:sz w:val="20"/>
          <w:szCs w:val="20"/>
        </w:rPr>
        <w:t xml:space="preserve">, </w:t>
      </w:r>
      <w:r w:rsidR="00337B37" w:rsidRPr="00E80434">
        <w:rPr>
          <w:rFonts w:ascii="Verdana" w:hAnsi="Verdana" w:cs="Verdana"/>
          <w:sz w:val="20"/>
          <w:szCs w:val="20"/>
        </w:rPr>
        <w:t xml:space="preserve">dopo un lungo percorso di contenimento del rischio che ha portato gli indicatori </w:t>
      </w:r>
      <w:r w:rsidR="00337B37" w:rsidRPr="00337B37">
        <w:rPr>
          <w:rFonts w:ascii="Verdana" w:hAnsi="Verdana" w:cs="Verdana"/>
          <w:bCs/>
          <w:sz w:val="20"/>
          <w:szCs w:val="20"/>
        </w:rPr>
        <w:t>sui</w:t>
      </w:r>
      <w:r w:rsidRPr="00337B37">
        <w:rPr>
          <w:rFonts w:ascii="Verdana" w:hAnsi="Verdana" w:cs="Verdana"/>
          <w:bCs/>
          <w:sz w:val="20"/>
          <w:szCs w:val="20"/>
        </w:rPr>
        <w:t xml:space="preserve"> livell</w:t>
      </w:r>
      <w:r w:rsidR="00337B37" w:rsidRPr="00337B37">
        <w:rPr>
          <w:rFonts w:ascii="Verdana" w:hAnsi="Verdana" w:cs="Verdana"/>
          <w:bCs/>
          <w:sz w:val="20"/>
          <w:szCs w:val="20"/>
        </w:rPr>
        <w:t>i</w:t>
      </w:r>
      <w:r w:rsidRPr="00DC0E43">
        <w:rPr>
          <w:rFonts w:ascii="Verdana" w:hAnsi="Verdana" w:cs="Verdana"/>
          <w:bCs/>
          <w:sz w:val="20"/>
          <w:szCs w:val="20"/>
        </w:rPr>
        <w:t xml:space="preserve"> più bass</w:t>
      </w:r>
      <w:r w:rsidR="00337B37">
        <w:rPr>
          <w:rFonts w:ascii="Verdana" w:hAnsi="Verdana" w:cs="Verdana"/>
          <w:bCs/>
          <w:sz w:val="20"/>
          <w:szCs w:val="20"/>
        </w:rPr>
        <w:t>i dell’ultimo decennio,</w:t>
      </w:r>
      <w:r w:rsidRPr="00DC0E43">
        <w:rPr>
          <w:rFonts w:ascii="Verdana" w:hAnsi="Verdana" w:cs="Verdana"/>
          <w:bCs/>
          <w:sz w:val="20"/>
          <w:szCs w:val="20"/>
        </w:rPr>
        <w:t xml:space="preserve"> </w:t>
      </w:r>
      <w:r w:rsidR="00337B37" w:rsidRPr="00DC0E43">
        <w:rPr>
          <w:rFonts w:ascii="Verdana" w:hAnsi="Verdana" w:cs="Verdana"/>
          <w:bCs/>
          <w:sz w:val="20"/>
          <w:szCs w:val="20"/>
        </w:rPr>
        <w:t xml:space="preserve">si è </w:t>
      </w:r>
      <w:r w:rsidR="00337B37">
        <w:rPr>
          <w:rFonts w:ascii="Verdana" w:hAnsi="Verdana" w:cs="Verdana"/>
          <w:bCs/>
          <w:sz w:val="20"/>
          <w:szCs w:val="20"/>
        </w:rPr>
        <w:t>registrata una inversione di tendenza che nel terzo trimestre 2020 co</w:t>
      </w:r>
      <w:r w:rsidR="00B56815">
        <w:rPr>
          <w:rFonts w:ascii="Verdana" w:hAnsi="Verdana" w:cs="Verdana"/>
          <w:bCs/>
          <w:sz w:val="20"/>
          <w:szCs w:val="20"/>
        </w:rPr>
        <w:t>lloca il tasso di default all’</w:t>
      </w:r>
      <w:r w:rsidR="00B56815" w:rsidRPr="00E80434">
        <w:rPr>
          <w:rFonts w:ascii="Verdana" w:hAnsi="Verdana" w:cs="Verdana"/>
          <w:b/>
          <w:bCs/>
          <w:sz w:val="20"/>
          <w:szCs w:val="20"/>
        </w:rPr>
        <w:t>1.</w:t>
      </w:r>
      <w:r w:rsidR="00337B37" w:rsidRPr="00E80434">
        <w:rPr>
          <w:rFonts w:ascii="Verdana" w:hAnsi="Verdana" w:cs="Verdana"/>
          <w:b/>
          <w:bCs/>
          <w:sz w:val="20"/>
          <w:szCs w:val="20"/>
        </w:rPr>
        <w:t>4%.</w:t>
      </w:r>
      <w:r w:rsidR="00337B37">
        <w:rPr>
          <w:rFonts w:ascii="Verdana" w:hAnsi="Verdana" w:cs="Verdana"/>
          <w:bCs/>
          <w:sz w:val="20"/>
          <w:szCs w:val="20"/>
        </w:rPr>
        <w:t xml:space="preserve"> </w:t>
      </w:r>
    </w:p>
    <w:p w14:paraId="0BCCA7A7" w14:textId="77777777" w:rsidR="00337B37" w:rsidRDefault="00337B37" w:rsidP="00337B37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Complessivamente la rischiosità del credito al dettaglio rimane su livelli ancora contenuti.</w:t>
      </w:r>
    </w:p>
    <w:p w14:paraId="453B6647" w14:textId="2B423D2D" w:rsidR="00DC0E43" w:rsidRDefault="00DC0E43" w:rsidP="007A4C85">
      <w:pPr>
        <w:jc w:val="both"/>
        <w:rPr>
          <w:rFonts w:ascii="Verdana" w:hAnsi="Verdana" w:cs="Verdana"/>
          <w:sz w:val="20"/>
          <w:szCs w:val="20"/>
        </w:rPr>
      </w:pPr>
    </w:p>
    <w:p w14:paraId="0C6C2607" w14:textId="39D9B970" w:rsidR="00661377" w:rsidRPr="00B81973" w:rsidRDefault="00661377" w:rsidP="008C48DC">
      <w:pPr>
        <w:pStyle w:val="Nessunaspaziatura1"/>
        <w:spacing w:after="160"/>
        <w:jc w:val="both"/>
        <w:outlineLvl w:val="0"/>
        <w:rPr>
          <w:rFonts w:ascii="Verdana" w:hAnsi="Verdana" w:cs="Verdana"/>
          <w:b/>
          <w:bCs/>
          <w:u w:val="single"/>
        </w:rPr>
      </w:pPr>
      <w:r w:rsidRPr="008C48DC">
        <w:rPr>
          <w:rFonts w:ascii="Verdana" w:hAnsi="Verdana" w:cs="Verdana"/>
          <w:b/>
          <w:bCs/>
          <w:sz w:val="20"/>
          <w:szCs w:val="20"/>
          <w:u w:val="single"/>
        </w:rPr>
        <w:t>Le prospettive</w:t>
      </w:r>
      <w:r w:rsidR="005F5C72" w:rsidRPr="008C48DC">
        <w:rPr>
          <w:rFonts w:ascii="Verdana" w:hAnsi="Verdana" w:cs="Verdana"/>
          <w:b/>
          <w:bCs/>
          <w:sz w:val="20"/>
          <w:szCs w:val="20"/>
          <w:u w:val="single"/>
        </w:rPr>
        <w:t xml:space="preserve"> per </w:t>
      </w:r>
      <w:r w:rsidR="002E6F17" w:rsidRPr="008C48DC">
        <w:rPr>
          <w:rFonts w:ascii="Verdana" w:hAnsi="Verdana" w:cs="Verdana"/>
          <w:b/>
          <w:bCs/>
          <w:sz w:val="20"/>
          <w:szCs w:val="20"/>
          <w:u w:val="single"/>
        </w:rPr>
        <w:t>fine 20</w:t>
      </w:r>
      <w:r w:rsidR="007B3A28">
        <w:rPr>
          <w:rFonts w:ascii="Verdana" w:hAnsi="Verdana" w:cs="Verdana"/>
          <w:b/>
          <w:bCs/>
          <w:sz w:val="20"/>
          <w:szCs w:val="20"/>
          <w:u w:val="single"/>
        </w:rPr>
        <w:t>20</w:t>
      </w:r>
      <w:r w:rsidR="006565E7" w:rsidRPr="008C48DC">
        <w:rPr>
          <w:rFonts w:ascii="Verdana" w:hAnsi="Verdana" w:cs="Verdana"/>
          <w:b/>
          <w:bCs/>
          <w:sz w:val="20"/>
          <w:szCs w:val="20"/>
          <w:u w:val="single"/>
        </w:rPr>
        <w:t xml:space="preserve"> e </w:t>
      </w:r>
      <w:r w:rsidR="005F5C72" w:rsidRPr="008C48DC">
        <w:rPr>
          <w:rFonts w:ascii="Verdana" w:hAnsi="Verdana" w:cs="Verdana"/>
          <w:b/>
          <w:bCs/>
          <w:sz w:val="20"/>
          <w:szCs w:val="20"/>
          <w:u w:val="single"/>
        </w:rPr>
        <w:t xml:space="preserve">il </w:t>
      </w:r>
      <w:r w:rsidR="002E6F17" w:rsidRPr="008C48DC">
        <w:rPr>
          <w:rFonts w:ascii="Verdana" w:hAnsi="Verdana" w:cs="Verdana"/>
          <w:b/>
          <w:bCs/>
          <w:sz w:val="20"/>
          <w:szCs w:val="20"/>
          <w:u w:val="single"/>
        </w:rPr>
        <w:t>biennio 20</w:t>
      </w:r>
      <w:r w:rsidR="000E3A32"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="007B3A28">
        <w:rPr>
          <w:rFonts w:ascii="Verdana" w:hAnsi="Verdana" w:cs="Verdana"/>
          <w:b/>
          <w:bCs/>
          <w:sz w:val="20"/>
          <w:szCs w:val="20"/>
          <w:u w:val="single"/>
        </w:rPr>
        <w:t>1</w:t>
      </w:r>
      <w:r w:rsidR="002E6F17" w:rsidRPr="008C48DC">
        <w:rPr>
          <w:rFonts w:ascii="Verdana" w:hAnsi="Verdana" w:cs="Verdana"/>
          <w:b/>
          <w:bCs/>
          <w:sz w:val="20"/>
          <w:szCs w:val="20"/>
          <w:u w:val="single"/>
        </w:rPr>
        <w:t>-202</w:t>
      </w:r>
      <w:r w:rsidR="007B3A28">
        <w:rPr>
          <w:rFonts w:ascii="Verdana" w:hAnsi="Verdana" w:cs="Verdana"/>
          <w:b/>
          <w:bCs/>
          <w:sz w:val="20"/>
          <w:szCs w:val="20"/>
          <w:u w:val="single"/>
        </w:rPr>
        <w:t>2</w:t>
      </w:r>
    </w:p>
    <w:p w14:paraId="0C38C29B" w14:textId="08524D3B" w:rsidR="007B3A28" w:rsidRDefault="007B3A28" w:rsidP="00BD0E5B">
      <w:pPr>
        <w:jc w:val="both"/>
        <w:rPr>
          <w:rFonts w:ascii="Verdana" w:hAnsi="Verdana" w:cs="Verdana"/>
          <w:sz w:val="20"/>
          <w:szCs w:val="20"/>
        </w:rPr>
      </w:pPr>
      <w:bookmarkStart w:id="5" w:name="_Hlk27123657"/>
      <w:r w:rsidRPr="007B3A28">
        <w:rPr>
          <w:rFonts w:ascii="Verdana" w:hAnsi="Verdana" w:cs="Verdana"/>
          <w:sz w:val="20"/>
          <w:szCs w:val="20"/>
        </w:rPr>
        <w:t>I timori legati al contagio, le restrizioni fisiche agli spostamenti, oltre che le incertezze sui tempi di ritorno alla “normalità” e sulla propria situazione finanziaria hanno a</w:t>
      </w:r>
      <w:r w:rsidR="008B4635">
        <w:rPr>
          <w:rFonts w:ascii="Verdana" w:hAnsi="Verdana" w:cs="Verdana"/>
          <w:sz w:val="20"/>
          <w:szCs w:val="20"/>
        </w:rPr>
        <w:t>vuto nel primo semestre dell’anno</w:t>
      </w:r>
      <w:r w:rsidRPr="007B3A28">
        <w:rPr>
          <w:rFonts w:ascii="Verdana" w:hAnsi="Verdana" w:cs="Verdana"/>
          <w:sz w:val="20"/>
          <w:szCs w:val="20"/>
        </w:rPr>
        <w:t xml:space="preserve"> </w:t>
      </w:r>
      <w:r w:rsidRPr="006D2F9A">
        <w:rPr>
          <w:rFonts w:ascii="Verdana" w:hAnsi="Verdana" w:cs="Verdana"/>
          <w:b/>
          <w:bCs/>
          <w:sz w:val="20"/>
          <w:szCs w:val="20"/>
        </w:rPr>
        <w:t>importanti ricadute sui consumi delle famiglie</w:t>
      </w:r>
      <w:r w:rsidRPr="007B3A28">
        <w:rPr>
          <w:rFonts w:ascii="Verdana" w:hAnsi="Verdana" w:cs="Verdana"/>
          <w:sz w:val="20"/>
          <w:szCs w:val="20"/>
        </w:rPr>
        <w:t xml:space="preserve"> e, dopo la ripresa del terzo trimestre, determineranno una nuova battuta d’arresto nel quarto</w:t>
      </w:r>
      <w:r w:rsidR="00C81A19">
        <w:rPr>
          <w:rFonts w:ascii="Verdana" w:hAnsi="Verdana" w:cs="Verdana"/>
          <w:sz w:val="20"/>
          <w:szCs w:val="20"/>
        </w:rPr>
        <w:t>. Ciò</w:t>
      </w:r>
      <w:r w:rsidRPr="007B3A28">
        <w:rPr>
          <w:rFonts w:ascii="Verdana" w:hAnsi="Verdana" w:cs="Verdana"/>
          <w:sz w:val="20"/>
          <w:szCs w:val="20"/>
        </w:rPr>
        <w:t xml:space="preserve"> condizion</w:t>
      </w:r>
      <w:r w:rsidR="00C81A19">
        <w:rPr>
          <w:rFonts w:ascii="Verdana" w:hAnsi="Verdana" w:cs="Verdana"/>
          <w:sz w:val="20"/>
          <w:szCs w:val="20"/>
        </w:rPr>
        <w:t>erà</w:t>
      </w:r>
      <w:r w:rsidRPr="007B3A28">
        <w:rPr>
          <w:rFonts w:ascii="Verdana" w:hAnsi="Verdana" w:cs="Verdana"/>
          <w:sz w:val="20"/>
          <w:szCs w:val="20"/>
        </w:rPr>
        <w:t xml:space="preserve"> la domanda di credito</w:t>
      </w:r>
      <w:r w:rsidR="00C81A19">
        <w:rPr>
          <w:rFonts w:ascii="Verdana" w:hAnsi="Verdana" w:cs="Verdana"/>
          <w:sz w:val="20"/>
          <w:szCs w:val="20"/>
        </w:rPr>
        <w:t xml:space="preserve"> e </w:t>
      </w:r>
      <w:r w:rsidR="00C81A19" w:rsidRPr="00E80434">
        <w:rPr>
          <w:rFonts w:ascii="Verdana" w:hAnsi="Verdana" w:cs="Verdana"/>
          <w:b/>
          <w:sz w:val="20"/>
          <w:szCs w:val="20"/>
        </w:rPr>
        <w:t>s</w:t>
      </w:r>
      <w:r w:rsidRPr="00E80434">
        <w:rPr>
          <w:rFonts w:ascii="Verdana" w:hAnsi="Verdana" w:cs="Verdana"/>
          <w:b/>
          <w:sz w:val="20"/>
          <w:szCs w:val="20"/>
        </w:rPr>
        <w:t xml:space="preserve">olo </w:t>
      </w:r>
      <w:r w:rsidRPr="006D2F9A">
        <w:rPr>
          <w:rFonts w:ascii="Verdana" w:hAnsi="Verdana" w:cs="Verdana"/>
          <w:b/>
          <w:bCs/>
          <w:sz w:val="20"/>
          <w:szCs w:val="20"/>
        </w:rPr>
        <w:t>a partire dal 2021</w:t>
      </w:r>
      <w:r w:rsidRPr="007B3A28">
        <w:rPr>
          <w:rFonts w:ascii="Verdana" w:hAnsi="Verdana" w:cs="Verdana"/>
          <w:sz w:val="20"/>
          <w:szCs w:val="20"/>
        </w:rPr>
        <w:t xml:space="preserve">, </w:t>
      </w:r>
      <w:r w:rsidR="00C81A19">
        <w:rPr>
          <w:rFonts w:ascii="Verdana" w:hAnsi="Verdana" w:cs="Verdana"/>
          <w:sz w:val="20"/>
          <w:szCs w:val="20"/>
        </w:rPr>
        <w:t xml:space="preserve">con </w:t>
      </w:r>
      <w:r w:rsidRPr="007B3A28">
        <w:rPr>
          <w:rFonts w:ascii="Verdana" w:hAnsi="Verdana" w:cs="Verdana"/>
          <w:sz w:val="20"/>
          <w:szCs w:val="20"/>
        </w:rPr>
        <w:t>il progressivo miglioramento dell’attività economica</w:t>
      </w:r>
      <w:r w:rsidR="00C81A19">
        <w:rPr>
          <w:rFonts w:ascii="Verdana" w:hAnsi="Verdana" w:cs="Verdana"/>
          <w:sz w:val="20"/>
          <w:szCs w:val="20"/>
        </w:rPr>
        <w:t>, ci sarà un</w:t>
      </w:r>
      <w:r w:rsidRPr="007B3A28">
        <w:rPr>
          <w:rFonts w:ascii="Verdana" w:hAnsi="Verdana" w:cs="Verdana"/>
          <w:sz w:val="20"/>
          <w:szCs w:val="20"/>
        </w:rPr>
        <w:t xml:space="preserve"> </w:t>
      </w:r>
      <w:r w:rsidRPr="006D2F9A">
        <w:rPr>
          <w:rFonts w:ascii="Verdana" w:hAnsi="Verdana" w:cs="Verdana"/>
          <w:b/>
          <w:bCs/>
          <w:sz w:val="20"/>
          <w:szCs w:val="20"/>
        </w:rPr>
        <w:t>maggior ricorso al credito</w:t>
      </w:r>
      <w:r w:rsidRPr="007B3A28">
        <w:rPr>
          <w:rFonts w:ascii="Verdana" w:hAnsi="Verdana" w:cs="Verdana"/>
          <w:sz w:val="20"/>
          <w:szCs w:val="20"/>
        </w:rPr>
        <w:t xml:space="preserve">, anche grazie a tassi di interesse </w:t>
      </w:r>
      <w:r w:rsidR="00C81A19">
        <w:rPr>
          <w:rFonts w:ascii="Verdana" w:hAnsi="Verdana" w:cs="Verdana"/>
          <w:sz w:val="20"/>
          <w:szCs w:val="20"/>
        </w:rPr>
        <w:t xml:space="preserve">che si </w:t>
      </w:r>
      <w:r w:rsidR="00C81A19">
        <w:rPr>
          <w:rFonts w:ascii="Verdana" w:hAnsi="Verdana" w:cs="Verdana"/>
          <w:sz w:val="20"/>
          <w:szCs w:val="20"/>
        </w:rPr>
        <w:lastRenderedPageBreak/>
        <w:t>manterranno bassi in tutto l’arco della previsione</w:t>
      </w:r>
      <w:r w:rsidRPr="007B3A28">
        <w:rPr>
          <w:rFonts w:ascii="Verdana" w:hAnsi="Verdana" w:cs="Verdana"/>
          <w:sz w:val="20"/>
          <w:szCs w:val="20"/>
        </w:rPr>
        <w:t>.</w:t>
      </w:r>
      <w:r w:rsidR="007F30EB">
        <w:rPr>
          <w:rFonts w:ascii="Verdana" w:hAnsi="Verdana" w:cs="Verdana"/>
          <w:sz w:val="20"/>
          <w:szCs w:val="20"/>
        </w:rPr>
        <w:t xml:space="preserve"> Nel nuovo contesto innescato dalla pandemia, l</w:t>
      </w:r>
      <w:r w:rsidR="007F30EB" w:rsidRPr="005A2B78">
        <w:rPr>
          <w:rFonts w:ascii="Verdana" w:hAnsi="Verdana" w:cs="Verdana"/>
          <w:sz w:val="20"/>
          <w:szCs w:val="20"/>
        </w:rPr>
        <w:t xml:space="preserve">e politiche di erogazione potrebbero essere </w:t>
      </w:r>
      <w:r w:rsidR="007F30EB">
        <w:rPr>
          <w:rFonts w:ascii="Verdana" w:hAnsi="Verdana" w:cs="Verdana"/>
          <w:sz w:val="20"/>
          <w:szCs w:val="20"/>
        </w:rPr>
        <w:t>caute date le prospettive di de</w:t>
      </w:r>
      <w:r w:rsidR="007F30EB" w:rsidRPr="005A2B78">
        <w:rPr>
          <w:rFonts w:ascii="Verdana" w:hAnsi="Verdana" w:cs="Verdana"/>
          <w:sz w:val="20"/>
          <w:szCs w:val="20"/>
        </w:rPr>
        <w:t>terioramento della qualità del credito</w:t>
      </w:r>
      <w:r w:rsidR="007F30EB">
        <w:rPr>
          <w:rFonts w:ascii="Verdana" w:hAnsi="Verdana" w:cs="Verdana"/>
          <w:sz w:val="20"/>
          <w:szCs w:val="20"/>
        </w:rPr>
        <w:t xml:space="preserve"> che richieder</w:t>
      </w:r>
      <w:r w:rsidR="00DF3683">
        <w:rPr>
          <w:rFonts w:ascii="Verdana" w:hAnsi="Verdana" w:cs="Verdana"/>
          <w:sz w:val="20"/>
          <w:szCs w:val="20"/>
        </w:rPr>
        <w:t>anno</w:t>
      </w:r>
      <w:r w:rsidR="007F30EB" w:rsidRPr="005A2B78">
        <w:rPr>
          <w:rFonts w:ascii="Verdana" w:hAnsi="Verdana" w:cs="Verdana"/>
          <w:sz w:val="20"/>
          <w:szCs w:val="20"/>
        </w:rPr>
        <w:t xml:space="preserve"> un’attenta selezione della clientela</w:t>
      </w:r>
      <w:r w:rsidR="007F30EB">
        <w:rPr>
          <w:rFonts w:ascii="Verdana" w:hAnsi="Verdana" w:cs="Verdana"/>
          <w:sz w:val="20"/>
          <w:szCs w:val="20"/>
        </w:rPr>
        <w:t>.</w:t>
      </w:r>
    </w:p>
    <w:p w14:paraId="5F37AEBA" w14:textId="7636FEEB" w:rsidR="007B3A28" w:rsidRDefault="007B3A28" w:rsidP="00BD0E5B">
      <w:pPr>
        <w:jc w:val="both"/>
        <w:rPr>
          <w:rFonts w:ascii="Verdana" w:hAnsi="Verdana" w:cs="Verdana"/>
          <w:sz w:val="20"/>
          <w:szCs w:val="20"/>
        </w:rPr>
      </w:pPr>
    </w:p>
    <w:p w14:paraId="3EAAE73F" w14:textId="0130254B" w:rsidR="007B3A28" w:rsidRDefault="007B3A28" w:rsidP="00BD0E5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Dopo le difficoltà del 2020, l</w:t>
      </w:r>
      <w:r w:rsidRPr="007B3A28">
        <w:rPr>
          <w:rFonts w:ascii="Verdana" w:hAnsi="Verdana" w:cs="Verdana"/>
          <w:sz w:val="20"/>
          <w:szCs w:val="20"/>
        </w:rPr>
        <w:t xml:space="preserve">e </w:t>
      </w:r>
      <w:r w:rsidRPr="006D2F9A">
        <w:rPr>
          <w:rFonts w:ascii="Verdana" w:hAnsi="Verdana" w:cs="Verdana"/>
          <w:b/>
          <w:bCs/>
          <w:sz w:val="20"/>
          <w:szCs w:val="20"/>
        </w:rPr>
        <w:t xml:space="preserve">erogazioni di </w:t>
      </w:r>
      <w:r w:rsidR="007F30EB">
        <w:rPr>
          <w:rFonts w:ascii="Verdana" w:hAnsi="Verdana" w:cs="Verdana"/>
          <w:b/>
          <w:bCs/>
          <w:sz w:val="20"/>
          <w:szCs w:val="20"/>
        </w:rPr>
        <w:t>credito al consumo</w:t>
      </w:r>
      <w:r w:rsidR="007F30EB" w:rsidRPr="007B3A28">
        <w:rPr>
          <w:rFonts w:ascii="Verdana" w:hAnsi="Verdana" w:cs="Verdana"/>
          <w:sz w:val="20"/>
          <w:szCs w:val="20"/>
        </w:rPr>
        <w:t xml:space="preserve"> </w:t>
      </w:r>
      <w:r w:rsidRPr="00E80434">
        <w:rPr>
          <w:rFonts w:ascii="Verdana" w:hAnsi="Verdana" w:cs="Verdana"/>
          <w:b/>
          <w:sz w:val="20"/>
          <w:szCs w:val="20"/>
        </w:rPr>
        <w:t xml:space="preserve">saranno </w:t>
      </w:r>
      <w:r w:rsidRPr="007F30EB">
        <w:rPr>
          <w:rFonts w:ascii="Verdana" w:hAnsi="Verdana" w:cs="Verdana"/>
          <w:b/>
          <w:bCs/>
          <w:sz w:val="20"/>
          <w:szCs w:val="20"/>
        </w:rPr>
        <w:t xml:space="preserve">sostenute </w:t>
      </w:r>
      <w:r w:rsidRPr="00E80434">
        <w:rPr>
          <w:rFonts w:ascii="Verdana" w:hAnsi="Verdana" w:cs="Verdana"/>
          <w:b/>
          <w:sz w:val="20"/>
          <w:szCs w:val="20"/>
        </w:rPr>
        <w:t>dalle</w:t>
      </w:r>
      <w:r w:rsidRPr="007B3A28">
        <w:rPr>
          <w:rFonts w:ascii="Verdana" w:hAnsi="Verdana" w:cs="Verdana"/>
          <w:sz w:val="20"/>
          <w:szCs w:val="20"/>
        </w:rPr>
        <w:t xml:space="preserve"> </w:t>
      </w:r>
      <w:r w:rsidRPr="005E438B">
        <w:rPr>
          <w:rFonts w:ascii="Verdana" w:hAnsi="Verdana" w:cs="Verdana"/>
          <w:b/>
          <w:bCs/>
          <w:sz w:val="20"/>
          <w:szCs w:val="20"/>
        </w:rPr>
        <w:t>prospettive di ripresa dei consumi</w:t>
      </w:r>
      <w:r w:rsidRPr="007B3A28">
        <w:rPr>
          <w:rFonts w:ascii="Verdana" w:hAnsi="Verdana" w:cs="Verdana"/>
          <w:sz w:val="20"/>
          <w:szCs w:val="20"/>
        </w:rPr>
        <w:t>, in particolare nella componente dei durevoli</w:t>
      </w:r>
      <w:r>
        <w:rPr>
          <w:rFonts w:ascii="Verdana" w:hAnsi="Verdana" w:cs="Verdana"/>
          <w:sz w:val="20"/>
          <w:szCs w:val="20"/>
        </w:rPr>
        <w:t xml:space="preserve">. </w:t>
      </w:r>
      <w:r w:rsidR="007F30EB">
        <w:rPr>
          <w:rFonts w:ascii="Verdana" w:hAnsi="Verdana" w:cs="Verdana"/>
          <w:sz w:val="20"/>
          <w:szCs w:val="20"/>
        </w:rPr>
        <w:t>Il</w:t>
      </w:r>
      <w:r w:rsidR="007F30EB" w:rsidRPr="007B3A28">
        <w:rPr>
          <w:rFonts w:ascii="Verdana" w:hAnsi="Verdana" w:cs="Verdana"/>
          <w:sz w:val="20"/>
          <w:szCs w:val="20"/>
        </w:rPr>
        <w:t xml:space="preserve"> </w:t>
      </w:r>
      <w:r w:rsidRPr="007B3A28">
        <w:rPr>
          <w:rFonts w:ascii="Verdana" w:hAnsi="Verdana" w:cs="Verdana"/>
          <w:sz w:val="20"/>
          <w:szCs w:val="20"/>
        </w:rPr>
        <w:t xml:space="preserve">rimbalzo </w:t>
      </w:r>
      <w:r w:rsidR="007F30EB">
        <w:rPr>
          <w:rFonts w:ascii="Verdana" w:hAnsi="Verdana" w:cs="Verdana"/>
          <w:sz w:val="20"/>
          <w:szCs w:val="20"/>
        </w:rPr>
        <w:t xml:space="preserve">del 2021 </w:t>
      </w:r>
      <w:r w:rsidRPr="007B3A28">
        <w:rPr>
          <w:rFonts w:ascii="Verdana" w:hAnsi="Verdana" w:cs="Verdana"/>
          <w:sz w:val="20"/>
          <w:szCs w:val="20"/>
        </w:rPr>
        <w:t xml:space="preserve">sarà tuttavia condizionato dal permanere di incertezza legata all’efficacia delle azioni di contrasto del virus e alla distribuzione dei vaccini, che si tradurrà ancora in un atteggiamento cauto da parte dei consumatori </w:t>
      </w:r>
      <w:r w:rsidR="005E438B">
        <w:rPr>
          <w:rFonts w:ascii="Verdana" w:hAnsi="Verdana" w:cs="Verdana"/>
          <w:sz w:val="20"/>
          <w:szCs w:val="20"/>
        </w:rPr>
        <w:t xml:space="preserve">e solo </w:t>
      </w:r>
      <w:r w:rsidR="007F30EB">
        <w:rPr>
          <w:rFonts w:ascii="Verdana" w:hAnsi="Verdana" w:cs="Verdana"/>
          <w:sz w:val="20"/>
          <w:szCs w:val="20"/>
        </w:rPr>
        <w:t>in</w:t>
      </w:r>
      <w:r w:rsidR="005E438B">
        <w:rPr>
          <w:rFonts w:ascii="Verdana" w:hAnsi="Verdana" w:cs="Verdana"/>
          <w:sz w:val="20"/>
          <w:szCs w:val="20"/>
        </w:rPr>
        <w:t xml:space="preserve"> un parziale </w:t>
      </w:r>
      <w:r w:rsidRPr="007B3A28">
        <w:rPr>
          <w:rFonts w:ascii="Verdana" w:hAnsi="Verdana" w:cs="Verdana"/>
          <w:sz w:val="20"/>
          <w:szCs w:val="20"/>
        </w:rPr>
        <w:t>riassorbi</w:t>
      </w:r>
      <w:r w:rsidR="005E438B">
        <w:rPr>
          <w:rFonts w:ascii="Verdana" w:hAnsi="Verdana" w:cs="Verdana"/>
          <w:sz w:val="20"/>
          <w:szCs w:val="20"/>
        </w:rPr>
        <w:t>mento</w:t>
      </w:r>
      <w:r w:rsidRPr="007B3A28">
        <w:rPr>
          <w:rFonts w:ascii="Verdana" w:hAnsi="Verdana" w:cs="Verdana"/>
          <w:sz w:val="20"/>
          <w:szCs w:val="20"/>
        </w:rPr>
        <w:t xml:space="preserve"> </w:t>
      </w:r>
      <w:r w:rsidR="005E438B">
        <w:rPr>
          <w:rFonts w:ascii="Verdana" w:hAnsi="Verdana" w:cs="Verdana"/>
          <w:sz w:val="20"/>
          <w:szCs w:val="20"/>
        </w:rPr>
        <w:t>del</w:t>
      </w:r>
      <w:r w:rsidRPr="007B3A28">
        <w:rPr>
          <w:rFonts w:ascii="Verdana" w:hAnsi="Verdana" w:cs="Verdana"/>
          <w:sz w:val="20"/>
          <w:szCs w:val="20"/>
        </w:rPr>
        <w:t xml:space="preserve"> calo della propensione al consumo registrato nel 2020. </w:t>
      </w:r>
      <w:r w:rsidRPr="005E438B">
        <w:rPr>
          <w:rFonts w:ascii="Verdana" w:hAnsi="Verdana" w:cs="Verdana"/>
          <w:b/>
          <w:bCs/>
          <w:sz w:val="20"/>
          <w:szCs w:val="20"/>
        </w:rPr>
        <w:t>Nel 2022 il credito al consumo tornerà a crescere</w:t>
      </w:r>
      <w:r w:rsidRPr="007B3A28">
        <w:rPr>
          <w:rFonts w:ascii="Verdana" w:hAnsi="Verdana" w:cs="Verdana"/>
          <w:sz w:val="20"/>
          <w:szCs w:val="20"/>
        </w:rPr>
        <w:t xml:space="preserve"> in linea con l’andamento dei fondamentali macroeconomici sottostanti.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78B39AF" w14:textId="77777777" w:rsidR="007B3A28" w:rsidRDefault="007B3A28" w:rsidP="00BD0E5B">
      <w:pPr>
        <w:jc w:val="both"/>
        <w:rPr>
          <w:rFonts w:ascii="Verdana" w:hAnsi="Verdana" w:cs="Verdana"/>
          <w:sz w:val="20"/>
          <w:szCs w:val="20"/>
        </w:rPr>
      </w:pPr>
    </w:p>
    <w:p w14:paraId="383FD9CC" w14:textId="19F15C63" w:rsidR="007F30EB" w:rsidRDefault="007F30EB" w:rsidP="007F30EB">
      <w:pPr>
        <w:jc w:val="both"/>
        <w:rPr>
          <w:rFonts w:ascii="Verdana" w:hAnsi="Verdana" w:cs="Verdana"/>
          <w:sz w:val="20"/>
          <w:szCs w:val="20"/>
        </w:rPr>
      </w:pPr>
      <w:r w:rsidRPr="00B56815">
        <w:rPr>
          <w:rFonts w:ascii="Verdana" w:hAnsi="Verdana" w:cs="Verdana"/>
          <w:sz w:val="20"/>
          <w:szCs w:val="20"/>
        </w:rPr>
        <w:t>D</w:t>
      </w:r>
      <w:r w:rsidR="007B3A28" w:rsidRPr="00B56815">
        <w:rPr>
          <w:rFonts w:ascii="Verdana" w:hAnsi="Verdana" w:cs="Verdana"/>
          <w:sz w:val="20"/>
          <w:szCs w:val="20"/>
        </w:rPr>
        <w:t xml:space="preserve">al </w:t>
      </w:r>
      <w:r w:rsidR="007B3A28" w:rsidRPr="00E80434">
        <w:rPr>
          <w:rFonts w:ascii="Verdana" w:hAnsi="Verdana" w:cs="Verdana"/>
          <w:bCs/>
          <w:sz w:val="20"/>
          <w:szCs w:val="20"/>
        </w:rPr>
        <w:t>2021</w:t>
      </w:r>
      <w:r w:rsidR="007B3A28" w:rsidRPr="00B56815">
        <w:rPr>
          <w:rFonts w:ascii="Verdana" w:hAnsi="Verdana" w:cs="Verdana"/>
          <w:sz w:val="20"/>
          <w:szCs w:val="20"/>
        </w:rPr>
        <w:t>, se</w:t>
      </w:r>
      <w:r w:rsidR="007B3A28" w:rsidRPr="007B3A28">
        <w:rPr>
          <w:rFonts w:ascii="Verdana" w:hAnsi="Verdana" w:cs="Verdana"/>
          <w:sz w:val="20"/>
          <w:szCs w:val="20"/>
        </w:rPr>
        <w:t xml:space="preserve"> pure con una partenza lenta, il rimbalzo dell’attività economica favorirà </w:t>
      </w:r>
      <w:r>
        <w:rPr>
          <w:rFonts w:ascii="Verdana" w:hAnsi="Verdana" w:cs="Verdana"/>
          <w:sz w:val="20"/>
          <w:szCs w:val="20"/>
        </w:rPr>
        <w:t xml:space="preserve">anche </w:t>
      </w:r>
      <w:r w:rsidR="007B3A28" w:rsidRPr="007B3A28">
        <w:rPr>
          <w:rFonts w:ascii="Verdana" w:hAnsi="Verdana" w:cs="Verdana"/>
          <w:sz w:val="20"/>
          <w:szCs w:val="20"/>
        </w:rPr>
        <w:t xml:space="preserve">un </w:t>
      </w:r>
      <w:r w:rsidR="007B3A28" w:rsidRPr="005E438B">
        <w:rPr>
          <w:rFonts w:ascii="Verdana" w:hAnsi="Verdana" w:cs="Verdana"/>
          <w:b/>
          <w:bCs/>
          <w:sz w:val="20"/>
          <w:szCs w:val="20"/>
        </w:rPr>
        <w:t>maggiore ricorso al credito da parte delle famiglie</w:t>
      </w:r>
      <w:r w:rsidR="007B3A28" w:rsidRPr="007B3A28">
        <w:rPr>
          <w:rFonts w:ascii="Verdana" w:hAnsi="Verdana" w:cs="Verdana"/>
          <w:sz w:val="20"/>
          <w:szCs w:val="20"/>
        </w:rPr>
        <w:t xml:space="preserve"> </w:t>
      </w:r>
      <w:r w:rsidR="007B3A28" w:rsidRPr="00E80434">
        <w:rPr>
          <w:rFonts w:ascii="Verdana" w:hAnsi="Verdana" w:cs="Verdana"/>
          <w:b/>
          <w:sz w:val="20"/>
          <w:szCs w:val="20"/>
        </w:rPr>
        <w:t>per finanziare piani di investimenti di lungo periodo come l’acquisto dell’abitazione</w:t>
      </w:r>
      <w:r w:rsidR="007B3A28" w:rsidRPr="007B3A28">
        <w:rPr>
          <w:rFonts w:ascii="Verdana" w:hAnsi="Verdana" w:cs="Verdana"/>
          <w:sz w:val="20"/>
          <w:szCs w:val="20"/>
        </w:rPr>
        <w:t xml:space="preserve">, in una situazione di prezzi delle abitazioni ancora </w:t>
      </w:r>
      <w:r w:rsidR="008B4635">
        <w:rPr>
          <w:rFonts w:ascii="Verdana" w:hAnsi="Verdana" w:cs="Verdana"/>
          <w:sz w:val="20"/>
          <w:szCs w:val="20"/>
        </w:rPr>
        <w:t xml:space="preserve">appetibili </w:t>
      </w:r>
      <w:r w:rsidR="007B3A28" w:rsidRPr="007B3A28">
        <w:rPr>
          <w:rFonts w:ascii="Verdana" w:hAnsi="Verdana" w:cs="Verdana"/>
          <w:sz w:val="20"/>
          <w:szCs w:val="20"/>
        </w:rPr>
        <w:t xml:space="preserve">e di </w:t>
      </w:r>
      <w:r w:rsidR="008B4635">
        <w:rPr>
          <w:rFonts w:ascii="Verdana" w:hAnsi="Verdana" w:cs="Verdana"/>
          <w:sz w:val="20"/>
          <w:szCs w:val="20"/>
        </w:rPr>
        <w:t>differenti</w:t>
      </w:r>
      <w:r w:rsidR="007B3A28" w:rsidRPr="007B3A28">
        <w:rPr>
          <w:rFonts w:ascii="Verdana" w:hAnsi="Verdana" w:cs="Verdana"/>
          <w:sz w:val="20"/>
          <w:szCs w:val="20"/>
        </w:rPr>
        <w:t xml:space="preserve"> necessità abitative create dalle diverse abitudini imposte dalla pandemia. La domanda di mutui sarà inoltre stimolata dai bassi tassi di interesse</w:t>
      </w:r>
      <w:r w:rsidR="00402F34">
        <w:rPr>
          <w:rFonts w:ascii="Verdana" w:hAnsi="Verdana" w:cs="Verdana"/>
          <w:sz w:val="20"/>
          <w:szCs w:val="20"/>
        </w:rPr>
        <w:t>.</w:t>
      </w:r>
      <w:r w:rsidRPr="007F30EB">
        <w:rPr>
          <w:rFonts w:ascii="Verdana" w:hAnsi="Verdana" w:cs="Verdana"/>
          <w:sz w:val="20"/>
          <w:szCs w:val="20"/>
        </w:rPr>
        <w:t xml:space="preserve"> </w:t>
      </w:r>
      <w:r w:rsidRPr="00A35BE7">
        <w:rPr>
          <w:rFonts w:ascii="Verdana" w:hAnsi="Verdana" w:cs="Verdana"/>
          <w:sz w:val="20"/>
          <w:szCs w:val="20"/>
        </w:rPr>
        <w:t xml:space="preserve">Dovrebbero invece rientrare progressivamente le operazioni di surroga e rinegoziazione dopo la crescita eccezionale del 2020, per i </w:t>
      </w:r>
      <w:r w:rsidR="00DF3683">
        <w:rPr>
          <w:rFonts w:ascii="Verdana" w:hAnsi="Verdana" w:cs="Verdana"/>
          <w:sz w:val="20"/>
          <w:szCs w:val="20"/>
        </w:rPr>
        <w:t xml:space="preserve">minori </w:t>
      </w:r>
      <w:r w:rsidRPr="00A35BE7">
        <w:rPr>
          <w:rFonts w:ascii="Verdana" w:hAnsi="Verdana" w:cs="Verdana"/>
          <w:sz w:val="20"/>
          <w:szCs w:val="20"/>
        </w:rPr>
        <w:t>volumi per cui ci sarà ancora convenienza nella modifica del contratto.</w:t>
      </w:r>
    </w:p>
    <w:p w14:paraId="04934B71" w14:textId="77777777" w:rsidR="007F30EB" w:rsidRDefault="007F30EB" w:rsidP="007F30EB">
      <w:pPr>
        <w:jc w:val="both"/>
        <w:rPr>
          <w:rFonts w:ascii="Verdana" w:hAnsi="Verdana" w:cs="Verdana"/>
          <w:sz w:val="20"/>
          <w:szCs w:val="20"/>
        </w:rPr>
      </w:pPr>
    </w:p>
    <w:p w14:paraId="7903749E" w14:textId="1F9DB582" w:rsidR="00402F34" w:rsidRDefault="007F30EB" w:rsidP="00BD0E5B">
      <w:pPr>
        <w:jc w:val="both"/>
        <w:rPr>
          <w:rFonts w:ascii="Verdana" w:hAnsi="Verdana" w:cs="Verdana"/>
          <w:sz w:val="20"/>
          <w:szCs w:val="20"/>
        </w:rPr>
      </w:pPr>
      <w:r w:rsidRPr="005A2B78">
        <w:rPr>
          <w:rFonts w:ascii="Verdana" w:hAnsi="Verdana" w:cs="Verdana"/>
          <w:sz w:val="20"/>
          <w:szCs w:val="20"/>
        </w:rPr>
        <w:t xml:space="preserve">L’impatto della recessione sulla capacità delle famiglie di sostenere l’onere del debito sarà </w:t>
      </w:r>
      <w:r>
        <w:rPr>
          <w:rFonts w:ascii="Verdana" w:hAnsi="Verdana" w:cs="Verdana"/>
          <w:sz w:val="20"/>
          <w:szCs w:val="20"/>
        </w:rPr>
        <w:t xml:space="preserve">ancora </w:t>
      </w:r>
      <w:r w:rsidRPr="005A2B78">
        <w:rPr>
          <w:rFonts w:ascii="Verdana" w:hAnsi="Verdana" w:cs="Verdana"/>
          <w:sz w:val="20"/>
          <w:szCs w:val="20"/>
        </w:rPr>
        <w:t xml:space="preserve">limitato dalle misure varate dal Governo a sostegno dei redditi </w:t>
      </w:r>
      <w:r w:rsidR="00B56815">
        <w:rPr>
          <w:rFonts w:ascii="Verdana" w:hAnsi="Verdana" w:cs="Verdana"/>
          <w:sz w:val="20"/>
          <w:szCs w:val="20"/>
        </w:rPr>
        <w:t>e dai meccanismi di moratoria e</w:t>
      </w:r>
      <w:r w:rsidRPr="005A2B78">
        <w:rPr>
          <w:rFonts w:ascii="Verdana" w:hAnsi="Verdana" w:cs="Verdana"/>
          <w:sz w:val="20"/>
          <w:szCs w:val="20"/>
        </w:rPr>
        <w:t xml:space="preserve"> </w:t>
      </w:r>
      <w:r w:rsidR="00DF3683">
        <w:rPr>
          <w:rFonts w:ascii="Verdana" w:hAnsi="Verdana" w:cs="Verdana"/>
          <w:sz w:val="20"/>
          <w:szCs w:val="20"/>
        </w:rPr>
        <w:t>d</w:t>
      </w:r>
      <w:r w:rsidRPr="005A2B78">
        <w:rPr>
          <w:rFonts w:ascii="Verdana" w:hAnsi="Verdana" w:cs="Verdana"/>
          <w:sz w:val="20"/>
          <w:szCs w:val="20"/>
        </w:rPr>
        <w:t>al mantenim</w:t>
      </w:r>
      <w:r>
        <w:rPr>
          <w:rFonts w:ascii="Verdana" w:hAnsi="Verdana" w:cs="Verdana"/>
          <w:sz w:val="20"/>
          <w:szCs w:val="20"/>
        </w:rPr>
        <w:t>ento di bassi tassi d’interesse</w:t>
      </w:r>
      <w:r w:rsidR="00DF3683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ma </w:t>
      </w:r>
      <w:r w:rsidRPr="00E80434">
        <w:rPr>
          <w:rFonts w:ascii="Verdana" w:hAnsi="Verdana" w:cs="Verdana"/>
          <w:b/>
          <w:sz w:val="20"/>
          <w:szCs w:val="20"/>
        </w:rPr>
        <w:t>l</w:t>
      </w:r>
      <w:r w:rsidR="00402F34" w:rsidRPr="00E80434">
        <w:rPr>
          <w:rFonts w:ascii="Verdana" w:hAnsi="Verdana" w:cs="Verdana"/>
          <w:b/>
          <w:sz w:val="20"/>
          <w:szCs w:val="20"/>
        </w:rPr>
        <w:t xml:space="preserve">a </w:t>
      </w:r>
      <w:r w:rsidR="00402F34" w:rsidRPr="00A66653">
        <w:rPr>
          <w:rFonts w:ascii="Verdana" w:hAnsi="Verdana" w:cs="Verdana"/>
          <w:b/>
          <w:bCs/>
          <w:sz w:val="20"/>
          <w:szCs w:val="20"/>
        </w:rPr>
        <w:t>rischiosità</w:t>
      </w:r>
      <w:r w:rsidR="00402F34" w:rsidRPr="00E80434">
        <w:rPr>
          <w:rFonts w:ascii="Verdana" w:hAnsi="Verdana" w:cs="Verdana"/>
          <w:b/>
          <w:sz w:val="20"/>
          <w:szCs w:val="20"/>
        </w:rPr>
        <w:t xml:space="preserve"> continuerà a essere un </w:t>
      </w:r>
      <w:r w:rsidR="00402F34" w:rsidRPr="005E438B">
        <w:rPr>
          <w:rFonts w:ascii="Verdana" w:hAnsi="Verdana" w:cs="Verdana"/>
          <w:b/>
          <w:bCs/>
          <w:sz w:val="20"/>
          <w:szCs w:val="20"/>
        </w:rPr>
        <w:t>fattore di attenzione</w:t>
      </w:r>
      <w:r w:rsidR="00402F34">
        <w:rPr>
          <w:rFonts w:ascii="Verdana" w:hAnsi="Verdana" w:cs="Verdana"/>
          <w:sz w:val="20"/>
          <w:szCs w:val="20"/>
        </w:rPr>
        <w:t xml:space="preserve"> anche nel corso del 2021, a causa della </w:t>
      </w:r>
      <w:r w:rsidR="00402F34" w:rsidRPr="00402F34">
        <w:rPr>
          <w:rFonts w:ascii="Verdana" w:hAnsi="Verdana" w:cs="Verdana"/>
          <w:sz w:val="20"/>
          <w:szCs w:val="20"/>
        </w:rPr>
        <w:t>dinamica del reddito e d</w:t>
      </w:r>
      <w:r w:rsidR="00402F34">
        <w:rPr>
          <w:rFonts w:ascii="Verdana" w:hAnsi="Verdana" w:cs="Verdana"/>
          <w:sz w:val="20"/>
          <w:szCs w:val="20"/>
        </w:rPr>
        <w:t>e</w:t>
      </w:r>
      <w:r w:rsidR="00402F34" w:rsidRPr="00402F34">
        <w:rPr>
          <w:rFonts w:ascii="Verdana" w:hAnsi="Verdana" w:cs="Verdana"/>
          <w:sz w:val="20"/>
          <w:szCs w:val="20"/>
        </w:rPr>
        <w:t xml:space="preserve">lle prospettive del mercato del lavoro, che potrebbero incidere </w:t>
      </w:r>
      <w:r>
        <w:rPr>
          <w:rFonts w:ascii="Verdana" w:hAnsi="Verdana" w:cs="Verdana"/>
          <w:sz w:val="20"/>
          <w:szCs w:val="20"/>
        </w:rPr>
        <w:t xml:space="preserve">in modo </w:t>
      </w:r>
      <w:r w:rsidR="00402F34" w:rsidRPr="00402F34">
        <w:rPr>
          <w:rFonts w:ascii="Verdana" w:hAnsi="Verdana" w:cs="Verdana"/>
          <w:sz w:val="20"/>
          <w:szCs w:val="20"/>
        </w:rPr>
        <w:t>negativ</w:t>
      </w:r>
      <w:r>
        <w:rPr>
          <w:rFonts w:ascii="Verdana" w:hAnsi="Verdana" w:cs="Verdana"/>
          <w:sz w:val="20"/>
          <w:szCs w:val="20"/>
        </w:rPr>
        <w:t>o</w:t>
      </w:r>
      <w:r w:rsidR="00402F34" w:rsidRPr="00402F34">
        <w:rPr>
          <w:rFonts w:ascii="Verdana" w:hAnsi="Verdana" w:cs="Verdana"/>
          <w:sz w:val="20"/>
          <w:szCs w:val="20"/>
        </w:rPr>
        <w:t xml:space="preserve"> sulla capacità di riprendere il pagamento delle rate al termine del periodo di </w:t>
      </w:r>
      <w:r w:rsidR="008B4635">
        <w:rPr>
          <w:rFonts w:ascii="Verdana" w:hAnsi="Verdana" w:cs="Verdana"/>
          <w:sz w:val="20"/>
          <w:szCs w:val="20"/>
        </w:rPr>
        <w:t>sospensione legato all’applicazione delle moratorie</w:t>
      </w:r>
      <w:r w:rsidR="00A66653">
        <w:rPr>
          <w:rFonts w:ascii="Verdana" w:hAnsi="Verdana" w:cs="Verdana"/>
          <w:sz w:val="20"/>
          <w:szCs w:val="20"/>
        </w:rPr>
        <w:t>. È invece</w:t>
      </w:r>
      <w:r w:rsidR="00402F34">
        <w:rPr>
          <w:rFonts w:ascii="Verdana" w:hAnsi="Verdana" w:cs="Verdana"/>
          <w:sz w:val="20"/>
          <w:szCs w:val="20"/>
        </w:rPr>
        <w:t xml:space="preserve"> prevista una sua </w:t>
      </w:r>
      <w:r w:rsidR="00402F34" w:rsidRPr="005E438B">
        <w:rPr>
          <w:rFonts w:ascii="Verdana" w:hAnsi="Verdana" w:cs="Verdana"/>
          <w:b/>
          <w:bCs/>
          <w:sz w:val="20"/>
          <w:szCs w:val="20"/>
        </w:rPr>
        <w:t>riduzione nel 2022</w:t>
      </w:r>
      <w:r w:rsidR="00402F34">
        <w:rPr>
          <w:rFonts w:ascii="Verdana" w:hAnsi="Verdana" w:cs="Verdana"/>
          <w:sz w:val="20"/>
          <w:szCs w:val="20"/>
        </w:rPr>
        <w:t xml:space="preserve"> grazie al</w:t>
      </w:r>
      <w:r w:rsidR="00402F34" w:rsidRPr="00402F34">
        <w:rPr>
          <w:rFonts w:ascii="Verdana" w:hAnsi="Verdana" w:cs="Verdana"/>
          <w:sz w:val="20"/>
          <w:szCs w:val="20"/>
        </w:rPr>
        <w:t xml:space="preserve"> consolidamento della crescita economica</w:t>
      </w:r>
      <w:r w:rsidR="00402F34">
        <w:rPr>
          <w:rFonts w:ascii="Verdana" w:hAnsi="Verdana" w:cs="Verdana"/>
          <w:sz w:val="20"/>
          <w:szCs w:val="20"/>
        </w:rPr>
        <w:t xml:space="preserve"> e all</w:t>
      </w:r>
      <w:r w:rsidR="00402F34" w:rsidRPr="00402F34">
        <w:rPr>
          <w:rFonts w:ascii="Verdana" w:hAnsi="Verdana" w:cs="Verdana"/>
          <w:sz w:val="20"/>
          <w:szCs w:val="20"/>
        </w:rPr>
        <w:t xml:space="preserve">a minor formazione di </w:t>
      </w:r>
      <w:r w:rsidR="00402F34">
        <w:rPr>
          <w:rFonts w:ascii="Verdana" w:hAnsi="Verdana" w:cs="Verdana"/>
          <w:sz w:val="20"/>
          <w:szCs w:val="20"/>
        </w:rPr>
        <w:t xml:space="preserve">crediti </w:t>
      </w:r>
      <w:r w:rsidR="00402F34" w:rsidRPr="00402F34">
        <w:rPr>
          <w:rFonts w:ascii="Verdana" w:hAnsi="Verdana" w:cs="Verdana"/>
          <w:sz w:val="20"/>
          <w:szCs w:val="20"/>
        </w:rPr>
        <w:t>deteriorati</w:t>
      </w:r>
      <w:r w:rsidR="00402F34">
        <w:rPr>
          <w:rFonts w:ascii="Verdana" w:hAnsi="Verdana" w:cs="Verdana"/>
          <w:sz w:val="20"/>
          <w:szCs w:val="20"/>
        </w:rPr>
        <w:t>.</w:t>
      </w:r>
    </w:p>
    <w:p w14:paraId="05005863" w14:textId="4468AF77" w:rsidR="00402F34" w:rsidRDefault="00402F34" w:rsidP="00BD0E5B">
      <w:pPr>
        <w:jc w:val="both"/>
        <w:rPr>
          <w:rFonts w:ascii="Verdana" w:hAnsi="Verdana" w:cs="Verdana"/>
          <w:sz w:val="20"/>
          <w:szCs w:val="20"/>
        </w:rPr>
      </w:pPr>
    </w:p>
    <w:p w14:paraId="4083D740" w14:textId="0048F926" w:rsidR="008B4635" w:rsidRDefault="005E438B" w:rsidP="00BD0E5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Infine, n</w:t>
      </w:r>
      <w:r w:rsidR="00402F34">
        <w:rPr>
          <w:rFonts w:ascii="Verdana" w:hAnsi="Verdana" w:cs="Verdana"/>
          <w:sz w:val="20"/>
          <w:szCs w:val="20"/>
        </w:rPr>
        <w:t>ell’attuale quadro di forte incertezza economica</w:t>
      </w:r>
      <w:r>
        <w:rPr>
          <w:rFonts w:ascii="Verdana" w:hAnsi="Verdana" w:cs="Verdana"/>
          <w:sz w:val="20"/>
          <w:szCs w:val="20"/>
        </w:rPr>
        <w:t>, per gli</w:t>
      </w:r>
      <w:r w:rsidR="00402F3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operatori del credito </w:t>
      </w:r>
      <w:r w:rsidR="00402F34">
        <w:rPr>
          <w:rFonts w:ascii="Verdana" w:hAnsi="Verdana" w:cs="Verdana"/>
          <w:sz w:val="20"/>
          <w:szCs w:val="20"/>
        </w:rPr>
        <w:t xml:space="preserve">è fondamentale essere in grado di </w:t>
      </w:r>
      <w:r w:rsidR="00402F34" w:rsidRPr="00402F34">
        <w:rPr>
          <w:rFonts w:ascii="Verdana" w:hAnsi="Verdana" w:cs="Verdana"/>
          <w:sz w:val="20"/>
          <w:szCs w:val="20"/>
        </w:rPr>
        <w:t xml:space="preserve">cogliere tutte le </w:t>
      </w:r>
      <w:r w:rsidR="00402F34" w:rsidRPr="005E438B">
        <w:rPr>
          <w:rFonts w:ascii="Verdana" w:hAnsi="Verdana" w:cs="Verdana"/>
          <w:b/>
          <w:bCs/>
          <w:sz w:val="20"/>
          <w:szCs w:val="20"/>
        </w:rPr>
        <w:t>opportunità</w:t>
      </w:r>
      <w:r w:rsidR="00402F34" w:rsidRPr="00402F34">
        <w:rPr>
          <w:rFonts w:ascii="Verdana" w:hAnsi="Verdana" w:cs="Verdana"/>
          <w:sz w:val="20"/>
          <w:szCs w:val="20"/>
        </w:rPr>
        <w:t xml:space="preserve"> </w:t>
      </w:r>
      <w:r w:rsidR="00402F34">
        <w:rPr>
          <w:rFonts w:ascii="Verdana" w:hAnsi="Verdana" w:cs="Verdana"/>
          <w:sz w:val="20"/>
          <w:szCs w:val="20"/>
        </w:rPr>
        <w:t xml:space="preserve">derivate dal </w:t>
      </w:r>
      <w:r w:rsidR="00402F34" w:rsidRPr="00402F34">
        <w:rPr>
          <w:rFonts w:ascii="Verdana" w:hAnsi="Verdana" w:cs="Verdana"/>
          <w:sz w:val="20"/>
          <w:szCs w:val="20"/>
        </w:rPr>
        <w:t xml:space="preserve">maggiore utilizzo dei </w:t>
      </w:r>
      <w:r w:rsidR="00402F34" w:rsidRPr="005E438B">
        <w:rPr>
          <w:rFonts w:ascii="Verdana" w:hAnsi="Verdana" w:cs="Verdana"/>
          <w:b/>
          <w:bCs/>
          <w:sz w:val="20"/>
          <w:szCs w:val="20"/>
        </w:rPr>
        <w:t>canali digitali</w:t>
      </w:r>
      <w:r w:rsidR="00402F34" w:rsidRPr="00402F34">
        <w:rPr>
          <w:rFonts w:ascii="Verdana" w:hAnsi="Verdana" w:cs="Verdana"/>
          <w:sz w:val="20"/>
          <w:szCs w:val="20"/>
        </w:rPr>
        <w:t xml:space="preserve"> e di apertura alle modalità di cooperazione date dall’</w:t>
      </w:r>
      <w:r w:rsidR="00402F34" w:rsidRPr="005E438B">
        <w:rPr>
          <w:rFonts w:ascii="Verdana" w:hAnsi="Verdana" w:cs="Verdana"/>
          <w:b/>
          <w:bCs/>
          <w:sz w:val="20"/>
          <w:szCs w:val="20"/>
        </w:rPr>
        <w:t>open banking</w:t>
      </w:r>
      <w:r w:rsidR="00402F34" w:rsidRPr="00402F34">
        <w:rPr>
          <w:rFonts w:ascii="Verdana" w:hAnsi="Verdana" w:cs="Verdana"/>
          <w:sz w:val="20"/>
          <w:szCs w:val="20"/>
        </w:rPr>
        <w:t xml:space="preserve"> per migliorare il modello di servizio e l’efficienza </w:t>
      </w:r>
      <w:r w:rsidR="008B4635">
        <w:rPr>
          <w:rFonts w:ascii="Verdana" w:hAnsi="Verdana" w:cs="Verdana"/>
          <w:sz w:val="20"/>
          <w:szCs w:val="20"/>
        </w:rPr>
        <w:t>dei processi del credito</w:t>
      </w:r>
      <w:r w:rsidR="00402F34" w:rsidRPr="00402F34">
        <w:rPr>
          <w:rFonts w:ascii="Verdana" w:hAnsi="Verdana" w:cs="Verdana"/>
          <w:sz w:val="20"/>
          <w:szCs w:val="20"/>
        </w:rPr>
        <w:t>. Le abitudini della clientela</w:t>
      </w:r>
      <w:r w:rsidR="007A415D">
        <w:rPr>
          <w:rFonts w:ascii="Verdana" w:hAnsi="Verdana" w:cs="Verdana"/>
          <w:sz w:val="20"/>
          <w:szCs w:val="20"/>
        </w:rPr>
        <w:t xml:space="preserve"> orientate a una </w:t>
      </w:r>
      <w:r w:rsidR="007A415D" w:rsidRPr="005E438B">
        <w:rPr>
          <w:rFonts w:ascii="Verdana" w:hAnsi="Verdana" w:cs="Verdana"/>
          <w:b/>
          <w:bCs/>
          <w:sz w:val="20"/>
          <w:szCs w:val="20"/>
        </w:rPr>
        <w:t>maggiore digitalizzazione</w:t>
      </w:r>
      <w:r w:rsidR="00402F34" w:rsidRPr="00402F34">
        <w:rPr>
          <w:rFonts w:ascii="Verdana" w:hAnsi="Verdana" w:cs="Verdana"/>
          <w:sz w:val="20"/>
          <w:szCs w:val="20"/>
        </w:rPr>
        <w:t>, che già stavano cambiando nel</w:t>
      </w:r>
      <w:r w:rsidR="007A415D">
        <w:rPr>
          <w:rFonts w:ascii="Verdana" w:hAnsi="Verdana" w:cs="Verdana"/>
          <w:sz w:val="20"/>
          <w:szCs w:val="20"/>
        </w:rPr>
        <w:t>l’era</w:t>
      </w:r>
      <w:r w:rsidR="00402F34" w:rsidRPr="00402F34">
        <w:rPr>
          <w:rFonts w:ascii="Verdana" w:hAnsi="Verdana" w:cs="Verdana"/>
          <w:sz w:val="20"/>
          <w:szCs w:val="20"/>
        </w:rPr>
        <w:t xml:space="preserve"> “pre-Covid”, </w:t>
      </w:r>
      <w:r w:rsidR="007A415D">
        <w:rPr>
          <w:rFonts w:ascii="Verdana" w:hAnsi="Verdana" w:cs="Verdana"/>
          <w:sz w:val="20"/>
          <w:szCs w:val="20"/>
        </w:rPr>
        <w:t>sono state</w:t>
      </w:r>
      <w:r w:rsidR="00402F34" w:rsidRPr="00402F34">
        <w:rPr>
          <w:rFonts w:ascii="Verdana" w:hAnsi="Verdana" w:cs="Verdana"/>
          <w:sz w:val="20"/>
          <w:szCs w:val="20"/>
        </w:rPr>
        <w:t xml:space="preserve"> </w:t>
      </w:r>
      <w:r w:rsidR="007F30EB">
        <w:rPr>
          <w:rFonts w:ascii="Verdana" w:hAnsi="Verdana" w:cs="Verdana"/>
          <w:sz w:val="20"/>
          <w:szCs w:val="20"/>
        </w:rPr>
        <w:t>molto</w:t>
      </w:r>
      <w:r w:rsidR="007F30EB" w:rsidRPr="00402F34">
        <w:rPr>
          <w:rFonts w:ascii="Verdana" w:hAnsi="Verdana" w:cs="Verdana"/>
          <w:sz w:val="20"/>
          <w:szCs w:val="20"/>
        </w:rPr>
        <w:t xml:space="preserve"> </w:t>
      </w:r>
      <w:r w:rsidR="00402F34" w:rsidRPr="00402F34">
        <w:rPr>
          <w:rFonts w:ascii="Verdana" w:hAnsi="Verdana" w:cs="Verdana"/>
          <w:sz w:val="20"/>
          <w:szCs w:val="20"/>
        </w:rPr>
        <w:t>accentuat</w:t>
      </w:r>
      <w:r w:rsidR="007A415D">
        <w:rPr>
          <w:rFonts w:ascii="Verdana" w:hAnsi="Verdana" w:cs="Verdana"/>
          <w:sz w:val="20"/>
          <w:szCs w:val="20"/>
        </w:rPr>
        <w:t xml:space="preserve">e dalla pandemia e </w:t>
      </w:r>
      <w:r w:rsidR="00402F34" w:rsidRPr="00402F34">
        <w:rPr>
          <w:rFonts w:ascii="Verdana" w:hAnsi="Verdana" w:cs="Verdana"/>
          <w:sz w:val="20"/>
          <w:szCs w:val="20"/>
        </w:rPr>
        <w:t>si consolideranno nei comportamenti futuri.</w:t>
      </w:r>
      <w:r w:rsidR="007A415D">
        <w:rPr>
          <w:rFonts w:ascii="Verdana" w:hAnsi="Verdana" w:cs="Verdana"/>
          <w:sz w:val="20"/>
          <w:szCs w:val="20"/>
        </w:rPr>
        <w:t xml:space="preserve"> </w:t>
      </w:r>
    </w:p>
    <w:p w14:paraId="7F204FED" w14:textId="607D3D68" w:rsidR="00402F34" w:rsidRDefault="007A415D" w:rsidP="00BD0E5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Pr="007A415D">
        <w:rPr>
          <w:rFonts w:ascii="Verdana" w:hAnsi="Verdana" w:cs="Verdana"/>
          <w:sz w:val="20"/>
          <w:szCs w:val="20"/>
        </w:rPr>
        <w:t xml:space="preserve">er gli operatori finanziari </w:t>
      </w:r>
      <w:r>
        <w:rPr>
          <w:rFonts w:ascii="Verdana" w:hAnsi="Verdana" w:cs="Verdana"/>
          <w:sz w:val="20"/>
          <w:szCs w:val="20"/>
        </w:rPr>
        <w:t>diventa quindi</w:t>
      </w:r>
      <w:r w:rsidRPr="007A415D">
        <w:rPr>
          <w:rFonts w:ascii="Verdana" w:hAnsi="Verdana" w:cs="Verdana"/>
          <w:sz w:val="20"/>
          <w:szCs w:val="20"/>
        </w:rPr>
        <w:t xml:space="preserve"> ancora più importante accelerare il </w:t>
      </w:r>
      <w:r w:rsidRPr="005E438B">
        <w:rPr>
          <w:rFonts w:ascii="Verdana" w:hAnsi="Verdana" w:cs="Verdana"/>
          <w:b/>
          <w:bCs/>
          <w:sz w:val="20"/>
          <w:szCs w:val="20"/>
        </w:rPr>
        <w:t>processo di cambiamento del modello di servizio</w:t>
      </w:r>
      <w:r w:rsidRPr="007A415D">
        <w:rPr>
          <w:rFonts w:ascii="Verdana" w:hAnsi="Verdana" w:cs="Verdana"/>
          <w:sz w:val="20"/>
          <w:szCs w:val="20"/>
        </w:rPr>
        <w:t xml:space="preserve"> in modo da raggiungere tutte le fasce di clientela attraverso più canali, traendo vantaggio anche dagli investimenti in tecnologia e comunicazione già intrapresi </w:t>
      </w:r>
      <w:r w:rsidR="005E438B">
        <w:rPr>
          <w:rFonts w:ascii="Verdana" w:hAnsi="Verdana" w:cs="Verdana"/>
          <w:sz w:val="20"/>
          <w:szCs w:val="20"/>
        </w:rPr>
        <w:t>ne</w:t>
      </w:r>
      <w:r w:rsidRPr="007A415D">
        <w:rPr>
          <w:rFonts w:ascii="Verdana" w:hAnsi="Verdana" w:cs="Verdana"/>
          <w:sz w:val="20"/>
          <w:szCs w:val="20"/>
        </w:rPr>
        <w:t xml:space="preserve">gli anni precedenti. Questa accelerazione sarà funzionale anche a </w:t>
      </w:r>
      <w:r w:rsidR="008B4635">
        <w:rPr>
          <w:rFonts w:ascii="Verdana" w:hAnsi="Verdana" w:cs="Verdana"/>
          <w:b/>
          <w:bCs/>
          <w:sz w:val="20"/>
          <w:szCs w:val="20"/>
        </w:rPr>
        <w:t>contrastare la concorrenza derivante da</w:t>
      </w:r>
      <w:r w:rsidRPr="005E438B">
        <w:rPr>
          <w:rFonts w:ascii="Verdana" w:hAnsi="Verdana" w:cs="Verdana"/>
          <w:b/>
          <w:bCs/>
          <w:sz w:val="20"/>
          <w:szCs w:val="20"/>
        </w:rPr>
        <w:t xml:space="preserve"> operatori FinTech e BigTech</w:t>
      </w:r>
      <w:r w:rsidRPr="007A415D">
        <w:rPr>
          <w:rFonts w:ascii="Verdana" w:hAnsi="Verdana" w:cs="Verdana"/>
          <w:sz w:val="20"/>
          <w:szCs w:val="20"/>
        </w:rPr>
        <w:t>, per ora ancora circoscritta a particolari segmenti di business e a operazioni specifiche.</w:t>
      </w:r>
    </w:p>
    <w:p w14:paraId="21EAD405" w14:textId="55B657E6" w:rsidR="005E438B" w:rsidRPr="001D22DF" w:rsidRDefault="00402F34" w:rsidP="005E438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bookmarkEnd w:id="5"/>
    </w:p>
    <w:p w14:paraId="3AE8F017" w14:textId="77777777" w:rsidR="00661377" w:rsidRDefault="00661377" w:rsidP="0066137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DC49EB">
        <w:rPr>
          <w:rFonts w:ascii="Verdana" w:hAnsi="Verdana" w:cs="Verdana"/>
          <w:sz w:val="16"/>
          <w:szCs w:val="16"/>
        </w:rPr>
        <w:t>Per ulteriori informazioni:</w:t>
      </w:r>
    </w:p>
    <w:p w14:paraId="154F72E8" w14:textId="77777777" w:rsidR="00661377" w:rsidRDefault="00661377" w:rsidP="0066137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23F7EBE0" w14:textId="77777777" w:rsidR="00661377" w:rsidRPr="00DC49EB" w:rsidRDefault="007E3199" w:rsidP="008C48D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Verdana" w:hAnsi="Verdana" w:cs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1" layoutInCell="1" allowOverlap="1" wp14:anchorId="2EFB32FC" wp14:editId="75DFC296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152525" cy="600075"/>
            <wp:effectExtent l="0" t="0" r="9525" b="9525"/>
            <wp:wrapSquare wrapText="bothSides"/>
            <wp:docPr id="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0AFB0" w14:textId="77777777" w:rsidR="00661377" w:rsidRPr="00DC49EB" w:rsidRDefault="00661377" w:rsidP="00661377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Luca Fumagalli</w:t>
      </w:r>
      <w:r w:rsidRPr="00DC49EB">
        <w:rPr>
          <w:rFonts w:ascii="Verdana" w:hAnsi="Verdana" w:cs="Verdana"/>
          <w:sz w:val="16"/>
          <w:szCs w:val="16"/>
        </w:rPr>
        <w:t xml:space="preserve"> – </w:t>
      </w:r>
      <w:hyperlink r:id="rId9" w:history="1">
        <w:r w:rsidRPr="005A09D5">
          <w:rPr>
            <w:rStyle w:val="Hyperlink"/>
            <w:rFonts w:ascii="Verdana" w:hAnsi="Verdana" w:cs="Verdana"/>
            <w:sz w:val="16"/>
            <w:szCs w:val="16"/>
          </w:rPr>
          <w:t>luca.fumagalli@bm.com</w:t>
        </w:r>
      </w:hyperlink>
    </w:p>
    <w:p w14:paraId="7600DF6E" w14:textId="62FD7D42" w:rsidR="00661377" w:rsidRPr="00DC49EB" w:rsidRDefault="00661377" w:rsidP="00661377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Tel. </w:t>
      </w:r>
      <w:r w:rsidR="000D31C7">
        <w:rPr>
          <w:rFonts w:ascii="Verdana" w:hAnsi="Verdana" w:cs="Verdana"/>
          <w:sz w:val="16"/>
          <w:szCs w:val="16"/>
        </w:rPr>
        <w:t>348 4586948</w:t>
      </w:r>
      <w:bookmarkStart w:id="6" w:name="_GoBack"/>
      <w:bookmarkEnd w:id="6"/>
    </w:p>
    <w:p w14:paraId="1A887FC4" w14:textId="77777777" w:rsidR="00661377" w:rsidRDefault="00661377" w:rsidP="00661377">
      <w:pPr>
        <w:spacing w:line="276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11"/>
        <w:gridCol w:w="222"/>
        <w:gridCol w:w="222"/>
      </w:tblGrid>
      <w:tr w:rsidR="00661377" w:rsidRPr="000D31C7" w14:paraId="41431BCB" w14:textId="77777777" w:rsidTr="003E2984">
        <w:tc>
          <w:tcPr>
            <w:tcW w:w="3370" w:type="dxa"/>
          </w:tcPr>
          <w:tbl>
            <w:tblPr>
              <w:tblW w:w="9072" w:type="dxa"/>
              <w:tblLook w:val="01E0" w:firstRow="1" w:lastRow="1" w:firstColumn="1" w:lastColumn="1" w:noHBand="0" w:noVBand="0"/>
            </w:tblPr>
            <w:tblGrid>
              <w:gridCol w:w="2552"/>
              <w:gridCol w:w="2693"/>
              <w:gridCol w:w="3827"/>
            </w:tblGrid>
            <w:tr w:rsidR="00661377" w:rsidRPr="000D31C7" w14:paraId="123BDD34" w14:textId="77777777" w:rsidTr="00751077">
              <w:tc>
                <w:tcPr>
                  <w:tcW w:w="2552" w:type="dxa"/>
                </w:tcPr>
                <w:p w14:paraId="019A3EF9" w14:textId="77777777" w:rsidR="00661377" w:rsidRDefault="008C48DC" w:rsidP="003E2984">
                  <w:pPr>
                    <w:spacing w:line="276" w:lineRule="auto"/>
                    <w:jc w:val="both"/>
                    <w:outlineLvl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br/>
                  </w:r>
                  <w:r w:rsidR="00661377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Ufficio stampa Assofin:</w:t>
                  </w:r>
                </w:p>
                <w:p w14:paraId="156E95D9" w14:textId="77777777" w:rsidR="00661377" w:rsidRPr="007A0B3D" w:rsidRDefault="00661377" w:rsidP="003E2984">
                  <w:pPr>
                    <w:spacing w:line="276" w:lineRule="auto"/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7A0B3D">
                    <w:rPr>
                      <w:rFonts w:ascii="Verdana" w:hAnsi="Verdana"/>
                      <w:b/>
                      <w:sz w:val="16"/>
                      <w:szCs w:val="16"/>
                    </w:rPr>
                    <w:t>Giuseppe Piano Mortari</w:t>
                  </w:r>
                </w:p>
                <w:p w14:paraId="4E7772EF" w14:textId="77777777" w:rsidR="00661377" w:rsidRDefault="000D31C7" w:rsidP="003E2984">
                  <w:pPr>
                    <w:spacing w:line="276" w:lineRule="auto"/>
                    <w:jc w:val="both"/>
                    <w:rPr>
                      <w:rFonts w:ascii="Verdana" w:hAnsi="Verdana" w:cs="Verdana"/>
                      <w:sz w:val="16"/>
                      <w:szCs w:val="16"/>
                    </w:rPr>
                  </w:pPr>
                  <w:hyperlink r:id="rId10" w:history="1">
                    <w:r w:rsidR="00661377">
                      <w:rPr>
                        <w:rStyle w:val="Hyperlink"/>
                        <w:rFonts w:ascii="Verdana" w:hAnsi="Verdana" w:cs="Verdana"/>
                        <w:sz w:val="16"/>
                        <w:szCs w:val="16"/>
                      </w:rPr>
                      <w:t>ufficiostampa@assofin.it</w:t>
                    </w:r>
                  </w:hyperlink>
                  <w:r w:rsidR="00661377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</w:p>
                <w:p w14:paraId="57811CA4" w14:textId="77777777" w:rsidR="00661377" w:rsidRDefault="00661377" w:rsidP="003E2984">
                  <w:pPr>
                    <w:spacing w:line="276" w:lineRule="auto"/>
                    <w:jc w:val="both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Tel</w:t>
                  </w:r>
                  <w:r w:rsidR="00C40290">
                    <w:rPr>
                      <w:rFonts w:ascii="Verdana" w:hAnsi="Verdana" w:cs="Verdana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02865437</w:t>
                  </w:r>
                </w:p>
                <w:p w14:paraId="0F34B19F" w14:textId="77777777" w:rsidR="00661377" w:rsidRDefault="00661377" w:rsidP="003E2984">
                  <w:pPr>
                    <w:spacing w:line="276" w:lineRule="auto"/>
                    <w:jc w:val="both"/>
                    <w:outlineLvl w:val="0"/>
                    <w:rPr>
                      <w:rFonts w:ascii="Verdana" w:hAnsi="Verdana" w:cs="Verdana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693" w:type="dxa"/>
                </w:tcPr>
                <w:p w14:paraId="738EE5C5" w14:textId="77777777" w:rsidR="008C48DC" w:rsidRDefault="008C48DC" w:rsidP="003E2984">
                  <w:pPr>
                    <w:spacing w:line="276" w:lineRule="auto"/>
                    <w:jc w:val="both"/>
                    <w:outlineLvl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</w:p>
                <w:p w14:paraId="4C119B92" w14:textId="77777777" w:rsidR="00661377" w:rsidRDefault="00661377" w:rsidP="003E2984">
                  <w:pPr>
                    <w:spacing w:line="276" w:lineRule="auto"/>
                    <w:jc w:val="both"/>
                    <w:outlineLvl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Ufficio stampa CRIF:</w:t>
                  </w:r>
                </w:p>
                <w:p w14:paraId="5A8A042F" w14:textId="77777777" w:rsidR="00661377" w:rsidRDefault="00661377" w:rsidP="003E2984">
                  <w:pPr>
                    <w:spacing w:line="276" w:lineRule="auto"/>
                    <w:jc w:val="both"/>
                    <w:outlineLvl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Maurizio Liuti</w:t>
                  </w:r>
                </w:p>
                <w:p w14:paraId="7BCF583C" w14:textId="77777777" w:rsidR="00661377" w:rsidRDefault="000D31C7" w:rsidP="003E2984">
                  <w:pPr>
                    <w:spacing w:line="276" w:lineRule="auto"/>
                    <w:jc w:val="both"/>
                    <w:rPr>
                      <w:rFonts w:ascii="Verdana" w:hAnsi="Verdana" w:cs="Verdana"/>
                      <w:sz w:val="16"/>
                      <w:szCs w:val="16"/>
                    </w:rPr>
                  </w:pPr>
                  <w:hyperlink r:id="rId11" w:history="1">
                    <w:r w:rsidR="00661377">
                      <w:rPr>
                        <w:rStyle w:val="Hyperlink"/>
                        <w:rFonts w:ascii="Verdana" w:hAnsi="Verdana" w:cs="Verdana"/>
                        <w:sz w:val="16"/>
                        <w:szCs w:val="16"/>
                      </w:rPr>
                      <w:t>ufficiostampa@crif.com</w:t>
                    </w:r>
                  </w:hyperlink>
                </w:p>
                <w:p w14:paraId="5C78FBD8" w14:textId="77777777" w:rsidR="00661377" w:rsidRPr="008355BA" w:rsidRDefault="00661377" w:rsidP="008355BA">
                  <w:pPr>
                    <w:spacing w:line="276" w:lineRule="auto"/>
                    <w:jc w:val="both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Tel. 0514176</w:t>
                  </w:r>
                  <w:r w:rsidR="00526B85">
                    <w:rPr>
                      <w:rFonts w:ascii="Verdana" w:hAnsi="Verdana" w:cs="Verdana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3827" w:type="dxa"/>
                  <w:hideMark/>
                </w:tcPr>
                <w:p w14:paraId="286265A9" w14:textId="77777777" w:rsidR="008C48DC" w:rsidRDefault="008C48DC" w:rsidP="00526B85">
                  <w:pPr>
                    <w:spacing w:line="276" w:lineRule="auto"/>
                    <w:jc w:val="both"/>
                    <w:outlineLvl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</w:p>
                <w:p w14:paraId="61E2D637" w14:textId="77777777" w:rsidR="00526B85" w:rsidRPr="006204FF" w:rsidRDefault="00526B85" w:rsidP="00526B85">
                  <w:pPr>
                    <w:spacing w:line="276" w:lineRule="auto"/>
                    <w:jc w:val="both"/>
                    <w:outlineLvl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Comunicazione e Marketing</w:t>
                  </w:r>
                  <w:r w:rsidRPr="006204FF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 xml:space="preserve"> Prometeia:</w:t>
                  </w:r>
                </w:p>
                <w:p w14:paraId="5640E34E" w14:textId="77777777" w:rsidR="00526B85" w:rsidRPr="00585D9F" w:rsidRDefault="00526B85" w:rsidP="00526B85">
                  <w:pPr>
                    <w:spacing w:line="276" w:lineRule="auto"/>
                    <w:jc w:val="both"/>
                    <w:outlineLvl w:val="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Valeria Patan</w:t>
                  </w:r>
                  <w:r w:rsidR="00C71D8D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é</w:t>
                  </w:r>
                </w:p>
                <w:p w14:paraId="125D13AF" w14:textId="77777777" w:rsidR="00832DDD" w:rsidRDefault="000D31C7" w:rsidP="003E2984">
                  <w:pPr>
                    <w:spacing w:line="276" w:lineRule="auto"/>
                    <w:jc w:val="both"/>
                    <w:rPr>
                      <w:rFonts w:ascii="Verdana" w:hAnsi="Verdana" w:cs="Verdana"/>
                      <w:sz w:val="16"/>
                      <w:szCs w:val="16"/>
                      <w:lang w:val="de-DE"/>
                    </w:rPr>
                  </w:pPr>
                  <w:hyperlink r:id="rId12" w:history="1">
                    <w:r w:rsidR="009419BD" w:rsidRPr="008C48DC">
                      <w:rPr>
                        <w:rStyle w:val="Hyperlink"/>
                        <w:rFonts w:ascii="Verdana" w:hAnsi="Verdana" w:cs="Verdana"/>
                        <w:sz w:val="16"/>
                        <w:szCs w:val="16"/>
                        <w:lang w:val="en-US"/>
                      </w:rPr>
                      <w:t>valeria.patane@prometeia.com</w:t>
                    </w:r>
                  </w:hyperlink>
                  <w:r w:rsidR="00526B85">
                    <w:rPr>
                      <w:rFonts w:ascii="Verdana" w:hAnsi="Verdana" w:cs="Verdana"/>
                      <w:sz w:val="16"/>
                      <w:szCs w:val="16"/>
                      <w:lang w:val="de-DE"/>
                    </w:rPr>
                    <w:t xml:space="preserve"> </w:t>
                  </w:r>
                </w:p>
                <w:p w14:paraId="17C8ED14" w14:textId="77777777" w:rsidR="00661377" w:rsidRDefault="00526B85" w:rsidP="003E2984">
                  <w:pPr>
                    <w:spacing w:line="276" w:lineRule="auto"/>
                    <w:jc w:val="both"/>
                    <w:rPr>
                      <w:rFonts w:ascii="Verdana" w:hAnsi="Verdana" w:cs="Verdan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val="de-DE"/>
                    </w:rPr>
                    <w:t xml:space="preserve">Tel. </w:t>
                  </w:r>
                  <w:r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3495538328</w:t>
                  </w:r>
                </w:p>
              </w:tc>
            </w:tr>
          </w:tbl>
          <w:p w14:paraId="1DA1CB91" w14:textId="77777777" w:rsidR="00661377" w:rsidRPr="007A0B3D" w:rsidRDefault="00661377" w:rsidP="003E2984">
            <w:pPr>
              <w:spacing w:line="276" w:lineRule="auto"/>
              <w:jc w:val="both"/>
              <w:outlineLvl w:val="0"/>
              <w:rPr>
                <w:rFonts w:ascii="Verdana" w:hAnsi="Verdana" w:cs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371" w:type="dxa"/>
          </w:tcPr>
          <w:p w14:paraId="630B2B94" w14:textId="77777777" w:rsidR="00661377" w:rsidRPr="007A0B3D" w:rsidRDefault="00661377" w:rsidP="003E2984">
            <w:pPr>
              <w:spacing w:line="276" w:lineRule="auto"/>
              <w:jc w:val="both"/>
              <w:outlineLvl w:val="0"/>
              <w:rPr>
                <w:rFonts w:ascii="Verdana" w:hAnsi="Verdana" w:cs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371" w:type="dxa"/>
          </w:tcPr>
          <w:p w14:paraId="3E93A58E" w14:textId="77777777" w:rsidR="00661377" w:rsidRPr="004A5A7E" w:rsidRDefault="00661377" w:rsidP="003E2984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</w:tr>
    </w:tbl>
    <w:p w14:paraId="468E011B" w14:textId="77777777" w:rsidR="009A2944" w:rsidRPr="002B15F0" w:rsidRDefault="009A2944" w:rsidP="00D955C2">
      <w:pPr>
        <w:spacing w:line="276" w:lineRule="auto"/>
        <w:jc w:val="both"/>
        <w:rPr>
          <w:rFonts w:ascii="Verdana" w:hAnsi="Verdana"/>
          <w:b/>
          <w:sz w:val="16"/>
          <w:lang w:val="de-DE"/>
        </w:rPr>
      </w:pPr>
    </w:p>
    <w:sectPr w:rsidR="009A2944" w:rsidRPr="002B15F0" w:rsidSect="002B15F0">
      <w:headerReference w:type="default" r:id="rId13"/>
      <w:type w:val="continuous"/>
      <w:pgSz w:w="11907" w:h="16839" w:code="9"/>
      <w:pgMar w:top="1985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DB53F" w14:textId="77777777" w:rsidR="000C7160" w:rsidRDefault="000C7160">
      <w:r>
        <w:separator/>
      </w:r>
    </w:p>
  </w:endnote>
  <w:endnote w:type="continuationSeparator" w:id="0">
    <w:p w14:paraId="7D5F0034" w14:textId="77777777" w:rsidR="000C7160" w:rsidRDefault="000C7160">
      <w:r>
        <w:continuationSeparator/>
      </w:r>
    </w:p>
  </w:endnote>
  <w:endnote w:type="continuationNotice" w:id="1">
    <w:p w14:paraId="1B8ABBB5" w14:textId="77777777" w:rsidR="000C7160" w:rsidRDefault="000C7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ex New Book">
    <w:altName w:val="Tahoma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ex New Medium">
    <w:altName w:val="Tahoma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B3445" w14:textId="77777777" w:rsidR="000C7160" w:rsidRDefault="000C7160">
      <w:r>
        <w:separator/>
      </w:r>
    </w:p>
  </w:footnote>
  <w:footnote w:type="continuationSeparator" w:id="0">
    <w:p w14:paraId="213D08A0" w14:textId="77777777" w:rsidR="000C7160" w:rsidRDefault="000C7160">
      <w:r>
        <w:continuationSeparator/>
      </w:r>
    </w:p>
  </w:footnote>
  <w:footnote w:type="continuationNotice" w:id="1">
    <w:p w14:paraId="0C61DF4E" w14:textId="77777777" w:rsidR="000C7160" w:rsidRDefault="000C71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31CA" w14:textId="77777777" w:rsidR="004E7FA0" w:rsidRPr="00B42332" w:rsidRDefault="00B46E3B" w:rsidP="00323246">
    <w:pPr>
      <w:pStyle w:val="Header"/>
      <w:jc w:val="center"/>
      <w:rPr>
        <w:sz w:val="2"/>
        <w:szCs w:val="2"/>
      </w:rPr>
    </w:pPr>
    <w:r>
      <w:rPr>
        <w:noProof/>
        <w:lang w:val="it-IT" w:eastAsia="it-IT"/>
      </w:rPr>
      <w:drawing>
        <wp:inline distT="0" distB="0" distL="0" distR="0" wp14:anchorId="73F6D0F1" wp14:editId="37CADE3D">
          <wp:extent cx="5940425" cy="878840"/>
          <wp:effectExtent l="0" t="0" r="3175" b="0"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4A1D"/>
    <w:multiLevelType w:val="hybridMultilevel"/>
    <w:tmpl w:val="F63033C8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D812FDB"/>
    <w:multiLevelType w:val="hybridMultilevel"/>
    <w:tmpl w:val="67E681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pex New Book" w:hAnsi="Apex New Book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pex New Book" w:hAnsi="Apex New Book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pex New Book" w:hAnsi="Apex New Book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pex New Book" w:hAnsi="Apex New Book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pex New Book" w:hAnsi="Apex New Book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pex New Book" w:hAnsi="Apex New Book" w:hint="default"/>
      </w:rPr>
    </w:lvl>
  </w:abstractNum>
  <w:abstractNum w:abstractNumId="2" w15:restartNumberingAfterBreak="0">
    <w:nsid w:val="413F4253"/>
    <w:multiLevelType w:val="hybridMultilevel"/>
    <w:tmpl w:val="6484B9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697D9D"/>
    <w:multiLevelType w:val="multilevel"/>
    <w:tmpl w:val="834A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03556B9"/>
    <w:multiLevelType w:val="hybridMultilevel"/>
    <w:tmpl w:val="BE7C10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115623"/>
    <w:multiLevelType w:val="singleLevel"/>
    <w:tmpl w:val="B17C54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882"/>
        <w:sz w:val="24"/>
      </w:rPr>
    </w:lvl>
  </w:abstractNum>
  <w:abstractNum w:abstractNumId="6" w15:restartNumberingAfterBreak="0">
    <w:nsid w:val="6F7957A2"/>
    <w:multiLevelType w:val="hybridMultilevel"/>
    <w:tmpl w:val="46C0B906"/>
    <w:lvl w:ilvl="0" w:tplc="1B42F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pex New Book" w:hAnsi="Apex New Book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pex New Book" w:hAnsi="Apex New Book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pex New Book" w:hAnsi="Apex New Book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pex New Book" w:hAnsi="Apex New Book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pex New Book" w:hAnsi="Apex New Book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pex New Book" w:hAnsi="Apex New Book" w:hint="default"/>
      </w:rPr>
    </w:lvl>
  </w:abstractNum>
  <w:abstractNum w:abstractNumId="7" w15:restartNumberingAfterBreak="0">
    <w:nsid w:val="6F986827"/>
    <w:multiLevelType w:val="hybridMultilevel"/>
    <w:tmpl w:val="42AAE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77"/>
    <w:rsid w:val="00000666"/>
    <w:rsid w:val="000006FB"/>
    <w:rsid w:val="00000C63"/>
    <w:rsid w:val="00001925"/>
    <w:rsid w:val="00002900"/>
    <w:rsid w:val="00002F1B"/>
    <w:rsid w:val="00003E73"/>
    <w:rsid w:val="00004B82"/>
    <w:rsid w:val="00004D2D"/>
    <w:rsid w:val="00005DDC"/>
    <w:rsid w:val="00006327"/>
    <w:rsid w:val="00007E77"/>
    <w:rsid w:val="00012576"/>
    <w:rsid w:val="00012F40"/>
    <w:rsid w:val="00015F93"/>
    <w:rsid w:val="00022227"/>
    <w:rsid w:val="0002519F"/>
    <w:rsid w:val="0002582C"/>
    <w:rsid w:val="000267D0"/>
    <w:rsid w:val="00026CA7"/>
    <w:rsid w:val="000320D1"/>
    <w:rsid w:val="00032281"/>
    <w:rsid w:val="00032472"/>
    <w:rsid w:val="000326BE"/>
    <w:rsid w:val="00032723"/>
    <w:rsid w:val="00035972"/>
    <w:rsid w:val="000405A6"/>
    <w:rsid w:val="00040E58"/>
    <w:rsid w:val="0004180A"/>
    <w:rsid w:val="00043E6B"/>
    <w:rsid w:val="0004549B"/>
    <w:rsid w:val="00045596"/>
    <w:rsid w:val="000506E4"/>
    <w:rsid w:val="000521B3"/>
    <w:rsid w:val="00052683"/>
    <w:rsid w:val="00054563"/>
    <w:rsid w:val="0005475A"/>
    <w:rsid w:val="00054E3B"/>
    <w:rsid w:val="00055A57"/>
    <w:rsid w:val="00055AF1"/>
    <w:rsid w:val="00055B13"/>
    <w:rsid w:val="000562C8"/>
    <w:rsid w:val="0005648F"/>
    <w:rsid w:val="000576E5"/>
    <w:rsid w:val="00057DC1"/>
    <w:rsid w:val="000622D3"/>
    <w:rsid w:val="00063681"/>
    <w:rsid w:val="0006381E"/>
    <w:rsid w:val="00064290"/>
    <w:rsid w:val="00066481"/>
    <w:rsid w:val="00067680"/>
    <w:rsid w:val="0007060C"/>
    <w:rsid w:val="00071D9F"/>
    <w:rsid w:val="0007490C"/>
    <w:rsid w:val="00075D36"/>
    <w:rsid w:val="00076C3B"/>
    <w:rsid w:val="00077FC8"/>
    <w:rsid w:val="00080484"/>
    <w:rsid w:val="000811D9"/>
    <w:rsid w:val="00082A3F"/>
    <w:rsid w:val="000830A6"/>
    <w:rsid w:val="00084146"/>
    <w:rsid w:val="00084D7C"/>
    <w:rsid w:val="00084FCC"/>
    <w:rsid w:val="00086B92"/>
    <w:rsid w:val="0009119A"/>
    <w:rsid w:val="0009332F"/>
    <w:rsid w:val="000936BC"/>
    <w:rsid w:val="000937B9"/>
    <w:rsid w:val="00093882"/>
    <w:rsid w:val="0009398D"/>
    <w:rsid w:val="00094EE1"/>
    <w:rsid w:val="0009619C"/>
    <w:rsid w:val="00097CFB"/>
    <w:rsid w:val="00097D0F"/>
    <w:rsid w:val="000A03B7"/>
    <w:rsid w:val="000A143A"/>
    <w:rsid w:val="000A25D5"/>
    <w:rsid w:val="000A3B74"/>
    <w:rsid w:val="000A3ED4"/>
    <w:rsid w:val="000A74E3"/>
    <w:rsid w:val="000B11C6"/>
    <w:rsid w:val="000B1253"/>
    <w:rsid w:val="000B157E"/>
    <w:rsid w:val="000B2DE5"/>
    <w:rsid w:val="000B2FA8"/>
    <w:rsid w:val="000B329A"/>
    <w:rsid w:val="000B3BAA"/>
    <w:rsid w:val="000B4537"/>
    <w:rsid w:val="000B518E"/>
    <w:rsid w:val="000B552A"/>
    <w:rsid w:val="000B674D"/>
    <w:rsid w:val="000B6C8E"/>
    <w:rsid w:val="000C0084"/>
    <w:rsid w:val="000C0BB8"/>
    <w:rsid w:val="000C460F"/>
    <w:rsid w:val="000C493D"/>
    <w:rsid w:val="000C497B"/>
    <w:rsid w:val="000C4E3C"/>
    <w:rsid w:val="000C508B"/>
    <w:rsid w:val="000C5BDC"/>
    <w:rsid w:val="000C68BA"/>
    <w:rsid w:val="000C7160"/>
    <w:rsid w:val="000C7521"/>
    <w:rsid w:val="000D13AD"/>
    <w:rsid w:val="000D158C"/>
    <w:rsid w:val="000D15C4"/>
    <w:rsid w:val="000D19F5"/>
    <w:rsid w:val="000D31C7"/>
    <w:rsid w:val="000D51F8"/>
    <w:rsid w:val="000D5776"/>
    <w:rsid w:val="000D6534"/>
    <w:rsid w:val="000D6F76"/>
    <w:rsid w:val="000E164C"/>
    <w:rsid w:val="000E2438"/>
    <w:rsid w:val="000E29F5"/>
    <w:rsid w:val="000E3088"/>
    <w:rsid w:val="000E34C2"/>
    <w:rsid w:val="000E36E0"/>
    <w:rsid w:val="000E3A32"/>
    <w:rsid w:val="000E466F"/>
    <w:rsid w:val="000E50BF"/>
    <w:rsid w:val="000E5C84"/>
    <w:rsid w:val="000F0A43"/>
    <w:rsid w:val="000F1890"/>
    <w:rsid w:val="000F1C1E"/>
    <w:rsid w:val="000F2A07"/>
    <w:rsid w:val="000F3A4E"/>
    <w:rsid w:val="000F51A0"/>
    <w:rsid w:val="000F5CEA"/>
    <w:rsid w:val="000F5EF0"/>
    <w:rsid w:val="000F60A4"/>
    <w:rsid w:val="000F697E"/>
    <w:rsid w:val="000F6CEA"/>
    <w:rsid w:val="000F7025"/>
    <w:rsid w:val="001008A0"/>
    <w:rsid w:val="00100B80"/>
    <w:rsid w:val="00100DF8"/>
    <w:rsid w:val="0010392A"/>
    <w:rsid w:val="00105259"/>
    <w:rsid w:val="00106932"/>
    <w:rsid w:val="001073C6"/>
    <w:rsid w:val="00107649"/>
    <w:rsid w:val="00110491"/>
    <w:rsid w:val="00110EE3"/>
    <w:rsid w:val="00112B11"/>
    <w:rsid w:val="00112C38"/>
    <w:rsid w:val="00113203"/>
    <w:rsid w:val="00115022"/>
    <w:rsid w:val="0011563E"/>
    <w:rsid w:val="0011669D"/>
    <w:rsid w:val="00116A19"/>
    <w:rsid w:val="001175CE"/>
    <w:rsid w:val="00117AC8"/>
    <w:rsid w:val="00121534"/>
    <w:rsid w:val="001219D5"/>
    <w:rsid w:val="001252FE"/>
    <w:rsid w:val="00126F48"/>
    <w:rsid w:val="0012701C"/>
    <w:rsid w:val="0012729A"/>
    <w:rsid w:val="001279B4"/>
    <w:rsid w:val="001306FF"/>
    <w:rsid w:val="00130BBA"/>
    <w:rsid w:val="001310C3"/>
    <w:rsid w:val="00131184"/>
    <w:rsid w:val="001312C2"/>
    <w:rsid w:val="00131652"/>
    <w:rsid w:val="00131BA9"/>
    <w:rsid w:val="00131EA2"/>
    <w:rsid w:val="0013241B"/>
    <w:rsid w:val="001342D7"/>
    <w:rsid w:val="00134E20"/>
    <w:rsid w:val="0013560F"/>
    <w:rsid w:val="00135FFD"/>
    <w:rsid w:val="00136B8A"/>
    <w:rsid w:val="00136D0B"/>
    <w:rsid w:val="00145D30"/>
    <w:rsid w:val="0014770C"/>
    <w:rsid w:val="00150371"/>
    <w:rsid w:val="001507D3"/>
    <w:rsid w:val="00151951"/>
    <w:rsid w:val="00152C59"/>
    <w:rsid w:val="001536EE"/>
    <w:rsid w:val="0015414B"/>
    <w:rsid w:val="001547CF"/>
    <w:rsid w:val="001548F1"/>
    <w:rsid w:val="001550AF"/>
    <w:rsid w:val="0015566B"/>
    <w:rsid w:val="00157EDB"/>
    <w:rsid w:val="001619D7"/>
    <w:rsid w:val="001637FC"/>
    <w:rsid w:val="00163890"/>
    <w:rsid w:val="00164360"/>
    <w:rsid w:val="001653F8"/>
    <w:rsid w:val="0016588E"/>
    <w:rsid w:val="00167C45"/>
    <w:rsid w:val="00167D36"/>
    <w:rsid w:val="001762A3"/>
    <w:rsid w:val="0017731B"/>
    <w:rsid w:val="0018321B"/>
    <w:rsid w:val="00183A07"/>
    <w:rsid w:val="00184032"/>
    <w:rsid w:val="00184A07"/>
    <w:rsid w:val="00185E2E"/>
    <w:rsid w:val="001876C2"/>
    <w:rsid w:val="001929BE"/>
    <w:rsid w:val="00192BB5"/>
    <w:rsid w:val="00192D6A"/>
    <w:rsid w:val="00194256"/>
    <w:rsid w:val="0019523D"/>
    <w:rsid w:val="001958B3"/>
    <w:rsid w:val="00196742"/>
    <w:rsid w:val="001A0F56"/>
    <w:rsid w:val="001A1185"/>
    <w:rsid w:val="001A2EB4"/>
    <w:rsid w:val="001A3F7B"/>
    <w:rsid w:val="001A44D7"/>
    <w:rsid w:val="001A6E42"/>
    <w:rsid w:val="001B031C"/>
    <w:rsid w:val="001B2CC7"/>
    <w:rsid w:val="001B3861"/>
    <w:rsid w:val="001B3E56"/>
    <w:rsid w:val="001B70F9"/>
    <w:rsid w:val="001B77FC"/>
    <w:rsid w:val="001C02BD"/>
    <w:rsid w:val="001C13B8"/>
    <w:rsid w:val="001C3380"/>
    <w:rsid w:val="001C45D2"/>
    <w:rsid w:val="001C468E"/>
    <w:rsid w:val="001C5B0B"/>
    <w:rsid w:val="001C5E68"/>
    <w:rsid w:val="001C5ED4"/>
    <w:rsid w:val="001C746D"/>
    <w:rsid w:val="001C78E1"/>
    <w:rsid w:val="001C7988"/>
    <w:rsid w:val="001D1714"/>
    <w:rsid w:val="001D22DF"/>
    <w:rsid w:val="001D279A"/>
    <w:rsid w:val="001D3E13"/>
    <w:rsid w:val="001D608C"/>
    <w:rsid w:val="001D693B"/>
    <w:rsid w:val="001E08B8"/>
    <w:rsid w:val="001E08BD"/>
    <w:rsid w:val="001E2BDE"/>
    <w:rsid w:val="001E3F5D"/>
    <w:rsid w:val="001E42D0"/>
    <w:rsid w:val="001E5686"/>
    <w:rsid w:val="001E5753"/>
    <w:rsid w:val="001E5844"/>
    <w:rsid w:val="001E67EB"/>
    <w:rsid w:val="001E6AF1"/>
    <w:rsid w:val="001E79E8"/>
    <w:rsid w:val="001F1109"/>
    <w:rsid w:val="001F1C1E"/>
    <w:rsid w:val="001F24B4"/>
    <w:rsid w:val="001F42CF"/>
    <w:rsid w:val="001F4691"/>
    <w:rsid w:val="001F5804"/>
    <w:rsid w:val="001F61DA"/>
    <w:rsid w:val="001F7718"/>
    <w:rsid w:val="00200198"/>
    <w:rsid w:val="00201E1D"/>
    <w:rsid w:val="00201E91"/>
    <w:rsid w:val="002039E5"/>
    <w:rsid w:val="0020474F"/>
    <w:rsid w:val="00206A44"/>
    <w:rsid w:val="00206F3E"/>
    <w:rsid w:val="00210847"/>
    <w:rsid w:val="00210E8B"/>
    <w:rsid w:val="0021213E"/>
    <w:rsid w:val="00212297"/>
    <w:rsid w:val="0021336A"/>
    <w:rsid w:val="0021369E"/>
    <w:rsid w:val="00213F55"/>
    <w:rsid w:val="002144A6"/>
    <w:rsid w:val="0021486D"/>
    <w:rsid w:val="00214C14"/>
    <w:rsid w:val="00217331"/>
    <w:rsid w:val="00221C96"/>
    <w:rsid w:val="00221FF1"/>
    <w:rsid w:val="00222E8D"/>
    <w:rsid w:val="00223395"/>
    <w:rsid w:val="002236A5"/>
    <w:rsid w:val="00225F66"/>
    <w:rsid w:val="002260A0"/>
    <w:rsid w:val="00227ADC"/>
    <w:rsid w:val="00227B74"/>
    <w:rsid w:val="00234283"/>
    <w:rsid w:val="0023558E"/>
    <w:rsid w:val="002363E8"/>
    <w:rsid w:val="00240E4E"/>
    <w:rsid w:val="0024316D"/>
    <w:rsid w:val="002432B6"/>
    <w:rsid w:val="00245469"/>
    <w:rsid w:val="00245A03"/>
    <w:rsid w:val="002466B7"/>
    <w:rsid w:val="002479D2"/>
    <w:rsid w:val="00250575"/>
    <w:rsid w:val="00250AF1"/>
    <w:rsid w:val="00250EFA"/>
    <w:rsid w:val="00252B6A"/>
    <w:rsid w:val="002536D3"/>
    <w:rsid w:val="00253B7F"/>
    <w:rsid w:val="002553CF"/>
    <w:rsid w:val="00256AE6"/>
    <w:rsid w:val="00256DF2"/>
    <w:rsid w:val="00257E39"/>
    <w:rsid w:val="00261FDF"/>
    <w:rsid w:val="00263073"/>
    <w:rsid w:val="002638C3"/>
    <w:rsid w:val="002644E7"/>
    <w:rsid w:val="00264F7E"/>
    <w:rsid w:val="00265DE6"/>
    <w:rsid w:val="002665F6"/>
    <w:rsid w:val="00266935"/>
    <w:rsid w:val="00267348"/>
    <w:rsid w:val="00267C0E"/>
    <w:rsid w:val="00270C26"/>
    <w:rsid w:val="00271E70"/>
    <w:rsid w:val="00272CD7"/>
    <w:rsid w:val="00273593"/>
    <w:rsid w:val="0027389A"/>
    <w:rsid w:val="00274834"/>
    <w:rsid w:val="00274B95"/>
    <w:rsid w:val="00274D10"/>
    <w:rsid w:val="0027620F"/>
    <w:rsid w:val="0028034F"/>
    <w:rsid w:val="002818EA"/>
    <w:rsid w:val="0028249F"/>
    <w:rsid w:val="002825C4"/>
    <w:rsid w:val="00283D15"/>
    <w:rsid w:val="002846D1"/>
    <w:rsid w:val="0028472A"/>
    <w:rsid w:val="00284FF0"/>
    <w:rsid w:val="00286442"/>
    <w:rsid w:val="00286922"/>
    <w:rsid w:val="00287F77"/>
    <w:rsid w:val="0029002B"/>
    <w:rsid w:val="00293EB2"/>
    <w:rsid w:val="0029426A"/>
    <w:rsid w:val="002961C1"/>
    <w:rsid w:val="00296465"/>
    <w:rsid w:val="00296A11"/>
    <w:rsid w:val="00296F42"/>
    <w:rsid w:val="002A01C3"/>
    <w:rsid w:val="002A111D"/>
    <w:rsid w:val="002A172F"/>
    <w:rsid w:val="002A322D"/>
    <w:rsid w:val="002A52C8"/>
    <w:rsid w:val="002A55E7"/>
    <w:rsid w:val="002A6801"/>
    <w:rsid w:val="002A7B77"/>
    <w:rsid w:val="002B06C6"/>
    <w:rsid w:val="002B1471"/>
    <w:rsid w:val="002B15F0"/>
    <w:rsid w:val="002B17EA"/>
    <w:rsid w:val="002B17EE"/>
    <w:rsid w:val="002B4492"/>
    <w:rsid w:val="002B600D"/>
    <w:rsid w:val="002C0392"/>
    <w:rsid w:val="002C0E12"/>
    <w:rsid w:val="002C2BE7"/>
    <w:rsid w:val="002C3AC2"/>
    <w:rsid w:val="002D0505"/>
    <w:rsid w:val="002D0633"/>
    <w:rsid w:val="002D2261"/>
    <w:rsid w:val="002D2A40"/>
    <w:rsid w:val="002D4D8E"/>
    <w:rsid w:val="002D57B4"/>
    <w:rsid w:val="002D5CEA"/>
    <w:rsid w:val="002D6168"/>
    <w:rsid w:val="002D6426"/>
    <w:rsid w:val="002D7592"/>
    <w:rsid w:val="002E0BD2"/>
    <w:rsid w:val="002E0BF0"/>
    <w:rsid w:val="002E0C4B"/>
    <w:rsid w:val="002E2094"/>
    <w:rsid w:val="002E36A5"/>
    <w:rsid w:val="002E51C5"/>
    <w:rsid w:val="002E5446"/>
    <w:rsid w:val="002E65F6"/>
    <w:rsid w:val="002E6F17"/>
    <w:rsid w:val="002E75E6"/>
    <w:rsid w:val="002F3641"/>
    <w:rsid w:val="002F369E"/>
    <w:rsid w:val="002F3EE1"/>
    <w:rsid w:val="002F519C"/>
    <w:rsid w:val="002F5F23"/>
    <w:rsid w:val="002F627C"/>
    <w:rsid w:val="002F6688"/>
    <w:rsid w:val="003001A4"/>
    <w:rsid w:val="00300801"/>
    <w:rsid w:val="00303390"/>
    <w:rsid w:val="00303F06"/>
    <w:rsid w:val="003049BE"/>
    <w:rsid w:val="00304ACD"/>
    <w:rsid w:val="003059DF"/>
    <w:rsid w:val="00305E44"/>
    <w:rsid w:val="0030611C"/>
    <w:rsid w:val="003072EB"/>
    <w:rsid w:val="00311A17"/>
    <w:rsid w:val="00313DB8"/>
    <w:rsid w:val="00315449"/>
    <w:rsid w:val="00316719"/>
    <w:rsid w:val="00317F50"/>
    <w:rsid w:val="00320384"/>
    <w:rsid w:val="00320AA1"/>
    <w:rsid w:val="0032111A"/>
    <w:rsid w:val="0032198C"/>
    <w:rsid w:val="0032200C"/>
    <w:rsid w:val="00322FA0"/>
    <w:rsid w:val="00323246"/>
    <w:rsid w:val="00323681"/>
    <w:rsid w:val="00323AEE"/>
    <w:rsid w:val="00323CC0"/>
    <w:rsid w:val="0032465A"/>
    <w:rsid w:val="00324916"/>
    <w:rsid w:val="003258B0"/>
    <w:rsid w:val="00325B78"/>
    <w:rsid w:val="00327075"/>
    <w:rsid w:val="00330C81"/>
    <w:rsid w:val="003334EA"/>
    <w:rsid w:val="00333D25"/>
    <w:rsid w:val="003355DB"/>
    <w:rsid w:val="00335AF8"/>
    <w:rsid w:val="00336181"/>
    <w:rsid w:val="00336C59"/>
    <w:rsid w:val="00337A2D"/>
    <w:rsid w:val="00337B37"/>
    <w:rsid w:val="00337C91"/>
    <w:rsid w:val="00340367"/>
    <w:rsid w:val="00340469"/>
    <w:rsid w:val="003436B9"/>
    <w:rsid w:val="0034396F"/>
    <w:rsid w:val="00343990"/>
    <w:rsid w:val="0034617F"/>
    <w:rsid w:val="00347D8F"/>
    <w:rsid w:val="0035042A"/>
    <w:rsid w:val="003507B3"/>
    <w:rsid w:val="00351336"/>
    <w:rsid w:val="00351454"/>
    <w:rsid w:val="00351976"/>
    <w:rsid w:val="00352F18"/>
    <w:rsid w:val="00352F2E"/>
    <w:rsid w:val="00352FC9"/>
    <w:rsid w:val="00353EE0"/>
    <w:rsid w:val="00354630"/>
    <w:rsid w:val="00355B3F"/>
    <w:rsid w:val="003568FA"/>
    <w:rsid w:val="003570B7"/>
    <w:rsid w:val="00357212"/>
    <w:rsid w:val="00360D52"/>
    <w:rsid w:val="003628AC"/>
    <w:rsid w:val="0036298D"/>
    <w:rsid w:val="00362BDD"/>
    <w:rsid w:val="00363118"/>
    <w:rsid w:val="00364803"/>
    <w:rsid w:val="0036519F"/>
    <w:rsid w:val="00365766"/>
    <w:rsid w:val="00366C80"/>
    <w:rsid w:val="00370D63"/>
    <w:rsid w:val="003710F9"/>
    <w:rsid w:val="00375513"/>
    <w:rsid w:val="00376D86"/>
    <w:rsid w:val="00376EC0"/>
    <w:rsid w:val="00376F65"/>
    <w:rsid w:val="00380B8F"/>
    <w:rsid w:val="00382268"/>
    <w:rsid w:val="003829D4"/>
    <w:rsid w:val="003831A1"/>
    <w:rsid w:val="00384B92"/>
    <w:rsid w:val="00386684"/>
    <w:rsid w:val="00387F7A"/>
    <w:rsid w:val="003908F5"/>
    <w:rsid w:val="00390DF3"/>
    <w:rsid w:val="0039199B"/>
    <w:rsid w:val="00391EBA"/>
    <w:rsid w:val="00392210"/>
    <w:rsid w:val="00392A4F"/>
    <w:rsid w:val="00393FB3"/>
    <w:rsid w:val="003A2065"/>
    <w:rsid w:val="003A39F8"/>
    <w:rsid w:val="003A4110"/>
    <w:rsid w:val="003A5C2E"/>
    <w:rsid w:val="003A5C43"/>
    <w:rsid w:val="003A67AF"/>
    <w:rsid w:val="003B16C9"/>
    <w:rsid w:val="003B24ED"/>
    <w:rsid w:val="003B2785"/>
    <w:rsid w:val="003B3B6E"/>
    <w:rsid w:val="003B4F9A"/>
    <w:rsid w:val="003B6071"/>
    <w:rsid w:val="003C0F6B"/>
    <w:rsid w:val="003C1973"/>
    <w:rsid w:val="003C1D5A"/>
    <w:rsid w:val="003C1E1D"/>
    <w:rsid w:val="003C2973"/>
    <w:rsid w:val="003C52A1"/>
    <w:rsid w:val="003C5304"/>
    <w:rsid w:val="003C5C64"/>
    <w:rsid w:val="003C6A5D"/>
    <w:rsid w:val="003C7508"/>
    <w:rsid w:val="003D1AED"/>
    <w:rsid w:val="003D30FF"/>
    <w:rsid w:val="003D5048"/>
    <w:rsid w:val="003D5EE1"/>
    <w:rsid w:val="003D6422"/>
    <w:rsid w:val="003D6E17"/>
    <w:rsid w:val="003E273E"/>
    <w:rsid w:val="003E28EA"/>
    <w:rsid w:val="003E2984"/>
    <w:rsid w:val="003E3793"/>
    <w:rsid w:val="003E4892"/>
    <w:rsid w:val="003E4D5C"/>
    <w:rsid w:val="003E5DA8"/>
    <w:rsid w:val="003E6814"/>
    <w:rsid w:val="003E6BE1"/>
    <w:rsid w:val="003F05D1"/>
    <w:rsid w:val="003F0D02"/>
    <w:rsid w:val="003F0E02"/>
    <w:rsid w:val="003F1C47"/>
    <w:rsid w:val="003F38CE"/>
    <w:rsid w:val="003F5105"/>
    <w:rsid w:val="003F696E"/>
    <w:rsid w:val="003F7615"/>
    <w:rsid w:val="004010C9"/>
    <w:rsid w:val="004015C7"/>
    <w:rsid w:val="00401B7E"/>
    <w:rsid w:val="0040257A"/>
    <w:rsid w:val="00402AFD"/>
    <w:rsid w:val="00402F34"/>
    <w:rsid w:val="00405DD1"/>
    <w:rsid w:val="0041030A"/>
    <w:rsid w:val="0041146D"/>
    <w:rsid w:val="004116CB"/>
    <w:rsid w:val="00411914"/>
    <w:rsid w:val="00411B0A"/>
    <w:rsid w:val="00414049"/>
    <w:rsid w:val="00414907"/>
    <w:rsid w:val="00414D70"/>
    <w:rsid w:val="0041680B"/>
    <w:rsid w:val="00416A71"/>
    <w:rsid w:val="0042358A"/>
    <w:rsid w:val="00424073"/>
    <w:rsid w:val="00424F85"/>
    <w:rsid w:val="004257A1"/>
    <w:rsid w:val="00426E96"/>
    <w:rsid w:val="00430468"/>
    <w:rsid w:val="004306CD"/>
    <w:rsid w:val="004306D9"/>
    <w:rsid w:val="00431013"/>
    <w:rsid w:val="00431A8C"/>
    <w:rsid w:val="00431B0B"/>
    <w:rsid w:val="00432D60"/>
    <w:rsid w:val="00434A93"/>
    <w:rsid w:val="0043647B"/>
    <w:rsid w:val="00437A01"/>
    <w:rsid w:val="004412A2"/>
    <w:rsid w:val="00441325"/>
    <w:rsid w:val="00443141"/>
    <w:rsid w:val="00443D93"/>
    <w:rsid w:val="00446A4E"/>
    <w:rsid w:val="004476E7"/>
    <w:rsid w:val="004478E1"/>
    <w:rsid w:val="00447A2F"/>
    <w:rsid w:val="00451CD9"/>
    <w:rsid w:val="00452825"/>
    <w:rsid w:val="00452851"/>
    <w:rsid w:val="00455CD6"/>
    <w:rsid w:val="00456063"/>
    <w:rsid w:val="00457223"/>
    <w:rsid w:val="00460DB9"/>
    <w:rsid w:val="00462088"/>
    <w:rsid w:val="00462218"/>
    <w:rsid w:val="004625E1"/>
    <w:rsid w:val="004635AB"/>
    <w:rsid w:val="0046361F"/>
    <w:rsid w:val="004639EA"/>
    <w:rsid w:val="00464F12"/>
    <w:rsid w:val="004650AA"/>
    <w:rsid w:val="004659A1"/>
    <w:rsid w:val="00473456"/>
    <w:rsid w:val="0047482D"/>
    <w:rsid w:val="00475829"/>
    <w:rsid w:val="00477CF9"/>
    <w:rsid w:val="004805D4"/>
    <w:rsid w:val="00480E56"/>
    <w:rsid w:val="00481151"/>
    <w:rsid w:val="0048267C"/>
    <w:rsid w:val="004830CD"/>
    <w:rsid w:val="004838E6"/>
    <w:rsid w:val="00485756"/>
    <w:rsid w:val="00486008"/>
    <w:rsid w:val="004863D0"/>
    <w:rsid w:val="0048693B"/>
    <w:rsid w:val="00490A33"/>
    <w:rsid w:val="00491E20"/>
    <w:rsid w:val="00491F66"/>
    <w:rsid w:val="0049481D"/>
    <w:rsid w:val="00496805"/>
    <w:rsid w:val="004A209D"/>
    <w:rsid w:val="004A25FC"/>
    <w:rsid w:val="004A2959"/>
    <w:rsid w:val="004A2CA0"/>
    <w:rsid w:val="004A2E8E"/>
    <w:rsid w:val="004A4524"/>
    <w:rsid w:val="004A4580"/>
    <w:rsid w:val="004A5A7E"/>
    <w:rsid w:val="004A5E4D"/>
    <w:rsid w:val="004A6926"/>
    <w:rsid w:val="004A7029"/>
    <w:rsid w:val="004A7314"/>
    <w:rsid w:val="004A7E79"/>
    <w:rsid w:val="004B07B9"/>
    <w:rsid w:val="004B2BED"/>
    <w:rsid w:val="004B3F30"/>
    <w:rsid w:val="004B471F"/>
    <w:rsid w:val="004B5899"/>
    <w:rsid w:val="004B6539"/>
    <w:rsid w:val="004B72EB"/>
    <w:rsid w:val="004B7BA4"/>
    <w:rsid w:val="004C31BD"/>
    <w:rsid w:val="004C38BD"/>
    <w:rsid w:val="004C3BB0"/>
    <w:rsid w:val="004C3E4A"/>
    <w:rsid w:val="004C3E53"/>
    <w:rsid w:val="004C5A6A"/>
    <w:rsid w:val="004C70A1"/>
    <w:rsid w:val="004C75EA"/>
    <w:rsid w:val="004C78AB"/>
    <w:rsid w:val="004D5659"/>
    <w:rsid w:val="004D58C2"/>
    <w:rsid w:val="004D5936"/>
    <w:rsid w:val="004D6057"/>
    <w:rsid w:val="004D72C5"/>
    <w:rsid w:val="004E1F50"/>
    <w:rsid w:val="004E21B1"/>
    <w:rsid w:val="004E32E4"/>
    <w:rsid w:val="004E43EA"/>
    <w:rsid w:val="004E5698"/>
    <w:rsid w:val="004E7FA0"/>
    <w:rsid w:val="004F1262"/>
    <w:rsid w:val="004F30D9"/>
    <w:rsid w:val="004F4906"/>
    <w:rsid w:val="004F4B39"/>
    <w:rsid w:val="004F4DA5"/>
    <w:rsid w:val="004F5B10"/>
    <w:rsid w:val="004F6489"/>
    <w:rsid w:val="005012B6"/>
    <w:rsid w:val="00501770"/>
    <w:rsid w:val="0050186A"/>
    <w:rsid w:val="00503048"/>
    <w:rsid w:val="00503741"/>
    <w:rsid w:val="005037C7"/>
    <w:rsid w:val="005041B0"/>
    <w:rsid w:val="00504448"/>
    <w:rsid w:val="005061E1"/>
    <w:rsid w:val="00506743"/>
    <w:rsid w:val="005106AD"/>
    <w:rsid w:val="005111EB"/>
    <w:rsid w:val="00511F43"/>
    <w:rsid w:val="00514145"/>
    <w:rsid w:val="0051521D"/>
    <w:rsid w:val="00516700"/>
    <w:rsid w:val="00516933"/>
    <w:rsid w:val="005210E5"/>
    <w:rsid w:val="0052116A"/>
    <w:rsid w:val="0052137E"/>
    <w:rsid w:val="00521447"/>
    <w:rsid w:val="005218E5"/>
    <w:rsid w:val="00521B29"/>
    <w:rsid w:val="0052246E"/>
    <w:rsid w:val="00522EDD"/>
    <w:rsid w:val="005232B1"/>
    <w:rsid w:val="0052337B"/>
    <w:rsid w:val="00524001"/>
    <w:rsid w:val="0052423F"/>
    <w:rsid w:val="005247CB"/>
    <w:rsid w:val="00525C30"/>
    <w:rsid w:val="005269D1"/>
    <w:rsid w:val="00526AE0"/>
    <w:rsid w:val="00526B85"/>
    <w:rsid w:val="00527FF8"/>
    <w:rsid w:val="005321DE"/>
    <w:rsid w:val="00533542"/>
    <w:rsid w:val="0053718B"/>
    <w:rsid w:val="00537CAD"/>
    <w:rsid w:val="00540994"/>
    <w:rsid w:val="005419AF"/>
    <w:rsid w:val="00541F4F"/>
    <w:rsid w:val="0054321C"/>
    <w:rsid w:val="00543594"/>
    <w:rsid w:val="005454C9"/>
    <w:rsid w:val="005458B3"/>
    <w:rsid w:val="00545995"/>
    <w:rsid w:val="00545C54"/>
    <w:rsid w:val="00545FFE"/>
    <w:rsid w:val="00551856"/>
    <w:rsid w:val="005534B5"/>
    <w:rsid w:val="00554167"/>
    <w:rsid w:val="00556302"/>
    <w:rsid w:val="005601F1"/>
    <w:rsid w:val="00561422"/>
    <w:rsid w:val="005634B6"/>
    <w:rsid w:val="00563A14"/>
    <w:rsid w:val="00564789"/>
    <w:rsid w:val="0056539E"/>
    <w:rsid w:val="00566283"/>
    <w:rsid w:val="00566F67"/>
    <w:rsid w:val="005712FB"/>
    <w:rsid w:val="00571FD1"/>
    <w:rsid w:val="00572BFE"/>
    <w:rsid w:val="00572CCA"/>
    <w:rsid w:val="00573896"/>
    <w:rsid w:val="00573F0D"/>
    <w:rsid w:val="00575636"/>
    <w:rsid w:val="00580A24"/>
    <w:rsid w:val="005825DC"/>
    <w:rsid w:val="005846A1"/>
    <w:rsid w:val="0058478A"/>
    <w:rsid w:val="0058509A"/>
    <w:rsid w:val="00585D9F"/>
    <w:rsid w:val="00586BB5"/>
    <w:rsid w:val="00587BFA"/>
    <w:rsid w:val="00587E20"/>
    <w:rsid w:val="00587E95"/>
    <w:rsid w:val="00590E5E"/>
    <w:rsid w:val="00591CF0"/>
    <w:rsid w:val="00592746"/>
    <w:rsid w:val="0059365A"/>
    <w:rsid w:val="00593C0F"/>
    <w:rsid w:val="00593D4F"/>
    <w:rsid w:val="00594BB3"/>
    <w:rsid w:val="00595565"/>
    <w:rsid w:val="005A0ADF"/>
    <w:rsid w:val="005A299D"/>
    <w:rsid w:val="005A3075"/>
    <w:rsid w:val="005A3882"/>
    <w:rsid w:val="005A389C"/>
    <w:rsid w:val="005A479F"/>
    <w:rsid w:val="005A5705"/>
    <w:rsid w:val="005A6AFD"/>
    <w:rsid w:val="005B07AE"/>
    <w:rsid w:val="005B1BE5"/>
    <w:rsid w:val="005B2A89"/>
    <w:rsid w:val="005B3016"/>
    <w:rsid w:val="005B37AE"/>
    <w:rsid w:val="005B517F"/>
    <w:rsid w:val="005B585C"/>
    <w:rsid w:val="005B7A97"/>
    <w:rsid w:val="005C073F"/>
    <w:rsid w:val="005C10D2"/>
    <w:rsid w:val="005C177F"/>
    <w:rsid w:val="005C2FB5"/>
    <w:rsid w:val="005C384F"/>
    <w:rsid w:val="005D1720"/>
    <w:rsid w:val="005D185F"/>
    <w:rsid w:val="005D1FE9"/>
    <w:rsid w:val="005D4087"/>
    <w:rsid w:val="005D44F3"/>
    <w:rsid w:val="005D582B"/>
    <w:rsid w:val="005D5DA8"/>
    <w:rsid w:val="005D7633"/>
    <w:rsid w:val="005E0180"/>
    <w:rsid w:val="005E3907"/>
    <w:rsid w:val="005E398F"/>
    <w:rsid w:val="005E3E35"/>
    <w:rsid w:val="005E438B"/>
    <w:rsid w:val="005E4AC3"/>
    <w:rsid w:val="005E5439"/>
    <w:rsid w:val="005E5E25"/>
    <w:rsid w:val="005E7259"/>
    <w:rsid w:val="005E73E5"/>
    <w:rsid w:val="005E797D"/>
    <w:rsid w:val="005F00EC"/>
    <w:rsid w:val="005F010C"/>
    <w:rsid w:val="005F055E"/>
    <w:rsid w:val="005F192B"/>
    <w:rsid w:val="005F244C"/>
    <w:rsid w:val="005F2C55"/>
    <w:rsid w:val="005F3364"/>
    <w:rsid w:val="005F3BED"/>
    <w:rsid w:val="005F47A4"/>
    <w:rsid w:val="005F5C72"/>
    <w:rsid w:val="005F7BF0"/>
    <w:rsid w:val="006004E8"/>
    <w:rsid w:val="00600D87"/>
    <w:rsid w:val="006017FE"/>
    <w:rsid w:val="00601C11"/>
    <w:rsid w:val="00602064"/>
    <w:rsid w:val="0060255A"/>
    <w:rsid w:val="0060296A"/>
    <w:rsid w:val="00603AF2"/>
    <w:rsid w:val="00604176"/>
    <w:rsid w:val="0060524C"/>
    <w:rsid w:val="006059F5"/>
    <w:rsid w:val="00605A4B"/>
    <w:rsid w:val="006073EF"/>
    <w:rsid w:val="00607A6D"/>
    <w:rsid w:val="00610408"/>
    <w:rsid w:val="00610512"/>
    <w:rsid w:val="006114CA"/>
    <w:rsid w:val="00612E02"/>
    <w:rsid w:val="00612EE0"/>
    <w:rsid w:val="00613A34"/>
    <w:rsid w:val="00614045"/>
    <w:rsid w:val="00616415"/>
    <w:rsid w:val="006164BB"/>
    <w:rsid w:val="00617A2B"/>
    <w:rsid w:val="006204FF"/>
    <w:rsid w:val="006239E8"/>
    <w:rsid w:val="00623AFB"/>
    <w:rsid w:val="00623BFD"/>
    <w:rsid w:val="0062506E"/>
    <w:rsid w:val="006264A3"/>
    <w:rsid w:val="0062662D"/>
    <w:rsid w:val="00630AA5"/>
    <w:rsid w:val="00630FF2"/>
    <w:rsid w:val="00631247"/>
    <w:rsid w:val="00632858"/>
    <w:rsid w:val="006342AA"/>
    <w:rsid w:val="006346EA"/>
    <w:rsid w:val="0063485D"/>
    <w:rsid w:val="00635B81"/>
    <w:rsid w:val="006372FB"/>
    <w:rsid w:val="00640F53"/>
    <w:rsid w:val="00644C32"/>
    <w:rsid w:val="00644EA8"/>
    <w:rsid w:val="00645A5D"/>
    <w:rsid w:val="00645C01"/>
    <w:rsid w:val="00647D5E"/>
    <w:rsid w:val="00647FE2"/>
    <w:rsid w:val="006505AD"/>
    <w:rsid w:val="0065184B"/>
    <w:rsid w:val="00652048"/>
    <w:rsid w:val="0065211B"/>
    <w:rsid w:val="00652CAA"/>
    <w:rsid w:val="006540BB"/>
    <w:rsid w:val="006565E7"/>
    <w:rsid w:val="00656756"/>
    <w:rsid w:val="00656B99"/>
    <w:rsid w:val="006571F5"/>
    <w:rsid w:val="00660D03"/>
    <w:rsid w:val="00661377"/>
    <w:rsid w:val="0066183F"/>
    <w:rsid w:val="0066354A"/>
    <w:rsid w:val="00663E5E"/>
    <w:rsid w:val="00664B71"/>
    <w:rsid w:val="00671DAA"/>
    <w:rsid w:val="00672AEE"/>
    <w:rsid w:val="00673E2D"/>
    <w:rsid w:val="006748F2"/>
    <w:rsid w:val="006758D9"/>
    <w:rsid w:val="00676A94"/>
    <w:rsid w:val="006776E2"/>
    <w:rsid w:val="00677FA5"/>
    <w:rsid w:val="00682FF0"/>
    <w:rsid w:val="0068393D"/>
    <w:rsid w:val="006850A3"/>
    <w:rsid w:val="006858F5"/>
    <w:rsid w:val="00686088"/>
    <w:rsid w:val="006866D9"/>
    <w:rsid w:val="00687A77"/>
    <w:rsid w:val="00687B33"/>
    <w:rsid w:val="006906D0"/>
    <w:rsid w:val="00694D0F"/>
    <w:rsid w:val="00696C97"/>
    <w:rsid w:val="00697A0F"/>
    <w:rsid w:val="00697C11"/>
    <w:rsid w:val="00697E9E"/>
    <w:rsid w:val="00697FF5"/>
    <w:rsid w:val="006A16D4"/>
    <w:rsid w:val="006A53CF"/>
    <w:rsid w:val="006A6E29"/>
    <w:rsid w:val="006A7F6B"/>
    <w:rsid w:val="006B2109"/>
    <w:rsid w:val="006B2559"/>
    <w:rsid w:val="006B2C3E"/>
    <w:rsid w:val="006B3227"/>
    <w:rsid w:val="006B3E42"/>
    <w:rsid w:val="006B5FDE"/>
    <w:rsid w:val="006B65DE"/>
    <w:rsid w:val="006B6F9D"/>
    <w:rsid w:val="006B70C5"/>
    <w:rsid w:val="006B71DA"/>
    <w:rsid w:val="006C5C5E"/>
    <w:rsid w:val="006D2F9A"/>
    <w:rsid w:val="006D6374"/>
    <w:rsid w:val="006E122B"/>
    <w:rsid w:val="006E1518"/>
    <w:rsid w:val="006E1979"/>
    <w:rsid w:val="006E2463"/>
    <w:rsid w:val="006E2977"/>
    <w:rsid w:val="006E2E54"/>
    <w:rsid w:val="006E3BC0"/>
    <w:rsid w:val="006E43C1"/>
    <w:rsid w:val="006E4A77"/>
    <w:rsid w:val="006E57D3"/>
    <w:rsid w:val="006E65FE"/>
    <w:rsid w:val="006F00BE"/>
    <w:rsid w:val="006F078E"/>
    <w:rsid w:val="006F308F"/>
    <w:rsid w:val="006F37DC"/>
    <w:rsid w:val="006F3993"/>
    <w:rsid w:val="006F42C3"/>
    <w:rsid w:val="006F468E"/>
    <w:rsid w:val="006F4B74"/>
    <w:rsid w:val="006F607F"/>
    <w:rsid w:val="006F688A"/>
    <w:rsid w:val="006F68E0"/>
    <w:rsid w:val="006F697E"/>
    <w:rsid w:val="006F69FC"/>
    <w:rsid w:val="006F6C3B"/>
    <w:rsid w:val="006F7AF4"/>
    <w:rsid w:val="007007A1"/>
    <w:rsid w:val="00700A4C"/>
    <w:rsid w:val="007018BE"/>
    <w:rsid w:val="00701A5A"/>
    <w:rsid w:val="0070327A"/>
    <w:rsid w:val="00703874"/>
    <w:rsid w:val="00705D5C"/>
    <w:rsid w:val="00707B2E"/>
    <w:rsid w:val="00707C04"/>
    <w:rsid w:val="00707C9B"/>
    <w:rsid w:val="00707F31"/>
    <w:rsid w:val="0071045E"/>
    <w:rsid w:val="0071130D"/>
    <w:rsid w:val="007136AE"/>
    <w:rsid w:val="00713D6E"/>
    <w:rsid w:val="007177A8"/>
    <w:rsid w:val="00720013"/>
    <w:rsid w:val="00721D1F"/>
    <w:rsid w:val="00722051"/>
    <w:rsid w:val="00724DF6"/>
    <w:rsid w:val="007251B6"/>
    <w:rsid w:val="00726221"/>
    <w:rsid w:val="00726A0E"/>
    <w:rsid w:val="007277E9"/>
    <w:rsid w:val="00727C16"/>
    <w:rsid w:val="00732823"/>
    <w:rsid w:val="00733655"/>
    <w:rsid w:val="00733FA8"/>
    <w:rsid w:val="0073426B"/>
    <w:rsid w:val="0073531B"/>
    <w:rsid w:val="00735E7C"/>
    <w:rsid w:val="00740562"/>
    <w:rsid w:val="007426FE"/>
    <w:rsid w:val="007433AC"/>
    <w:rsid w:val="00743B9C"/>
    <w:rsid w:val="00744411"/>
    <w:rsid w:val="007460C3"/>
    <w:rsid w:val="00747F6C"/>
    <w:rsid w:val="00750B56"/>
    <w:rsid w:val="00751077"/>
    <w:rsid w:val="00752098"/>
    <w:rsid w:val="00752E0C"/>
    <w:rsid w:val="00753F53"/>
    <w:rsid w:val="00755E15"/>
    <w:rsid w:val="00756028"/>
    <w:rsid w:val="00756638"/>
    <w:rsid w:val="00760157"/>
    <w:rsid w:val="00760199"/>
    <w:rsid w:val="0076250B"/>
    <w:rsid w:val="0076386B"/>
    <w:rsid w:val="00765746"/>
    <w:rsid w:val="00765B80"/>
    <w:rsid w:val="00765D8C"/>
    <w:rsid w:val="007675A6"/>
    <w:rsid w:val="007701DC"/>
    <w:rsid w:val="00770FFD"/>
    <w:rsid w:val="00772008"/>
    <w:rsid w:val="0077282D"/>
    <w:rsid w:val="00772942"/>
    <w:rsid w:val="007733E0"/>
    <w:rsid w:val="007758E7"/>
    <w:rsid w:val="00776F6E"/>
    <w:rsid w:val="0078104B"/>
    <w:rsid w:val="007825CD"/>
    <w:rsid w:val="00782B0C"/>
    <w:rsid w:val="00782D07"/>
    <w:rsid w:val="00784410"/>
    <w:rsid w:val="0078736D"/>
    <w:rsid w:val="00790D36"/>
    <w:rsid w:val="0079278C"/>
    <w:rsid w:val="00792BD2"/>
    <w:rsid w:val="007939F1"/>
    <w:rsid w:val="00795C2C"/>
    <w:rsid w:val="007963D1"/>
    <w:rsid w:val="00797928"/>
    <w:rsid w:val="007A03E4"/>
    <w:rsid w:val="007A0B3D"/>
    <w:rsid w:val="007A220F"/>
    <w:rsid w:val="007A2715"/>
    <w:rsid w:val="007A3175"/>
    <w:rsid w:val="007A3B91"/>
    <w:rsid w:val="007A415D"/>
    <w:rsid w:val="007A4C85"/>
    <w:rsid w:val="007A578E"/>
    <w:rsid w:val="007A7BFD"/>
    <w:rsid w:val="007B1971"/>
    <w:rsid w:val="007B2712"/>
    <w:rsid w:val="007B3191"/>
    <w:rsid w:val="007B3A28"/>
    <w:rsid w:val="007B58DE"/>
    <w:rsid w:val="007B5FD5"/>
    <w:rsid w:val="007B600F"/>
    <w:rsid w:val="007B631F"/>
    <w:rsid w:val="007C03BC"/>
    <w:rsid w:val="007C04FA"/>
    <w:rsid w:val="007C1775"/>
    <w:rsid w:val="007C600A"/>
    <w:rsid w:val="007C767C"/>
    <w:rsid w:val="007D05D3"/>
    <w:rsid w:val="007D15BF"/>
    <w:rsid w:val="007D1B15"/>
    <w:rsid w:val="007D1D3C"/>
    <w:rsid w:val="007D2505"/>
    <w:rsid w:val="007D2E27"/>
    <w:rsid w:val="007D3151"/>
    <w:rsid w:val="007D64A9"/>
    <w:rsid w:val="007E0873"/>
    <w:rsid w:val="007E0C3D"/>
    <w:rsid w:val="007E0DC2"/>
    <w:rsid w:val="007E3199"/>
    <w:rsid w:val="007E3BF1"/>
    <w:rsid w:val="007E3C67"/>
    <w:rsid w:val="007E4874"/>
    <w:rsid w:val="007E5F10"/>
    <w:rsid w:val="007E5F65"/>
    <w:rsid w:val="007E66F5"/>
    <w:rsid w:val="007E6CD1"/>
    <w:rsid w:val="007E70D6"/>
    <w:rsid w:val="007E7442"/>
    <w:rsid w:val="007E798D"/>
    <w:rsid w:val="007F25A4"/>
    <w:rsid w:val="007F2759"/>
    <w:rsid w:val="007F30EB"/>
    <w:rsid w:val="007F358E"/>
    <w:rsid w:val="007F3D20"/>
    <w:rsid w:val="007F49B8"/>
    <w:rsid w:val="007F58E3"/>
    <w:rsid w:val="007F59B9"/>
    <w:rsid w:val="007F603E"/>
    <w:rsid w:val="007F66F4"/>
    <w:rsid w:val="007F67DE"/>
    <w:rsid w:val="007F7907"/>
    <w:rsid w:val="00801A6F"/>
    <w:rsid w:val="00805139"/>
    <w:rsid w:val="008051C3"/>
    <w:rsid w:val="00806E0D"/>
    <w:rsid w:val="00807691"/>
    <w:rsid w:val="008102A0"/>
    <w:rsid w:val="008109E3"/>
    <w:rsid w:val="00812697"/>
    <w:rsid w:val="008128C5"/>
    <w:rsid w:val="00812D3D"/>
    <w:rsid w:val="008131AB"/>
    <w:rsid w:val="00814FA3"/>
    <w:rsid w:val="00815CC0"/>
    <w:rsid w:val="00815DA4"/>
    <w:rsid w:val="00817F52"/>
    <w:rsid w:val="00823122"/>
    <w:rsid w:val="008240B7"/>
    <w:rsid w:val="00824BB2"/>
    <w:rsid w:val="00825C86"/>
    <w:rsid w:val="008261A6"/>
    <w:rsid w:val="00826468"/>
    <w:rsid w:val="00826945"/>
    <w:rsid w:val="00831323"/>
    <w:rsid w:val="00831CF4"/>
    <w:rsid w:val="00831D5A"/>
    <w:rsid w:val="00831E99"/>
    <w:rsid w:val="0083256F"/>
    <w:rsid w:val="00832DDD"/>
    <w:rsid w:val="008355BA"/>
    <w:rsid w:val="00837D7A"/>
    <w:rsid w:val="00841A14"/>
    <w:rsid w:val="00842621"/>
    <w:rsid w:val="00842D1E"/>
    <w:rsid w:val="0084496F"/>
    <w:rsid w:val="00846466"/>
    <w:rsid w:val="00853146"/>
    <w:rsid w:val="00853DCF"/>
    <w:rsid w:val="00855016"/>
    <w:rsid w:val="0085669A"/>
    <w:rsid w:val="00856BE9"/>
    <w:rsid w:val="0085783B"/>
    <w:rsid w:val="00857A25"/>
    <w:rsid w:val="0086090E"/>
    <w:rsid w:val="008614C7"/>
    <w:rsid w:val="00862CA1"/>
    <w:rsid w:val="008631EC"/>
    <w:rsid w:val="0086336D"/>
    <w:rsid w:val="00863989"/>
    <w:rsid w:val="00864CC7"/>
    <w:rsid w:val="00865714"/>
    <w:rsid w:val="00865D84"/>
    <w:rsid w:val="00867593"/>
    <w:rsid w:val="00867C59"/>
    <w:rsid w:val="0087118F"/>
    <w:rsid w:val="00873F61"/>
    <w:rsid w:val="00874CC2"/>
    <w:rsid w:val="00874F6C"/>
    <w:rsid w:val="008753FF"/>
    <w:rsid w:val="0087586F"/>
    <w:rsid w:val="00875C1B"/>
    <w:rsid w:val="00875FEA"/>
    <w:rsid w:val="00877DAF"/>
    <w:rsid w:val="0088031E"/>
    <w:rsid w:val="0088130E"/>
    <w:rsid w:val="00881471"/>
    <w:rsid w:val="00881B86"/>
    <w:rsid w:val="00884A36"/>
    <w:rsid w:val="00886646"/>
    <w:rsid w:val="008877C1"/>
    <w:rsid w:val="00887F01"/>
    <w:rsid w:val="008907E9"/>
    <w:rsid w:val="0089142C"/>
    <w:rsid w:val="00891602"/>
    <w:rsid w:val="00893341"/>
    <w:rsid w:val="0089480C"/>
    <w:rsid w:val="00894C83"/>
    <w:rsid w:val="00895225"/>
    <w:rsid w:val="0089548C"/>
    <w:rsid w:val="00895DC3"/>
    <w:rsid w:val="008A022A"/>
    <w:rsid w:val="008A0878"/>
    <w:rsid w:val="008A08AD"/>
    <w:rsid w:val="008A2E45"/>
    <w:rsid w:val="008A47EA"/>
    <w:rsid w:val="008A61BA"/>
    <w:rsid w:val="008A6405"/>
    <w:rsid w:val="008A662C"/>
    <w:rsid w:val="008A67D6"/>
    <w:rsid w:val="008A706F"/>
    <w:rsid w:val="008A7AC5"/>
    <w:rsid w:val="008B3494"/>
    <w:rsid w:val="008B40C4"/>
    <w:rsid w:val="008B4635"/>
    <w:rsid w:val="008B478C"/>
    <w:rsid w:val="008B5A13"/>
    <w:rsid w:val="008B6ACA"/>
    <w:rsid w:val="008B6B00"/>
    <w:rsid w:val="008B790B"/>
    <w:rsid w:val="008C00C7"/>
    <w:rsid w:val="008C10BD"/>
    <w:rsid w:val="008C3131"/>
    <w:rsid w:val="008C35EF"/>
    <w:rsid w:val="008C3E48"/>
    <w:rsid w:val="008C48DC"/>
    <w:rsid w:val="008C4928"/>
    <w:rsid w:val="008C5A70"/>
    <w:rsid w:val="008C7466"/>
    <w:rsid w:val="008D15A1"/>
    <w:rsid w:val="008D2F6F"/>
    <w:rsid w:val="008D3612"/>
    <w:rsid w:val="008D5D13"/>
    <w:rsid w:val="008D625B"/>
    <w:rsid w:val="008D7803"/>
    <w:rsid w:val="008D7BC7"/>
    <w:rsid w:val="008D7D99"/>
    <w:rsid w:val="008E08AC"/>
    <w:rsid w:val="008E1345"/>
    <w:rsid w:val="008E2D1B"/>
    <w:rsid w:val="008E305E"/>
    <w:rsid w:val="008E345A"/>
    <w:rsid w:val="008E530F"/>
    <w:rsid w:val="008E549E"/>
    <w:rsid w:val="008E71AB"/>
    <w:rsid w:val="008F005A"/>
    <w:rsid w:val="008F11B9"/>
    <w:rsid w:val="008F18C2"/>
    <w:rsid w:val="008F2BF2"/>
    <w:rsid w:val="008F2D31"/>
    <w:rsid w:val="008F3072"/>
    <w:rsid w:val="008F4A8E"/>
    <w:rsid w:val="008F6194"/>
    <w:rsid w:val="00902446"/>
    <w:rsid w:val="00902ED4"/>
    <w:rsid w:val="009063C7"/>
    <w:rsid w:val="00907767"/>
    <w:rsid w:val="0091048C"/>
    <w:rsid w:val="0091094B"/>
    <w:rsid w:val="00911429"/>
    <w:rsid w:val="00913789"/>
    <w:rsid w:val="00913D58"/>
    <w:rsid w:val="00916AD6"/>
    <w:rsid w:val="00917200"/>
    <w:rsid w:val="009178E5"/>
    <w:rsid w:val="009200D7"/>
    <w:rsid w:val="0092035E"/>
    <w:rsid w:val="00920CAE"/>
    <w:rsid w:val="009238AB"/>
    <w:rsid w:val="0092457B"/>
    <w:rsid w:val="0092765B"/>
    <w:rsid w:val="009276B1"/>
    <w:rsid w:val="00931F99"/>
    <w:rsid w:val="00933434"/>
    <w:rsid w:val="00936929"/>
    <w:rsid w:val="00937787"/>
    <w:rsid w:val="00940990"/>
    <w:rsid w:val="00941417"/>
    <w:rsid w:val="0094195C"/>
    <w:rsid w:val="009419BD"/>
    <w:rsid w:val="00941B62"/>
    <w:rsid w:val="009426D6"/>
    <w:rsid w:val="00944A87"/>
    <w:rsid w:val="00945EF8"/>
    <w:rsid w:val="00947498"/>
    <w:rsid w:val="009517F2"/>
    <w:rsid w:val="00955CDB"/>
    <w:rsid w:val="00957444"/>
    <w:rsid w:val="009575A7"/>
    <w:rsid w:val="009600E8"/>
    <w:rsid w:val="009614DD"/>
    <w:rsid w:val="009618AC"/>
    <w:rsid w:val="009634A9"/>
    <w:rsid w:val="009636FF"/>
    <w:rsid w:val="00967C9C"/>
    <w:rsid w:val="00967FB0"/>
    <w:rsid w:val="00970324"/>
    <w:rsid w:val="0097140E"/>
    <w:rsid w:val="009723B1"/>
    <w:rsid w:val="00973244"/>
    <w:rsid w:val="009753E6"/>
    <w:rsid w:val="00977B2D"/>
    <w:rsid w:val="00980CDD"/>
    <w:rsid w:val="00981FC8"/>
    <w:rsid w:val="00982A6A"/>
    <w:rsid w:val="00983053"/>
    <w:rsid w:val="00983D34"/>
    <w:rsid w:val="00991879"/>
    <w:rsid w:val="00991DD3"/>
    <w:rsid w:val="009960FF"/>
    <w:rsid w:val="00997BB4"/>
    <w:rsid w:val="009A04C0"/>
    <w:rsid w:val="009A1662"/>
    <w:rsid w:val="009A2944"/>
    <w:rsid w:val="009A35DD"/>
    <w:rsid w:val="009A47D0"/>
    <w:rsid w:val="009A4DBF"/>
    <w:rsid w:val="009A5A45"/>
    <w:rsid w:val="009A7916"/>
    <w:rsid w:val="009A7926"/>
    <w:rsid w:val="009B16E0"/>
    <w:rsid w:val="009B26F7"/>
    <w:rsid w:val="009B28DE"/>
    <w:rsid w:val="009B2948"/>
    <w:rsid w:val="009B2F5A"/>
    <w:rsid w:val="009B471A"/>
    <w:rsid w:val="009B6A59"/>
    <w:rsid w:val="009B6B60"/>
    <w:rsid w:val="009B7508"/>
    <w:rsid w:val="009B77EC"/>
    <w:rsid w:val="009C0966"/>
    <w:rsid w:val="009C2456"/>
    <w:rsid w:val="009C2FB7"/>
    <w:rsid w:val="009C553F"/>
    <w:rsid w:val="009C573D"/>
    <w:rsid w:val="009C6BEE"/>
    <w:rsid w:val="009C78CA"/>
    <w:rsid w:val="009D1086"/>
    <w:rsid w:val="009D1D35"/>
    <w:rsid w:val="009D28CD"/>
    <w:rsid w:val="009D2FBB"/>
    <w:rsid w:val="009D38C9"/>
    <w:rsid w:val="009D5ABD"/>
    <w:rsid w:val="009D6B45"/>
    <w:rsid w:val="009E3875"/>
    <w:rsid w:val="009E44FE"/>
    <w:rsid w:val="009E558A"/>
    <w:rsid w:val="009E5A46"/>
    <w:rsid w:val="009E64F4"/>
    <w:rsid w:val="009E740F"/>
    <w:rsid w:val="009E7FB7"/>
    <w:rsid w:val="009F05D3"/>
    <w:rsid w:val="009F23BD"/>
    <w:rsid w:val="009F653A"/>
    <w:rsid w:val="00A01003"/>
    <w:rsid w:val="00A03109"/>
    <w:rsid w:val="00A03C6D"/>
    <w:rsid w:val="00A03E5C"/>
    <w:rsid w:val="00A04437"/>
    <w:rsid w:val="00A0614C"/>
    <w:rsid w:val="00A10981"/>
    <w:rsid w:val="00A10BD3"/>
    <w:rsid w:val="00A10E99"/>
    <w:rsid w:val="00A12145"/>
    <w:rsid w:val="00A13BB6"/>
    <w:rsid w:val="00A15228"/>
    <w:rsid w:val="00A1645D"/>
    <w:rsid w:val="00A16DF6"/>
    <w:rsid w:val="00A17B6B"/>
    <w:rsid w:val="00A2066F"/>
    <w:rsid w:val="00A23745"/>
    <w:rsid w:val="00A25FD5"/>
    <w:rsid w:val="00A27256"/>
    <w:rsid w:val="00A27AA8"/>
    <w:rsid w:val="00A27ACC"/>
    <w:rsid w:val="00A27D56"/>
    <w:rsid w:val="00A303DF"/>
    <w:rsid w:val="00A303E1"/>
    <w:rsid w:val="00A30631"/>
    <w:rsid w:val="00A308F5"/>
    <w:rsid w:val="00A30C46"/>
    <w:rsid w:val="00A31228"/>
    <w:rsid w:val="00A36442"/>
    <w:rsid w:val="00A3672F"/>
    <w:rsid w:val="00A371B3"/>
    <w:rsid w:val="00A3749D"/>
    <w:rsid w:val="00A3781F"/>
    <w:rsid w:val="00A40118"/>
    <w:rsid w:val="00A41473"/>
    <w:rsid w:val="00A4286B"/>
    <w:rsid w:val="00A42C59"/>
    <w:rsid w:val="00A43525"/>
    <w:rsid w:val="00A439C4"/>
    <w:rsid w:val="00A448DC"/>
    <w:rsid w:val="00A45529"/>
    <w:rsid w:val="00A46136"/>
    <w:rsid w:val="00A5200C"/>
    <w:rsid w:val="00A532B3"/>
    <w:rsid w:val="00A533D7"/>
    <w:rsid w:val="00A54224"/>
    <w:rsid w:val="00A54794"/>
    <w:rsid w:val="00A551E4"/>
    <w:rsid w:val="00A5552E"/>
    <w:rsid w:val="00A55D06"/>
    <w:rsid w:val="00A61C09"/>
    <w:rsid w:val="00A62686"/>
    <w:rsid w:val="00A63050"/>
    <w:rsid w:val="00A656F8"/>
    <w:rsid w:val="00A658FC"/>
    <w:rsid w:val="00A66515"/>
    <w:rsid w:val="00A66653"/>
    <w:rsid w:val="00A6778B"/>
    <w:rsid w:val="00A701CD"/>
    <w:rsid w:val="00A70E5C"/>
    <w:rsid w:val="00A711ED"/>
    <w:rsid w:val="00A7246F"/>
    <w:rsid w:val="00A72D20"/>
    <w:rsid w:val="00A74BA0"/>
    <w:rsid w:val="00A77658"/>
    <w:rsid w:val="00A77ED3"/>
    <w:rsid w:val="00A801B9"/>
    <w:rsid w:val="00A80951"/>
    <w:rsid w:val="00A818A7"/>
    <w:rsid w:val="00A911A5"/>
    <w:rsid w:val="00A92870"/>
    <w:rsid w:val="00A92C18"/>
    <w:rsid w:val="00A93563"/>
    <w:rsid w:val="00A9459C"/>
    <w:rsid w:val="00A961A8"/>
    <w:rsid w:val="00A9634B"/>
    <w:rsid w:val="00A96413"/>
    <w:rsid w:val="00AA2C1B"/>
    <w:rsid w:val="00AA327A"/>
    <w:rsid w:val="00AA3CE1"/>
    <w:rsid w:val="00AA4CC7"/>
    <w:rsid w:val="00AB2E8D"/>
    <w:rsid w:val="00AB3380"/>
    <w:rsid w:val="00AB37A2"/>
    <w:rsid w:val="00AB4388"/>
    <w:rsid w:val="00AB43DA"/>
    <w:rsid w:val="00AB502F"/>
    <w:rsid w:val="00AB6ED1"/>
    <w:rsid w:val="00AB7079"/>
    <w:rsid w:val="00AB7DF5"/>
    <w:rsid w:val="00AC0E95"/>
    <w:rsid w:val="00AC6452"/>
    <w:rsid w:val="00AC66D0"/>
    <w:rsid w:val="00AD2113"/>
    <w:rsid w:val="00AD256C"/>
    <w:rsid w:val="00AD4320"/>
    <w:rsid w:val="00AD4B38"/>
    <w:rsid w:val="00AD5B6F"/>
    <w:rsid w:val="00AE2134"/>
    <w:rsid w:val="00AE2805"/>
    <w:rsid w:val="00AE5075"/>
    <w:rsid w:val="00AE6D7A"/>
    <w:rsid w:val="00AF0A4F"/>
    <w:rsid w:val="00AF0B26"/>
    <w:rsid w:val="00AF1606"/>
    <w:rsid w:val="00AF1B14"/>
    <w:rsid w:val="00AF1B39"/>
    <w:rsid w:val="00AF1E9E"/>
    <w:rsid w:val="00AF4339"/>
    <w:rsid w:val="00AF7CAB"/>
    <w:rsid w:val="00B008E5"/>
    <w:rsid w:val="00B01345"/>
    <w:rsid w:val="00B02281"/>
    <w:rsid w:val="00B02A50"/>
    <w:rsid w:val="00B05619"/>
    <w:rsid w:val="00B0665E"/>
    <w:rsid w:val="00B06F83"/>
    <w:rsid w:val="00B12193"/>
    <w:rsid w:val="00B12390"/>
    <w:rsid w:val="00B127F3"/>
    <w:rsid w:val="00B1379A"/>
    <w:rsid w:val="00B15BFF"/>
    <w:rsid w:val="00B16745"/>
    <w:rsid w:val="00B16AFE"/>
    <w:rsid w:val="00B16B28"/>
    <w:rsid w:val="00B16CA8"/>
    <w:rsid w:val="00B16ECD"/>
    <w:rsid w:val="00B17CA9"/>
    <w:rsid w:val="00B21456"/>
    <w:rsid w:val="00B22B08"/>
    <w:rsid w:val="00B23C9F"/>
    <w:rsid w:val="00B2788F"/>
    <w:rsid w:val="00B30F8F"/>
    <w:rsid w:val="00B315DC"/>
    <w:rsid w:val="00B31809"/>
    <w:rsid w:val="00B31D7F"/>
    <w:rsid w:val="00B3254A"/>
    <w:rsid w:val="00B326F3"/>
    <w:rsid w:val="00B332D8"/>
    <w:rsid w:val="00B35466"/>
    <w:rsid w:val="00B35F66"/>
    <w:rsid w:val="00B367C0"/>
    <w:rsid w:val="00B36A0E"/>
    <w:rsid w:val="00B40AED"/>
    <w:rsid w:val="00B41E9E"/>
    <w:rsid w:val="00B42332"/>
    <w:rsid w:val="00B42A20"/>
    <w:rsid w:val="00B43323"/>
    <w:rsid w:val="00B44B1E"/>
    <w:rsid w:val="00B46335"/>
    <w:rsid w:val="00B46E3B"/>
    <w:rsid w:val="00B50309"/>
    <w:rsid w:val="00B50625"/>
    <w:rsid w:val="00B5175C"/>
    <w:rsid w:val="00B5226E"/>
    <w:rsid w:val="00B54EE9"/>
    <w:rsid w:val="00B555C4"/>
    <w:rsid w:val="00B56815"/>
    <w:rsid w:val="00B57013"/>
    <w:rsid w:val="00B61600"/>
    <w:rsid w:val="00B61B29"/>
    <w:rsid w:val="00B62E2B"/>
    <w:rsid w:val="00B6395E"/>
    <w:rsid w:val="00B63D2E"/>
    <w:rsid w:val="00B64D9F"/>
    <w:rsid w:val="00B65025"/>
    <w:rsid w:val="00B65EB4"/>
    <w:rsid w:val="00B6762D"/>
    <w:rsid w:val="00B70252"/>
    <w:rsid w:val="00B7218B"/>
    <w:rsid w:val="00B72906"/>
    <w:rsid w:val="00B72AA2"/>
    <w:rsid w:val="00B72AA4"/>
    <w:rsid w:val="00B74103"/>
    <w:rsid w:val="00B77CBA"/>
    <w:rsid w:val="00B8058E"/>
    <w:rsid w:val="00B81868"/>
    <w:rsid w:val="00B81973"/>
    <w:rsid w:val="00B844D5"/>
    <w:rsid w:val="00B846B3"/>
    <w:rsid w:val="00B84905"/>
    <w:rsid w:val="00B8591D"/>
    <w:rsid w:val="00B86F92"/>
    <w:rsid w:val="00B87EDD"/>
    <w:rsid w:val="00B90959"/>
    <w:rsid w:val="00B9106A"/>
    <w:rsid w:val="00B9331D"/>
    <w:rsid w:val="00B93C33"/>
    <w:rsid w:val="00B95681"/>
    <w:rsid w:val="00B9639C"/>
    <w:rsid w:val="00B963B1"/>
    <w:rsid w:val="00B96D07"/>
    <w:rsid w:val="00B96F80"/>
    <w:rsid w:val="00BA00ED"/>
    <w:rsid w:val="00BA041E"/>
    <w:rsid w:val="00BA054D"/>
    <w:rsid w:val="00BA21C5"/>
    <w:rsid w:val="00BA26A7"/>
    <w:rsid w:val="00BA34FB"/>
    <w:rsid w:val="00BA5803"/>
    <w:rsid w:val="00BA7550"/>
    <w:rsid w:val="00BB19D6"/>
    <w:rsid w:val="00BB1A95"/>
    <w:rsid w:val="00BB1D0A"/>
    <w:rsid w:val="00BB1D3A"/>
    <w:rsid w:val="00BB2189"/>
    <w:rsid w:val="00BB4F12"/>
    <w:rsid w:val="00BB65D5"/>
    <w:rsid w:val="00BB7D47"/>
    <w:rsid w:val="00BC093A"/>
    <w:rsid w:val="00BC1838"/>
    <w:rsid w:val="00BC1B05"/>
    <w:rsid w:val="00BC1E26"/>
    <w:rsid w:val="00BC1F1D"/>
    <w:rsid w:val="00BC2118"/>
    <w:rsid w:val="00BC315F"/>
    <w:rsid w:val="00BC6C60"/>
    <w:rsid w:val="00BC70AC"/>
    <w:rsid w:val="00BC765A"/>
    <w:rsid w:val="00BC7E19"/>
    <w:rsid w:val="00BD0AFA"/>
    <w:rsid w:val="00BD0E5B"/>
    <w:rsid w:val="00BD1092"/>
    <w:rsid w:val="00BD13A1"/>
    <w:rsid w:val="00BD1867"/>
    <w:rsid w:val="00BD288A"/>
    <w:rsid w:val="00BD3259"/>
    <w:rsid w:val="00BD4456"/>
    <w:rsid w:val="00BE0695"/>
    <w:rsid w:val="00BE3E80"/>
    <w:rsid w:val="00BE5A3D"/>
    <w:rsid w:val="00BE5E8F"/>
    <w:rsid w:val="00BE7F44"/>
    <w:rsid w:val="00BF0755"/>
    <w:rsid w:val="00BF21CD"/>
    <w:rsid w:val="00BF2EC8"/>
    <w:rsid w:val="00BF4173"/>
    <w:rsid w:val="00BF4933"/>
    <w:rsid w:val="00BF5699"/>
    <w:rsid w:val="00BF57EC"/>
    <w:rsid w:val="00BF6193"/>
    <w:rsid w:val="00BF6754"/>
    <w:rsid w:val="00BF70B2"/>
    <w:rsid w:val="00C01058"/>
    <w:rsid w:val="00C016E8"/>
    <w:rsid w:val="00C02657"/>
    <w:rsid w:val="00C04356"/>
    <w:rsid w:val="00C043FC"/>
    <w:rsid w:val="00C046D0"/>
    <w:rsid w:val="00C04779"/>
    <w:rsid w:val="00C0552E"/>
    <w:rsid w:val="00C10DF3"/>
    <w:rsid w:val="00C133B2"/>
    <w:rsid w:val="00C1343C"/>
    <w:rsid w:val="00C134FF"/>
    <w:rsid w:val="00C13FAE"/>
    <w:rsid w:val="00C151ED"/>
    <w:rsid w:val="00C16E36"/>
    <w:rsid w:val="00C1708E"/>
    <w:rsid w:val="00C17A1F"/>
    <w:rsid w:val="00C20BF8"/>
    <w:rsid w:val="00C233B4"/>
    <w:rsid w:val="00C24DC5"/>
    <w:rsid w:val="00C25B7C"/>
    <w:rsid w:val="00C27B8F"/>
    <w:rsid w:val="00C3030D"/>
    <w:rsid w:val="00C31766"/>
    <w:rsid w:val="00C3183C"/>
    <w:rsid w:val="00C338BF"/>
    <w:rsid w:val="00C33B9C"/>
    <w:rsid w:val="00C35008"/>
    <w:rsid w:val="00C35327"/>
    <w:rsid w:val="00C35393"/>
    <w:rsid w:val="00C359DB"/>
    <w:rsid w:val="00C35D87"/>
    <w:rsid w:val="00C36AD8"/>
    <w:rsid w:val="00C3730F"/>
    <w:rsid w:val="00C37B60"/>
    <w:rsid w:val="00C40290"/>
    <w:rsid w:val="00C41262"/>
    <w:rsid w:val="00C414B0"/>
    <w:rsid w:val="00C4166E"/>
    <w:rsid w:val="00C426BB"/>
    <w:rsid w:val="00C42867"/>
    <w:rsid w:val="00C44CEA"/>
    <w:rsid w:val="00C4727E"/>
    <w:rsid w:val="00C50D32"/>
    <w:rsid w:val="00C51380"/>
    <w:rsid w:val="00C52526"/>
    <w:rsid w:val="00C52B27"/>
    <w:rsid w:val="00C53ADC"/>
    <w:rsid w:val="00C53B1A"/>
    <w:rsid w:val="00C556AA"/>
    <w:rsid w:val="00C5595D"/>
    <w:rsid w:val="00C566E0"/>
    <w:rsid w:val="00C56E0F"/>
    <w:rsid w:val="00C57C8F"/>
    <w:rsid w:val="00C616E3"/>
    <w:rsid w:val="00C621E7"/>
    <w:rsid w:val="00C62852"/>
    <w:rsid w:val="00C62D72"/>
    <w:rsid w:val="00C6654D"/>
    <w:rsid w:val="00C66E46"/>
    <w:rsid w:val="00C67384"/>
    <w:rsid w:val="00C6747F"/>
    <w:rsid w:val="00C704A4"/>
    <w:rsid w:val="00C70CA9"/>
    <w:rsid w:val="00C71D8D"/>
    <w:rsid w:val="00C72D45"/>
    <w:rsid w:val="00C72F50"/>
    <w:rsid w:val="00C74DC9"/>
    <w:rsid w:val="00C74DD5"/>
    <w:rsid w:val="00C7571C"/>
    <w:rsid w:val="00C763F0"/>
    <w:rsid w:val="00C7662C"/>
    <w:rsid w:val="00C767B1"/>
    <w:rsid w:val="00C776BD"/>
    <w:rsid w:val="00C81A19"/>
    <w:rsid w:val="00C836A2"/>
    <w:rsid w:val="00C850DC"/>
    <w:rsid w:val="00C85144"/>
    <w:rsid w:val="00C8770F"/>
    <w:rsid w:val="00C903CA"/>
    <w:rsid w:val="00C90436"/>
    <w:rsid w:val="00C909B6"/>
    <w:rsid w:val="00C91787"/>
    <w:rsid w:val="00C91813"/>
    <w:rsid w:val="00C92547"/>
    <w:rsid w:val="00C93BC5"/>
    <w:rsid w:val="00C944AB"/>
    <w:rsid w:val="00C95B94"/>
    <w:rsid w:val="00C96001"/>
    <w:rsid w:val="00C97B45"/>
    <w:rsid w:val="00CA0341"/>
    <w:rsid w:val="00CA1388"/>
    <w:rsid w:val="00CA1E87"/>
    <w:rsid w:val="00CA22C7"/>
    <w:rsid w:val="00CA22E0"/>
    <w:rsid w:val="00CA29FC"/>
    <w:rsid w:val="00CA4090"/>
    <w:rsid w:val="00CA4185"/>
    <w:rsid w:val="00CA63C5"/>
    <w:rsid w:val="00CA71A1"/>
    <w:rsid w:val="00CA72AB"/>
    <w:rsid w:val="00CA7341"/>
    <w:rsid w:val="00CA73A8"/>
    <w:rsid w:val="00CB1C2A"/>
    <w:rsid w:val="00CB2DCA"/>
    <w:rsid w:val="00CB34EA"/>
    <w:rsid w:val="00CB3BF3"/>
    <w:rsid w:val="00CB4124"/>
    <w:rsid w:val="00CB459C"/>
    <w:rsid w:val="00CB482D"/>
    <w:rsid w:val="00CB66D5"/>
    <w:rsid w:val="00CB75D0"/>
    <w:rsid w:val="00CB76CA"/>
    <w:rsid w:val="00CC2482"/>
    <w:rsid w:val="00CC2FDA"/>
    <w:rsid w:val="00CC35C9"/>
    <w:rsid w:val="00CC5233"/>
    <w:rsid w:val="00CC5313"/>
    <w:rsid w:val="00CC6D04"/>
    <w:rsid w:val="00CC74B7"/>
    <w:rsid w:val="00CC757C"/>
    <w:rsid w:val="00CC78DB"/>
    <w:rsid w:val="00CD05ED"/>
    <w:rsid w:val="00CD0D9A"/>
    <w:rsid w:val="00CD0F53"/>
    <w:rsid w:val="00CD1CED"/>
    <w:rsid w:val="00CD37A0"/>
    <w:rsid w:val="00CD39B5"/>
    <w:rsid w:val="00CD5530"/>
    <w:rsid w:val="00CD6203"/>
    <w:rsid w:val="00CD7BAE"/>
    <w:rsid w:val="00CD7EC9"/>
    <w:rsid w:val="00CE0875"/>
    <w:rsid w:val="00CE087E"/>
    <w:rsid w:val="00CE217F"/>
    <w:rsid w:val="00CE2549"/>
    <w:rsid w:val="00CE306B"/>
    <w:rsid w:val="00CE3C1B"/>
    <w:rsid w:val="00CE4915"/>
    <w:rsid w:val="00CE4B3C"/>
    <w:rsid w:val="00CE5C0F"/>
    <w:rsid w:val="00CE62F9"/>
    <w:rsid w:val="00CE6704"/>
    <w:rsid w:val="00CF0047"/>
    <w:rsid w:val="00CF1384"/>
    <w:rsid w:val="00CF19AA"/>
    <w:rsid w:val="00CF2194"/>
    <w:rsid w:val="00CF422F"/>
    <w:rsid w:val="00CF4A9F"/>
    <w:rsid w:val="00CF60D4"/>
    <w:rsid w:val="00CF63A8"/>
    <w:rsid w:val="00CF69AC"/>
    <w:rsid w:val="00CF6CD6"/>
    <w:rsid w:val="00CF7812"/>
    <w:rsid w:val="00D01C6D"/>
    <w:rsid w:val="00D039F8"/>
    <w:rsid w:val="00D059CA"/>
    <w:rsid w:val="00D068AD"/>
    <w:rsid w:val="00D071FD"/>
    <w:rsid w:val="00D079FE"/>
    <w:rsid w:val="00D07AF1"/>
    <w:rsid w:val="00D07DEB"/>
    <w:rsid w:val="00D10850"/>
    <w:rsid w:val="00D115B7"/>
    <w:rsid w:val="00D1171F"/>
    <w:rsid w:val="00D126BE"/>
    <w:rsid w:val="00D13B8E"/>
    <w:rsid w:val="00D1419A"/>
    <w:rsid w:val="00D1485A"/>
    <w:rsid w:val="00D148A6"/>
    <w:rsid w:val="00D17583"/>
    <w:rsid w:val="00D20040"/>
    <w:rsid w:val="00D2139A"/>
    <w:rsid w:val="00D217CC"/>
    <w:rsid w:val="00D24FC6"/>
    <w:rsid w:val="00D2524C"/>
    <w:rsid w:val="00D25FE7"/>
    <w:rsid w:val="00D26130"/>
    <w:rsid w:val="00D263C1"/>
    <w:rsid w:val="00D311C0"/>
    <w:rsid w:val="00D31272"/>
    <w:rsid w:val="00D3353D"/>
    <w:rsid w:val="00D33F76"/>
    <w:rsid w:val="00D34F74"/>
    <w:rsid w:val="00D36E84"/>
    <w:rsid w:val="00D37555"/>
    <w:rsid w:val="00D40606"/>
    <w:rsid w:val="00D42714"/>
    <w:rsid w:val="00D42A1C"/>
    <w:rsid w:val="00D42D73"/>
    <w:rsid w:val="00D46646"/>
    <w:rsid w:val="00D505D9"/>
    <w:rsid w:val="00D50A0A"/>
    <w:rsid w:val="00D50E7B"/>
    <w:rsid w:val="00D51815"/>
    <w:rsid w:val="00D53E6A"/>
    <w:rsid w:val="00D55F64"/>
    <w:rsid w:val="00D5745F"/>
    <w:rsid w:val="00D60853"/>
    <w:rsid w:val="00D60DE2"/>
    <w:rsid w:val="00D61B4A"/>
    <w:rsid w:val="00D61F7B"/>
    <w:rsid w:val="00D62AEB"/>
    <w:rsid w:val="00D6473D"/>
    <w:rsid w:val="00D66517"/>
    <w:rsid w:val="00D674E9"/>
    <w:rsid w:val="00D67F06"/>
    <w:rsid w:val="00D72379"/>
    <w:rsid w:val="00D72F15"/>
    <w:rsid w:val="00D73565"/>
    <w:rsid w:val="00D746DF"/>
    <w:rsid w:val="00D752FD"/>
    <w:rsid w:val="00D7723F"/>
    <w:rsid w:val="00D772AB"/>
    <w:rsid w:val="00D77568"/>
    <w:rsid w:val="00D80F43"/>
    <w:rsid w:val="00D8193D"/>
    <w:rsid w:val="00D820D4"/>
    <w:rsid w:val="00D828C9"/>
    <w:rsid w:val="00D8450C"/>
    <w:rsid w:val="00D86906"/>
    <w:rsid w:val="00D86C35"/>
    <w:rsid w:val="00D86C84"/>
    <w:rsid w:val="00D8785C"/>
    <w:rsid w:val="00D93BE7"/>
    <w:rsid w:val="00D955C2"/>
    <w:rsid w:val="00D96340"/>
    <w:rsid w:val="00D96827"/>
    <w:rsid w:val="00DA1D4D"/>
    <w:rsid w:val="00DA506C"/>
    <w:rsid w:val="00DA5817"/>
    <w:rsid w:val="00DA6622"/>
    <w:rsid w:val="00DA6C56"/>
    <w:rsid w:val="00DB0F48"/>
    <w:rsid w:val="00DB13E3"/>
    <w:rsid w:val="00DB3EAB"/>
    <w:rsid w:val="00DB4A7C"/>
    <w:rsid w:val="00DB6AA3"/>
    <w:rsid w:val="00DB78C3"/>
    <w:rsid w:val="00DB7B3C"/>
    <w:rsid w:val="00DC089C"/>
    <w:rsid w:val="00DC0E43"/>
    <w:rsid w:val="00DC1EC7"/>
    <w:rsid w:val="00DC20ED"/>
    <w:rsid w:val="00DC3A8E"/>
    <w:rsid w:val="00DC3F95"/>
    <w:rsid w:val="00DC46AE"/>
    <w:rsid w:val="00DC49EB"/>
    <w:rsid w:val="00DC59CE"/>
    <w:rsid w:val="00DC6BC3"/>
    <w:rsid w:val="00DC7CCD"/>
    <w:rsid w:val="00DC7D0A"/>
    <w:rsid w:val="00DD1E9B"/>
    <w:rsid w:val="00DD313B"/>
    <w:rsid w:val="00DD317E"/>
    <w:rsid w:val="00DD5538"/>
    <w:rsid w:val="00DD5B84"/>
    <w:rsid w:val="00DD5D0E"/>
    <w:rsid w:val="00DE0D4B"/>
    <w:rsid w:val="00DE1545"/>
    <w:rsid w:val="00DE22C8"/>
    <w:rsid w:val="00DE294D"/>
    <w:rsid w:val="00DE485F"/>
    <w:rsid w:val="00DE6186"/>
    <w:rsid w:val="00DE7F2D"/>
    <w:rsid w:val="00DF0EE8"/>
    <w:rsid w:val="00DF0EF9"/>
    <w:rsid w:val="00DF0F59"/>
    <w:rsid w:val="00DF1314"/>
    <w:rsid w:val="00DF1F74"/>
    <w:rsid w:val="00DF3683"/>
    <w:rsid w:val="00DF4EE6"/>
    <w:rsid w:val="00DF595B"/>
    <w:rsid w:val="00DF599E"/>
    <w:rsid w:val="00DF7A31"/>
    <w:rsid w:val="00E000E9"/>
    <w:rsid w:val="00E003BF"/>
    <w:rsid w:val="00E00894"/>
    <w:rsid w:val="00E00D38"/>
    <w:rsid w:val="00E03F53"/>
    <w:rsid w:val="00E053AA"/>
    <w:rsid w:val="00E05A30"/>
    <w:rsid w:val="00E06625"/>
    <w:rsid w:val="00E10088"/>
    <w:rsid w:val="00E106EF"/>
    <w:rsid w:val="00E10AB9"/>
    <w:rsid w:val="00E10C7C"/>
    <w:rsid w:val="00E14851"/>
    <w:rsid w:val="00E15399"/>
    <w:rsid w:val="00E155EA"/>
    <w:rsid w:val="00E1588C"/>
    <w:rsid w:val="00E16E8B"/>
    <w:rsid w:val="00E17272"/>
    <w:rsid w:val="00E20889"/>
    <w:rsid w:val="00E2091C"/>
    <w:rsid w:val="00E211E0"/>
    <w:rsid w:val="00E22E3B"/>
    <w:rsid w:val="00E244B3"/>
    <w:rsid w:val="00E2497E"/>
    <w:rsid w:val="00E265BA"/>
    <w:rsid w:val="00E267E1"/>
    <w:rsid w:val="00E27182"/>
    <w:rsid w:val="00E27A06"/>
    <w:rsid w:val="00E30990"/>
    <w:rsid w:val="00E30F95"/>
    <w:rsid w:val="00E339A2"/>
    <w:rsid w:val="00E34377"/>
    <w:rsid w:val="00E34962"/>
    <w:rsid w:val="00E34D4E"/>
    <w:rsid w:val="00E34FFC"/>
    <w:rsid w:val="00E36371"/>
    <w:rsid w:val="00E36F36"/>
    <w:rsid w:val="00E37CB2"/>
    <w:rsid w:val="00E401E5"/>
    <w:rsid w:val="00E42192"/>
    <w:rsid w:val="00E4346A"/>
    <w:rsid w:val="00E43E3D"/>
    <w:rsid w:val="00E441E9"/>
    <w:rsid w:val="00E44EC9"/>
    <w:rsid w:val="00E45551"/>
    <w:rsid w:val="00E45B13"/>
    <w:rsid w:val="00E462AB"/>
    <w:rsid w:val="00E46424"/>
    <w:rsid w:val="00E46744"/>
    <w:rsid w:val="00E46FC3"/>
    <w:rsid w:val="00E470EA"/>
    <w:rsid w:val="00E47328"/>
    <w:rsid w:val="00E47EE3"/>
    <w:rsid w:val="00E502BF"/>
    <w:rsid w:val="00E5052E"/>
    <w:rsid w:val="00E52203"/>
    <w:rsid w:val="00E52706"/>
    <w:rsid w:val="00E53481"/>
    <w:rsid w:val="00E5381C"/>
    <w:rsid w:val="00E53DEE"/>
    <w:rsid w:val="00E603DA"/>
    <w:rsid w:val="00E60518"/>
    <w:rsid w:val="00E61C04"/>
    <w:rsid w:val="00E628A8"/>
    <w:rsid w:val="00E673F1"/>
    <w:rsid w:val="00E67994"/>
    <w:rsid w:val="00E70663"/>
    <w:rsid w:val="00E71B55"/>
    <w:rsid w:val="00E72E75"/>
    <w:rsid w:val="00E73488"/>
    <w:rsid w:val="00E742F1"/>
    <w:rsid w:val="00E75540"/>
    <w:rsid w:val="00E76B1B"/>
    <w:rsid w:val="00E80434"/>
    <w:rsid w:val="00E8207C"/>
    <w:rsid w:val="00E827FD"/>
    <w:rsid w:val="00E84C92"/>
    <w:rsid w:val="00E85AA0"/>
    <w:rsid w:val="00E86A3C"/>
    <w:rsid w:val="00E91D0C"/>
    <w:rsid w:val="00E928C0"/>
    <w:rsid w:val="00E93698"/>
    <w:rsid w:val="00E944FF"/>
    <w:rsid w:val="00E94B1F"/>
    <w:rsid w:val="00E95609"/>
    <w:rsid w:val="00E95618"/>
    <w:rsid w:val="00E96250"/>
    <w:rsid w:val="00E96C15"/>
    <w:rsid w:val="00E96FBC"/>
    <w:rsid w:val="00EA0C43"/>
    <w:rsid w:val="00EA254E"/>
    <w:rsid w:val="00EA31FB"/>
    <w:rsid w:val="00EA5974"/>
    <w:rsid w:val="00EA5CC9"/>
    <w:rsid w:val="00EA7A23"/>
    <w:rsid w:val="00EA7FE4"/>
    <w:rsid w:val="00EB00AF"/>
    <w:rsid w:val="00EB0446"/>
    <w:rsid w:val="00EB08F3"/>
    <w:rsid w:val="00EB24BE"/>
    <w:rsid w:val="00EB4AEB"/>
    <w:rsid w:val="00EB5813"/>
    <w:rsid w:val="00EB5F4C"/>
    <w:rsid w:val="00EB66EE"/>
    <w:rsid w:val="00EB6A77"/>
    <w:rsid w:val="00EC16F5"/>
    <w:rsid w:val="00EC2C37"/>
    <w:rsid w:val="00EC41F3"/>
    <w:rsid w:val="00EC4312"/>
    <w:rsid w:val="00EC47D2"/>
    <w:rsid w:val="00EC6F30"/>
    <w:rsid w:val="00ED0878"/>
    <w:rsid w:val="00ED123A"/>
    <w:rsid w:val="00ED34BA"/>
    <w:rsid w:val="00ED3B02"/>
    <w:rsid w:val="00ED3BC6"/>
    <w:rsid w:val="00ED3DC1"/>
    <w:rsid w:val="00ED543D"/>
    <w:rsid w:val="00ED5699"/>
    <w:rsid w:val="00ED6403"/>
    <w:rsid w:val="00ED6BB9"/>
    <w:rsid w:val="00EE4596"/>
    <w:rsid w:val="00EE4AA9"/>
    <w:rsid w:val="00EE7035"/>
    <w:rsid w:val="00EF0929"/>
    <w:rsid w:val="00EF0EE5"/>
    <w:rsid w:val="00EF16E6"/>
    <w:rsid w:val="00EF1934"/>
    <w:rsid w:val="00EF208A"/>
    <w:rsid w:val="00EF4E84"/>
    <w:rsid w:val="00EF5886"/>
    <w:rsid w:val="00EF5BCA"/>
    <w:rsid w:val="00EF70C8"/>
    <w:rsid w:val="00EF74C0"/>
    <w:rsid w:val="00F01190"/>
    <w:rsid w:val="00F012BE"/>
    <w:rsid w:val="00F028C5"/>
    <w:rsid w:val="00F030F3"/>
    <w:rsid w:val="00F0352D"/>
    <w:rsid w:val="00F043F0"/>
    <w:rsid w:val="00F047A0"/>
    <w:rsid w:val="00F04C88"/>
    <w:rsid w:val="00F0708A"/>
    <w:rsid w:val="00F0766D"/>
    <w:rsid w:val="00F1038C"/>
    <w:rsid w:val="00F10A92"/>
    <w:rsid w:val="00F11082"/>
    <w:rsid w:val="00F118B4"/>
    <w:rsid w:val="00F1315E"/>
    <w:rsid w:val="00F143F4"/>
    <w:rsid w:val="00F14D3C"/>
    <w:rsid w:val="00F15020"/>
    <w:rsid w:val="00F157DA"/>
    <w:rsid w:val="00F161A0"/>
    <w:rsid w:val="00F211CD"/>
    <w:rsid w:val="00F2144B"/>
    <w:rsid w:val="00F226B0"/>
    <w:rsid w:val="00F232C0"/>
    <w:rsid w:val="00F2501A"/>
    <w:rsid w:val="00F26E27"/>
    <w:rsid w:val="00F31BED"/>
    <w:rsid w:val="00F31F0F"/>
    <w:rsid w:val="00F322D2"/>
    <w:rsid w:val="00F32B71"/>
    <w:rsid w:val="00F32E50"/>
    <w:rsid w:val="00F33418"/>
    <w:rsid w:val="00F3416B"/>
    <w:rsid w:val="00F366BF"/>
    <w:rsid w:val="00F40377"/>
    <w:rsid w:val="00F40441"/>
    <w:rsid w:val="00F41211"/>
    <w:rsid w:val="00F47AD9"/>
    <w:rsid w:val="00F5010A"/>
    <w:rsid w:val="00F51AC7"/>
    <w:rsid w:val="00F5213F"/>
    <w:rsid w:val="00F53639"/>
    <w:rsid w:val="00F53774"/>
    <w:rsid w:val="00F62F04"/>
    <w:rsid w:val="00F62FAD"/>
    <w:rsid w:val="00F650A1"/>
    <w:rsid w:val="00F66342"/>
    <w:rsid w:val="00F66ACD"/>
    <w:rsid w:val="00F67D5B"/>
    <w:rsid w:val="00F711D6"/>
    <w:rsid w:val="00F72D87"/>
    <w:rsid w:val="00F73055"/>
    <w:rsid w:val="00F77631"/>
    <w:rsid w:val="00F80E75"/>
    <w:rsid w:val="00F81564"/>
    <w:rsid w:val="00F81F4C"/>
    <w:rsid w:val="00F8204B"/>
    <w:rsid w:val="00F83655"/>
    <w:rsid w:val="00F83A05"/>
    <w:rsid w:val="00F83E53"/>
    <w:rsid w:val="00F8542E"/>
    <w:rsid w:val="00F86404"/>
    <w:rsid w:val="00F907B5"/>
    <w:rsid w:val="00F928CA"/>
    <w:rsid w:val="00F92AF3"/>
    <w:rsid w:val="00F933F6"/>
    <w:rsid w:val="00F95A61"/>
    <w:rsid w:val="00F970C3"/>
    <w:rsid w:val="00F97E67"/>
    <w:rsid w:val="00FA0F14"/>
    <w:rsid w:val="00FA2BA0"/>
    <w:rsid w:val="00FA4D11"/>
    <w:rsid w:val="00FA5104"/>
    <w:rsid w:val="00FA5295"/>
    <w:rsid w:val="00FA7F2C"/>
    <w:rsid w:val="00FB06FC"/>
    <w:rsid w:val="00FB08FF"/>
    <w:rsid w:val="00FB2803"/>
    <w:rsid w:val="00FB2847"/>
    <w:rsid w:val="00FB2EBF"/>
    <w:rsid w:val="00FB3F91"/>
    <w:rsid w:val="00FB4129"/>
    <w:rsid w:val="00FB4D9C"/>
    <w:rsid w:val="00FB51B4"/>
    <w:rsid w:val="00FB6D4E"/>
    <w:rsid w:val="00FC0B82"/>
    <w:rsid w:val="00FC1940"/>
    <w:rsid w:val="00FC2ADB"/>
    <w:rsid w:val="00FC3C82"/>
    <w:rsid w:val="00FC3F5E"/>
    <w:rsid w:val="00FC497F"/>
    <w:rsid w:val="00FC7809"/>
    <w:rsid w:val="00FC7D5E"/>
    <w:rsid w:val="00FD0E7A"/>
    <w:rsid w:val="00FD2527"/>
    <w:rsid w:val="00FD27C2"/>
    <w:rsid w:val="00FD27F1"/>
    <w:rsid w:val="00FD3432"/>
    <w:rsid w:val="00FD3941"/>
    <w:rsid w:val="00FD529A"/>
    <w:rsid w:val="00FD5837"/>
    <w:rsid w:val="00FD5A8E"/>
    <w:rsid w:val="00FD63A3"/>
    <w:rsid w:val="00FE0B6C"/>
    <w:rsid w:val="00FE1774"/>
    <w:rsid w:val="00FE1F8B"/>
    <w:rsid w:val="00FE3514"/>
    <w:rsid w:val="00FE3B01"/>
    <w:rsid w:val="00FE4467"/>
    <w:rsid w:val="00FE476C"/>
    <w:rsid w:val="00FE4A45"/>
    <w:rsid w:val="00FE6465"/>
    <w:rsid w:val="00FF0031"/>
    <w:rsid w:val="00FF08D7"/>
    <w:rsid w:val="00FF09B7"/>
    <w:rsid w:val="00FF26DE"/>
    <w:rsid w:val="00FF2B01"/>
    <w:rsid w:val="00FF2F78"/>
    <w:rsid w:val="00FF3F28"/>
    <w:rsid w:val="00FF4FCF"/>
    <w:rsid w:val="00FF72D4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60B11B"/>
  <w15:docId w15:val="{E1D0AC68-D7B8-462F-BCA1-15D1D422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137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613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essunaspaziatura1">
    <w:name w:val="Nessuna spaziatura1"/>
    <w:rsid w:val="00661377"/>
    <w:pPr>
      <w:spacing w:after="0" w:line="240" w:lineRule="auto"/>
    </w:pPr>
    <w:rPr>
      <w:rFonts w:ascii="Times" w:eastAsia="Times New Roman" w:hAnsi="Times" w:cs="Times"/>
      <w:sz w:val="24"/>
      <w:szCs w:val="24"/>
      <w:lang w:eastAsia="it-IT"/>
    </w:rPr>
  </w:style>
  <w:style w:type="paragraph" w:customStyle="1" w:styleId="introcapitolo">
    <w:name w:val="intro capitolo"/>
    <w:basedOn w:val="Normal"/>
    <w:qFormat/>
    <w:rsid w:val="00661377"/>
    <w:pPr>
      <w:widowControl w:val="0"/>
      <w:adjustRightInd w:val="0"/>
      <w:spacing w:after="160" w:line="280" w:lineRule="exact"/>
      <w:jc w:val="both"/>
      <w:textAlignment w:val="baseline"/>
    </w:pPr>
    <w:rPr>
      <w:rFonts w:ascii="Apex New Book" w:hAnsi="Apex New Book" w:cs="Apex New Book"/>
      <w:color w:val="003882"/>
      <w:sz w:val="20"/>
      <w:szCs w:val="20"/>
    </w:rPr>
  </w:style>
  <w:style w:type="character" w:styleId="Hyperlink">
    <w:name w:val="Hyperlink"/>
    <w:rsid w:val="00661377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A801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01B9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6613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0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137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A801B9"/>
    <w:rPr>
      <w:sz w:val="2"/>
      <w:szCs w:val="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661377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table" w:styleId="TableGrid">
    <w:name w:val="Table Grid"/>
    <w:basedOn w:val="TableNormal"/>
    <w:rsid w:val="00A01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Carattere"/>
    <w:basedOn w:val="Normal"/>
    <w:link w:val="FootnoteTextChar"/>
    <w:uiPriority w:val="99"/>
    <w:rsid w:val="00A01003"/>
    <w:pPr>
      <w:widowControl w:val="0"/>
      <w:tabs>
        <w:tab w:val="left" w:pos="397"/>
      </w:tabs>
      <w:adjustRightInd w:val="0"/>
      <w:spacing w:after="60" w:line="200" w:lineRule="exact"/>
      <w:ind w:left="397" w:hanging="397"/>
      <w:jc w:val="both"/>
      <w:textAlignment w:val="baseline"/>
    </w:pPr>
    <w:rPr>
      <w:rFonts w:ascii="Apex New Book" w:hAnsi="Apex New Book"/>
      <w:sz w:val="18"/>
      <w:szCs w:val="18"/>
      <w:lang w:val="x-none" w:eastAsia="x-none"/>
    </w:rPr>
  </w:style>
  <w:style w:type="character" w:customStyle="1" w:styleId="FootnoteTextChar">
    <w:name w:val="Footnote Text Char"/>
    <w:aliases w:val="Carattere Char"/>
    <w:basedOn w:val="DefaultParagraphFont"/>
    <w:link w:val="FootnoteText"/>
    <w:uiPriority w:val="99"/>
    <w:rsid w:val="00A01003"/>
    <w:rPr>
      <w:rFonts w:ascii="Apex New Book" w:eastAsia="Times New Roman" w:hAnsi="Apex New Book" w:cs="Times New Roman"/>
      <w:sz w:val="18"/>
      <w:szCs w:val="18"/>
      <w:lang w:val="x-none" w:eastAsia="x-none"/>
    </w:rPr>
  </w:style>
  <w:style w:type="character" w:styleId="FootnoteReference">
    <w:name w:val="footnote reference"/>
    <w:uiPriority w:val="99"/>
    <w:rsid w:val="00A01003"/>
    <w:rPr>
      <w:rFonts w:ascii="Apex New Book" w:hAnsi="Apex New Book" w:cs="Apex New Book"/>
      <w:color w:val="auto"/>
      <w:sz w:val="18"/>
      <w:szCs w:val="18"/>
      <w:vertAlign w:val="superscript"/>
    </w:rPr>
  </w:style>
  <w:style w:type="character" w:customStyle="1" w:styleId="HilightCarattere">
    <w:name w:val="Hilight Carattere"/>
    <w:link w:val="Hilight"/>
    <w:locked/>
    <w:rsid w:val="00A01003"/>
    <w:rPr>
      <w:rFonts w:ascii="Apex New Book" w:hAnsi="Apex New Book" w:cs="Apex New Book"/>
      <w:i/>
      <w:iCs/>
      <w:color w:val="003882"/>
      <w:sz w:val="16"/>
      <w:szCs w:val="16"/>
      <w:lang w:eastAsia="it-IT"/>
    </w:rPr>
  </w:style>
  <w:style w:type="paragraph" w:customStyle="1" w:styleId="bullet">
    <w:name w:val="bullet"/>
    <w:basedOn w:val="Normal"/>
    <w:next w:val="Normal"/>
    <w:link w:val="bulletCarattereCarattere"/>
    <w:rsid w:val="00A01003"/>
    <w:pPr>
      <w:widowControl w:val="0"/>
      <w:tabs>
        <w:tab w:val="left" w:pos="397"/>
        <w:tab w:val="num" w:pos="720"/>
      </w:tabs>
      <w:adjustRightInd w:val="0"/>
      <w:spacing w:after="60" w:line="280" w:lineRule="exact"/>
      <w:ind w:left="397" w:hanging="397"/>
      <w:jc w:val="both"/>
      <w:textAlignment w:val="baseline"/>
    </w:pPr>
    <w:rPr>
      <w:rFonts w:ascii="Apex New Book" w:hAnsi="Apex New Book"/>
      <w:sz w:val="20"/>
      <w:szCs w:val="20"/>
      <w:lang w:val="x-none" w:eastAsia="x-none"/>
    </w:rPr>
  </w:style>
  <w:style w:type="character" w:customStyle="1" w:styleId="bulletCarattereCarattere">
    <w:name w:val="bullet Carattere Carattere"/>
    <w:link w:val="bullet"/>
    <w:locked/>
    <w:rsid w:val="00A01003"/>
    <w:rPr>
      <w:rFonts w:ascii="Apex New Book" w:eastAsia="Times New Roman" w:hAnsi="Apex New Book" w:cs="Times New Roman"/>
      <w:sz w:val="20"/>
      <w:szCs w:val="20"/>
      <w:lang w:val="x-none" w:eastAsia="x-none"/>
    </w:rPr>
  </w:style>
  <w:style w:type="paragraph" w:customStyle="1" w:styleId="Grafico">
    <w:name w:val="Grafico"/>
    <w:basedOn w:val="Normal"/>
    <w:link w:val="GraficoCarattere"/>
    <w:rsid w:val="00A01003"/>
    <w:pPr>
      <w:widowControl w:val="0"/>
      <w:adjustRightInd w:val="0"/>
      <w:jc w:val="both"/>
      <w:textAlignment w:val="baseline"/>
    </w:pPr>
    <w:rPr>
      <w:rFonts w:ascii="Apex New Book" w:hAnsi="Apex New Book"/>
      <w:sz w:val="20"/>
      <w:szCs w:val="20"/>
      <w:lang w:val="x-none" w:eastAsia="x-none"/>
    </w:rPr>
  </w:style>
  <w:style w:type="paragraph" w:customStyle="1" w:styleId="notafigura">
    <w:name w:val="nota figura"/>
    <w:basedOn w:val="Normal"/>
    <w:link w:val="notafiguraCarattere"/>
    <w:rsid w:val="00A01003"/>
    <w:pPr>
      <w:widowControl w:val="0"/>
      <w:adjustRightInd w:val="0"/>
      <w:spacing w:before="60" w:after="440"/>
      <w:ind w:left="113"/>
      <w:jc w:val="both"/>
      <w:textAlignment w:val="baseline"/>
    </w:pPr>
    <w:rPr>
      <w:rFonts w:ascii="Apex New Book" w:hAnsi="Apex New Book"/>
      <w:sz w:val="16"/>
      <w:szCs w:val="20"/>
      <w:lang w:val="x-none" w:eastAsia="x-none"/>
    </w:rPr>
  </w:style>
  <w:style w:type="paragraph" w:customStyle="1" w:styleId="titolofigura">
    <w:name w:val="titolo figura"/>
    <w:basedOn w:val="Normal"/>
    <w:rsid w:val="00A01003"/>
    <w:pPr>
      <w:widowControl w:val="0"/>
      <w:tabs>
        <w:tab w:val="left" w:pos="794"/>
      </w:tabs>
      <w:adjustRightInd w:val="0"/>
      <w:spacing w:before="40" w:after="40"/>
      <w:ind w:left="794" w:hanging="794"/>
      <w:jc w:val="both"/>
      <w:textAlignment w:val="baseline"/>
    </w:pPr>
    <w:rPr>
      <w:rFonts w:ascii="Apex New Medium" w:hAnsi="Apex New Medium" w:cs="Apex New Medium"/>
      <w:color w:val="003882"/>
      <w:sz w:val="18"/>
      <w:szCs w:val="18"/>
    </w:rPr>
  </w:style>
  <w:style w:type="character" w:customStyle="1" w:styleId="GraficoCarattere">
    <w:name w:val="Grafico Carattere"/>
    <w:link w:val="Grafico"/>
    <w:locked/>
    <w:rsid w:val="00A01003"/>
    <w:rPr>
      <w:rFonts w:ascii="Apex New Book" w:eastAsia="Times New Roman" w:hAnsi="Apex New Book" w:cs="Times New Roman"/>
      <w:sz w:val="20"/>
      <w:szCs w:val="20"/>
      <w:lang w:val="x-none" w:eastAsia="x-none"/>
    </w:rPr>
  </w:style>
  <w:style w:type="character" w:styleId="PageNumber">
    <w:name w:val="page number"/>
    <w:rsid w:val="00A01003"/>
    <w:rPr>
      <w:rFonts w:ascii="Apex New Medium" w:hAnsi="Apex New Medium" w:cs="Apex New Medium"/>
      <w:color w:val="003882"/>
      <w:sz w:val="22"/>
      <w:szCs w:val="22"/>
    </w:rPr>
  </w:style>
  <w:style w:type="paragraph" w:customStyle="1" w:styleId="titolotabella">
    <w:name w:val="titolo tabella"/>
    <w:basedOn w:val="titolofigura"/>
    <w:rsid w:val="00A01003"/>
    <w:pPr>
      <w:ind w:left="0" w:firstLine="0"/>
    </w:pPr>
  </w:style>
  <w:style w:type="paragraph" w:customStyle="1" w:styleId="intestazionetabella">
    <w:name w:val="intestazione tabella"/>
    <w:basedOn w:val="Normal"/>
    <w:rsid w:val="00A01003"/>
    <w:pPr>
      <w:widowControl w:val="0"/>
      <w:adjustRightInd w:val="0"/>
      <w:spacing w:before="60" w:after="60"/>
      <w:ind w:right="113"/>
      <w:jc w:val="right"/>
      <w:textAlignment w:val="baseline"/>
    </w:pPr>
    <w:rPr>
      <w:rFonts w:ascii="Apex New Medium" w:hAnsi="Apex New Medium" w:cs="Apex New Medium"/>
      <w:color w:val="003882"/>
      <w:sz w:val="16"/>
      <w:szCs w:val="16"/>
    </w:rPr>
  </w:style>
  <w:style w:type="paragraph" w:customStyle="1" w:styleId="numeritabella">
    <w:name w:val="numeri tabella"/>
    <w:basedOn w:val="Normal"/>
    <w:rsid w:val="00A01003"/>
    <w:pPr>
      <w:widowControl w:val="0"/>
      <w:adjustRightInd w:val="0"/>
      <w:spacing w:before="20" w:after="20"/>
      <w:ind w:right="113"/>
      <w:jc w:val="right"/>
      <w:textAlignment w:val="baseline"/>
    </w:pPr>
    <w:rPr>
      <w:rFonts w:ascii="Apex New Book" w:hAnsi="Apex New Book" w:cs="Apex New Book"/>
      <w:sz w:val="18"/>
      <w:szCs w:val="18"/>
    </w:rPr>
  </w:style>
  <w:style w:type="paragraph" w:customStyle="1" w:styleId="etichettetabella">
    <w:name w:val="etichette tabella"/>
    <w:basedOn w:val="Normal"/>
    <w:rsid w:val="00A01003"/>
    <w:pPr>
      <w:widowControl w:val="0"/>
      <w:adjustRightInd w:val="0"/>
      <w:spacing w:before="20" w:after="20"/>
      <w:textAlignment w:val="baseline"/>
    </w:pPr>
    <w:rPr>
      <w:rFonts w:ascii="Apex New Book" w:hAnsi="Apex New Book" w:cs="Apex New Book"/>
      <w:sz w:val="18"/>
      <w:szCs w:val="18"/>
    </w:rPr>
  </w:style>
  <w:style w:type="paragraph" w:customStyle="1" w:styleId="ultimarigatabella">
    <w:name w:val="ultima riga tabella"/>
    <w:basedOn w:val="etichettetabella"/>
    <w:rsid w:val="00A01003"/>
    <w:pPr>
      <w:spacing w:after="60"/>
    </w:pPr>
  </w:style>
  <w:style w:type="paragraph" w:customStyle="1" w:styleId="notatabella">
    <w:name w:val="nota tabella"/>
    <w:basedOn w:val="Normal"/>
    <w:rsid w:val="00A01003"/>
    <w:pPr>
      <w:widowControl w:val="0"/>
      <w:tabs>
        <w:tab w:val="left" w:pos="397"/>
      </w:tabs>
      <w:adjustRightInd w:val="0"/>
      <w:spacing w:before="60"/>
      <w:ind w:left="397" w:hanging="397"/>
      <w:jc w:val="both"/>
      <w:textAlignment w:val="baseline"/>
    </w:pPr>
    <w:rPr>
      <w:rFonts w:ascii="Apex New Book" w:hAnsi="Apex New Book" w:cs="Apex New Book"/>
      <w:sz w:val="16"/>
      <w:szCs w:val="16"/>
    </w:rPr>
  </w:style>
  <w:style w:type="paragraph" w:styleId="Footer">
    <w:name w:val="footer"/>
    <w:basedOn w:val="Normal"/>
    <w:link w:val="FooterChar"/>
    <w:rsid w:val="00A0100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010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imandonotapipagina">
    <w:name w:val="rimando nota piè pagina"/>
    <w:basedOn w:val="FootnoteText"/>
    <w:link w:val="rimandonotapipaginaCarattere"/>
    <w:rsid w:val="00A01003"/>
    <w:rPr>
      <w:position w:val="6"/>
      <w:vertAlign w:val="superscript"/>
    </w:rPr>
  </w:style>
  <w:style w:type="character" w:customStyle="1" w:styleId="rimandonotapipaginaCarattere">
    <w:name w:val="rimando nota piè pagina Carattere"/>
    <w:link w:val="rimandonotapipagina"/>
    <w:locked/>
    <w:rsid w:val="00A01003"/>
    <w:rPr>
      <w:rFonts w:ascii="Apex New Book" w:eastAsia="Times New Roman" w:hAnsi="Apex New Book" w:cs="Times New Roman"/>
      <w:position w:val="6"/>
      <w:sz w:val="18"/>
      <w:szCs w:val="18"/>
      <w:vertAlign w:val="superscript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A01003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A01003"/>
    <w:rPr>
      <w:rFonts w:ascii="Times New Roman" w:eastAsia="Times New Roman" w:hAnsi="Times New Roman" w:cs="Times New Roman"/>
      <w:sz w:val="2"/>
      <w:szCs w:val="2"/>
      <w:shd w:val="clear" w:color="auto" w:fill="000080"/>
      <w:lang w:val="x-none" w:eastAsia="x-none"/>
    </w:rPr>
  </w:style>
  <w:style w:type="paragraph" w:customStyle="1" w:styleId="Revisione1">
    <w:name w:val="Revisione1"/>
    <w:hidden/>
    <w:semiHidden/>
    <w:rsid w:val="00A0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attereCarattere1">
    <w:name w:val="Carattere Carattere1"/>
    <w:rsid w:val="00A01003"/>
    <w:rPr>
      <w:rFonts w:ascii="Apex New Book" w:hAnsi="Apex New Book" w:cs="Times New Roman"/>
      <w:sz w:val="18"/>
      <w:lang w:val="it-IT" w:eastAsia="it-IT" w:bidi="ar-SA"/>
    </w:rPr>
  </w:style>
  <w:style w:type="paragraph" w:customStyle="1" w:styleId="Hilight">
    <w:name w:val="Hilight"/>
    <w:basedOn w:val="Normal"/>
    <w:next w:val="Normal"/>
    <w:link w:val="HilightCarattere"/>
    <w:qFormat/>
    <w:rsid w:val="00A01003"/>
    <w:pPr>
      <w:keepNext/>
      <w:keepLines/>
      <w:framePr w:w="1701" w:hSpace="284" w:wrap="auto" w:vAnchor="text" w:hAnchor="page" w:xAlign="outside" w:y="1"/>
      <w:widowControl w:val="0"/>
      <w:suppressAutoHyphens/>
      <w:adjustRightInd w:val="0"/>
      <w:spacing w:before="60" w:after="160" w:line="200" w:lineRule="atLeast"/>
      <w:jc w:val="both"/>
      <w:textAlignment w:val="baseline"/>
    </w:pPr>
    <w:rPr>
      <w:rFonts w:ascii="Apex New Book" w:eastAsiaTheme="minorHAnsi" w:hAnsi="Apex New Book" w:cs="Apex New Book"/>
      <w:i/>
      <w:iCs/>
      <w:color w:val="003882"/>
      <w:sz w:val="16"/>
      <w:szCs w:val="16"/>
    </w:rPr>
  </w:style>
  <w:style w:type="character" w:customStyle="1" w:styleId="Caratteredellanota">
    <w:name w:val="Carattere della nota"/>
    <w:rsid w:val="00A01003"/>
    <w:rPr>
      <w:rFonts w:ascii="Apex New Book" w:hAnsi="Apex New Book"/>
      <w:color w:val="auto"/>
      <w:sz w:val="18"/>
      <w:vertAlign w:val="superscript"/>
    </w:rPr>
  </w:style>
  <w:style w:type="character" w:customStyle="1" w:styleId="notafiguraCarattere">
    <w:name w:val="nota figura Carattere"/>
    <w:link w:val="notafigura"/>
    <w:locked/>
    <w:rsid w:val="00A01003"/>
    <w:rPr>
      <w:rFonts w:ascii="Apex New Book" w:eastAsia="Times New Roman" w:hAnsi="Apex New Book" w:cs="Times New Roman"/>
      <w:sz w:val="16"/>
      <w:szCs w:val="20"/>
      <w:lang w:val="x-none" w:eastAsia="x-none"/>
    </w:rPr>
  </w:style>
  <w:style w:type="paragraph" w:styleId="Revision">
    <w:name w:val="Revision"/>
    <w:hidden/>
    <w:semiHidden/>
    <w:rsid w:val="00A0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2">
    <w:name w:val="A2"/>
    <w:uiPriority w:val="99"/>
    <w:rsid w:val="003F0D02"/>
    <w:rPr>
      <w:rFonts w:cs="Apex New Book"/>
      <w:color w:val="211D1E"/>
      <w:sz w:val="20"/>
      <w:szCs w:val="20"/>
    </w:rPr>
  </w:style>
  <w:style w:type="paragraph" w:customStyle="1" w:styleId="introcapitolo0">
    <w:name w:val="introcapitolo"/>
    <w:basedOn w:val="Normal"/>
    <w:rsid w:val="007A4C85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0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eria.patane@promete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stampa@crif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fficiostampa@assofi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a.fumagalli@bm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4181-A3C4-4D68-B7F3-53A55876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1637</Words>
  <Characters>9337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Assofin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Tordi</dc:creator>
  <cp:lastModifiedBy>Fumagalli, Luca</cp:lastModifiedBy>
  <cp:revision>4</cp:revision>
  <cp:lastPrinted>2018-12-10T13:24:00Z</cp:lastPrinted>
  <dcterms:created xsi:type="dcterms:W3CDTF">2020-12-11T15:49:00Z</dcterms:created>
  <dcterms:modified xsi:type="dcterms:W3CDTF">2020-12-14T09:14:00Z</dcterms:modified>
</cp:coreProperties>
</file>