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18833" w14:textId="4EE61077" w:rsidR="000340CB" w:rsidRPr="00E3259D" w:rsidRDefault="00E3259D" w:rsidP="00E3259D">
      <w:pPr>
        <w:jc w:val="center"/>
        <w:rPr>
          <w:rFonts w:ascii="Verdana" w:hAnsi="Verdana" w:cs="Verdana"/>
          <w:b/>
          <w:bCs/>
          <w:iCs/>
          <w:color w:val="808080" w:themeColor="background1" w:themeShade="80"/>
        </w:rPr>
      </w:pPr>
      <w:r>
        <w:rPr>
          <w:rFonts w:ascii="Verdana" w:hAnsi="Verdana" w:cs="Verdana"/>
          <w:b/>
          <w:bCs/>
          <w:iCs/>
          <w:color w:val="808080" w:themeColor="background1" w:themeShade="80"/>
        </w:rPr>
        <w:t>1^ edizione dell’</w:t>
      </w:r>
      <w:r w:rsidR="000340CB" w:rsidRPr="00E3259D">
        <w:rPr>
          <w:rFonts w:ascii="Verdana" w:hAnsi="Verdana" w:cs="Verdana"/>
          <w:b/>
          <w:bCs/>
          <w:iCs/>
          <w:color w:val="808080" w:themeColor="background1" w:themeShade="80"/>
        </w:rPr>
        <w:t xml:space="preserve">Osservatorio </w:t>
      </w:r>
      <w:r w:rsidRPr="00E3259D">
        <w:rPr>
          <w:rFonts w:ascii="Verdana" w:hAnsi="Verdana" w:cs="Verdana"/>
          <w:b/>
          <w:bCs/>
          <w:iCs/>
          <w:color w:val="808080" w:themeColor="background1" w:themeShade="80"/>
        </w:rPr>
        <w:t xml:space="preserve">CRIBIS Credit Management sugli </w:t>
      </w:r>
      <w:r w:rsidR="000340CB" w:rsidRPr="00E3259D">
        <w:rPr>
          <w:rFonts w:ascii="Verdana" w:hAnsi="Verdana" w:cs="Verdana"/>
          <w:b/>
          <w:bCs/>
          <w:iCs/>
          <w:color w:val="808080" w:themeColor="background1" w:themeShade="80"/>
        </w:rPr>
        <w:t>NPE</w:t>
      </w:r>
    </w:p>
    <w:p w14:paraId="27ABFDB2" w14:textId="77777777" w:rsidR="000340CB" w:rsidRPr="0005477E" w:rsidRDefault="000340CB" w:rsidP="00FA107B">
      <w:pPr>
        <w:jc w:val="center"/>
        <w:rPr>
          <w:rFonts w:ascii="Verdana" w:hAnsi="Verdana" w:cs="Verdana"/>
          <w:b/>
          <w:bCs/>
          <w:caps/>
          <w:color w:val="1F497D" w:themeColor="text2"/>
          <w:sz w:val="22"/>
          <w:szCs w:val="22"/>
        </w:rPr>
      </w:pPr>
    </w:p>
    <w:p w14:paraId="002DF3E6" w14:textId="3B24702F" w:rsidR="00FA107B" w:rsidRPr="0005477E" w:rsidRDefault="000340CB" w:rsidP="00FA107B">
      <w:pPr>
        <w:jc w:val="center"/>
        <w:rPr>
          <w:rFonts w:ascii="Verdana" w:hAnsi="Verdana" w:cs="Verdana"/>
          <w:b/>
          <w:bCs/>
          <w:caps/>
          <w:color w:val="1F497D" w:themeColor="text2"/>
          <w:sz w:val="22"/>
          <w:szCs w:val="22"/>
        </w:rPr>
      </w:pPr>
      <w:r w:rsidRPr="0005477E">
        <w:rPr>
          <w:rFonts w:ascii="Verdana" w:hAnsi="Verdana" w:cs="Verdana"/>
          <w:b/>
          <w:bCs/>
          <w:caps/>
          <w:color w:val="1F497D" w:themeColor="text2"/>
          <w:sz w:val="22"/>
          <w:szCs w:val="22"/>
        </w:rPr>
        <w:t xml:space="preserve">negli ultimi 5 anni </w:t>
      </w:r>
      <w:r w:rsidR="004F70EE" w:rsidRPr="0005477E">
        <w:rPr>
          <w:rFonts w:ascii="Verdana" w:hAnsi="Verdana" w:cs="Verdana"/>
          <w:b/>
          <w:bCs/>
          <w:caps/>
          <w:color w:val="1F497D" w:themeColor="text2"/>
          <w:sz w:val="22"/>
          <w:szCs w:val="22"/>
        </w:rPr>
        <w:t xml:space="preserve">lo stock di posizioni deteriorate </w:t>
      </w:r>
      <w:r w:rsidRPr="0005477E">
        <w:rPr>
          <w:rFonts w:ascii="Verdana" w:hAnsi="Verdana" w:cs="Verdana"/>
          <w:b/>
          <w:bCs/>
          <w:caps/>
          <w:color w:val="1F497D" w:themeColor="text2"/>
          <w:sz w:val="22"/>
          <w:szCs w:val="22"/>
        </w:rPr>
        <w:t xml:space="preserve">si </w:t>
      </w:r>
      <w:r w:rsidR="009F78F3">
        <w:rPr>
          <w:rFonts w:ascii="Verdana" w:hAnsi="Verdana" w:cs="Verdana"/>
          <w:b/>
          <w:bCs/>
          <w:caps/>
          <w:color w:val="1F497D" w:themeColor="text2"/>
          <w:sz w:val="22"/>
          <w:szCs w:val="22"/>
        </w:rPr>
        <w:t xml:space="preserve">è </w:t>
      </w:r>
      <w:r w:rsidRPr="0005477E">
        <w:rPr>
          <w:rFonts w:ascii="Verdana" w:hAnsi="Verdana" w:cs="Verdana"/>
          <w:b/>
          <w:bCs/>
          <w:caps/>
          <w:color w:val="1F497D" w:themeColor="text2"/>
          <w:sz w:val="22"/>
          <w:szCs w:val="22"/>
        </w:rPr>
        <w:t>rid</w:t>
      </w:r>
      <w:r w:rsidR="009F78F3">
        <w:rPr>
          <w:rFonts w:ascii="Verdana" w:hAnsi="Verdana" w:cs="Verdana"/>
          <w:b/>
          <w:bCs/>
          <w:caps/>
          <w:color w:val="1F497D" w:themeColor="text2"/>
          <w:sz w:val="22"/>
          <w:szCs w:val="22"/>
        </w:rPr>
        <w:t>OTTO</w:t>
      </w:r>
      <w:r w:rsidRPr="0005477E">
        <w:rPr>
          <w:rFonts w:ascii="Verdana" w:hAnsi="Verdana" w:cs="Verdana"/>
          <w:b/>
          <w:bCs/>
          <w:caps/>
          <w:color w:val="1F497D" w:themeColor="text2"/>
          <w:sz w:val="22"/>
          <w:szCs w:val="22"/>
        </w:rPr>
        <w:t xml:space="preserve"> di un terzo</w:t>
      </w:r>
      <w:r w:rsidR="009F78F3">
        <w:rPr>
          <w:rFonts w:ascii="Verdana" w:hAnsi="Verdana" w:cs="Verdana"/>
          <w:b/>
          <w:bCs/>
          <w:caps/>
          <w:color w:val="1F497D" w:themeColor="text2"/>
          <w:sz w:val="22"/>
          <w:szCs w:val="22"/>
        </w:rPr>
        <w:t>.</w:t>
      </w:r>
      <w:r w:rsidR="004F70EE">
        <w:rPr>
          <w:rFonts w:ascii="Verdana" w:hAnsi="Verdana" w:cs="Verdana"/>
          <w:b/>
          <w:bCs/>
          <w:caps/>
          <w:color w:val="1F497D" w:themeColor="text2"/>
          <w:sz w:val="22"/>
          <w:szCs w:val="22"/>
        </w:rPr>
        <w:t xml:space="preserve"> a giugno 2020 il valore era pari a</w:t>
      </w:r>
      <w:r w:rsidR="009F78F3">
        <w:rPr>
          <w:rFonts w:ascii="Verdana" w:hAnsi="Verdana" w:cs="Verdana"/>
          <w:b/>
          <w:bCs/>
          <w:caps/>
          <w:color w:val="1F497D" w:themeColor="text2"/>
          <w:sz w:val="22"/>
          <w:szCs w:val="22"/>
        </w:rPr>
        <w:t xml:space="preserve"> </w:t>
      </w:r>
      <w:r w:rsidR="00D636C3">
        <w:rPr>
          <w:rFonts w:ascii="Verdana" w:hAnsi="Verdana" w:cs="Verdana"/>
          <w:b/>
          <w:bCs/>
          <w:caps/>
          <w:color w:val="1F497D" w:themeColor="text2"/>
          <w:sz w:val="22"/>
          <w:szCs w:val="22"/>
        </w:rPr>
        <w:t>11</w:t>
      </w:r>
      <w:r w:rsidRPr="0005477E">
        <w:rPr>
          <w:rFonts w:ascii="Verdana" w:hAnsi="Verdana" w:cs="Verdana"/>
          <w:b/>
          <w:bCs/>
          <w:caps/>
          <w:color w:val="1F497D" w:themeColor="text2"/>
          <w:sz w:val="22"/>
          <w:szCs w:val="22"/>
        </w:rPr>
        <w:t xml:space="preserve">0 </w:t>
      </w:r>
      <w:r w:rsidR="00DA6671">
        <w:rPr>
          <w:rFonts w:ascii="Verdana" w:hAnsi="Verdana" w:cs="Verdana"/>
          <w:b/>
          <w:bCs/>
          <w:caps/>
          <w:color w:val="1F497D" w:themeColor="text2"/>
          <w:sz w:val="22"/>
          <w:szCs w:val="22"/>
        </w:rPr>
        <w:t>miliardi di EURO</w:t>
      </w:r>
      <w:r w:rsidR="00FA107B" w:rsidRPr="0005477E">
        <w:rPr>
          <w:rFonts w:ascii="Verdana" w:hAnsi="Verdana" w:cs="Verdana"/>
          <w:b/>
          <w:bCs/>
          <w:caps/>
          <w:color w:val="1F497D" w:themeColor="text2"/>
          <w:sz w:val="22"/>
          <w:szCs w:val="22"/>
        </w:rPr>
        <w:t xml:space="preserve"> </w:t>
      </w:r>
      <w:r w:rsidR="004F70EE">
        <w:rPr>
          <w:rFonts w:ascii="Verdana" w:hAnsi="Verdana" w:cs="Verdana"/>
          <w:b/>
          <w:bCs/>
          <w:caps/>
          <w:color w:val="1F497D" w:themeColor="text2"/>
          <w:sz w:val="22"/>
          <w:szCs w:val="22"/>
        </w:rPr>
        <w:t>ma gli effetti della pandemia sono destinati a farsi sentire già a partire dai prossimi mesi</w:t>
      </w:r>
    </w:p>
    <w:p w14:paraId="72D7B4AA" w14:textId="769A8046" w:rsidR="0080069F" w:rsidRPr="0005477E" w:rsidRDefault="0080069F" w:rsidP="0080069F">
      <w:pPr>
        <w:jc w:val="center"/>
        <w:rPr>
          <w:rFonts w:ascii="Verdana" w:hAnsi="Verdana" w:cs="Verdana"/>
          <w:b/>
          <w:bCs/>
          <w:caps/>
          <w:color w:val="1F497D" w:themeColor="text2"/>
          <w:sz w:val="22"/>
          <w:szCs w:val="22"/>
        </w:rPr>
      </w:pPr>
    </w:p>
    <w:p w14:paraId="68D6B60F" w14:textId="7E8DE63C" w:rsidR="004F70EE" w:rsidRPr="00BD0560" w:rsidRDefault="00BD0560" w:rsidP="00BD0560">
      <w:pPr>
        <w:pStyle w:val="ListParagraph"/>
        <w:numPr>
          <w:ilvl w:val="0"/>
          <w:numId w:val="9"/>
        </w:numPr>
        <w:jc w:val="both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  <w:r>
        <w:rPr>
          <w:rFonts w:ascii="Verdana" w:hAnsi="Verdana" w:cs="Verdana"/>
          <w:b/>
          <w:bCs/>
          <w:color w:val="1F497D" w:themeColor="text2"/>
          <w:sz w:val="20"/>
          <w:szCs w:val="20"/>
        </w:rPr>
        <w:t>A</w:t>
      </w:r>
      <w:r w:rsidR="00DA6671">
        <w:rPr>
          <w:rFonts w:ascii="Verdana" w:hAnsi="Verdana" w:cs="Verdana"/>
          <w:b/>
          <w:bCs/>
          <w:color w:val="1F497D" w:themeColor="text2"/>
          <w:sz w:val="20"/>
          <w:szCs w:val="20"/>
        </w:rPr>
        <w:t>nche grazie agli interventi straordinari per minimizzare gli impatti dell’emergenza, a</w:t>
      </w:r>
      <w:r>
        <w:rPr>
          <w:rFonts w:ascii="Verdana" w:hAnsi="Verdana" w:cs="Verdana"/>
          <w:b/>
          <w:bCs/>
          <w:color w:val="1F497D" w:themeColor="text2"/>
          <w:sz w:val="20"/>
          <w:szCs w:val="20"/>
        </w:rPr>
        <w:t xml:space="preserve"> giugno 2020 si registra un miglioramento </w:t>
      </w:r>
      <w:r w:rsidR="0005477E" w:rsidRPr="00BD0560">
        <w:rPr>
          <w:rFonts w:ascii="Verdana" w:hAnsi="Verdana" w:cs="Verdana"/>
          <w:b/>
          <w:bCs/>
          <w:color w:val="1F497D" w:themeColor="text2"/>
          <w:sz w:val="20"/>
          <w:szCs w:val="20"/>
        </w:rPr>
        <w:t>del tasso di default</w:t>
      </w:r>
      <w:r w:rsidR="009F78F3" w:rsidRPr="00BD0560">
        <w:rPr>
          <w:rFonts w:ascii="Verdana" w:hAnsi="Verdana" w:cs="Verdana"/>
          <w:b/>
          <w:bCs/>
          <w:color w:val="1F497D" w:themeColor="text2"/>
          <w:sz w:val="20"/>
          <w:szCs w:val="20"/>
        </w:rPr>
        <w:t xml:space="preserve"> delle imprese</w:t>
      </w:r>
      <w:r w:rsidR="004F70EE" w:rsidRPr="00BD0560">
        <w:rPr>
          <w:rFonts w:ascii="Verdana" w:hAnsi="Verdana" w:cs="Verdana"/>
          <w:b/>
          <w:bCs/>
          <w:color w:val="1F497D" w:themeColor="text2"/>
          <w:sz w:val="20"/>
          <w:szCs w:val="20"/>
        </w:rPr>
        <w:t xml:space="preserve">, </w:t>
      </w:r>
      <w:r w:rsidR="0005477E" w:rsidRPr="00BD0560">
        <w:rPr>
          <w:rFonts w:ascii="Verdana" w:hAnsi="Verdana" w:cs="Verdana"/>
          <w:b/>
          <w:bCs/>
          <w:color w:val="1F497D" w:themeColor="text2"/>
          <w:sz w:val="20"/>
          <w:szCs w:val="20"/>
        </w:rPr>
        <w:t xml:space="preserve">soprattutto per le persone giuridiche e </w:t>
      </w:r>
      <w:r w:rsidR="009B40B9" w:rsidRPr="00BD0560">
        <w:rPr>
          <w:rFonts w:ascii="Verdana" w:hAnsi="Verdana" w:cs="Verdana"/>
          <w:b/>
          <w:bCs/>
          <w:color w:val="1F497D" w:themeColor="text2"/>
          <w:sz w:val="20"/>
          <w:szCs w:val="20"/>
        </w:rPr>
        <w:t xml:space="preserve">per </w:t>
      </w:r>
      <w:r w:rsidR="0005477E" w:rsidRPr="00BD0560">
        <w:rPr>
          <w:rFonts w:ascii="Verdana" w:hAnsi="Verdana" w:cs="Verdana"/>
          <w:b/>
          <w:bCs/>
          <w:color w:val="1F497D" w:themeColor="text2"/>
          <w:sz w:val="20"/>
          <w:szCs w:val="20"/>
        </w:rPr>
        <w:t>le società di capitali</w:t>
      </w:r>
      <w:r w:rsidR="004F70EE" w:rsidRPr="00BD0560">
        <w:rPr>
          <w:rFonts w:ascii="Verdana" w:hAnsi="Verdana" w:cs="Verdana"/>
          <w:b/>
          <w:bCs/>
          <w:color w:val="1F497D" w:themeColor="text2"/>
          <w:sz w:val="20"/>
          <w:szCs w:val="20"/>
        </w:rPr>
        <w:t>.</w:t>
      </w:r>
    </w:p>
    <w:p w14:paraId="46AAF98C" w14:textId="6754AD49" w:rsidR="00FC3BC5" w:rsidRPr="00BD0560" w:rsidRDefault="004F70EE" w:rsidP="00BD0560">
      <w:pPr>
        <w:pStyle w:val="ListParagraph"/>
        <w:numPr>
          <w:ilvl w:val="0"/>
          <w:numId w:val="9"/>
        </w:numPr>
        <w:jc w:val="both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  <w:r w:rsidRPr="00BD0560">
        <w:rPr>
          <w:rFonts w:ascii="Verdana" w:hAnsi="Verdana" w:cs="Verdana"/>
          <w:b/>
          <w:bCs/>
          <w:color w:val="1F497D" w:themeColor="text2"/>
          <w:sz w:val="20"/>
          <w:szCs w:val="20"/>
        </w:rPr>
        <w:t xml:space="preserve">Il 77% dei crediti deteriorati presenti sul mercato a </w:t>
      </w:r>
      <w:r w:rsidR="00BD0560">
        <w:rPr>
          <w:rFonts w:ascii="Verdana" w:hAnsi="Verdana" w:cs="Verdana"/>
          <w:b/>
          <w:bCs/>
          <w:color w:val="1F497D" w:themeColor="text2"/>
          <w:sz w:val="20"/>
          <w:szCs w:val="20"/>
        </w:rPr>
        <w:t xml:space="preserve">fine </w:t>
      </w:r>
      <w:r w:rsidRPr="00BD0560">
        <w:rPr>
          <w:rFonts w:ascii="Verdana" w:hAnsi="Verdana" w:cs="Verdana"/>
          <w:b/>
          <w:bCs/>
          <w:color w:val="1F497D" w:themeColor="text2"/>
          <w:sz w:val="20"/>
          <w:szCs w:val="20"/>
        </w:rPr>
        <w:t>giugno è imputabile alle Società non Finanziarie.</w:t>
      </w:r>
      <w:r w:rsidR="00BD0560" w:rsidRPr="00BD0560">
        <w:rPr>
          <w:rFonts w:ascii="Verdana" w:hAnsi="Verdana" w:cs="Verdana"/>
          <w:b/>
          <w:bCs/>
          <w:color w:val="1F497D" w:themeColor="text2"/>
          <w:sz w:val="20"/>
          <w:szCs w:val="20"/>
        </w:rPr>
        <w:t xml:space="preserve"> Solo l’8% è riconducibile a</w:t>
      </w:r>
      <w:r w:rsidR="0075446D">
        <w:rPr>
          <w:rFonts w:ascii="Verdana" w:hAnsi="Verdana" w:cs="Verdana"/>
          <w:b/>
          <w:bCs/>
          <w:color w:val="1F497D" w:themeColor="text2"/>
          <w:sz w:val="20"/>
          <w:szCs w:val="20"/>
        </w:rPr>
        <w:t>i consumator</w:t>
      </w:r>
      <w:r w:rsidR="00BD0560" w:rsidRPr="00BD0560">
        <w:rPr>
          <w:rFonts w:ascii="Verdana" w:hAnsi="Verdana" w:cs="Verdana"/>
          <w:b/>
          <w:bCs/>
          <w:color w:val="1F497D" w:themeColor="text2"/>
          <w:sz w:val="20"/>
          <w:szCs w:val="20"/>
        </w:rPr>
        <w:t>i.</w:t>
      </w:r>
    </w:p>
    <w:p w14:paraId="1D94E717" w14:textId="77777777" w:rsidR="00BD0560" w:rsidRDefault="00BD0560" w:rsidP="004F70EE">
      <w:pPr>
        <w:jc w:val="center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14:paraId="6EC10227" w14:textId="77777777" w:rsidR="004F70EE" w:rsidRPr="004F70EE" w:rsidRDefault="004F70EE" w:rsidP="004F70EE">
      <w:pPr>
        <w:jc w:val="center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14:paraId="765FE7FA" w14:textId="77777777" w:rsidR="009F78F3" w:rsidRDefault="0080069F" w:rsidP="00CD0A20">
      <w:pPr>
        <w:jc w:val="both"/>
        <w:rPr>
          <w:rFonts w:ascii="Verdana" w:hAnsi="Verdana" w:cs="Verdana"/>
          <w:bCs/>
          <w:sz w:val="20"/>
          <w:szCs w:val="22"/>
        </w:rPr>
      </w:pPr>
      <w:r w:rsidRPr="003917FB">
        <w:rPr>
          <w:rFonts w:ascii="Verdana" w:hAnsi="Verdana" w:cs="Verdana"/>
          <w:bCs/>
          <w:i/>
          <w:iCs/>
          <w:sz w:val="20"/>
          <w:szCs w:val="22"/>
        </w:rPr>
        <w:t xml:space="preserve">Bologna, </w:t>
      </w:r>
      <w:r w:rsidR="009F78F3">
        <w:rPr>
          <w:rFonts w:ascii="Verdana" w:hAnsi="Verdana" w:cs="Verdana"/>
          <w:bCs/>
          <w:i/>
          <w:iCs/>
          <w:sz w:val="20"/>
          <w:szCs w:val="22"/>
        </w:rPr>
        <w:t>16</w:t>
      </w:r>
      <w:r w:rsidRPr="003917FB">
        <w:rPr>
          <w:rFonts w:ascii="Verdana" w:hAnsi="Verdana" w:cs="Verdana"/>
          <w:bCs/>
          <w:i/>
          <w:iCs/>
          <w:sz w:val="20"/>
          <w:szCs w:val="22"/>
        </w:rPr>
        <w:t xml:space="preserve"> </w:t>
      </w:r>
      <w:r w:rsidR="00CD0A20">
        <w:rPr>
          <w:rFonts w:ascii="Verdana" w:hAnsi="Verdana" w:cs="Verdana"/>
          <w:bCs/>
          <w:i/>
          <w:iCs/>
          <w:sz w:val="20"/>
          <w:szCs w:val="22"/>
        </w:rPr>
        <w:t>dic</w:t>
      </w:r>
      <w:r w:rsidR="009D0C76" w:rsidRPr="003917FB">
        <w:rPr>
          <w:rFonts w:ascii="Verdana" w:hAnsi="Verdana" w:cs="Verdana"/>
          <w:bCs/>
          <w:i/>
          <w:iCs/>
          <w:sz w:val="20"/>
          <w:szCs w:val="22"/>
        </w:rPr>
        <w:t>embre</w:t>
      </w:r>
      <w:r w:rsidRPr="003917FB">
        <w:rPr>
          <w:rFonts w:ascii="Verdana" w:hAnsi="Verdana" w:cs="Verdana"/>
          <w:bCs/>
          <w:i/>
          <w:iCs/>
          <w:sz w:val="20"/>
          <w:szCs w:val="22"/>
        </w:rPr>
        <w:t xml:space="preserve"> 2020</w:t>
      </w:r>
      <w:r w:rsidRPr="004475AE">
        <w:rPr>
          <w:rFonts w:ascii="Verdana" w:hAnsi="Verdana" w:cs="Verdana"/>
          <w:bCs/>
          <w:sz w:val="20"/>
          <w:szCs w:val="22"/>
        </w:rPr>
        <w:t xml:space="preserve"> </w:t>
      </w:r>
      <w:r w:rsidR="00F014E3" w:rsidRPr="004475AE">
        <w:rPr>
          <w:rFonts w:ascii="Verdana" w:hAnsi="Verdana" w:cs="Verdana"/>
          <w:bCs/>
          <w:sz w:val="20"/>
          <w:szCs w:val="22"/>
        </w:rPr>
        <w:t>–</w:t>
      </w:r>
      <w:r w:rsidRPr="004475AE">
        <w:rPr>
          <w:rFonts w:ascii="Verdana" w:hAnsi="Verdana" w:cs="Verdana"/>
          <w:bCs/>
          <w:sz w:val="20"/>
          <w:szCs w:val="22"/>
        </w:rPr>
        <w:t xml:space="preserve"> </w:t>
      </w:r>
      <w:r w:rsidR="000340CB">
        <w:rPr>
          <w:rFonts w:ascii="Verdana" w:hAnsi="Verdana" w:cs="Verdana"/>
          <w:bCs/>
          <w:sz w:val="20"/>
          <w:szCs w:val="22"/>
        </w:rPr>
        <w:t>N</w:t>
      </w:r>
      <w:r w:rsidR="000340CB" w:rsidRPr="00CD0A20">
        <w:rPr>
          <w:rFonts w:ascii="Verdana" w:hAnsi="Verdana" w:cs="Verdana"/>
          <w:bCs/>
          <w:sz w:val="20"/>
          <w:szCs w:val="22"/>
        </w:rPr>
        <w:t xml:space="preserve">egli ultimi anni </w:t>
      </w:r>
      <w:r w:rsidR="000340CB">
        <w:rPr>
          <w:rFonts w:ascii="Verdana" w:hAnsi="Verdana" w:cs="Verdana"/>
          <w:bCs/>
          <w:sz w:val="20"/>
          <w:szCs w:val="22"/>
        </w:rPr>
        <w:t>i</w:t>
      </w:r>
      <w:r w:rsidR="00CD0A20" w:rsidRPr="00CD0A20">
        <w:rPr>
          <w:rFonts w:ascii="Verdana" w:hAnsi="Verdana" w:cs="Verdana"/>
          <w:bCs/>
          <w:sz w:val="20"/>
          <w:szCs w:val="22"/>
        </w:rPr>
        <w:t>l tema degli NPE</w:t>
      </w:r>
      <w:r w:rsidR="000340CB">
        <w:rPr>
          <w:rFonts w:ascii="Verdana" w:hAnsi="Verdana" w:cs="Verdana"/>
          <w:bCs/>
          <w:sz w:val="20"/>
          <w:szCs w:val="22"/>
        </w:rPr>
        <w:t xml:space="preserve"> (Non Performing Exposure)</w:t>
      </w:r>
      <w:r w:rsidR="00CD0A20" w:rsidRPr="00CD0A20">
        <w:rPr>
          <w:rFonts w:ascii="Verdana" w:hAnsi="Verdana" w:cs="Verdana"/>
          <w:bCs/>
          <w:sz w:val="20"/>
          <w:szCs w:val="22"/>
        </w:rPr>
        <w:t xml:space="preserve"> è stato, anche a seguito della crisi del 2008, un tema strategico</w:t>
      </w:r>
      <w:r w:rsidR="000340CB">
        <w:rPr>
          <w:rFonts w:ascii="Verdana" w:hAnsi="Verdana" w:cs="Verdana"/>
          <w:bCs/>
          <w:sz w:val="20"/>
          <w:szCs w:val="22"/>
        </w:rPr>
        <w:t xml:space="preserve"> </w:t>
      </w:r>
      <w:r w:rsidR="009F78F3">
        <w:rPr>
          <w:rFonts w:ascii="Verdana" w:hAnsi="Verdana" w:cs="Verdana"/>
          <w:bCs/>
          <w:sz w:val="20"/>
          <w:szCs w:val="22"/>
        </w:rPr>
        <w:t>per il settore</w:t>
      </w:r>
      <w:r w:rsidR="000340CB">
        <w:rPr>
          <w:rFonts w:ascii="Verdana" w:hAnsi="Verdana" w:cs="Verdana"/>
          <w:bCs/>
          <w:sz w:val="20"/>
          <w:szCs w:val="22"/>
        </w:rPr>
        <w:t xml:space="preserve"> bancario</w:t>
      </w:r>
      <w:r w:rsidR="00CD0A20">
        <w:rPr>
          <w:rFonts w:ascii="Verdana" w:hAnsi="Verdana" w:cs="Verdana"/>
          <w:bCs/>
          <w:sz w:val="20"/>
          <w:szCs w:val="22"/>
        </w:rPr>
        <w:t xml:space="preserve"> </w:t>
      </w:r>
      <w:r w:rsidR="00CD0A20" w:rsidRPr="00CD0A20">
        <w:rPr>
          <w:rFonts w:ascii="Verdana" w:hAnsi="Verdana" w:cs="Verdana"/>
          <w:bCs/>
          <w:sz w:val="20"/>
          <w:szCs w:val="22"/>
        </w:rPr>
        <w:t>e</w:t>
      </w:r>
      <w:r w:rsidR="00CD0A20">
        <w:rPr>
          <w:rFonts w:ascii="Verdana" w:hAnsi="Verdana" w:cs="Verdana"/>
          <w:bCs/>
          <w:sz w:val="20"/>
          <w:szCs w:val="22"/>
        </w:rPr>
        <w:t>,</w:t>
      </w:r>
      <w:r w:rsidR="00CD0A20" w:rsidRPr="00CD0A20">
        <w:rPr>
          <w:rFonts w:ascii="Verdana" w:hAnsi="Verdana" w:cs="Verdana"/>
          <w:bCs/>
          <w:sz w:val="20"/>
          <w:szCs w:val="22"/>
        </w:rPr>
        <w:t xml:space="preserve"> con estrema probabilità</w:t>
      </w:r>
      <w:r w:rsidR="00CD0A20">
        <w:rPr>
          <w:rFonts w:ascii="Verdana" w:hAnsi="Verdana" w:cs="Verdana"/>
          <w:bCs/>
          <w:sz w:val="20"/>
          <w:szCs w:val="22"/>
        </w:rPr>
        <w:t>,</w:t>
      </w:r>
      <w:r w:rsidR="00CD0A20" w:rsidRPr="00CD0A20">
        <w:rPr>
          <w:rFonts w:ascii="Verdana" w:hAnsi="Verdana" w:cs="Verdana"/>
          <w:bCs/>
          <w:sz w:val="20"/>
          <w:szCs w:val="22"/>
        </w:rPr>
        <w:t xml:space="preserve"> continuerà a esserlo anche nei prossimi anni in funzione </w:t>
      </w:r>
      <w:r w:rsidR="009F78F3">
        <w:rPr>
          <w:rFonts w:ascii="Verdana" w:hAnsi="Verdana" w:cs="Verdana"/>
          <w:bCs/>
          <w:sz w:val="20"/>
          <w:szCs w:val="22"/>
        </w:rPr>
        <w:t>degli impatti causati dalla pandemia di</w:t>
      </w:r>
      <w:r w:rsidR="00CD0A20" w:rsidRPr="00CD0A20">
        <w:rPr>
          <w:rFonts w:ascii="Verdana" w:hAnsi="Verdana" w:cs="Verdana"/>
          <w:bCs/>
          <w:sz w:val="20"/>
          <w:szCs w:val="22"/>
        </w:rPr>
        <w:t xml:space="preserve"> Covid-19.</w:t>
      </w:r>
      <w:r w:rsidR="00CD0A20">
        <w:rPr>
          <w:rFonts w:ascii="Verdana" w:hAnsi="Verdana" w:cs="Verdana"/>
          <w:bCs/>
          <w:sz w:val="20"/>
          <w:szCs w:val="22"/>
        </w:rPr>
        <w:t xml:space="preserve"> </w:t>
      </w:r>
    </w:p>
    <w:p w14:paraId="1E06DC9C" w14:textId="52D8039C" w:rsidR="00CD0A20" w:rsidRDefault="009F78F3" w:rsidP="00CD0A20">
      <w:pPr>
        <w:jc w:val="both"/>
        <w:rPr>
          <w:rFonts w:ascii="Verdana" w:hAnsi="Verdana" w:cs="Verdana"/>
          <w:bCs/>
          <w:sz w:val="20"/>
          <w:szCs w:val="22"/>
        </w:rPr>
      </w:pPr>
      <w:r>
        <w:rPr>
          <w:rFonts w:ascii="Verdana" w:hAnsi="Verdana" w:cs="Verdana"/>
          <w:bCs/>
          <w:sz w:val="20"/>
          <w:szCs w:val="22"/>
        </w:rPr>
        <w:t xml:space="preserve">Con </w:t>
      </w:r>
      <w:r w:rsidRPr="00CD0A20">
        <w:rPr>
          <w:rFonts w:ascii="Verdana" w:hAnsi="Verdana" w:cs="Verdana"/>
          <w:bCs/>
          <w:sz w:val="20"/>
          <w:szCs w:val="22"/>
        </w:rPr>
        <w:t>l’obiettivo forn</w:t>
      </w:r>
      <w:r>
        <w:rPr>
          <w:rFonts w:ascii="Verdana" w:hAnsi="Verdana" w:cs="Verdana"/>
          <w:bCs/>
          <w:sz w:val="20"/>
          <w:szCs w:val="22"/>
        </w:rPr>
        <w:t xml:space="preserve">ire </w:t>
      </w:r>
      <w:r w:rsidRPr="00CD0A20">
        <w:rPr>
          <w:rFonts w:ascii="Verdana" w:hAnsi="Verdana" w:cs="Verdana"/>
          <w:bCs/>
          <w:sz w:val="20"/>
          <w:szCs w:val="22"/>
        </w:rPr>
        <w:t xml:space="preserve">una visione complessiva </w:t>
      </w:r>
      <w:r>
        <w:rPr>
          <w:rFonts w:ascii="Verdana" w:hAnsi="Verdana" w:cs="Verdana"/>
          <w:bCs/>
          <w:sz w:val="20"/>
          <w:szCs w:val="22"/>
        </w:rPr>
        <w:t xml:space="preserve">e costantemente aggiornata </w:t>
      </w:r>
      <w:r w:rsidRPr="00CD0A20">
        <w:rPr>
          <w:rFonts w:ascii="Verdana" w:hAnsi="Verdana" w:cs="Verdana"/>
          <w:bCs/>
          <w:sz w:val="20"/>
          <w:szCs w:val="22"/>
        </w:rPr>
        <w:t>del mercato rispetto al rischio di credito e alla dinamica delle procedure giudiziali</w:t>
      </w:r>
      <w:r w:rsidR="00CD0A20" w:rsidRPr="00CD0A20">
        <w:rPr>
          <w:rFonts w:ascii="Verdana" w:hAnsi="Verdana" w:cs="Verdana"/>
          <w:bCs/>
          <w:sz w:val="20"/>
          <w:szCs w:val="22"/>
        </w:rPr>
        <w:t xml:space="preserve">, </w:t>
      </w:r>
      <w:r w:rsidR="00CD0A20" w:rsidRPr="009F78F3">
        <w:rPr>
          <w:rFonts w:ascii="Verdana" w:hAnsi="Verdana" w:cs="Verdana"/>
          <w:b/>
          <w:bCs/>
          <w:sz w:val="20"/>
          <w:szCs w:val="22"/>
        </w:rPr>
        <w:t>CRIBIS Credit Management</w:t>
      </w:r>
      <w:r w:rsidR="00CD0A20" w:rsidRPr="00CD0A20">
        <w:rPr>
          <w:rFonts w:ascii="Verdana" w:hAnsi="Verdana" w:cs="Verdana"/>
          <w:bCs/>
          <w:sz w:val="20"/>
          <w:szCs w:val="22"/>
        </w:rPr>
        <w:t xml:space="preserve"> </w:t>
      </w:r>
      <w:r>
        <w:rPr>
          <w:rFonts w:ascii="Verdana" w:hAnsi="Verdana" w:cs="Verdana"/>
          <w:bCs/>
          <w:sz w:val="20"/>
          <w:szCs w:val="22"/>
        </w:rPr>
        <w:t xml:space="preserve">– la società del Gruppo CRIF specializzata </w:t>
      </w:r>
      <w:r w:rsidRPr="009F78F3">
        <w:rPr>
          <w:rFonts w:ascii="Verdana" w:hAnsi="Verdana" w:cs="Verdana"/>
          <w:bCs/>
          <w:sz w:val="20"/>
          <w:szCs w:val="22"/>
        </w:rPr>
        <w:t xml:space="preserve">nella gestione </w:t>
      </w:r>
      <w:r>
        <w:rPr>
          <w:rFonts w:ascii="Verdana" w:hAnsi="Verdana" w:cs="Verdana"/>
          <w:bCs/>
          <w:sz w:val="20"/>
          <w:szCs w:val="22"/>
        </w:rPr>
        <w:t>in outsourcing dei processi di c</w:t>
      </w:r>
      <w:r w:rsidRPr="009F78F3">
        <w:rPr>
          <w:rFonts w:ascii="Verdana" w:hAnsi="Verdana" w:cs="Verdana"/>
          <w:bCs/>
          <w:sz w:val="20"/>
          <w:szCs w:val="22"/>
        </w:rPr>
        <w:t xml:space="preserve">ollection e di NPL management </w:t>
      </w:r>
      <w:r>
        <w:rPr>
          <w:rFonts w:ascii="Verdana" w:hAnsi="Verdana" w:cs="Verdana"/>
          <w:bCs/>
          <w:sz w:val="20"/>
          <w:szCs w:val="22"/>
        </w:rPr>
        <w:t xml:space="preserve">- </w:t>
      </w:r>
      <w:r w:rsidR="00CD0A20">
        <w:rPr>
          <w:rFonts w:ascii="Verdana" w:hAnsi="Verdana" w:cs="Verdana"/>
          <w:bCs/>
          <w:sz w:val="20"/>
          <w:szCs w:val="22"/>
        </w:rPr>
        <w:t xml:space="preserve">ha </w:t>
      </w:r>
      <w:r w:rsidR="00E3259D">
        <w:rPr>
          <w:rFonts w:ascii="Verdana" w:hAnsi="Verdana" w:cs="Verdana"/>
          <w:bCs/>
          <w:sz w:val="20"/>
          <w:szCs w:val="22"/>
        </w:rPr>
        <w:t>presentato la prima edizione dell’</w:t>
      </w:r>
      <w:r w:rsidR="00CD0A20" w:rsidRPr="009F78F3">
        <w:rPr>
          <w:rFonts w:ascii="Verdana" w:hAnsi="Verdana" w:cs="Verdana"/>
          <w:b/>
          <w:bCs/>
          <w:sz w:val="20"/>
          <w:szCs w:val="22"/>
        </w:rPr>
        <w:t>Osservatorio NPE</w:t>
      </w:r>
      <w:r w:rsidR="00CD0A20" w:rsidRPr="00CD0A20">
        <w:rPr>
          <w:rFonts w:ascii="Verdana" w:hAnsi="Verdana" w:cs="Verdana"/>
          <w:bCs/>
          <w:sz w:val="20"/>
          <w:szCs w:val="22"/>
        </w:rPr>
        <w:t>.</w:t>
      </w:r>
      <w:r w:rsidR="00CD0A20">
        <w:rPr>
          <w:rFonts w:ascii="Verdana" w:hAnsi="Verdana" w:cs="Verdana"/>
          <w:bCs/>
          <w:sz w:val="20"/>
          <w:szCs w:val="22"/>
        </w:rPr>
        <w:t xml:space="preserve"> </w:t>
      </w:r>
    </w:p>
    <w:p w14:paraId="19A9C6D7" w14:textId="77777777" w:rsidR="00CD0A20" w:rsidRDefault="00CD0A20" w:rsidP="00CD0A20">
      <w:pPr>
        <w:jc w:val="both"/>
        <w:rPr>
          <w:rFonts w:ascii="Verdana" w:hAnsi="Verdana" w:cs="Verdana"/>
          <w:bCs/>
          <w:sz w:val="20"/>
          <w:szCs w:val="22"/>
        </w:rPr>
      </w:pPr>
    </w:p>
    <w:p w14:paraId="41511CBB" w14:textId="319CA9B6" w:rsidR="00CD0A20" w:rsidRPr="00D636C3" w:rsidRDefault="009F78F3" w:rsidP="00CD0A20">
      <w:pPr>
        <w:jc w:val="both"/>
        <w:rPr>
          <w:rFonts w:ascii="Verdana" w:hAnsi="Verdana" w:cs="Verdana"/>
          <w:bCs/>
          <w:sz w:val="20"/>
          <w:szCs w:val="22"/>
        </w:rPr>
      </w:pPr>
      <w:r>
        <w:rPr>
          <w:rFonts w:ascii="Verdana" w:hAnsi="Verdana" w:cs="Verdana"/>
          <w:bCs/>
          <w:sz w:val="20"/>
          <w:szCs w:val="22"/>
        </w:rPr>
        <w:t>L</w:t>
      </w:r>
      <w:r w:rsidR="00CD0A20">
        <w:rPr>
          <w:rFonts w:ascii="Verdana" w:hAnsi="Verdana" w:cs="Verdana"/>
          <w:bCs/>
          <w:sz w:val="20"/>
          <w:szCs w:val="22"/>
        </w:rPr>
        <w:t xml:space="preserve">a prima area </w:t>
      </w:r>
      <w:r>
        <w:rPr>
          <w:rFonts w:ascii="Verdana" w:hAnsi="Verdana" w:cs="Verdana"/>
          <w:bCs/>
          <w:sz w:val="20"/>
          <w:szCs w:val="22"/>
        </w:rPr>
        <w:t>di approfondimento</w:t>
      </w:r>
      <w:r w:rsidR="00CD0A20">
        <w:rPr>
          <w:rFonts w:ascii="Verdana" w:hAnsi="Verdana" w:cs="Verdana"/>
          <w:bCs/>
          <w:sz w:val="20"/>
          <w:szCs w:val="22"/>
        </w:rPr>
        <w:t xml:space="preserve"> dall’Osservatorio</w:t>
      </w:r>
      <w:r w:rsidR="00D636C3">
        <w:rPr>
          <w:rFonts w:ascii="Verdana" w:hAnsi="Verdana" w:cs="Verdana"/>
          <w:bCs/>
          <w:sz w:val="20"/>
          <w:szCs w:val="22"/>
        </w:rPr>
        <w:t>, fondamentale per comprendere</w:t>
      </w:r>
      <w:r w:rsidR="00D636C3" w:rsidRPr="00D636C3">
        <w:rPr>
          <w:rFonts w:ascii="Verdana" w:hAnsi="Verdana" w:cs="Verdana"/>
          <w:bCs/>
          <w:sz w:val="20"/>
          <w:szCs w:val="22"/>
        </w:rPr>
        <w:t xml:space="preserve"> la dinamica in atto</w:t>
      </w:r>
      <w:r w:rsidR="00D636C3">
        <w:rPr>
          <w:rFonts w:ascii="Verdana" w:hAnsi="Verdana" w:cs="Verdana"/>
          <w:bCs/>
          <w:sz w:val="20"/>
          <w:szCs w:val="22"/>
        </w:rPr>
        <w:t xml:space="preserve">, </w:t>
      </w:r>
      <w:r w:rsidR="00CD0A20">
        <w:rPr>
          <w:rFonts w:ascii="Verdana" w:hAnsi="Verdana" w:cs="Verdana"/>
          <w:bCs/>
          <w:sz w:val="20"/>
          <w:szCs w:val="22"/>
        </w:rPr>
        <w:t xml:space="preserve">è </w:t>
      </w:r>
      <w:r>
        <w:rPr>
          <w:rFonts w:ascii="Verdana" w:hAnsi="Verdana" w:cs="Verdana"/>
          <w:bCs/>
          <w:sz w:val="20"/>
          <w:szCs w:val="22"/>
        </w:rPr>
        <w:t>rappresentata dalla</w:t>
      </w:r>
      <w:r w:rsidR="00CD0A20" w:rsidRPr="00CD0A20">
        <w:rPr>
          <w:rFonts w:ascii="Verdana" w:hAnsi="Verdana" w:cs="Verdana"/>
          <w:bCs/>
          <w:sz w:val="20"/>
          <w:szCs w:val="22"/>
        </w:rPr>
        <w:t xml:space="preserve"> fase di origination degli NPE, caratterizzata dal rischio di credito</w:t>
      </w:r>
      <w:r>
        <w:rPr>
          <w:rFonts w:ascii="Verdana" w:hAnsi="Verdana" w:cs="Verdana"/>
          <w:bCs/>
          <w:sz w:val="20"/>
          <w:szCs w:val="22"/>
        </w:rPr>
        <w:t>. Nello specifico, l</w:t>
      </w:r>
      <w:r w:rsidR="003234F4">
        <w:rPr>
          <w:rFonts w:ascii="Verdana" w:hAnsi="Verdana" w:cs="Verdana"/>
          <w:bCs/>
          <w:sz w:val="20"/>
          <w:szCs w:val="22"/>
        </w:rPr>
        <w:t xml:space="preserve">’analisi dei tassi di default </w:t>
      </w:r>
      <w:r w:rsidR="003234F4" w:rsidRPr="003234F4">
        <w:rPr>
          <w:rFonts w:ascii="Verdana" w:hAnsi="Verdana" w:cs="Verdana"/>
          <w:bCs/>
          <w:sz w:val="20"/>
          <w:szCs w:val="22"/>
        </w:rPr>
        <w:t xml:space="preserve">nel periodo </w:t>
      </w:r>
      <w:r>
        <w:rPr>
          <w:rFonts w:ascii="Verdana" w:hAnsi="Verdana" w:cs="Verdana"/>
          <w:bCs/>
          <w:sz w:val="20"/>
          <w:szCs w:val="22"/>
        </w:rPr>
        <w:t>compreso tra giugno 2016 e</w:t>
      </w:r>
      <w:r w:rsidR="003234F4" w:rsidRPr="003234F4">
        <w:rPr>
          <w:rFonts w:ascii="Verdana" w:hAnsi="Verdana" w:cs="Verdana"/>
          <w:bCs/>
          <w:sz w:val="20"/>
          <w:szCs w:val="22"/>
        </w:rPr>
        <w:t xml:space="preserve"> giugno 2020</w:t>
      </w:r>
      <w:r w:rsidR="003234F4">
        <w:rPr>
          <w:rFonts w:ascii="Verdana" w:hAnsi="Verdana" w:cs="Verdana"/>
          <w:bCs/>
          <w:sz w:val="20"/>
          <w:szCs w:val="22"/>
        </w:rPr>
        <w:t xml:space="preserve"> mostra un andamento</w:t>
      </w:r>
      <w:r w:rsidR="003234F4" w:rsidRPr="003234F4">
        <w:rPr>
          <w:rFonts w:ascii="Verdana" w:hAnsi="Verdana" w:cs="Verdana"/>
          <w:bCs/>
          <w:sz w:val="20"/>
          <w:szCs w:val="22"/>
        </w:rPr>
        <w:t xml:space="preserve"> decrescent</w:t>
      </w:r>
      <w:r w:rsidR="003234F4">
        <w:rPr>
          <w:rFonts w:ascii="Verdana" w:hAnsi="Verdana" w:cs="Verdana"/>
          <w:bCs/>
          <w:sz w:val="20"/>
          <w:szCs w:val="22"/>
        </w:rPr>
        <w:t>e</w:t>
      </w:r>
      <w:r w:rsidR="003234F4" w:rsidRPr="003234F4">
        <w:rPr>
          <w:rFonts w:ascii="Verdana" w:hAnsi="Verdana" w:cs="Verdana"/>
          <w:bCs/>
          <w:sz w:val="20"/>
          <w:szCs w:val="22"/>
        </w:rPr>
        <w:t>, in misura contenuta per le persone fisiche</w:t>
      </w:r>
      <w:r w:rsidR="003234F4">
        <w:rPr>
          <w:rFonts w:ascii="Verdana" w:hAnsi="Verdana" w:cs="Verdana"/>
          <w:bCs/>
          <w:sz w:val="20"/>
          <w:szCs w:val="22"/>
        </w:rPr>
        <w:t>,</w:t>
      </w:r>
      <w:r w:rsidR="003234F4" w:rsidRPr="003234F4">
        <w:rPr>
          <w:rFonts w:ascii="Verdana" w:hAnsi="Verdana" w:cs="Verdana"/>
          <w:bCs/>
          <w:sz w:val="20"/>
          <w:szCs w:val="22"/>
        </w:rPr>
        <w:t xml:space="preserve"> più </w:t>
      </w:r>
      <w:r>
        <w:rPr>
          <w:rFonts w:ascii="Verdana" w:hAnsi="Verdana" w:cs="Verdana"/>
          <w:bCs/>
          <w:sz w:val="20"/>
          <w:szCs w:val="22"/>
        </w:rPr>
        <w:t>marcato</w:t>
      </w:r>
      <w:r w:rsidR="003234F4" w:rsidRPr="003234F4">
        <w:rPr>
          <w:rFonts w:ascii="Verdana" w:hAnsi="Verdana" w:cs="Verdana"/>
          <w:bCs/>
          <w:sz w:val="20"/>
          <w:szCs w:val="22"/>
        </w:rPr>
        <w:t xml:space="preserve"> per le persone giuridiche</w:t>
      </w:r>
      <w:r w:rsidR="003234F4">
        <w:rPr>
          <w:rFonts w:ascii="Verdana" w:hAnsi="Verdana" w:cs="Verdana"/>
          <w:bCs/>
          <w:sz w:val="20"/>
          <w:szCs w:val="22"/>
        </w:rPr>
        <w:t xml:space="preserve"> e</w:t>
      </w:r>
      <w:r w:rsidR="003234F4" w:rsidRPr="003234F4">
        <w:rPr>
          <w:rFonts w:ascii="Verdana" w:hAnsi="Verdana" w:cs="Verdana"/>
          <w:bCs/>
          <w:sz w:val="20"/>
          <w:szCs w:val="22"/>
        </w:rPr>
        <w:t xml:space="preserve"> ancora più pronunciato per le società di capitali. </w:t>
      </w:r>
      <w:r w:rsidR="003234F4">
        <w:rPr>
          <w:rFonts w:ascii="Verdana" w:hAnsi="Verdana" w:cs="Verdana"/>
          <w:bCs/>
          <w:sz w:val="20"/>
          <w:szCs w:val="22"/>
        </w:rPr>
        <w:t>In particolare,</w:t>
      </w:r>
      <w:r>
        <w:rPr>
          <w:rFonts w:ascii="Verdana" w:hAnsi="Verdana" w:cs="Verdana"/>
          <w:bCs/>
          <w:sz w:val="20"/>
          <w:szCs w:val="22"/>
        </w:rPr>
        <w:t xml:space="preserve"> nell’ultima rilevazione</w:t>
      </w:r>
      <w:r w:rsidR="003234F4">
        <w:rPr>
          <w:rFonts w:ascii="Verdana" w:hAnsi="Verdana" w:cs="Verdana"/>
          <w:bCs/>
          <w:sz w:val="20"/>
          <w:szCs w:val="22"/>
        </w:rPr>
        <w:t xml:space="preserve"> </w:t>
      </w:r>
      <w:r w:rsidR="003234F4" w:rsidRPr="009F78F3">
        <w:rPr>
          <w:rFonts w:ascii="Verdana" w:hAnsi="Verdana" w:cs="Verdana"/>
          <w:b/>
          <w:bCs/>
          <w:sz w:val="20"/>
          <w:szCs w:val="22"/>
        </w:rPr>
        <w:t>le persone giuridiche presentano un tasso di default</w:t>
      </w:r>
      <w:r w:rsidR="003234F4" w:rsidRPr="003234F4">
        <w:rPr>
          <w:rFonts w:ascii="Verdana" w:hAnsi="Verdana" w:cs="Verdana"/>
          <w:bCs/>
          <w:sz w:val="20"/>
          <w:szCs w:val="22"/>
        </w:rPr>
        <w:t xml:space="preserve"> </w:t>
      </w:r>
      <w:r w:rsidR="003234F4" w:rsidRPr="009F78F3">
        <w:rPr>
          <w:rFonts w:ascii="Verdana" w:hAnsi="Verdana" w:cs="Verdana"/>
          <w:b/>
          <w:bCs/>
          <w:sz w:val="20"/>
          <w:szCs w:val="22"/>
        </w:rPr>
        <w:t>compreso tra 2,5% e 3,5%</w:t>
      </w:r>
      <w:r w:rsidR="003234F4" w:rsidRPr="003234F4">
        <w:rPr>
          <w:rFonts w:ascii="Verdana" w:hAnsi="Verdana" w:cs="Verdana"/>
          <w:bCs/>
          <w:sz w:val="20"/>
          <w:szCs w:val="22"/>
        </w:rPr>
        <w:t xml:space="preserve">, mentre per le </w:t>
      </w:r>
      <w:r w:rsidR="003234F4" w:rsidRPr="009F78F3">
        <w:rPr>
          <w:rFonts w:ascii="Verdana" w:hAnsi="Verdana" w:cs="Verdana"/>
          <w:b/>
          <w:bCs/>
          <w:sz w:val="20"/>
          <w:szCs w:val="22"/>
        </w:rPr>
        <w:t>persone f</w:t>
      </w:r>
      <w:r w:rsidR="00D636C3">
        <w:rPr>
          <w:rFonts w:ascii="Verdana" w:hAnsi="Verdana" w:cs="Verdana"/>
          <w:b/>
          <w:bCs/>
          <w:sz w:val="20"/>
          <w:szCs w:val="22"/>
        </w:rPr>
        <w:t xml:space="preserve">isiche questo è inferiore </w:t>
      </w:r>
      <w:r w:rsidR="00D636C3" w:rsidRPr="00D636C3">
        <w:rPr>
          <w:rFonts w:ascii="Verdana" w:hAnsi="Verdana" w:cs="Verdana"/>
          <w:b/>
          <w:bCs/>
          <w:sz w:val="20"/>
          <w:szCs w:val="22"/>
        </w:rPr>
        <w:t>al 2%,</w:t>
      </w:r>
      <w:r w:rsidR="00D636C3" w:rsidRPr="00D636C3">
        <w:rPr>
          <w:rFonts w:ascii="Verdana" w:hAnsi="Verdana" w:cs="Verdana"/>
          <w:bCs/>
          <w:sz w:val="20"/>
          <w:szCs w:val="22"/>
        </w:rPr>
        <w:t xml:space="preserve"> seppur in crescita s</w:t>
      </w:r>
      <w:r w:rsidR="00D636C3" w:rsidRPr="00D636C3">
        <w:rPr>
          <w:rFonts w:ascii="Verdana" w:hAnsi="Verdana" w:cs="Verdana"/>
          <w:sz w:val="20"/>
          <w:szCs w:val="20"/>
        </w:rPr>
        <w:t>otto</w:t>
      </w:r>
      <w:r w:rsidR="00D636C3" w:rsidRPr="00DC0E43">
        <w:rPr>
          <w:rFonts w:ascii="Verdana" w:hAnsi="Verdana" w:cs="Verdana"/>
          <w:sz w:val="20"/>
          <w:szCs w:val="20"/>
        </w:rPr>
        <w:t xml:space="preserve"> la pressione dello shock economico </w:t>
      </w:r>
      <w:r w:rsidR="00D636C3">
        <w:rPr>
          <w:rFonts w:ascii="Verdana" w:hAnsi="Verdana" w:cs="Verdana"/>
          <w:sz w:val="20"/>
          <w:szCs w:val="20"/>
        </w:rPr>
        <w:t>causato dalla pandemia.</w:t>
      </w:r>
    </w:p>
    <w:p w14:paraId="104F0D0F" w14:textId="26DDA41E" w:rsidR="003234F4" w:rsidRDefault="003234F4" w:rsidP="00CD0A20">
      <w:pPr>
        <w:jc w:val="both"/>
        <w:rPr>
          <w:rFonts w:ascii="Verdana" w:hAnsi="Verdana" w:cs="Verdana"/>
          <w:bCs/>
          <w:sz w:val="20"/>
          <w:szCs w:val="22"/>
        </w:rPr>
      </w:pPr>
    </w:p>
    <w:p w14:paraId="1FEDCD45" w14:textId="6DF2FADF" w:rsidR="004F70EE" w:rsidRPr="00BD0560" w:rsidRDefault="004F70EE" w:rsidP="004F70EE">
      <w:pPr>
        <w:jc w:val="center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  <w:r w:rsidRPr="00BD0560">
        <w:rPr>
          <w:rFonts w:ascii="Verdana" w:hAnsi="Verdana" w:cs="Verdana"/>
          <w:b/>
          <w:bCs/>
          <w:color w:val="1F497D" w:themeColor="text2"/>
          <w:sz w:val="20"/>
          <w:szCs w:val="20"/>
        </w:rPr>
        <w:t>Andamento del tasso di default</w:t>
      </w:r>
    </w:p>
    <w:p w14:paraId="07DDB61F" w14:textId="5FA08B0B" w:rsidR="003234F4" w:rsidRDefault="003234F4" w:rsidP="0075446D">
      <w:pPr>
        <w:jc w:val="center"/>
        <w:rPr>
          <w:rFonts w:ascii="Verdana" w:hAnsi="Verdana" w:cs="Verdana"/>
          <w:bCs/>
          <w:sz w:val="20"/>
          <w:szCs w:val="22"/>
        </w:rPr>
      </w:pPr>
      <w:r w:rsidRPr="003C6DFD">
        <w:rPr>
          <w:rFonts w:asciiTheme="majorHAnsi" w:hAnsiTheme="majorHAnsi" w:cstheme="majorHAnsi"/>
          <w:noProof/>
        </w:rPr>
        <w:drawing>
          <wp:inline distT="0" distB="0" distL="0" distR="0" wp14:anchorId="2D02FF49" wp14:editId="0EC5C8D9">
            <wp:extent cx="4191000" cy="2793301"/>
            <wp:effectExtent l="0" t="0" r="0" b="7620"/>
            <wp:docPr id="5" name="Immagine 5" descr="C:\Users\ef6valmanser\Downloads\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6valmanser\Downloads\char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431" cy="280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0190E" w14:textId="31A5BA1D" w:rsidR="00CD0A20" w:rsidRDefault="004F70EE" w:rsidP="004F70EE">
      <w:pPr>
        <w:jc w:val="center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  <w:r w:rsidRPr="00BD0560">
        <w:rPr>
          <w:rFonts w:ascii="Verdana" w:hAnsi="Verdana" w:cs="Verdana"/>
          <w:b/>
          <w:bCs/>
          <w:color w:val="1F497D" w:themeColor="text2"/>
          <w:sz w:val="20"/>
          <w:szCs w:val="20"/>
        </w:rPr>
        <w:t>Fonte: Osservatorio NPE CRIBIS Credit Management su dati CRIF e CRIF Ratings</w:t>
      </w:r>
    </w:p>
    <w:p w14:paraId="3DE1B34A" w14:textId="77777777" w:rsidR="00DA6671" w:rsidRPr="00BD0560" w:rsidRDefault="00DA6671" w:rsidP="004F70EE">
      <w:pPr>
        <w:jc w:val="center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</w:p>
    <w:p w14:paraId="7040873D" w14:textId="6848A0AA" w:rsidR="004F70EE" w:rsidRDefault="003234F4" w:rsidP="003234F4">
      <w:pPr>
        <w:jc w:val="both"/>
        <w:rPr>
          <w:rFonts w:ascii="Verdana" w:hAnsi="Verdana" w:cs="Verdana"/>
          <w:bCs/>
          <w:sz w:val="20"/>
          <w:szCs w:val="22"/>
        </w:rPr>
      </w:pPr>
      <w:r w:rsidRPr="003234F4">
        <w:rPr>
          <w:rFonts w:ascii="Verdana" w:hAnsi="Verdana" w:cs="Verdana"/>
          <w:bCs/>
          <w:sz w:val="20"/>
          <w:szCs w:val="22"/>
        </w:rPr>
        <w:lastRenderedPageBreak/>
        <w:t xml:space="preserve">Considerando l’andamento degli </w:t>
      </w:r>
      <w:r w:rsidRPr="004F70EE">
        <w:rPr>
          <w:rFonts w:ascii="Verdana" w:hAnsi="Verdana" w:cs="Verdana"/>
          <w:b/>
          <w:bCs/>
          <w:sz w:val="20"/>
          <w:szCs w:val="22"/>
        </w:rPr>
        <w:t>stock di mercato degli NPE</w:t>
      </w:r>
      <w:r>
        <w:rPr>
          <w:rFonts w:ascii="Verdana" w:hAnsi="Verdana" w:cs="Verdana"/>
          <w:bCs/>
          <w:sz w:val="20"/>
          <w:szCs w:val="22"/>
        </w:rPr>
        <w:t xml:space="preserve"> tra dicembre 2015 e giugno 2020, si </w:t>
      </w:r>
      <w:r w:rsidRPr="003234F4">
        <w:rPr>
          <w:rFonts w:ascii="Verdana" w:hAnsi="Verdana" w:cs="Verdana"/>
          <w:bCs/>
          <w:sz w:val="20"/>
          <w:szCs w:val="22"/>
        </w:rPr>
        <w:t xml:space="preserve">evidenzia un trend decrescente </w:t>
      </w:r>
      <w:r w:rsidR="000340CB">
        <w:rPr>
          <w:rFonts w:ascii="Verdana" w:hAnsi="Verdana" w:cs="Verdana"/>
          <w:bCs/>
          <w:sz w:val="20"/>
          <w:szCs w:val="22"/>
        </w:rPr>
        <w:t>delle</w:t>
      </w:r>
      <w:r w:rsidRPr="003234F4">
        <w:rPr>
          <w:rFonts w:ascii="Verdana" w:hAnsi="Verdana" w:cs="Verdana"/>
          <w:bCs/>
          <w:sz w:val="20"/>
          <w:szCs w:val="22"/>
        </w:rPr>
        <w:t xml:space="preserve"> posizioni deteriorate,</w:t>
      </w:r>
      <w:r>
        <w:rPr>
          <w:rFonts w:ascii="Verdana" w:hAnsi="Verdana" w:cs="Verdana"/>
          <w:bCs/>
          <w:sz w:val="20"/>
          <w:szCs w:val="22"/>
        </w:rPr>
        <w:t xml:space="preserve"> che </w:t>
      </w:r>
      <w:r w:rsidRPr="004F70EE">
        <w:rPr>
          <w:rFonts w:ascii="Verdana" w:hAnsi="Verdana" w:cs="Verdana"/>
          <w:b/>
          <w:bCs/>
          <w:sz w:val="20"/>
          <w:szCs w:val="22"/>
        </w:rPr>
        <w:t>passa da circa 30</w:t>
      </w:r>
      <w:r w:rsidR="00D636C3">
        <w:rPr>
          <w:rFonts w:ascii="Verdana" w:hAnsi="Verdana" w:cs="Verdana"/>
          <w:b/>
          <w:bCs/>
          <w:sz w:val="20"/>
          <w:szCs w:val="22"/>
        </w:rPr>
        <w:t>0 miliardi di € a poco più di 11</w:t>
      </w:r>
      <w:r w:rsidRPr="004F70EE">
        <w:rPr>
          <w:rFonts w:ascii="Verdana" w:hAnsi="Verdana" w:cs="Verdana"/>
          <w:b/>
          <w:bCs/>
          <w:sz w:val="20"/>
          <w:szCs w:val="22"/>
        </w:rPr>
        <w:t>0 miliardi di €</w:t>
      </w:r>
      <w:r>
        <w:rPr>
          <w:rFonts w:ascii="Verdana" w:hAnsi="Verdana" w:cs="Verdana"/>
          <w:bCs/>
          <w:sz w:val="20"/>
          <w:szCs w:val="22"/>
        </w:rPr>
        <w:t>,</w:t>
      </w:r>
      <w:r w:rsidRPr="003234F4">
        <w:rPr>
          <w:rFonts w:ascii="Verdana" w:hAnsi="Verdana" w:cs="Verdana"/>
          <w:bCs/>
          <w:sz w:val="20"/>
          <w:szCs w:val="22"/>
        </w:rPr>
        <w:t xml:space="preserve"> con una riduzione più consistente tra il 2017 e il 2018. </w:t>
      </w:r>
    </w:p>
    <w:p w14:paraId="6216BCB4" w14:textId="593D228A" w:rsidR="003917FB" w:rsidRDefault="003234F4" w:rsidP="003234F4">
      <w:pPr>
        <w:jc w:val="both"/>
        <w:rPr>
          <w:rFonts w:ascii="Verdana" w:hAnsi="Verdana" w:cs="Verdana"/>
          <w:bCs/>
          <w:sz w:val="20"/>
          <w:szCs w:val="22"/>
        </w:rPr>
      </w:pPr>
      <w:r w:rsidRPr="003234F4">
        <w:rPr>
          <w:rFonts w:ascii="Verdana" w:hAnsi="Verdana" w:cs="Verdana"/>
          <w:bCs/>
          <w:sz w:val="20"/>
          <w:szCs w:val="22"/>
        </w:rPr>
        <w:t xml:space="preserve">La contrazione più </w:t>
      </w:r>
      <w:r w:rsidR="009B40B9">
        <w:rPr>
          <w:rFonts w:ascii="Verdana" w:hAnsi="Verdana" w:cs="Verdana"/>
          <w:bCs/>
          <w:sz w:val="20"/>
          <w:szCs w:val="22"/>
        </w:rPr>
        <w:t>significativa</w:t>
      </w:r>
      <w:r w:rsidRPr="003234F4">
        <w:rPr>
          <w:rFonts w:ascii="Verdana" w:hAnsi="Verdana" w:cs="Verdana"/>
          <w:bCs/>
          <w:sz w:val="20"/>
          <w:szCs w:val="22"/>
        </w:rPr>
        <w:t xml:space="preserve"> è rilevabile nello stock di sofferenze, più che dimezzato rispetto alla rilevazione iniziale del 2015 (principalmente per effetto delle importanti operazioni di cessione </w:t>
      </w:r>
      <w:r w:rsidR="004F70EE" w:rsidRPr="004F70EE">
        <w:rPr>
          <w:rFonts w:ascii="Verdana" w:hAnsi="Verdana" w:cs="Verdana"/>
          <w:bCs/>
          <w:sz w:val="20"/>
          <w:szCs w:val="22"/>
        </w:rPr>
        <w:t xml:space="preserve">di consistenti lotti di crediti inesigibili </w:t>
      </w:r>
      <w:r w:rsidRPr="004F70EE">
        <w:rPr>
          <w:rFonts w:ascii="Verdana" w:hAnsi="Verdana" w:cs="Verdana"/>
          <w:bCs/>
          <w:sz w:val="20"/>
          <w:szCs w:val="22"/>
        </w:rPr>
        <w:t xml:space="preserve">che </w:t>
      </w:r>
      <w:r w:rsidRPr="003234F4">
        <w:rPr>
          <w:rFonts w:ascii="Verdana" w:hAnsi="Verdana" w:cs="Verdana"/>
          <w:bCs/>
          <w:sz w:val="20"/>
          <w:szCs w:val="22"/>
        </w:rPr>
        <w:t>hanno caratterizzato il periodo), a fronte di un calo molto più co</w:t>
      </w:r>
      <w:r w:rsidR="004F70EE">
        <w:rPr>
          <w:rFonts w:ascii="Verdana" w:hAnsi="Verdana" w:cs="Verdana"/>
          <w:bCs/>
          <w:sz w:val="20"/>
          <w:szCs w:val="22"/>
        </w:rPr>
        <w:t>ntenuto negli stock di Scaduti D</w:t>
      </w:r>
      <w:r w:rsidRPr="003234F4">
        <w:rPr>
          <w:rFonts w:ascii="Verdana" w:hAnsi="Verdana" w:cs="Verdana"/>
          <w:bCs/>
          <w:sz w:val="20"/>
          <w:szCs w:val="22"/>
        </w:rPr>
        <w:t>eteriorati e Inadempienze Probabili.</w:t>
      </w:r>
    </w:p>
    <w:p w14:paraId="41456D02" w14:textId="1F73C364" w:rsidR="003234F4" w:rsidRDefault="003234F4" w:rsidP="003234F4">
      <w:pPr>
        <w:jc w:val="both"/>
        <w:rPr>
          <w:rFonts w:ascii="Verdana" w:hAnsi="Verdana" w:cs="Verdana"/>
          <w:bCs/>
          <w:sz w:val="20"/>
          <w:szCs w:val="22"/>
        </w:rPr>
      </w:pPr>
    </w:p>
    <w:p w14:paraId="371B88C1" w14:textId="7D813390" w:rsidR="003234F4" w:rsidRPr="00D636C3" w:rsidRDefault="00D636C3" w:rsidP="004F70EE">
      <w:pPr>
        <w:jc w:val="center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  <w:r w:rsidRPr="006E71C6">
        <w:rPr>
          <w:rFonts w:ascii="Verdana" w:hAnsi="Verdana" w:cs="Verdana"/>
          <w:b/>
          <w:bCs/>
          <w:color w:val="1F497D" w:themeColor="text2"/>
          <w:sz w:val="20"/>
          <w:szCs w:val="20"/>
        </w:rPr>
        <w:t xml:space="preserve">Lo stock </w:t>
      </w:r>
      <w:r w:rsidR="00533E23" w:rsidRPr="006E71C6">
        <w:rPr>
          <w:rFonts w:ascii="Verdana" w:hAnsi="Verdana" w:cs="Verdana"/>
          <w:b/>
          <w:bCs/>
          <w:color w:val="1F497D" w:themeColor="text2"/>
          <w:sz w:val="20"/>
          <w:szCs w:val="20"/>
        </w:rPr>
        <w:t xml:space="preserve">bancario </w:t>
      </w:r>
      <w:r w:rsidRPr="006E71C6">
        <w:rPr>
          <w:rFonts w:ascii="Verdana" w:hAnsi="Verdana" w:cs="Verdana"/>
          <w:b/>
          <w:bCs/>
          <w:color w:val="1F497D" w:themeColor="text2"/>
          <w:sz w:val="20"/>
          <w:szCs w:val="20"/>
        </w:rPr>
        <w:t>degli NPE in Italia</w:t>
      </w:r>
    </w:p>
    <w:p w14:paraId="39D03BC6" w14:textId="1925B2BA" w:rsidR="003234F4" w:rsidRDefault="003234F4" w:rsidP="0075446D">
      <w:pPr>
        <w:jc w:val="center"/>
        <w:rPr>
          <w:rFonts w:ascii="Verdana" w:hAnsi="Verdana" w:cs="Verdana"/>
          <w:bCs/>
          <w:sz w:val="20"/>
          <w:szCs w:val="22"/>
        </w:rPr>
      </w:pPr>
      <w:r w:rsidRPr="003C6DFD">
        <w:rPr>
          <w:rFonts w:asciiTheme="majorHAnsi" w:hAnsiTheme="majorHAnsi" w:cstheme="majorHAnsi"/>
          <w:noProof/>
        </w:rPr>
        <w:drawing>
          <wp:inline distT="0" distB="0" distL="0" distR="0" wp14:anchorId="6E201E78" wp14:editId="613DD548">
            <wp:extent cx="4777740" cy="3184365"/>
            <wp:effectExtent l="0" t="0" r="3810" b="0"/>
            <wp:docPr id="6" name="Immagine 6" descr="C:\Users\ef6valmanser\Downloads\char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f6valmanser\Downloads\chart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592" cy="3233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9DCD0" w14:textId="195F48EF" w:rsidR="006E3DD3" w:rsidRPr="00BD0560" w:rsidRDefault="004F70EE" w:rsidP="00BD0560">
      <w:pPr>
        <w:jc w:val="center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  <w:r w:rsidRPr="00BD0560">
        <w:rPr>
          <w:rFonts w:ascii="Verdana" w:hAnsi="Verdana" w:cs="Verdana"/>
          <w:b/>
          <w:bCs/>
          <w:color w:val="1F497D" w:themeColor="text2"/>
          <w:sz w:val="20"/>
          <w:szCs w:val="20"/>
        </w:rPr>
        <w:t>Fonte: Osservatorio NPE CRIBIS Credit Management</w:t>
      </w:r>
    </w:p>
    <w:p w14:paraId="3AE5AEF8" w14:textId="77777777" w:rsidR="004F70EE" w:rsidRDefault="004F70EE" w:rsidP="003234F4">
      <w:pPr>
        <w:jc w:val="both"/>
        <w:rPr>
          <w:rFonts w:ascii="Verdana" w:hAnsi="Verdana" w:cs="Verdana"/>
          <w:bCs/>
          <w:sz w:val="20"/>
          <w:szCs w:val="22"/>
        </w:rPr>
      </w:pPr>
    </w:p>
    <w:p w14:paraId="494029F3" w14:textId="77777777" w:rsidR="00BD0560" w:rsidRDefault="00BD0560" w:rsidP="00BD0560">
      <w:pPr>
        <w:jc w:val="both"/>
        <w:rPr>
          <w:rFonts w:ascii="Verdana" w:hAnsi="Verdana" w:cs="Verdana"/>
          <w:bCs/>
          <w:sz w:val="20"/>
          <w:szCs w:val="22"/>
        </w:rPr>
      </w:pPr>
      <w:r>
        <w:rPr>
          <w:rFonts w:ascii="Verdana" w:hAnsi="Verdana" w:cs="Verdana"/>
          <w:bCs/>
          <w:sz w:val="20"/>
          <w:szCs w:val="22"/>
        </w:rPr>
        <w:t>Un’analisi dedicata ai trend di mercato</w:t>
      </w:r>
      <w:r w:rsidRPr="006E3DD3">
        <w:rPr>
          <w:rFonts w:ascii="Verdana" w:hAnsi="Verdana" w:cs="Verdana"/>
          <w:bCs/>
          <w:sz w:val="20"/>
          <w:szCs w:val="22"/>
        </w:rPr>
        <w:t xml:space="preserve"> evidenzia la rilevante cessione di crediti da parte del sistema bancario verso gli </w:t>
      </w:r>
      <w:r>
        <w:rPr>
          <w:rFonts w:ascii="Verdana" w:hAnsi="Verdana" w:cs="Verdana"/>
          <w:bCs/>
          <w:sz w:val="20"/>
          <w:szCs w:val="22"/>
        </w:rPr>
        <w:t>i</w:t>
      </w:r>
      <w:r w:rsidRPr="006E3DD3">
        <w:rPr>
          <w:rFonts w:ascii="Verdana" w:hAnsi="Verdana" w:cs="Verdana"/>
          <w:bCs/>
          <w:sz w:val="20"/>
          <w:szCs w:val="22"/>
        </w:rPr>
        <w:t>nvest</w:t>
      </w:r>
      <w:r>
        <w:rPr>
          <w:rFonts w:ascii="Verdana" w:hAnsi="Verdana" w:cs="Verdana"/>
          <w:bCs/>
          <w:sz w:val="20"/>
          <w:szCs w:val="22"/>
        </w:rPr>
        <w:t>it</w:t>
      </w:r>
      <w:r w:rsidRPr="006E3DD3">
        <w:rPr>
          <w:rFonts w:ascii="Verdana" w:hAnsi="Verdana" w:cs="Verdana"/>
          <w:bCs/>
          <w:sz w:val="20"/>
          <w:szCs w:val="22"/>
        </w:rPr>
        <w:t>or</w:t>
      </w:r>
      <w:r>
        <w:rPr>
          <w:rFonts w:ascii="Verdana" w:hAnsi="Verdana" w:cs="Verdana"/>
          <w:bCs/>
          <w:sz w:val="20"/>
          <w:szCs w:val="22"/>
        </w:rPr>
        <w:t>i</w:t>
      </w:r>
      <w:r w:rsidRPr="006E3DD3">
        <w:rPr>
          <w:rFonts w:ascii="Verdana" w:hAnsi="Verdana" w:cs="Verdana"/>
          <w:bCs/>
          <w:sz w:val="20"/>
          <w:szCs w:val="22"/>
        </w:rPr>
        <w:t>, pari a circa il 60% dello stock iniziale</w:t>
      </w:r>
      <w:r>
        <w:rPr>
          <w:rFonts w:ascii="Verdana" w:hAnsi="Verdana" w:cs="Verdana"/>
          <w:bCs/>
          <w:sz w:val="20"/>
          <w:szCs w:val="22"/>
        </w:rPr>
        <w:t xml:space="preserve"> (210 miliardi di € su 341 miliardi di €).</w:t>
      </w:r>
    </w:p>
    <w:p w14:paraId="6613ECE3" w14:textId="560EE995" w:rsidR="004F70EE" w:rsidRDefault="004F70EE" w:rsidP="003234F4">
      <w:pPr>
        <w:jc w:val="both"/>
        <w:rPr>
          <w:rFonts w:ascii="Verdana" w:hAnsi="Verdana" w:cs="Verdana"/>
          <w:bCs/>
          <w:sz w:val="20"/>
          <w:szCs w:val="22"/>
        </w:rPr>
      </w:pPr>
    </w:p>
    <w:p w14:paraId="1523E45B" w14:textId="4E9D3479" w:rsidR="00BD0560" w:rsidRDefault="00BD0560" w:rsidP="003234F4">
      <w:pPr>
        <w:jc w:val="both"/>
        <w:rPr>
          <w:rFonts w:ascii="Verdana" w:hAnsi="Verdana" w:cs="Verdana"/>
          <w:b/>
          <w:bCs/>
          <w:color w:val="1F497D" w:themeColor="text2"/>
          <w:sz w:val="20"/>
          <w:szCs w:val="20"/>
        </w:rPr>
      </w:pPr>
      <w:r>
        <w:rPr>
          <w:rFonts w:ascii="Verdana" w:hAnsi="Verdana" w:cs="Verdana"/>
          <w:b/>
          <w:bCs/>
          <w:color w:val="1F497D" w:themeColor="text2"/>
          <w:sz w:val="20"/>
          <w:szCs w:val="20"/>
        </w:rPr>
        <w:t xml:space="preserve">3/4 dei </w:t>
      </w:r>
      <w:r w:rsidRPr="004F70EE">
        <w:rPr>
          <w:rFonts w:ascii="Verdana" w:hAnsi="Verdana" w:cs="Verdana"/>
          <w:b/>
          <w:bCs/>
          <w:color w:val="1F497D" w:themeColor="text2"/>
          <w:sz w:val="20"/>
          <w:szCs w:val="20"/>
        </w:rPr>
        <w:t>crediti deteriorati è imputabile alle Società non Finanziarie</w:t>
      </w:r>
    </w:p>
    <w:p w14:paraId="7FF2F5E5" w14:textId="77777777" w:rsidR="00BD0560" w:rsidRDefault="00BD0560" w:rsidP="003234F4">
      <w:pPr>
        <w:jc w:val="both"/>
        <w:rPr>
          <w:rFonts w:ascii="Verdana" w:hAnsi="Verdana" w:cs="Verdana"/>
          <w:bCs/>
          <w:sz w:val="20"/>
          <w:szCs w:val="22"/>
        </w:rPr>
      </w:pPr>
    </w:p>
    <w:p w14:paraId="44428937" w14:textId="77777777" w:rsidR="004F70EE" w:rsidRDefault="006E3DD3" w:rsidP="003234F4">
      <w:pPr>
        <w:jc w:val="both"/>
        <w:rPr>
          <w:rFonts w:ascii="Verdana" w:hAnsi="Verdana" w:cs="Verdana"/>
          <w:bCs/>
          <w:sz w:val="20"/>
          <w:szCs w:val="22"/>
        </w:rPr>
      </w:pPr>
      <w:r w:rsidRPr="006E3DD3">
        <w:rPr>
          <w:rFonts w:ascii="Verdana" w:hAnsi="Verdana" w:cs="Verdana"/>
          <w:bCs/>
          <w:sz w:val="20"/>
          <w:szCs w:val="22"/>
        </w:rPr>
        <w:t xml:space="preserve">La suddivisione in base alla tipologia di soggetti non finanziari mostra che </w:t>
      </w:r>
      <w:r w:rsidR="004F70EE" w:rsidRPr="004F70EE">
        <w:rPr>
          <w:rFonts w:ascii="Verdana" w:hAnsi="Verdana" w:cs="Verdana"/>
          <w:b/>
          <w:bCs/>
          <w:sz w:val="20"/>
          <w:szCs w:val="22"/>
        </w:rPr>
        <w:t xml:space="preserve">il 77% dei crediti deteriorati presenti sul mercato a giugno 2020 è imputabile </w:t>
      </w:r>
      <w:r w:rsidRPr="004F70EE">
        <w:rPr>
          <w:rFonts w:ascii="Verdana" w:hAnsi="Verdana" w:cs="Verdana"/>
          <w:b/>
          <w:bCs/>
          <w:sz w:val="20"/>
          <w:szCs w:val="22"/>
        </w:rPr>
        <w:t xml:space="preserve">alle </w:t>
      </w:r>
      <w:r w:rsidR="003234F4" w:rsidRPr="004F70EE">
        <w:rPr>
          <w:rFonts w:ascii="Verdana" w:hAnsi="Verdana" w:cs="Verdana"/>
          <w:b/>
          <w:bCs/>
          <w:sz w:val="20"/>
          <w:szCs w:val="22"/>
        </w:rPr>
        <w:t>Società non Finanziarie</w:t>
      </w:r>
      <w:r w:rsidR="003234F4" w:rsidRPr="006E3DD3">
        <w:rPr>
          <w:rFonts w:ascii="Verdana" w:hAnsi="Verdana" w:cs="Verdana"/>
          <w:bCs/>
          <w:sz w:val="20"/>
          <w:szCs w:val="22"/>
        </w:rPr>
        <w:t xml:space="preserve"> (</w:t>
      </w:r>
      <w:r>
        <w:rPr>
          <w:rFonts w:ascii="Verdana" w:hAnsi="Verdana" w:cs="Verdana"/>
          <w:bCs/>
          <w:sz w:val="20"/>
          <w:szCs w:val="22"/>
        </w:rPr>
        <w:t>cioè</w:t>
      </w:r>
      <w:r w:rsidR="003234F4" w:rsidRPr="006E3DD3">
        <w:rPr>
          <w:rFonts w:ascii="Verdana" w:hAnsi="Verdana" w:cs="Verdana"/>
          <w:bCs/>
          <w:sz w:val="20"/>
          <w:szCs w:val="22"/>
        </w:rPr>
        <w:t xml:space="preserve"> società di capitali, società di persone e società semplici o di fatto con più di 5 addetti)</w:t>
      </w:r>
      <w:r>
        <w:rPr>
          <w:rFonts w:ascii="Verdana" w:hAnsi="Verdana" w:cs="Verdana"/>
          <w:bCs/>
          <w:sz w:val="20"/>
          <w:szCs w:val="22"/>
        </w:rPr>
        <w:t>, con uno stock in netta contrazione rispetto a dicembre 2015</w:t>
      </w:r>
      <w:r w:rsidR="003234F4" w:rsidRPr="006E3DD3">
        <w:rPr>
          <w:rFonts w:ascii="Verdana" w:hAnsi="Verdana" w:cs="Verdana"/>
          <w:bCs/>
          <w:sz w:val="20"/>
          <w:szCs w:val="22"/>
        </w:rPr>
        <w:t xml:space="preserve">, </w:t>
      </w:r>
      <w:r w:rsidR="009B40B9">
        <w:rPr>
          <w:rFonts w:ascii="Verdana" w:hAnsi="Verdana" w:cs="Verdana"/>
          <w:bCs/>
          <w:sz w:val="20"/>
          <w:szCs w:val="22"/>
        </w:rPr>
        <w:t>dovuto</w:t>
      </w:r>
      <w:r w:rsidR="003234F4" w:rsidRPr="006E3DD3">
        <w:rPr>
          <w:rFonts w:ascii="Verdana" w:hAnsi="Verdana" w:cs="Verdana"/>
          <w:bCs/>
          <w:sz w:val="20"/>
          <w:szCs w:val="22"/>
        </w:rPr>
        <w:t xml:space="preserve"> principalmente all</w:t>
      </w:r>
      <w:r>
        <w:rPr>
          <w:rFonts w:ascii="Verdana" w:hAnsi="Verdana" w:cs="Verdana"/>
          <w:bCs/>
          <w:sz w:val="20"/>
          <w:szCs w:val="22"/>
        </w:rPr>
        <w:t>a riduzione delle</w:t>
      </w:r>
      <w:r w:rsidR="003234F4" w:rsidRPr="006E3DD3">
        <w:rPr>
          <w:rFonts w:ascii="Verdana" w:hAnsi="Verdana" w:cs="Verdana"/>
          <w:bCs/>
          <w:sz w:val="20"/>
          <w:szCs w:val="22"/>
        </w:rPr>
        <w:t xml:space="preserve"> sofferenze.</w:t>
      </w:r>
      <w:r>
        <w:rPr>
          <w:rFonts w:ascii="Verdana" w:hAnsi="Verdana" w:cs="Verdana"/>
          <w:bCs/>
          <w:sz w:val="20"/>
          <w:szCs w:val="22"/>
        </w:rPr>
        <w:t xml:space="preserve"> </w:t>
      </w:r>
    </w:p>
    <w:p w14:paraId="22E6B994" w14:textId="5FBC9DAA" w:rsidR="003234F4" w:rsidRDefault="004F70EE" w:rsidP="003234F4">
      <w:pPr>
        <w:jc w:val="both"/>
        <w:rPr>
          <w:rFonts w:ascii="Verdana" w:hAnsi="Verdana" w:cs="Verdana"/>
          <w:bCs/>
          <w:sz w:val="20"/>
          <w:szCs w:val="22"/>
        </w:rPr>
      </w:pPr>
      <w:r>
        <w:rPr>
          <w:rFonts w:ascii="Verdana" w:hAnsi="Verdana" w:cs="Verdana"/>
          <w:b/>
          <w:bCs/>
          <w:sz w:val="20"/>
          <w:szCs w:val="22"/>
        </w:rPr>
        <w:t>All</w:t>
      </w:r>
      <w:r w:rsidR="006E3DD3" w:rsidRPr="004F70EE">
        <w:rPr>
          <w:rFonts w:ascii="Verdana" w:hAnsi="Verdana" w:cs="Verdana"/>
          <w:b/>
          <w:bCs/>
          <w:sz w:val="20"/>
          <w:szCs w:val="22"/>
        </w:rPr>
        <w:t>e F</w:t>
      </w:r>
      <w:r w:rsidR="003234F4" w:rsidRPr="004F70EE">
        <w:rPr>
          <w:rFonts w:ascii="Verdana" w:hAnsi="Verdana" w:cs="Verdana"/>
          <w:b/>
          <w:bCs/>
          <w:sz w:val="20"/>
          <w:szCs w:val="22"/>
        </w:rPr>
        <w:t>amiglie produttrici</w:t>
      </w:r>
      <w:r w:rsidR="003234F4" w:rsidRPr="006E3DD3">
        <w:rPr>
          <w:rFonts w:ascii="Verdana" w:hAnsi="Verdana" w:cs="Verdana"/>
          <w:bCs/>
          <w:sz w:val="20"/>
          <w:szCs w:val="22"/>
        </w:rPr>
        <w:t xml:space="preserve"> </w:t>
      </w:r>
      <w:r w:rsidR="006E3DD3">
        <w:rPr>
          <w:rFonts w:ascii="Verdana" w:hAnsi="Verdana" w:cs="Verdana"/>
          <w:bCs/>
          <w:sz w:val="20"/>
          <w:szCs w:val="22"/>
        </w:rPr>
        <w:t>(</w:t>
      </w:r>
      <w:r w:rsidR="003234F4" w:rsidRPr="006E3DD3">
        <w:rPr>
          <w:rFonts w:ascii="Verdana" w:hAnsi="Verdana" w:cs="Verdana"/>
          <w:bCs/>
          <w:sz w:val="20"/>
          <w:szCs w:val="22"/>
        </w:rPr>
        <w:t>che comprendono imprese individuali e società semplici</w:t>
      </w:r>
      <w:r w:rsidR="006E3DD3">
        <w:rPr>
          <w:rFonts w:ascii="Verdana" w:hAnsi="Verdana" w:cs="Verdana"/>
          <w:bCs/>
          <w:sz w:val="20"/>
          <w:szCs w:val="22"/>
        </w:rPr>
        <w:t xml:space="preserve">) </w:t>
      </w:r>
      <w:r w:rsidR="00BD0560">
        <w:rPr>
          <w:rFonts w:ascii="Verdana" w:hAnsi="Verdana" w:cs="Verdana"/>
          <w:bCs/>
          <w:sz w:val="20"/>
          <w:szCs w:val="22"/>
        </w:rPr>
        <w:t xml:space="preserve">è invece imputabile </w:t>
      </w:r>
      <w:r w:rsidR="003234F4" w:rsidRPr="006E3DD3">
        <w:rPr>
          <w:rFonts w:ascii="Verdana" w:hAnsi="Verdana" w:cs="Verdana"/>
          <w:bCs/>
          <w:sz w:val="20"/>
          <w:szCs w:val="22"/>
        </w:rPr>
        <w:t>l’</w:t>
      </w:r>
      <w:r w:rsidR="003234F4" w:rsidRPr="00BD0560">
        <w:rPr>
          <w:rFonts w:ascii="Verdana" w:hAnsi="Verdana" w:cs="Verdana"/>
          <w:b/>
          <w:bCs/>
          <w:sz w:val="20"/>
          <w:szCs w:val="22"/>
        </w:rPr>
        <w:t>8% dello stock di crediti deteriorat</w:t>
      </w:r>
      <w:r w:rsidR="003234F4" w:rsidRPr="006E3DD3">
        <w:rPr>
          <w:rFonts w:ascii="Verdana" w:hAnsi="Verdana" w:cs="Verdana"/>
          <w:bCs/>
          <w:sz w:val="20"/>
          <w:szCs w:val="22"/>
        </w:rPr>
        <w:t>i rilevato a giugno 2020</w:t>
      </w:r>
      <w:r w:rsidR="006E3DD3">
        <w:rPr>
          <w:rFonts w:ascii="Verdana" w:hAnsi="Verdana" w:cs="Verdana"/>
          <w:bCs/>
          <w:sz w:val="20"/>
          <w:szCs w:val="22"/>
        </w:rPr>
        <w:t xml:space="preserve">, mentre </w:t>
      </w:r>
      <w:r w:rsidR="000340CB">
        <w:rPr>
          <w:rFonts w:ascii="Verdana" w:hAnsi="Verdana" w:cs="Verdana"/>
          <w:bCs/>
          <w:sz w:val="20"/>
          <w:szCs w:val="22"/>
        </w:rPr>
        <w:t>al</w:t>
      </w:r>
      <w:r w:rsidR="006E3DD3">
        <w:rPr>
          <w:rFonts w:ascii="Verdana" w:hAnsi="Verdana" w:cs="Verdana"/>
          <w:bCs/>
          <w:sz w:val="20"/>
          <w:szCs w:val="22"/>
        </w:rPr>
        <w:t xml:space="preserve">le </w:t>
      </w:r>
      <w:r w:rsidR="003234F4" w:rsidRPr="00BD0560">
        <w:rPr>
          <w:rFonts w:ascii="Verdana" w:hAnsi="Verdana" w:cs="Verdana"/>
          <w:b/>
          <w:bCs/>
          <w:sz w:val="20"/>
          <w:szCs w:val="22"/>
        </w:rPr>
        <w:t>Famiglie consumatrici</w:t>
      </w:r>
      <w:r w:rsidR="006E3DD3" w:rsidRPr="00BD0560">
        <w:rPr>
          <w:rFonts w:ascii="Verdana" w:hAnsi="Verdana" w:cs="Verdana"/>
          <w:b/>
          <w:bCs/>
          <w:sz w:val="20"/>
          <w:szCs w:val="22"/>
        </w:rPr>
        <w:t xml:space="preserve"> è </w:t>
      </w:r>
      <w:r w:rsidR="003234F4" w:rsidRPr="00BD0560">
        <w:rPr>
          <w:rFonts w:ascii="Verdana" w:hAnsi="Verdana" w:cs="Verdana"/>
          <w:b/>
          <w:bCs/>
          <w:sz w:val="20"/>
          <w:szCs w:val="22"/>
        </w:rPr>
        <w:t>riferibile il rimanente 15%</w:t>
      </w:r>
      <w:r w:rsidR="003234F4" w:rsidRPr="006E3DD3">
        <w:rPr>
          <w:rFonts w:ascii="Verdana" w:hAnsi="Verdana" w:cs="Verdana"/>
          <w:bCs/>
          <w:sz w:val="20"/>
          <w:szCs w:val="22"/>
        </w:rPr>
        <w:t xml:space="preserve"> dello stock. </w:t>
      </w:r>
      <w:r w:rsidR="006E3DD3">
        <w:rPr>
          <w:rFonts w:ascii="Verdana" w:hAnsi="Verdana" w:cs="Verdana"/>
          <w:bCs/>
          <w:sz w:val="20"/>
          <w:szCs w:val="22"/>
        </w:rPr>
        <w:t>Per quest’ultima categoria è pi</w:t>
      </w:r>
      <w:r w:rsidR="003234F4" w:rsidRPr="006E3DD3">
        <w:rPr>
          <w:rFonts w:ascii="Verdana" w:hAnsi="Verdana" w:cs="Verdana"/>
          <w:bCs/>
          <w:sz w:val="20"/>
          <w:szCs w:val="22"/>
        </w:rPr>
        <w:t>ù rilevante la quota di Scaduto/Deteriorato, che rappresenta circa l’11% del totale delle posizioni deteriorate rilevate a giugno 2020.</w:t>
      </w:r>
    </w:p>
    <w:p w14:paraId="61F977B8" w14:textId="206366DC" w:rsidR="00D636C3" w:rsidRPr="006E3DD3" w:rsidRDefault="00D636C3" w:rsidP="003234F4">
      <w:pPr>
        <w:jc w:val="both"/>
        <w:rPr>
          <w:rFonts w:ascii="Verdana" w:hAnsi="Verdana" w:cs="Verdana"/>
          <w:bCs/>
          <w:sz w:val="20"/>
          <w:szCs w:val="22"/>
        </w:rPr>
      </w:pPr>
      <w:r>
        <w:rPr>
          <w:rFonts w:ascii="Verdana" w:hAnsi="Verdana" w:cs="Verdana"/>
          <w:bCs/>
          <w:sz w:val="20"/>
          <w:szCs w:val="22"/>
        </w:rPr>
        <w:t xml:space="preserve">Entrando nel dettaglio, </w:t>
      </w:r>
      <w:r w:rsidRPr="00864DD4">
        <w:rPr>
          <w:rFonts w:ascii="Verdana" w:hAnsi="Verdana" w:cs="Verdana"/>
          <w:b/>
          <w:bCs/>
          <w:sz w:val="20"/>
          <w:szCs w:val="22"/>
        </w:rPr>
        <w:t>l</w:t>
      </w:r>
      <w:r w:rsidR="00864DD4" w:rsidRPr="00864DD4">
        <w:rPr>
          <w:rFonts w:ascii="Verdana" w:hAnsi="Verdana" w:cs="Verdana"/>
          <w:b/>
          <w:bCs/>
          <w:sz w:val="20"/>
          <w:szCs w:val="22"/>
        </w:rPr>
        <w:t>o stock</w:t>
      </w:r>
      <w:r w:rsidRPr="00864DD4">
        <w:rPr>
          <w:rFonts w:ascii="Verdana" w:hAnsi="Verdana" w:cs="Verdana"/>
          <w:b/>
          <w:bCs/>
          <w:sz w:val="20"/>
          <w:szCs w:val="22"/>
        </w:rPr>
        <w:t xml:space="preserve"> di </w:t>
      </w:r>
      <w:r w:rsidR="00864DD4" w:rsidRPr="00864DD4">
        <w:rPr>
          <w:rFonts w:ascii="Verdana" w:hAnsi="Verdana" w:cs="Verdana"/>
          <w:b/>
          <w:bCs/>
          <w:sz w:val="20"/>
          <w:szCs w:val="22"/>
        </w:rPr>
        <w:t>sofferenze per le Società non finanziarie a giugno risultava pari a 45,7 miliardi di €</w:t>
      </w:r>
      <w:r w:rsidR="00864DD4">
        <w:rPr>
          <w:rFonts w:ascii="Verdana" w:hAnsi="Verdana" w:cs="Verdana"/>
          <w:bCs/>
          <w:sz w:val="20"/>
          <w:szCs w:val="22"/>
        </w:rPr>
        <w:t xml:space="preserve"> contro gli 8 miliardi di € delle Famiglie Consumatrici e i 5,8 miliardi di € delle Famiglie Produttrici. </w:t>
      </w:r>
    </w:p>
    <w:p w14:paraId="384E29CE" w14:textId="0E56F01D" w:rsidR="003234F4" w:rsidRDefault="003234F4" w:rsidP="003234F4">
      <w:pPr>
        <w:jc w:val="both"/>
        <w:rPr>
          <w:rFonts w:ascii="Verdana" w:hAnsi="Verdana" w:cs="Verdana"/>
          <w:bCs/>
          <w:sz w:val="20"/>
          <w:szCs w:val="22"/>
        </w:rPr>
      </w:pPr>
    </w:p>
    <w:p w14:paraId="684601D2" w14:textId="124B1E55" w:rsidR="00BD0560" w:rsidRDefault="00864DD4" w:rsidP="003234F4">
      <w:pPr>
        <w:jc w:val="both"/>
        <w:rPr>
          <w:rFonts w:ascii="Verdana" w:hAnsi="Verdana" w:cs="Verdana"/>
          <w:bCs/>
          <w:sz w:val="20"/>
          <w:szCs w:val="22"/>
        </w:rPr>
      </w:pPr>
      <w:r>
        <w:rPr>
          <w:rFonts w:ascii="Verdana" w:hAnsi="Verdana" w:cs="Verdana"/>
          <w:bCs/>
          <w:sz w:val="20"/>
          <w:szCs w:val="22"/>
        </w:rPr>
        <w:t xml:space="preserve">Nel complesso, l’Osservatorio NPE </w:t>
      </w:r>
      <w:r w:rsidRPr="00864DD4">
        <w:rPr>
          <w:rFonts w:ascii="Verdana" w:hAnsi="Verdana" w:cs="Verdana"/>
          <w:bCs/>
          <w:sz w:val="20"/>
          <w:szCs w:val="22"/>
        </w:rPr>
        <w:t xml:space="preserve">evidenzia </w:t>
      </w:r>
      <w:r>
        <w:rPr>
          <w:rFonts w:ascii="Verdana" w:hAnsi="Verdana" w:cs="Verdana"/>
          <w:bCs/>
          <w:sz w:val="20"/>
          <w:szCs w:val="22"/>
        </w:rPr>
        <w:t xml:space="preserve">una </w:t>
      </w:r>
      <w:r w:rsidRPr="00864DD4">
        <w:rPr>
          <w:rFonts w:ascii="Verdana" w:hAnsi="Verdana" w:cs="Verdana"/>
          <w:b/>
          <w:bCs/>
          <w:sz w:val="20"/>
          <w:szCs w:val="22"/>
        </w:rPr>
        <w:t>quota di recuperato da parte del sistema bancario pari al 24% dello stock iniziale</w:t>
      </w:r>
      <w:r w:rsidRPr="00864DD4">
        <w:rPr>
          <w:rFonts w:ascii="Verdana" w:hAnsi="Verdana" w:cs="Verdana"/>
          <w:bCs/>
          <w:sz w:val="20"/>
          <w:szCs w:val="22"/>
        </w:rPr>
        <w:t xml:space="preserve">, a fronte di nuovi </w:t>
      </w:r>
      <w:r>
        <w:rPr>
          <w:rFonts w:ascii="Verdana" w:hAnsi="Verdana" w:cs="Verdana"/>
          <w:bCs/>
          <w:sz w:val="20"/>
          <w:szCs w:val="22"/>
        </w:rPr>
        <w:t>crediti deteriorati pari al 25%. I</w:t>
      </w:r>
      <w:r w:rsidRPr="00864DD4">
        <w:rPr>
          <w:rFonts w:ascii="Verdana" w:hAnsi="Verdana" w:cs="Verdana"/>
          <w:bCs/>
          <w:sz w:val="20"/>
          <w:szCs w:val="22"/>
        </w:rPr>
        <w:t xml:space="preserve">l recuperato </w:t>
      </w:r>
      <w:r>
        <w:rPr>
          <w:rFonts w:ascii="Verdana" w:hAnsi="Verdana" w:cs="Verdana"/>
          <w:bCs/>
          <w:sz w:val="20"/>
          <w:szCs w:val="22"/>
        </w:rPr>
        <w:t xml:space="preserve">da parte degli Investor è, invece, </w:t>
      </w:r>
      <w:r w:rsidRPr="00864DD4">
        <w:rPr>
          <w:rFonts w:ascii="Verdana" w:hAnsi="Verdana" w:cs="Verdana"/>
          <w:bCs/>
          <w:sz w:val="20"/>
          <w:szCs w:val="22"/>
        </w:rPr>
        <w:t>circa pari a</w:t>
      </w:r>
      <w:r>
        <w:rPr>
          <w:rFonts w:ascii="Verdana" w:hAnsi="Verdana" w:cs="Verdana"/>
          <w:bCs/>
          <w:sz w:val="20"/>
          <w:szCs w:val="22"/>
        </w:rPr>
        <w:t xml:space="preserve"> circa i</w:t>
      </w:r>
      <w:r w:rsidRPr="00864DD4">
        <w:rPr>
          <w:rFonts w:ascii="Verdana" w:hAnsi="Verdana" w:cs="Verdana"/>
          <w:bCs/>
          <w:sz w:val="20"/>
          <w:szCs w:val="22"/>
        </w:rPr>
        <w:t xml:space="preserve">l 30% dei crediti acquisiti. </w:t>
      </w:r>
    </w:p>
    <w:p w14:paraId="66D76F87" w14:textId="77777777" w:rsidR="00DA6671" w:rsidRPr="00864DD4" w:rsidRDefault="00DA6671" w:rsidP="003234F4">
      <w:pPr>
        <w:jc w:val="both"/>
        <w:rPr>
          <w:rFonts w:ascii="Verdana" w:hAnsi="Verdana" w:cs="Verdana"/>
          <w:bCs/>
          <w:sz w:val="20"/>
          <w:szCs w:val="22"/>
        </w:rPr>
      </w:pPr>
    </w:p>
    <w:p w14:paraId="7FA7CD87" w14:textId="77777777" w:rsidR="006E71C6" w:rsidRPr="003234F4" w:rsidRDefault="006E71C6" w:rsidP="003234F4">
      <w:pPr>
        <w:jc w:val="both"/>
        <w:rPr>
          <w:rFonts w:ascii="Verdana" w:hAnsi="Verdana" w:cs="Verdana"/>
          <w:bCs/>
          <w:sz w:val="20"/>
          <w:szCs w:val="22"/>
        </w:rPr>
      </w:pPr>
    </w:p>
    <w:p w14:paraId="0FB2B022" w14:textId="0CE3336A" w:rsidR="00533E23" w:rsidRPr="006E71C6" w:rsidRDefault="00533E23" w:rsidP="006E71C6">
      <w:pPr>
        <w:jc w:val="both"/>
        <w:rPr>
          <w:rFonts w:ascii="Verdana" w:hAnsi="Verdana" w:cs="Verdana"/>
          <w:b/>
          <w:bCs/>
          <w:sz w:val="20"/>
          <w:szCs w:val="22"/>
        </w:rPr>
      </w:pPr>
      <w:r w:rsidRPr="006E71C6">
        <w:rPr>
          <w:rFonts w:ascii="Verdana" w:hAnsi="Verdana" w:cs="Verdana"/>
          <w:bCs/>
          <w:i/>
          <w:sz w:val="20"/>
          <w:szCs w:val="22"/>
        </w:rPr>
        <w:t xml:space="preserve">“Con l’Osservatorio NPE intendiamo fornire una panoramica </w:t>
      </w:r>
      <w:r w:rsidR="006E71C6">
        <w:rPr>
          <w:rFonts w:ascii="Verdana" w:hAnsi="Verdana" w:cs="Verdana"/>
          <w:bCs/>
          <w:i/>
          <w:sz w:val="20"/>
          <w:szCs w:val="22"/>
        </w:rPr>
        <w:t xml:space="preserve">strutturata </w:t>
      </w:r>
      <w:r w:rsidRPr="006E71C6">
        <w:rPr>
          <w:rFonts w:ascii="Verdana" w:hAnsi="Verdana" w:cs="Verdana"/>
          <w:bCs/>
          <w:i/>
          <w:sz w:val="20"/>
          <w:szCs w:val="22"/>
        </w:rPr>
        <w:t xml:space="preserve">sulle dinamiche evolutive della gestione dei crediti deteriorati. Trattandosi di un nuovo osservatorio CRIF, sarà caratterizzato da un approccio quantitativo e andrà a sfruttare tutto il patrimonio informativo del Gruppo, utile per analizzare </w:t>
      </w:r>
      <w:r w:rsidR="006E71C6">
        <w:rPr>
          <w:rFonts w:ascii="Verdana" w:hAnsi="Verdana" w:cs="Verdana"/>
          <w:bCs/>
          <w:i/>
          <w:sz w:val="20"/>
          <w:szCs w:val="22"/>
        </w:rPr>
        <w:t xml:space="preserve">in profondità </w:t>
      </w:r>
      <w:r w:rsidRPr="006E71C6">
        <w:rPr>
          <w:rFonts w:ascii="Verdana" w:hAnsi="Verdana" w:cs="Verdana"/>
          <w:bCs/>
          <w:i/>
          <w:sz w:val="20"/>
          <w:szCs w:val="22"/>
        </w:rPr>
        <w:t xml:space="preserve">lo specifico ambito. </w:t>
      </w:r>
      <w:r w:rsidR="006E71C6">
        <w:rPr>
          <w:rFonts w:ascii="Verdana" w:hAnsi="Verdana" w:cs="Verdana"/>
          <w:bCs/>
          <w:i/>
          <w:sz w:val="20"/>
          <w:szCs w:val="22"/>
        </w:rPr>
        <w:t>La cadenza di pubblicazione</w:t>
      </w:r>
      <w:r w:rsidRPr="006E71C6">
        <w:rPr>
          <w:rFonts w:ascii="Verdana" w:hAnsi="Verdana" w:cs="Verdana"/>
          <w:bCs/>
          <w:i/>
          <w:sz w:val="20"/>
          <w:szCs w:val="22"/>
        </w:rPr>
        <w:t xml:space="preserve"> </w:t>
      </w:r>
      <w:r w:rsidR="006E71C6">
        <w:rPr>
          <w:rFonts w:ascii="Verdana" w:hAnsi="Verdana" w:cs="Verdana"/>
          <w:bCs/>
          <w:i/>
          <w:sz w:val="20"/>
          <w:szCs w:val="22"/>
        </w:rPr>
        <w:t>sarà semestrale</w:t>
      </w:r>
      <w:r w:rsidRPr="006E71C6">
        <w:rPr>
          <w:rFonts w:ascii="Verdana" w:hAnsi="Verdana" w:cs="Verdana"/>
          <w:bCs/>
          <w:i/>
          <w:sz w:val="20"/>
          <w:szCs w:val="22"/>
        </w:rPr>
        <w:t xml:space="preserve"> </w:t>
      </w:r>
      <w:r w:rsidR="006E71C6">
        <w:rPr>
          <w:rFonts w:ascii="Verdana" w:hAnsi="Verdana" w:cs="Verdana"/>
          <w:bCs/>
          <w:i/>
          <w:sz w:val="20"/>
          <w:szCs w:val="22"/>
        </w:rPr>
        <w:t>in modo da</w:t>
      </w:r>
      <w:r w:rsidRPr="006E71C6">
        <w:rPr>
          <w:rFonts w:ascii="Verdana" w:hAnsi="Verdana" w:cs="Verdana"/>
          <w:bCs/>
          <w:i/>
          <w:sz w:val="20"/>
          <w:szCs w:val="22"/>
        </w:rPr>
        <w:t xml:space="preserve"> fornire aggiornamenti sui tren</w:t>
      </w:r>
      <w:r w:rsidR="006E71C6">
        <w:rPr>
          <w:rFonts w:ascii="Verdana" w:hAnsi="Verdana" w:cs="Verdana"/>
          <w:bCs/>
          <w:i/>
          <w:sz w:val="20"/>
          <w:szCs w:val="22"/>
        </w:rPr>
        <w:t xml:space="preserve">d dei principali indicatori e </w:t>
      </w:r>
      <w:r w:rsidRPr="006E71C6">
        <w:rPr>
          <w:rFonts w:ascii="Verdana" w:hAnsi="Verdana" w:cs="Verdana"/>
          <w:bCs/>
          <w:i/>
          <w:sz w:val="20"/>
          <w:szCs w:val="22"/>
        </w:rPr>
        <w:t>corredare l’analisi quantitativa con focus sui principali elementi di novità, normativa</w:t>
      </w:r>
      <w:r w:rsidR="006E71C6">
        <w:rPr>
          <w:rFonts w:ascii="Verdana" w:hAnsi="Verdana" w:cs="Verdana"/>
          <w:bCs/>
          <w:i/>
          <w:sz w:val="20"/>
          <w:szCs w:val="22"/>
        </w:rPr>
        <w:t xml:space="preserve"> e gestionale. Rispetto ad altre analisi</w:t>
      </w:r>
      <w:r w:rsidRPr="006E71C6">
        <w:rPr>
          <w:rFonts w:ascii="Verdana" w:hAnsi="Verdana" w:cs="Verdana"/>
          <w:bCs/>
          <w:i/>
          <w:sz w:val="20"/>
          <w:szCs w:val="22"/>
        </w:rPr>
        <w:t xml:space="preserve"> già disponibili sul mercato, CRIF intende dare una visione complessiva par</w:t>
      </w:r>
      <w:r w:rsidR="006E71C6">
        <w:rPr>
          <w:rFonts w:ascii="Verdana" w:hAnsi="Verdana" w:cs="Verdana"/>
          <w:bCs/>
          <w:i/>
          <w:sz w:val="20"/>
          <w:szCs w:val="22"/>
        </w:rPr>
        <w:t>tendo dall’origination dei crediti deteriorati</w:t>
      </w:r>
      <w:r w:rsidRPr="006E71C6">
        <w:rPr>
          <w:rFonts w:ascii="Verdana" w:hAnsi="Verdana" w:cs="Verdana"/>
          <w:bCs/>
          <w:i/>
          <w:sz w:val="20"/>
          <w:szCs w:val="22"/>
        </w:rPr>
        <w:t xml:space="preserve"> con un focus sull’evoluzione del rischio di credito, sia in termini di flusso che di stock degli NPE, per poi approfondire tematiche più tipicamente legate alla gestione stragiudiziale e giudiziale” </w:t>
      </w:r>
      <w:r w:rsidR="006E71C6" w:rsidRPr="006E71C6">
        <w:rPr>
          <w:rFonts w:ascii="Verdana" w:hAnsi="Verdana" w:cs="Verdana"/>
          <w:bCs/>
          <w:sz w:val="20"/>
          <w:szCs w:val="22"/>
        </w:rPr>
        <w:t xml:space="preserve">– commenta </w:t>
      </w:r>
      <w:r w:rsidR="006E71C6" w:rsidRPr="006E71C6">
        <w:rPr>
          <w:rFonts w:ascii="Verdana" w:hAnsi="Verdana" w:cs="Verdana"/>
          <w:b/>
          <w:bCs/>
          <w:sz w:val="20"/>
          <w:szCs w:val="22"/>
        </w:rPr>
        <w:t>Alberto Sondri, Executive Director CRIBIS Credit Management.</w:t>
      </w:r>
    </w:p>
    <w:p w14:paraId="31C874F7" w14:textId="435BB321" w:rsidR="00F877EA" w:rsidRDefault="00F877EA" w:rsidP="006E71C6">
      <w:pPr>
        <w:jc w:val="both"/>
        <w:rPr>
          <w:rFonts w:ascii="Verdana" w:hAnsi="Verdana" w:cs="Verdana"/>
          <w:bCs/>
        </w:rPr>
      </w:pPr>
    </w:p>
    <w:p w14:paraId="2FF3CE42" w14:textId="373C8894" w:rsidR="00DD275A" w:rsidRDefault="00DD275A" w:rsidP="006E71C6">
      <w:pPr>
        <w:jc w:val="both"/>
        <w:rPr>
          <w:rFonts w:ascii="Verdana" w:hAnsi="Verdana" w:cs="Verdana"/>
          <w:bCs/>
        </w:rPr>
      </w:pPr>
    </w:p>
    <w:p w14:paraId="28505E00" w14:textId="2E32DD60" w:rsidR="00DD275A" w:rsidRDefault="00DD275A" w:rsidP="006E71C6">
      <w:pPr>
        <w:jc w:val="both"/>
        <w:rPr>
          <w:rFonts w:ascii="Verdana" w:hAnsi="Verdana" w:cs="Verdana"/>
          <w:bCs/>
        </w:rPr>
      </w:pPr>
    </w:p>
    <w:p w14:paraId="70636844" w14:textId="30A3E1FB" w:rsidR="00DD275A" w:rsidRDefault="00DD275A" w:rsidP="006E71C6">
      <w:pPr>
        <w:jc w:val="both"/>
        <w:rPr>
          <w:rFonts w:ascii="Verdana" w:hAnsi="Verdana" w:cs="Verdana"/>
          <w:bCs/>
        </w:rPr>
      </w:pPr>
    </w:p>
    <w:p w14:paraId="1A21159B" w14:textId="0246905D" w:rsidR="00DD275A" w:rsidRDefault="00DD275A" w:rsidP="006E71C6">
      <w:pPr>
        <w:jc w:val="both"/>
        <w:rPr>
          <w:rFonts w:ascii="Verdana" w:hAnsi="Verdana" w:cs="Verdana"/>
          <w:bCs/>
        </w:rPr>
      </w:pPr>
    </w:p>
    <w:p w14:paraId="34A69A39" w14:textId="77777777" w:rsidR="00DD275A" w:rsidRDefault="00DD275A" w:rsidP="00DD275A">
      <w:pPr>
        <w:pStyle w:val="CRIFBodyText"/>
        <w:jc w:val="left"/>
        <w:rPr>
          <w:rFonts w:eastAsia="Calibri"/>
          <w:i/>
          <w:lang w:val="it-IT"/>
        </w:rPr>
      </w:pPr>
      <w:r>
        <w:rPr>
          <w:sz w:val="16"/>
          <w:szCs w:val="16"/>
          <w:lang w:val="it-IT"/>
        </w:rPr>
        <w:t>Per ulteriori informazioni:</w:t>
      </w:r>
      <w:r>
        <w:rPr>
          <w:sz w:val="16"/>
          <w:szCs w:val="16"/>
          <w:lang w:val="it-IT"/>
        </w:rPr>
        <w:br/>
      </w:r>
      <w:r>
        <w:rPr>
          <w:snapToGrid w:val="0"/>
          <w:sz w:val="16"/>
          <w:szCs w:val="16"/>
          <w:lang w:val="it-IT"/>
        </w:rPr>
        <w:t xml:space="preserve">Luca Fumagalli – </w:t>
      </w:r>
      <w:hyperlink r:id="rId13" w:history="1">
        <w:r>
          <w:rPr>
            <w:rStyle w:val="Hyperlink"/>
            <w:snapToGrid w:val="0"/>
            <w:sz w:val="16"/>
            <w:szCs w:val="16"/>
            <w:lang w:val="it-IT"/>
          </w:rPr>
          <w:t>luca.fumagalli@bcw-global.com</w:t>
        </w:r>
      </w:hyperlink>
      <w:r>
        <w:rPr>
          <w:snapToGrid w:val="0"/>
          <w:sz w:val="16"/>
          <w:szCs w:val="16"/>
          <w:lang w:val="it-IT"/>
        </w:rPr>
        <w:t xml:space="preserve"> - Tel. 348 4586948</w:t>
      </w:r>
    </w:p>
    <w:p w14:paraId="681CE3F9" w14:textId="77777777" w:rsidR="00DD275A" w:rsidRPr="006E71C6" w:rsidRDefault="00DD275A" w:rsidP="006E71C6">
      <w:pPr>
        <w:jc w:val="both"/>
        <w:rPr>
          <w:rFonts w:ascii="Verdana" w:hAnsi="Verdana" w:cs="Verdana"/>
          <w:bCs/>
        </w:rPr>
      </w:pPr>
      <w:bookmarkStart w:id="0" w:name="_GoBack"/>
      <w:bookmarkEnd w:id="0"/>
    </w:p>
    <w:sectPr w:rsidR="00DD275A" w:rsidRPr="006E71C6" w:rsidSect="00102115">
      <w:headerReference w:type="default" r:id="rId14"/>
      <w:footerReference w:type="default" r:id="rId15"/>
      <w:pgSz w:w="11906" w:h="16838"/>
      <w:pgMar w:top="208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893C5" w14:textId="77777777" w:rsidR="00906583" w:rsidRDefault="00906583" w:rsidP="00C91761">
      <w:r>
        <w:separator/>
      </w:r>
    </w:p>
  </w:endnote>
  <w:endnote w:type="continuationSeparator" w:id="0">
    <w:p w14:paraId="0022D923" w14:textId="77777777" w:rsidR="00906583" w:rsidRDefault="00906583" w:rsidP="00C9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DA5F3" w14:textId="7E218457" w:rsidR="00032839" w:rsidRDefault="0003283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5148">
      <w:rPr>
        <w:noProof/>
      </w:rPr>
      <w:t>1</w:t>
    </w:r>
    <w:r>
      <w:rPr>
        <w:noProof/>
      </w:rPr>
      <w:fldChar w:fldCharType="end"/>
    </w:r>
  </w:p>
  <w:p w14:paraId="791406F5" w14:textId="77777777" w:rsidR="00032839" w:rsidRDefault="000328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E8883" w14:textId="77777777" w:rsidR="00906583" w:rsidRDefault="00906583" w:rsidP="00C91761">
      <w:r>
        <w:separator/>
      </w:r>
    </w:p>
  </w:footnote>
  <w:footnote w:type="continuationSeparator" w:id="0">
    <w:p w14:paraId="197508FA" w14:textId="77777777" w:rsidR="00906583" w:rsidRDefault="00906583" w:rsidP="00C91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F38EE" w14:textId="3D13CFF9" w:rsidR="00F014E3" w:rsidRDefault="00947269">
    <w:pPr>
      <w:pStyle w:val="Header"/>
    </w:pPr>
    <w:r w:rsidRPr="00947269">
      <w:rPr>
        <w:noProof/>
      </w:rPr>
      <w:drawing>
        <wp:anchor distT="0" distB="0" distL="114300" distR="114300" simplePos="0" relativeHeight="251660288" behindDoc="0" locked="0" layoutInCell="1" allowOverlap="1" wp14:anchorId="437B792A" wp14:editId="2FE330D1">
          <wp:simplePos x="0" y="0"/>
          <wp:positionH relativeFrom="column">
            <wp:posOffset>2699385</wp:posOffset>
          </wp:positionH>
          <wp:positionV relativeFrom="paragraph">
            <wp:posOffset>-83655</wp:posOffset>
          </wp:positionV>
          <wp:extent cx="3368361" cy="711780"/>
          <wp:effectExtent l="0" t="0" r="0" b="0"/>
          <wp:wrapNone/>
          <wp:docPr id="17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magine 1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8361" cy="71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14E3" w:rsidRPr="002A09F3">
      <w:rPr>
        <w:noProof/>
      </w:rPr>
      <w:drawing>
        <wp:anchor distT="0" distB="0" distL="114300" distR="114300" simplePos="0" relativeHeight="251659264" behindDoc="0" locked="0" layoutInCell="1" allowOverlap="1" wp14:anchorId="5C2812E2" wp14:editId="7E2429CC">
          <wp:simplePos x="0" y="0"/>
          <wp:positionH relativeFrom="column">
            <wp:posOffset>0</wp:posOffset>
          </wp:positionH>
          <wp:positionV relativeFrom="page">
            <wp:posOffset>448945</wp:posOffset>
          </wp:positionV>
          <wp:extent cx="1208405" cy="539750"/>
          <wp:effectExtent l="0" t="0" r="0" b="0"/>
          <wp:wrapNone/>
          <wp:docPr id="4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40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83D6B"/>
    <w:multiLevelType w:val="multilevel"/>
    <w:tmpl w:val="01928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D96967"/>
    <w:multiLevelType w:val="hybridMultilevel"/>
    <w:tmpl w:val="C7DCD026"/>
    <w:lvl w:ilvl="0" w:tplc="C75CC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DE34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AE1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5C7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286C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2EE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34E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AC2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BA8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EF7E53"/>
    <w:multiLevelType w:val="hybridMultilevel"/>
    <w:tmpl w:val="312264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80DB5"/>
    <w:multiLevelType w:val="hybridMultilevel"/>
    <w:tmpl w:val="959AA5D0"/>
    <w:lvl w:ilvl="0" w:tplc="70328B32">
      <w:numFmt w:val="bullet"/>
      <w:lvlText w:val="-"/>
      <w:lvlJc w:val="left"/>
      <w:pPr>
        <w:ind w:left="1146" w:hanging="360"/>
      </w:pPr>
      <w:rPr>
        <w:rFonts w:ascii="Verdana" w:eastAsia="Calibri" w:hAnsi="Verdana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BD5FB9"/>
    <w:multiLevelType w:val="hybridMultilevel"/>
    <w:tmpl w:val="EF9CBBB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968DD"/>
    <w:multiLevelType w:val="hybridMultilevel"/>
    <w:tmpl w:val="B3CAFF58"/>
    <w:lvl w:ilvl="0" w:tplc="A5402BEE">
      <w:start w:val="1"/>
      <w:numFmt w:val="decimal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6212DB"/>
    <w:multiLevelType w:val="multilevel"/>
    <w:tmpl w:val="FE1AF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4E1F64"/>
    <w:multiLevelType w:val="hybridMultilevel"/>
    <w:tmpl w:val="D0B44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861"/>
    <w:rsid w:val="000133FD"/>
    <w:rsid w:val="00013FD8"/>
    <w:rsid w:val="00014B1C"/>
    <w:rsid w:val="0002127B"/>
    <w:rsid w:val="00023DDC"/>
    <w:rsid w:val="0002632A"/>
    <w:rsid w:val="000304D7"/>
    <w:rsid w:val="0003089F"/>
    <w:rsid w:val="00030F46"/>
    <w:rsid w:val="00032839"/>
    <w:rsid w:val="000340CB"/>
    <w:rsid w:val="00034411"/>
    <w:rsid w:val="00040D84"/>
    <w:rsid w:val="000455FA"/>
    <w:rsid w:val="00050007"/>
    <w:rsid w:val="00050A7A"/>
    <w:rsid w:val="00050DAA"/>
    <w:rsid w:val="00053997"/>
    <w:rsid w:val="0005477E"/>
    <w:rsid w:val="00056DB0"/>
    <w:rsid w:val="00061B35"/>
    <w:rsid w:val="000735C7"/>
    <w:rsid w:val="00077E3E"/>
    <w:rsid w:val="00080E9E"/>
    <w:rsid w:val="00084219"/>
    <w:rsid w:val="00094001"/>
    <w:rsid w:val="0009597B"/>
    <w:rsid w:val="000A2C48"/>
    <w:rsid w:val="000B0748"/>
    <w:rsid w:val="000B2294"/>
    <w:rsid w:val="000B3D3F"/>
    <w:rsid w:val="000B51AB"/>
    <w:rsid w:val="000B5A4C"/>
    <w:rsid w:val="000C3D32"/>
    <w:rsid w:val="000C49DF"/>
    <w:rsid w:val="000C4C28"/>
    <w:rsid w:val="000D0098"/>
    <w:rsid w:val="000D6FA3"/>
    <w:rsid w:val="000D7CC5"/>
    <w:rsid w:val="000E45F0"/>
    <w:rsid w:val="000E7AE2"/>
    <w:rsid w:val="000E7BB1"/>
    <w:rsid w:val="000F4EB2"/>
    <w:rsid w:val="000F5E68"/>
    <w:rsid w:val="00100989"/>
    <w:rsid w:val="00102115"/>
    <w:rsid w:val="001142CB"/>
    <w:rsid w:val="001151BE"/>
    <w:rsid w:val="00115352"/>
    <w:rsid w:val="00116C2E"/>
    <w:rsid w:val="00117BF6"/>
    <w:rsid w:val="00120D0A"/>
    <w:rsid w:val="00123B46"/>
    <w:rsid w:val="001268DA"/>
    <w:rsid w:val="00126905"/>
    <w:rsid w:val="00131FC2"/>
    <w:rsid w:val="001357BF"/>
    <w:rsid w:val="001365C1"/>
    <w:rsid w:val="00137023"/>
    <w:rsid w:val="00137C65"/>
    <w:rsid w:val="0014082D"/>
    <w:rsid w:val="00157B81"/>
    <w:rsid w:val="00162287"/>
    <w:rsid w:val="0016337D"/>
    <w:rsid w:val="00163567"/>
    <w:rsid w:val="001635F8"/>
    <w:rsid w:val="00180C63"/>
    <w:rsid w:val="00187B0F"/>
    <w:rsid w:val="001946C9"/>
    <w:rsid w:val="001B074C"/>
    <w:rsid w:val="001B0C07"/>
    <w:rsid w:val="001B286E"/>
    <w:rsid w:val="001B3978"/>
    <w:rsid w:val="001B450E"/>
    <w:rsid w:val="001B4B2B"/>
    <w:rsid w:val="001B6AFF"/>
    <w:rsid w:val="001C0F20"/>
    <w:rsid w:val="001C2677"/>
    <w:rsid w:val="001D4842"/>
    <w:rsid w:val="001D5ADF"/>
    <w:rsid w:val="001D6614"/>
    <w:rsid w:val="001D6CFC"/>
    <w:rsid w:val="001E2FFE"/>
    <w:rsid w:val="001E69C2"/>
    <w:rsid w:val="001F0AE4"/>
    <w:rsid w:val="001F73F9"/>
    <w:rsid w:val="00200F00"/>
    <w:rsid w:val="00202F1A"/>
    <w:rsid w:val="0021176A"/>
    <w:rsid w:val="00211F75"/>
    <w:rsid w:val="00223986"/>
    <w:rsid w:val="00227FDE"/>
    <w:rsid w:val="00241827"/>
    <w:rsid w:val="00274DB3"/>
    <w:rsid w:val="00280617"/>
    <w:rsid w:val="00287150"/>
    <w:rsid w:val="002929D1"/>
    <w:rsid w:val="00296717"/>
    <w:rsid w:val="002A234B"/>
    <w:rsid w:val="002A25A2"/>
    <w:rsid w:val="002A4740"/>
    <w:rsid w:val="002B43B1"/>
    <w:rsid w:val="002B785E"/>
    <w:rsid w:val="002C72D7"/>
    <w:rsid w:val="002E5EB9"/>
    <w:rsid w:val="002F1772"/>
    <w:rsid w:val="002F2FDA"/>
    <w:rsid w:val="002F4A7A"/>
    <w:rsid w:val="00310B35"/>
    <w:rsid w:val="00311BB5"/>
    <w:rsid w:val="00315880"/>
    <w:rsid w:val="00315F7F"/>
    <w:rsid w:val="00317790"/>
    <w:rsid w:val="003204A0"/>
    <w:rsid w:val="003234F4"/>
    <w:rsid w:val="00331F48"/>
    <w:rsid w:val="00332784"/>
    <w:rsid w:val="00334EFF"/>
    <w:rsid w:val="003353E5"/>
    <w:rsid w:val="00340273"/>
    <w:rsid w:val="0034122C"/>
    <w:rsid w:val="00347421"/>
    <w:rsid w:val="0035073F"/>
    <w:rsid w:val="00351246"/>
    <w:rsid w:val="00354460"/>
    <w:rsid w:val="00354A5E"/>
    <w:rsid w:val="00354B76"/>
    <w:rsid w:val="0035562E"/>
    <w:rsid w:val="0035777B"/>
    <w:rsid w:val="00364DF0"/>
    <w:rsid w:val="00365148"/>
    <w:rsid w:val="00372846"/>
    <w:rsid w:val="0037662D"/>
    <w:rsid w:val="003904E3"/>
    <w:rsid w:val="003917FB"/>
    <w:rsid w:val="00396878"/>
    <w:rsid w:val="003A0D66"/>
    <w:rsid w:val="003A46E8"/>
    <w:rsid w:val="003A51D9"/>
    <w:rsid w:val="003C0AE9"/>
    <w:rsid w:val="003D4BB5"/>
    <w:rsid w:val="003E4FDD"/>
    <w:rsid w:val="003E54BD"/>
    <w:rsid w:val="00400642"/>
    <w:rsid w:val="004030AC"/>
    <w:rsid w:val="00410FEF"/>
    <w:rsid w:val="00411051"/>
    <w:rsid w:val="00416169"/>
    <w:rsid w:val="00433439"/>
    <w:rsid w:val="00435448"/>
    <w:rsid w:val="00441E5E"/>
    <w:rsid w:val="0044388E"/>
    <w:rsid w:val="0044561D"/>
    <w:rsid w:val="004475AE"/>
    <w:rsid w:val="004521F7"/>
    <w:rsid w:val="00454BA0"/>
    <w:rsid w:val="0045621A"/>
    <w:rsid w:val="00462C0B"/>
    <w:rsid w:val="0046333B"/>
    <w:rsid w:val="004642EA"/>
    <w:rsid w:val="00465586"/>
    <w:rsid w:val="00473BB0"/>
    <w:rsid w:val="00482567"/>
    <w:rsid w:val="004832B5"/>
    <w:rsid w:val="00490991"/>
    <w:rsid w:val="004A14E8"/>
    <w:rsid w:val="004A3B62"/>
    <w:rsid w:val="004B66EF"/>
    <w:rsid w:val="004C1FB3"/>
    <w:rsid w:val="004C285A"/>
    <w:rsid w:val="004C6600"/>
    <w:rsid w:val="004D01A8"/>
    <w:rsid w:val="004D67C2"/>
    <w:rsid w:val="004D6F7E"/>
    <w:rsid w:val="004E3CEA"/>
    <w:rsid w:val="004E71E0"/>
    <w:rsid w:val="004F526C"/>
    <w:rsid w:val="004F6A86"/>
    <w:rsid w:val="004F70EE"/>
    <w:rsid w:val="005052E9"/>
    <w:rsid w:val="00512D72"/>
    <w:rsid w:val="00513857"/>
    <w:rsid w:val="0053021B"/>
    <w:rsid w:val="00533E23"/>
    <w:rsid w:val="00536743"/>
    <w:rsid w:val="00544456"/>
    <w:rsid w:val="0054751B"/>
    <w:rsid w:val="0055184C"/>
    <w:rsid w:val="00552E53"/>
    <w:rsid w:val="00564DCF"/>
    <w:rsid w:val="005727BA"/>
    <w:rsid w:val="00572FB5"/>
    <w:rsid w:val="00574071"/>
    <w:rsid w:val="00574557"/>
    <w:rsid w:val="00580F74"/>
    <w:rsid w:val="00585577"/>
    <w:rsid w:val="005A22E2"/>
    <w:rsid w:val="005A3927"/>
    <w:rsid w:val="005B000B"/>
    <w:rsid w:val="005B09CA"/>
    <w:rsid w:val="005B4478"/>
    <w:rsid w:val="005B513F"/>
    <w:rsid w:val="005B69A9"/>
    <w:rsid w:val="005B6CE9"/>
    <w:rsid w:val="005C1FDA"/>
    <w:rsid w:val="005C6357"/>
    <w:rsid w:val="005D1985"/>
    <w:rsid w:val="005D634C"/>
    <w:rsid w:val="005E1919"/>
    <w:rsid w:val="005E2905"/>
    <w:rsid w:val="005E649B"/>
    <w:rsid w:val="005F5E9B"/>
    <w:rsid w:val="0060333E"/>
    <w:rsid w:val="00606936"/>
    <w:rsid w:val="006232B8"/>
    <w:rsid w:val="006346FC"/>
    <w:rsid w:val="00635570"/>
    <w:rsid w:val="006356EE"/>
    <w:rsid w:val="00635EA6"/>
    <w:rsid w:val="0064368A"/>
    <w:rsid w:val="00671118"/>
    <w:rsid w:val="006763E2"/>
    <w:rsid w:val="00680CE6"/>
    <w:rsid w:val="00682AE9"/>
    <w:rsid w:val="006834E9"/>
    <w:rsid w:val="006901D7"/>
    <w:rsid w:val="006928F8"/>
    <w:rsid w:val="0069549C"/>
    <w:rsid w:val="006A1CB5"/>
    <w:rsid w:val="006A39B3"/>
    <w:rsid w:val="006A56B2"/>
    <w:rsid w:val="006A6FB9"/>
    <w:rsid w:val="006A7588"/>
    <w:rsid w:val="006B1695"/>
    <w:rsid w:val="006C0EA7"/>
    <w:rsid w:val="006C2331"/>
    <w:rsid w:val="006D08B0"/>
    <w:rsid w:val="006D2AE0"/>
    <w:rsid w:val="006E2F80"/>
    <w:rsid w:val="006E3A87"/>
    <w:rsid w:val="006E3DD3"/>
    <w:rsid w:val="006E66F2"/>
    <w:rsid w:val="006E71C6"/>
    <w:rsid w:val="006F08DA"/>
    <w:rsid w:val="006F223A"/>
    <w:rsid w:val="007026BE"/>
    <w:rsid w:val="007045F2"/>
    <w:rsid w:val="00706DB7"/>
    <w:rsid w:val="007105A2"/>
    <w:rsid w:val="00714C77"/>
    <w:rsid w:val="00717CB3"/>
    <w:rsid w:val="00720B74"/>
    <w:rsid w:val="007231D5"/>
    <w:rsid w:val="00723FF0"/>
    <w:rsid w:val="00742D04"/>
    <w:rsid w:val="0075446D"/>
    <w:rsid w:val="00755241"/>
    <w:rsid w:val="00755269"/>
    <w:rsid w:val="00762E0E"/>
    <w:rsid w:val="007801DF"/>
    <w:rsid w:val="0078408D"/>
    <w:rsid w:val="007879F6"/>
    <w:rsid w:val="00793344"/>
    <w:rsid w:val="00796C47"/>
    <w:rsid w:val="007A794D"/>
    <w:rsid w:val="007B5BDF"/>
    <w:rsid w:val="007C122F"/>
    <w:rsid w:val="007C3E2B"/>
    <w:rsid w:val="007D6822"/>
    <w:rsid w:val="007E121B"/>
    <w:rsid w:val="007E27F9"/>
    <w:rsid w:val="007E5515"/>
    <w:rsid w:val="007F5E42"/>
    <w:rsid w:val="007F7E07"/>
    <w:rsid w:val="0080069F"/>
    <w:rsid w:val="00805492"/>
    <w:rsid w:val="0082033F"/>
    <w:rsid w:val="008263E3"/>
    <w:rsid w:val="00844145"/>
    <w:rsid w:val="00852F57"/>
    <w:rsid w:val="008546B7"/>
    <w:rsid w:val="0086179A"/>
    <w:rsid w:val="00864402"/>
    <w:rsid w:val="00864DD4"/>
    <w:rsid w:val="008717EC"/>
    <w:rsid w:val="00871AF0"/>
    <w:rsid w:val="00871D48"/>
    <w:rsid w:val="0088045B"/>
    <w:rsid w:val="00892653"/>
    <w:rsid w:val="00893D50"/>
    <w:rsid w:val="008B091D"/>
    <w:rsid w:val="008B3D78"/>
    <w:rsid w:val="008C1407"/>
    <w:rsid w:val="008C3011"/>
    <w:rsid w:val="008C685B"/>
    <w:rsid w:val="008D09F9"/>
    <w:rsid w:val="008D3326"/>
    <w:rsid w:val="008D4BAB"/>
    <w:rsid w:val="008D590D"/>
    <w:rsid w:val="008F2BB1"/>
    <w:rsid w:val="00904A1B"/>
    <w:rsid w:val="00906583"/>
    <w:rsid w:val="00924FB3"/>
    <w:rsid w:val="0093326D"/>
    <w:rsid w:val="00943D3B"/>
    <w:rsid w:val="00947269"/>
    <w:rsid w:val="0095067A"/>
    <w:rsid w:val="009554E3"/>
    <w:rsid w:val="00962B50"/>
    <w:rsid w:val="009674BF"/>
    <w:rsid w:val="00972A2F"/>
    <w:rsid w:val="00975B24"/>
    <w:rsid w:val="00976D8C"/>
    <w:rsid w:val="00986B6B"/>
    <w:rsid w:val="00990BC2"/>
    <w:rsid w:val="00990E0C"/>
    <w:rsid w:val="00996EDB"/>
    <w:rsid w:val="009A345F"/>
    <w:rsid w:val="009B406D"/>
    <w:rsid w:val="009B40B9"/>
    <w:rsid w:val="009C05A2"/>
    <w:rsid w:val="009D0C76"/>
    <w:rsid w:val="009D6BE6"/>
    <w:rsid w:val="009D78F3"/>
    <w:rsid w:val="009E0D94"/>
    <w:rsid w:val="009E6612"/>
    <w:rsid w:val="009F2DDD"/>
    <w:rsid w:val="009F78F3"/>
    <w:rsid w:val="00A01EB0"/>
    <w:rsid w:val="00A03244"/>
    <w:rsid w:val="00A11DB2"/>
    <w:rsid w:val="00A13DA0"/>
    <w:rsid w:val="00A142A7"/>
    <w:rsid w:val="00A14D78"/>
    <w:rsid w:val="00A242DD"/>
    <w:rsid w:val="00A2632F"/>
    <w:rsid w:val="00A30A06"/>
    <w:rsid w:val="00A32153"/>
    <w:rsid w:val="00A32CA0"/>
    <w:rsid w:val="00A34E82"/>
    <w:rsid w:val="00A358E5"/>
    <w:rsid w:val="00A40571"/>
    <w:rsid w:val="00A44264"/>
    <w:rsid w:val="00A517F7"/>
    <w:rsid w:val="00A57D45"/>
    <w:rsid w:val="00A631F7"/>
    <w:rsid w:val="00A72DC9"/>
    <w:rsid w:val="00A87339"/>
    <w:rsid w:val="00A904FE"/>
    <w:rsid w:val="00A90A23"/>
    <w:rsid w:val="00A96865"/>
    <w:rsid w:val="00AA1FD1"/>
    <w:rsid w:val="00AA23F5"/>
    <w:rsid w:val="00AA7F72"/>
    <w:rsid w:val="00AB0B23"/>
    <w:rsid w:val="00AC0B60"/>
    <w:rsid w:val="00AD1845"/>
    <w:rsid w:val="00AD7195"/>
    <w:rsid w:val="00AE3334"/>
    <w:rsid w:val="00AE3C61"/>
    <w:rsid w:val="00AE54DE"/>
    <w:rsid w:val="00AE6154"/>
    <w:rsid w:val="00AF20F3"/>
    <w:rsid w:val="00AF4EB9"/>
    <w:rsid w:val="00AF6C36"/>
    <w:rsid w:val="00B00432"/>
    <w:rsid w:val="00B0295D"/>
    <w:rsid w:val="00B1086A"/>
    <w:rsid w:val="00B10B73"/>
    <w:rsid w:val="00B1437F"/>
    <w:rsid w:val="00B14881"/>
    <w:rsid w:val="00B17688"/>
    <w:rsid w:val="00B232A1"/>
    <w:rsid w:val="00B255A5"/>
    <w:rsid w:val="00B26489"/>
    <w:rsid w:val="00B30CAC"/>
    <w:rsid w:val="00B3502A"/>
    <w:rsid w:val="00B4087E"/>
    <w:rsid w:val="00B41A2F"/>
    <w:rsid w:val="00B42FD1"/>
    <w:rsid w:val="00B46AD2"/>
    <w:rsid w:val="00B51264"/>
    <w:rsid w:val="00B53989"/>
    <w:rsid w:val="00B556FA"/>
    <w:rsid w:val="00B5696F"/>
    <w:rsid w:val="00B63332"/>
    <w:rsid w:val="00B64EB1"/>
    <w:rsid w:val="00B71918"/>
    <w:rsid w:val="00B7314A"/>
    <w:rsid w:val="00B731DE"/>
    <w:rsid w:val="00B7418B"/>
    <w:rsid w:val="00B74EDB"/>
    <w:rsid w:val="00B77EA8"/>
    <w:rsid w:val="00B81970"/>
    <w:rsid w:val="00B8729A"/>
    <w:rsid w:val="00B9447C"/>
    <w:rsid w:val="00B94BDC"/>
    <w:rsid w:val="00BA05F3"/>
    <w:rsid w:val="00BA0BCA"/>
    <w:rsid w:val="00BA3780"/>
    <w:rsid w:val="00BA4D04"/>
    <w:rsid w:val="00BC2F69"/>
    <w:rsid w:val="00BC4727"/>
    <w:rsid w:val="00BD0560"/>
    <w:rsid w:val="00BD1FC3"/>
    <w:rsid w:val="00BE6F66"/>
    <w:rsid w:val="00BF5ACF"/>
    <w:rsid w:val="00C0052C"/>
    <w:rsid w:val="00C02550"/>
    <w:rsid w:val="00C02E43"/>
    <w:rsid w:val="00C07178"/>
    <w:rsid w:val="00C11956"/>
    <w:rsid w:val="00C144FD"/>
    <w:rsid w:val="00C17CFC"/>
    <w:rsid w:val="00C20ABD"/>
    <w:rsid w:val="00C223CB"/>
    <w:rsid w:val="00C22A8D"/>
    <w:rsid w:val="00C30521"/>
    <w:rsid w:val="00C34A01"/>
    <w:rsid w:val="00C34E60"/>
    <w:rsid w:val="00C37EB7"/>
    <w:rsid w:val="00C43FE7"/>
    <w:rsid w:val="00C44E27"/>
    <w:rsid w:val="00C506E0"/>
    <w:rsid w:val="00C52D12"/>
    <w:rsid w:val="00C620C4"/>
    <w:rsid w:val="00C6422B"/>
    <w:rsid w:val="00C701B4"/>
    <w:rsid w:val="00C73180"/>
    <w:rsid w:val="00C7539E"/>
    <w:rsid w:val="00C75A0F"/>
    <w:rsid w:val="00C77035"/>
    <w:rsid w:val="00C82B87"/>
    <w:rsid w:val="00C8767C"/>
    <w:rsid w:val="00C90B54"/>
    <w:rsid w:val="00C91761"/>
    <w:rsid w:val="00C9717D"/>
    <w:rsid w:val="00CA05AF"/>
    <w:rsid w:val="00CA268F"/>
    <w:rsid w:val="00CA5978"/>
    <w:rsid w:val="00CA6E36"/>
    <w:rsid w:val="00CB08B8"/>
    <w:rsid w:val="00CB516F"/>
    <w:rsid w:val="00CB51E4"/>
    <w:rsid w:val="00CB6C75"/>
    <w:rsid w:val="00CD0A20"/>
    <w:rsid w:val="00CD0A89"/>
    <w:rsid w:val="00CD2EA3"/>
    <w:rsid w:val="00CD3367"/>
    <w:rsid w:val="00CD7BEC"/>
    <w:rsid w:val="00CE0219"/>
    <w:rsid w:val="00CE0F76"/>
    <w:rsid w:val="00CF33FE"/>
    <w:rsid w:val="00CF40CE"/>
    <w:rsid w:val="00CF5E07"/>
    <w:rsid w:val="00D00546"/>
    <w:rsid w:val="00D116BB"/>
    <w:rsid w:val="00D16CE4"/>
    <w:rsid w:val="00D33A17"/>
    <w:rsid w:val="00D404EE"/>
    <w:rsid w:val="00D411AC"/>
    <w:rsid w:val="00D41958"/>
    <w:rsid w:val="00D41B8A"/>
    <w:rsid w:val="00D5678E"/>
    <w:rsid w:val="00D57F11"/>
    <w:rsid w:val="00D62278"/>
    <w:rsid w:val="00D636C3"/>
    <w:rsid w:val="00D80639"/>
    <w:rsid w:val="00D85BF1"/>
    <w:rsid w:val="00D868BE"/>
    <w:rsid w:val="00D90E02"/>
    <w:rsid w:val="00D913A9"/>
    <w:rsid w:val="00D978AF"/>
    <w:rsid w:val="00DA1F0B"/>
    <w:rsid w:val="00DA2E3C"/>
    <w:rsid w:val="00DA4500"/>
    <w:rsid w:val="00DA6671"/>
    <w:rsid w:val="00DA7206"/>
    <w:rsid w:val="00DB264E"/>
    <w:rsid w:val="00DB400B"/>
    <w:rsid w:val="00DB42B8"/>
    <w:rsid w:val="00DB54C2"/>
    <w:rsid w:val="00DB56FC"/>
    <w:rsid w:val="00DB7B22"/>
    <w:rsid w:val="00DD275A"/>
    <w:rsid w:val="00DD44BB"/>
    <w:rsid w:val="00DE1076"/>
    <w:rsid w:val="00DF0C8F"/>
    <w:rsid w:val="00DF1F07"/>
    <w:rsid w:val="00DF3BC4"/>
    <w:rsid w:val="00DF7383"/>
    <w:rsid w:val="00E02F79"/>
    <w:rsid w:val="00E0468A"/>
    <w:rsid w:val="00E07CC0"/>
    <w:rsid w:val="00E14031"/>
    <w:rsid w:val="00E17BE3"/>
    <w:rsid w:val="00E21FB6"/>
    <w:rsid w:val="00E24BB1"/>
    <w:rsid w:val="00E24E36"/>
    <w:rsid w:val="00E2552A"/>
    <w:rsid w:val="00E2786D"/>
    <w:rsid w:val="00E278BD"/>
    <w:rsid w:val="00E321CA"/>
    <w:rsid w:val="00E3259D"/>
    <w:rsid w:val="00E3525E"/>
    <w:rsid w:val="00E366A8"/>
    <w:rsid w:val="00E41427"/>
    <w:rsid w:val="00E4375B"/>
    <w:rsid w:val="00E44B7F"/>
    <w:rsid w:val="00E53861"/>
    <w:rsid w:val="00E545F5"/>
    <w:rsid w:val="00E62F59"/>
    <w:rsid w:val="00E6343E"/>
    <w:rsid w:val="00E67BCA"/>
    <w:rsid w:val="00E71C08"/>
    <w:rsid w:val="00E82290"/>
    <w:rsid w:val="00E92558"/>
    <w:rsid w:val="00E9292C"/>
    <w:rsid w:val="00E92A75"/>
    <w:rsid w:val="00E954A4"/>
    <w:rsid w:val="00EA1586"/>
    <w:rsid w:val="00EA2DC2"/>
    <w:rsid w:val="00EA38BC"/>
    <w:rsid w:val="00EA7C2D"/>
    <w:rsid w:val="00EB15A1"/>
    <w:rsid w:val="00EB530C"/>
    <w:rsid w:val="00EC52F6"/>
    <w:rsid w:val="00ED62F1"/>
    <w:rsid w:val="00EF0405"/>
    <w:rsid w:val="00EF0920"/>
    <w:rsid w:val="00F014E3"/>
    <w:rsid w:val="00F12829"/>
    <w:rsid w:val="00F254D0"/>
    <w:rsid w:val="00F26C7B"/>
    <w:rsid w:val="00F318A8"/>
    <w:rsid w:val="00F51554"/>
    <w:rsid w:val="00F56C06"/>
    <w:rsid w:val="00F62EA0"/>
    <w:rsid w:val="00F818AB"/>
    <w:rsid w:val="00F8299E"/>
    <w:rsid w:val="00F862D9"/>
    <w:rsid w:val="00F87060"/>
    <w:rsid w:val="00F877EA"/>
    <w:rsid w:val="00F9487F"/>
    <w:rsid w:val="00F962D0"/>
    <w:rsid w:val="00FA107B"/>
    <w:rsid w:val="00FA13F2"/>
    <w:rsid w:val="00FC3BC5"/>
    <w:rsid w:val="00FD3F46"/>
    <w:rsid w:val="00FD4516"/>
    <w:rsid w:val="00FE4DDD"/>
    <w:rsid w:val="00FE5146"/>
    <w:rsid w:val="00FE586D"/>
    <w:rsid w:val="00FF0CB1"/>
    <w:rsid w:val="00FF2390"/>
    <w:rsid w:val="00FF3046"/>
    <w:rsid w:val="00FF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3886BAF"/>
  <w15:docId w15:val="{1F1368A6-C701-415F-BF77-15720FAB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86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10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086A"/>
    <w:rPr>
      <w:rFonts w:ascii="Tahoma" w:hAnsi="Tahoma" w:cs="Tahoma"/>
      <w:sz w:val="16"/>
      <w:szCs w:val="16"/>
      <w:lang w:eastAsia="it-IT"/>
    </w:rPr>
  </w:style>
  <w:style w:type="paragraph" w:styleId="DocumentMap">
    <w:name w:val="Document Map"/>
    <w:basedOn w:val="Normal"/>
    <w:link w:val="DocumentMapChar"/>
    <w:uiPriority w:val="99"/>
    <w:semiHidden/>
    <w:rsid w:val="00C025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3BE4"/>
    <w:rPr>
      <w:rFonts w:ascii="Times New Roman" w:eastAsia="Times New Roman" w:hAnsi="Times New Roman"/>
      <w:sz w:val="0"/>
      <w:szCs w:val="0"/>
    </w:rPr>
  </w:style>
  <w:style w:type="paragraph" w:styleId="Header">
    <w:name w:val="header"/>
    <w:basedOn w:val="Normal"/>
    <w:link w:val="HeaderChar"/>
    <w:uiPriority w:val="99"/>
    <w:unhideWhenUsed/>
    <w:rsid w:val="00C9176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76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176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761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0219"/>
    <w:pPr>
      <w:ind w:left="720"/>
    </w:pPr>
    <w:rPr>
      <w:rFonts w:ascii="Calibri" w:eastAsia="Calibri" w:hAnsi="Calibri" w:cs="Calibri"/>
      <w:sz w:val="22"/>
      <w:szCs w:val="22"/>
    </w:rPr>
  </w:style>
  <w:style w:type="table" w:styleId="TableGrid">
    <w:name w:val="Table Grid"/>
    <w:basedOn w:val="TableNormal"/>
    <w:locked/>
    <w:rsid w:val="00C43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94001"/>
    <w:pPr>
      <w:spacing w:before="100" w:beforeAutospacing="1" w:after="100" w:afterAutospacing="1"/>
    </w:pPr>
  </w:style>
  <w:style w:type="paragraph" w:customStyle="1" w:styleId="Default">
    <w:name w:val="Default"/>
    <w:rsid w:val="001C2677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table" w:styleId="PlainTable3">
    <w:name w:val="Plain Table 3"/>
    <w:basedOn w:val="TableNormal"/>
    <w:uiPriority w:val="43"/>
    <w:rsid w:val="005A22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qFormat/>
    <w:rsid w:val="005A22E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30521"/>
    <w:pPr>
      <w:spacing w:after="120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30521"/>
    <w:rPr>
      <w:rFonts w:ascii="Times New Roman" w:eastAsia="Times New Roman" w:hAnsi="Times New Roman"/>
      <w:sz w:val="24"/>
    </w:rPr>
  </w:style>
  <w:style w:type="paragraph" w:customStyle="1" w:styleId="CRIFBodyText">
    <w:name w:val="CRIF Body Text"/>
    <w:basedOn w:val="Normal"/>
    <w:link w:val="CRIFBodyTextChar"/>
    <w:qFormat/>
    <w:rsid w:val="00F877EA"/>
    <w:pPr>
      <w:spacing w:after="200" w:line="360" w:lineRule="auto"/>
      <w:jc w:val="both"/>
    </w:pPr>
    <w:rPr>
      <w:rFonts w:asciiTheme="minorHAnsi" w:eastAsiaTheme="minorEastAsia" w:hAnsiTheme="minorHAnsi" w:cstheme="minorBidi"/>
      <w:sz w:val="20"/>
      <w:szCs w:val="22"/>
      <w:lang w:val="en-US" w:eastAsia="en-US"/>
    </w:rPr>
  </w:style>
  <w:style w:type="character" w:customStyle="1" w:styleId="CRIFBodyTextChar">
    <w:name w:val="CRIF Body Text Char"/>
    <w:basedOn w:val="DefaultParagraphFont"/>
    <w:link w:val="CRIFBodyText"/>
    <w:rsid w:val="00F877EA"/>
    <w:rPr>
      <w:rFonts w:asciiTheme="minorHAnsi" w:eastAsiaTheme="minorEastAsia" w:hAnsiTheme="minorHAnsi" w:cstheme="minorBidi"/>
      <w:szCs w:val="22"/>
      <w:lang w:val="en-US" w:eastAsia="en-US"/>
    </w:rPr>
  </w:style>
  <w:style w:type="character" w:styleId="Hyperlink">
    <w:name w:val="Hyperlink"/>
    <w:basedOn w:val="DefaultParagraphFont"/>
    <w:uiPriority w:val="99"/>
    <w:rsid w:val="00F877E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F014E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278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8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86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8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86D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549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45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360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3272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2210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uca.fumagalli@bcw-globa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44F4697A8100478E3CE2297357C872" ma:contentTypeVersion="27" ma:contentTypeDescription="Create a new document." ma:contentTypeScope="" ma:versionID="da89cfbd5b8a832d2d7651ba94c0a053">
  <xsd:schema xmlns:xsd="http://www.w3.org/2001/XMLSchema" xmlns:xs="http://www.w3.org/2001/XMLSchema" xmlns:p="http://schemas.microsoft.com/office/2006/metadata/properties" xmlns:ns2="47975b53-b34b-4e6a-a1ae-96c59dfc1d31" xmlns:ns3="41b5ca3c-ba29-412d-bcc5-38227231e36f" targetNamespace="http://schemas.microsoft.com/office/2006/metadata/properties" ma:root="true" ma:fieldsID="dfe3e2e829ba2661d38c1470ca632d8b" ns2:_="" ns3:_="">
    <xsd:import namespace="47975b53-b34b-4e6a-a1ae-96c59dfc1d31"/>
    <xsd:import namespace="41b5ca3c-ba29-412d-bcc5-38227231e36f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2:jea31a22e7324150ab121756c7fd1971" minOccurs="0"/>
                <xsd:element ref="ns2:me64e7cb758644699b45d93f89265e50" minOccurs="0"/>
                <xsd:element ref="ns2:g416c5b215c5493ebd2114f09dfcf2c0" minOccurs="0"/>
                <xsd:element ref="ns2:d3c0e19bca0643f4abbd922895ef01cd" minOccurs="0"/>
                <xsd:element ref="ns2:o8f71e74e36a44d2b4a752279417e2c7" minOccurs="0"/>
                <xsd:element ref="ns2:g7dff4b666d343f5916c5d3450b89e06" minOccurs="0"/>
                <xsd:element ref="ns2:eafc672e51a9478394ed2611612c23c4" minOccurs="0"/>
                <xsd:element ref="ns2:p723e16524e5407cbb9de27505b2adf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75b53-b34b-4e6a-a1ae-96c59dfc1d31" elementFormDefault="qualified">
    <xsd:import namespace="http://schemas.microsoft.com/office/2006/documentManagement/types"/>
    <xsd:import namespace="http://schemas.microsoft.com/office/infopath/2007/PartnerControls"/>
    <xsd:element name="jea31a22e7324150ab121756c7fd1971" ma:index="18" ma:taxonomy="true" ma:internalName="jea31a22e7324150ab121756c7fd1971" ma:taxonomyFieldName="CRIFDPTDepartment" ma:displayName="Crif Department" ma:readOnly="false" ma:default="1;#Finance Italy|8ac120e4-5478-4208-851b-bc26a01850a1" ma:fieldId="{3ea31a22-e732-4150-ab12-1756c7fd1971}" ma:sspId="73d35da6-a99a-44a4-943a-ec8cc720db12" ma:termSetId="e0ce38be-dfb6-4089-992f-ca18209c94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64e7cb758644699b45d93f89265e50" ma:index="19" nillable="true" ma:taxonomy="true" ma:internalName="me64e7cb758644699b45d93f89265e50" ma:taxonomyFieldName="CRIFDPTArea" ma:displayName="DPT Area" ma:fieldId="{6e64e7cb-7586-4469-9b45-d93f89265e50}" ma:taxonomyMulti="true" ma:sspId="73d35da6-a99a-44a4-943a-ec8cc720db12" ma:termSetId="52783539-8a4a-4ca8-93c9-a37c51724971" ma:anchorId="8ac120e4-5478-4208-851b-bc26a01850a1" ma:open="false" ma:isKeyword="false">
      <xsd:complexType>
        <xsd:sequence>
          <xsd:element ref="pc:Terms" minOccurs="0" maxOccurs="1"/>
        </xsd:sequence>
      </xsd:complexType>
    </xsd:element>
    <xsd:element name="g416c5b215c5493ebd2114f09dfcf2c0" ma:index="20" nillable="true" ma:taxonomy="true" ma:internalName="g416c5b215c5493ebd2114f09dfcf2c0" ma:taxonomyFieldName="CRIFAdditionalDepartment" ma:displayName="Additional Departments" ma:fieldId="{0416c5b2-15c5-493e-bd21-14f09dfcf2c0}" ma:taxonomyMulti="true" ma:sspId="73d35da6-a99a-44a4-943a-ec8cc720db12" ma:termSetId="e0ce38be-dfb6-4089-992f-ca18209c94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3c0e19bca0643f4abbd922895ef01cd" ma:index="21" nillable="true" ma:taxonomy="true" ma:internalName="d3c0e19bca0643f4abbd922895ef01cd" ma:taxonomyFieldName="CRIFM1DocumentType" ma:displayName="Type of Document" ma:fieldId="{d3c0e19b-ca06-43f4-abbd-922895ef01cd}" ma:taxonomyMulti="true" ma:sspId="73d35da6-a99a-44a4-943a-ec8cc720db12" ma:termSetId="f616c682-0eff-4f85-9ead-ccde46866e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f71e74e36a44d2b4a752279417e2c7" ma:index="22" nillable="true" ma:taxonomy="true" ma:internalName="o8f71e74e36a44d2b4a752279417e2c7" ma:taxonomyFieldName="CRIFM1FrameworkPhase" ma:displayName="Framework Phase" ma:fieldId="{88f71e74-e36a-44d2-b4a7-52279417e2c7}" ma:taxonomyMulti="true" ma:sspId="73d35da6-a99a-44a4-943a-ec8cc720db12" ma:termSetId="e10dd3b5-c09f-467f-bff5-340674e1b5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dff4b666d343f5916c5d3450b89e06" ma:index="23" nillable="true" ma:taxonomy="true" ma:internalName="g7dff4b666d343f5916c5d3450b89e06" ma:taxonomyFieldName="CRIFM1Line" ma:displayName="Line" ma:fieldId="{07dff4b6-66d3-43f5-916c-5d3450b89e06}" ma:taxonomyMulti="true" ma:sspId="73d35da6-a99a-44a4-943a-ec8cc720db12" ma:termSetId="61c1dd05-b88d-44f8-bae3-d1a43186db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afc672e51a9478394ed2611612c23c4" ma:index="24" nillable="true" ma:displayName="Service_0" ma:hidden="true" ma:internalName="eafc672e51a9478394ed2611612c23c4">
      <xsd:simpleType>
        <xsd:restriction base="dms:Note"/>
      </xsd:simpleType>
    </xsd:element>
    <xsd:element name="p723e16524e5407cbb9de27505b2adf8" ma:index="25" nillable="true" ma:displayName="Client_0" ma:hidden="true" ma:internalName="p723e16524e5407cbb9de27505b2adf8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5ca3c-ba29-412d-bcc5-38227231e36f" elementFormDefault="qualified">
    <xsd:import namespace="http://schemas.microsoft.com/office/2006/documentManagement/types"/>
    <xsd:import namespace="http://schemas.microsoft.com/office/infopath/2007/PartnerControls"/>
    <xsd:element name="TaxCatchAll" ma:index="5" nillable="true" ma:displayName="Taxonomy Catch All Column" ma:description="" ma:hidden="true" ma:list="{5b2edbb6-e62b-4c8d-9c91-08d6bdf2f9cc}" ma:internalName="TaxCatchAll" ma:showField="CatchAllData" ma:web="47975b53-b34b-4e6a-a1ae-96c59dfc1d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ea31a22e7324150ab121756c7fd1971 xmlns="47975b53-b34b-4e6a-a1ae-96c59dfc1d3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Finance Italy</TermName>
          <TermId xmlns="http://schemas.microsoft.com/office/infopath/2007/PartnerControls">8ac120e4-5478-4208-851b-bc26a01850a1</TermId>
        </TermInfo>
      </Terms>
    </jea31a22e7324150ab121756c7fd1971>
    <p723e16524e5407cbb9de27505b2adf8 xmlns="47975b53-b34b-4e6a-a1ae-96c59dfc1d31">NOT SPECIFIED|01a83b45-1dfb-428f-9685-192f2e281a23</p723e16524e5407cbb9de27505b2adf8>
    <eafc672e51a9478394ed2611612c23c4 xmlns="47975b53-b34b-4e6a-a1ae-96c59dfc1d31">Not Specified|a9223184-192f-4abe-b27b-541d42754eb0</eafc672e51a9478394ed2611612c23c4>
    <TaxCatchAll xmlns="41b5ca3c-ba29-412d-bcc5-38227231e36f">
      <Value>18</Value>
      <Value>15</Value>
      <Value>1</Value>
    </TaxCatchAll>
    <o8f71e74e36a44d2b4a752279417e2c7 xmlns="47975b53-b34b-4e6a-a1ae-96c59dfc1d31">
      <Terms xmlns="http://schemas.microsoft.com/office/infopath/2007/PartnerControls"/>
    </o8f71e74e36a44d2b4a752279417e2c7>
    <g416c5b215c5493ebd2114f09dfcf2c0 xmlns="47975b53-b34b-4e6a-a1ae-96c59dfc1d31">
      <Terms xmlns="http://schemas.microsoft.com/office/infopath/2007/PartnerControls"/>
    </g416c5b215c5493ebd2114f09dfcf2c0>
    <d3c0e19bca0643f4abbd922895ef01cd xmlns="47975b53-b34b-4e6a-a1ae-96c59dfc1d31">
      <Terms xmlns="http://schemas.microsoft.com/office/infopath/2007/PartnerControls"/>
    </d3c0e19bca0643f4abbd922895ef01cd>
    <g7dff4b666d343f5916c5d3450b89e06 xmlns="47975b53-b34b-4e6a-a1ae-96c59dfc1d31">
      <Terms xmlns="http://schemas.microsoft.com/office/infopath/2007/PartnerControls"/>
    </g7dff4b666d343f5916c5d3450b89e06>
    <me64e7cb758644699b45d93f89265e50 xmlns="47975b53-b34b-4e6a-a1ae-96c59dfc1d31">
      <Terms xmlns="http://schemas.microsoft.com/office/infopath/2007/PartnerControls"/>
    </me64e7cb758644699b45d93f89265e5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CB50D-7C80-45EB-8B47-379C111DBA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B0318D-C722-4762-9945-A383D2CF6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75b53-b34b-4e6a-a1ae-96c59dfc1d31"/>
    <ds:schemaRef ds:uri="41b5ca3c-ba29-412d-bcc5-38227231e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4AED8A-C3B4-47BB-BFD3-248476298FB4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41b5ca3c-ba29-412d-bcc5-38227231e36f"/>
    <ds:schemaRef ds:uri="http://schemas.microsoft.com/office/infopath/2007/PartnerControls"/>
    <ds:schemaRef ds:uri="47975b53-b34b-4e6a-a1ae-96c59dfc1d31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7C02568-C760-4DA9-8623-0B75DB418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844</Words>
  <Characters>4864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Analisi Frodi I semestre 2010</vt:lpstr>
      <vt:lpstr>Analisi Frodi I semestre 2010</vt:lpstr>
    </vt:vector>
  </TitlesOfParts>
  <Company>crif</Company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 Frodi I semestre 2010</dc:title>
  <dc:creator>Manfredini Maria Cristina</dc:creator>
  <cp:lastModifiedBy>Fumagalli, Luca</cp:lastModifiedBy>
  <cp:revision>3</cp:revision>
  <cp:lastPrinted>2018-07-24T07:04:00Z</cp:lastPrinted>
  <dcterms:created xsi:type="dcterms:W3CDTF">2020-12-15T15:02:00Z</dcterms:created>
  <dcterms:modified xsi:type="dcterms:W3CDTF">2020-12-15T15:15:00Z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0x010100AB44F4697A8100478E3CE2297357C872</vt:lpwstr>
  </property>
  <property fmtid="{D5CDD505-2E9C-101B-9397-08002B2CF9AE}" pid="3" name="CRIFM1Client">
    <vt:lpwstr>18;#NOT SPECIFIED|01a83b45-1dfb-428f-9685-192f2e281a23</vt:lpwstr>
  </property>
  <property fmtid="{D5CDD505-2E9C-101B-9397-08002B2CF9AE}" pid="4" name="CRIFM1Service">
    <vt:lpwstr>15;#Not Specified|a9223184-192f-4abe-b27b-541d42754eb0</vt:lpwstr>
  </property>
  <property fmtid="{D5CDD505-2E9C-101B-9397-08002B2CF9AE}" pid="5" name="CRIFDPTDepartment">
    <vt:lpwstr>1;#Finance Italy|8ac120e4-5478-4208-851b-bc26a01850a1</vt:lpwstr>
  </property>
  <property fmtid="{D5CDD505-2E9C-101B-9397-08002B2CF9AE}" pid="6" name="CRIFAdditionalDepartment">
    <vt:lpwstr/>
  </property>
  <property fmtid="{D5CDD505-2E9C-101B-9397-08002B2CF9AE}" pid="7" name="CRIFM1Line">
    <vt:lpwstr/>
  </property>
  <property fmtid="{D5CDD505-2E9C-101B-9397-08002B2CF9AE}" pid="8" name="CRIFM1DocumentType">
    <vt:lpwstr/>
  </property>
  <property fmtid="{D5CDD505-2E9C-101B-9397-08002B2CF9AE}" pid="9" name="CRIFM1FrameworkPhase">
    <vt:lpwstr/>
  </property>
  <property fmtid="{D5CDD505-2E9C-101B-9397-08002B2CF9AE}" pid="10" name="CRIFDPTArea">
    <vt:lpwstr/>
  </property>
</Properties>
</file>