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2A122" w14:textId="77777777" w:rsidR="00E83E58" w:rsidRDefault="00E83E58" w:rsidP="003C4BED">
      <w:pPr>
        <w:rPr>
          <w:rFonts w:ascii="Arial Narrow" w:hAnsi="Arial Narrow" w:cs="Arial"/>
          <w:b/>
          <w:bCs/>
          <w:color w:val="E42618"/>
          <w:sz w:val="28"/>
          <w:szCs w:val="28"/>
        </w:rPr>
      </w:pPr>
    </w:p>
    <w:p w14:paraId="1B3F3C06" w14:textId="3522AAE3" w:rsidR="00E71BA0" w:rsidRDefault="00E71BA0" w:rsidP="003C4BED">
      <w:pPr>
        <w:rPr>
          <w:rFonts w:ascii="Arial Narrow" w:hAnsi="Arial Narrow" w:cs="Arial"/>
          <w:b/>
          <w:bCs/>
          <w:color w:val="E42618"/>
          <w:sz w:val="28"/>
          <w:szCs w:val="28"/>
        </w:rPr>
      </w:pPr>
      <w:r w:rsidRPr="003C4BED">
        <w:rPr>
          <w:rFonts w:ascii="Arial Narrow" w:hAnsi="Arial Narrow" w:cs="Arial"/>
          <w:b/>
          <w:bCs/>
          <w:color w:val="E42618"/>
          <w:sz w:val="28"/>
          <w:szCs w:val="28"/>
        </w:rPr>
        <w:t xml:space="preserve">COLTIVAZIONI AGRICOLE </w:t>
      </w:r>
      <w:r w:rsidRPr="003C4BED">
        <w:rPr>
          <w:rFonts w:ascii="Arial Narrow" w:hAnsi="Arial Narrow" w:cs="Arial"/>
          <w:b/>
          <w:bCs/>
          <w:color w:val="1F497D" w:themeColor="text2"/>
          <w:sz w:val="28"/>
          <w:szCs w:val="28"/>
        </w:rPr>
        <w:t>|</w:t>
      </w:r>
      <w:r w:rsidRPr="003C4BED">
        <w:rPr>
          <w:rFonts w:ascii="Arial Narrow" w:hAnsi="Arial Narrow" w:cs="Arial"/>
          <w:b/>
          <w:bCs/>
          <w:color w:val="E42618"/>
          <w:sz w:val="28"/>
          <w:szCs w:val="28"/>
        </w:rPr>
        <w:t xml:space="preserve"> ANNATA </w:t>
      </w:r>
      <w:r w:rsidR="00740925">
        <w:rPr>
          <w:rFonts w:ascii="Arial Narrow" w:hAnsi="Arial Narrow" w:cs="Arial"/>
          <w:b/>
          <w:bCs/>
          <w:color w:val="E42618"/>
          <w:sz w:val="28"/>
          <w:szCs w:val="28"/>
        </w:rPr>
        <w:t xml:space="preserve">AGRARIA </w:t>
      </w:r>
      <w:r w:rsidRPr="003C4BED">
        <w:rPr>
          <w:rFonts w:ascii="Arial Narrow" w:hAnsi="Arial Narrow" w:cs="Arial"/>
          <w:b/>
          <w:bCs/>
          <w:color w:val="E42618"/>
          <w:sz w:val="28"/>
          <w:szCs w:val="28"/>
        </w:rPr>
        <w:t>2019-2020 E PREVISIONI 2020-2021</w:t>
      </w:r>
    </w:p>
    <w:p w14:paraId="7C8A0282" w14:textId="77777777" w:rsidR="00AC2EE8" w:rsidRPr="00AC2EE8" w:rsidRDefault="00AC2EE8" w:rsidP="00061C03">
      <w:pPr>
        <w:tabs>
          <w:tab w:val="left" w:pos="851"/>
        </w:tabs>
        <w:autoSpaceDE w:val="0"/>
        <w:autoSpaceDN w:val="0"/>
        <w:adjustRightInd w:val="0"/>
        <w:spacing w:after="0"/>
        <w:jc w:val="both"/>
        <w:rPr>
          <w:rFonts w:ascii="Georgia" w:hAnsi="Georgia" w:cs="Arial"/>
          <w:bCs/>
          <w:color w:val="1F497D" w:themeColor="text2"/>
          <w:sz w:val="18"/>
          <w:szCs w:val="18"/>
        </w:rPr>
      </w:pPr>
    </w:p>
    <w:p w14:paraId="0C535292" w14:textId="049A11D8" w:rsidR="00061C03" w:rsidRPr="00061C03" w:rsidRDefault="00C6278D" w:rsidP="00084B71">
      <w:pPr>
        <w:tabs>
          <w:tab w:val="left" w:pos="851"/>
        </w:tabs>
        <w:autoSpaceDE w:val="0"/>
        <w:autoSpaceDN w:val="0"/>
        <w:adjustRightInd w:val="0"/>
        <w:spacing w:after="0"/>
        <w:rPr>
          <w:rFonts w:ascii="Georgia" w:hAnsi="Georgia" w:cs="Arial"/>
          <w:bCs/>
          <w:color w:val="1F497D" w:themeColor="text2"/>
          <w:sz w:val="52"/>
          <w:szCs w:val="52"/>
        </w:rPr>
      </w:pPr>
      <w:r>
        <w:rPr>
          <w:rFonts w:ascii="Georgia" w:hAnsi="Georgia" w:cs="Arial"/>
          <w:bCs/>
          <w:color w:val="1F497D" w:themeColor="text2"/>
          <w:sz w:val="52"/>
          <w:szCs w:val="52"/>
        </w:rPr>
        <w:t xml:space="preserve">In calo le </w:t>
      </w:r>
      <w:r w:rsidR="00C3170E">
        <w:rPr>
          <w:rFonts w:ascii="Georgia" w:hAnsi="Georgia" w:cs="Arial"/>
          <w:bCs/>
          <w:color w:val="1F497D" w:themeColor="text2"/>
          <w:sz w:val="52"/>
          <w:szCs w:val="52"/>
        </w:rPr>
        <w:t>s</w:t>
      </w:r>
      <w:r w:rsidR="003E0BF3">
        <w:rPr>
          <w:rFonts w:ascii="Georgia" w:hAnsi="Georgia" w:cs="Arial"/>
          <w:bCs/>
          <w:color w:val="1F497D" w:themeColor="text2"/>
          <w:sz w:val="52"/>
          <w:szCs w:val="52"/>
        </w:rPr>
        <w:t>uperfici cerealicole, ma previsioni in crescita</w:t>
      </w:r>
      <w:r w:rsidR="00C3170E">
        <w:rPr>
          <w:rFonts w:ascii="Georgia" w:hAnsi="Georgia" w:cs="Arial"/>
          <w:bCs/>
          <w:color w:val="1F497D" w:themeColor="text2"/>
          <w:sz w:val="52"/>
          <w:szCs w:val="52"/>
        </w:rPr>
        <w:t xml:space="preserve"> per il 2021</w:t>
      </w:r>
    </w:p>
    <w:p w14:paraId="47C80E58" w14:textId="1791734F" w:rsidR="00AC2EE8" w:rsidRPr="00AC2EE8" w:rsidRDefault="000B24E0" w:rsidP="00061C03">
      <w:pPr>
        <w:tabs>
          <w:tab w:val="left" w:pos="851"/>
        </w:tabs>
        <w:autoSpaceDE w:val="0"/>
        <w:autoSpaceDN w:val="0"/>
        <w:adjustRightInd w:val="0"/>
        <w:spacing w:line="360" w:lineRule="exact"/>
        <w:jc w:val="both"/>
        <w:rPr>
          <w:rFonts w:ascii="Georgia" w:hAnsi="Georgia" w:cs="Arial"/>
          <w:bCs/>
          <w:color w:val="1F497D" w:themeColor="text2"/>
          <w:sz w:val="36"/>
          <w:szCs w:val="36"/>
        </w:rPr>
      </w:pPr>
      <w:r>
        <w:rPr>
          <w:rFonts w:ascii="Georgia" w:hAnsi="Georgia" w:cs="Arial"/>
          <w:bCs/>
          <w:noProof/>
          <w:color w:val="1F497D" w:themeColor="text2"/>
          <w:sz w:val="18"/>
          <w:szCs w:val="28"/>
        </w:rPr>
        <mc:AlternateContent>
          <mc:Choice Requires="wps">
            <w:drawing>
              <wp:anchor distT="0" distB="0" distL="114300" distR="114300" simplePos="0" relativeHeight="251656704" behindDoc="0" locked="0" layoutInCell="1" allowOverlap="1" wp14:anchorId="5D899546" wp14:editId="19932265">
                <wp:simplePos x="0" y="0"/>
                <wp:positionH relativeFrom="column">
                  <wp:posOffset>-612775</wp:posOffset>
                </wp:positionH>
                <wp:positionV relativeFrom="paragraph">
                  <wp:posOffset>342265</wp:posOffset>
                </wp:positionV>
                <wp:extent cx="438150" cy="381000"/>
                <wp:effectExtent l="0" t="19050" r="38100" b="38100"/>
                <wp:wrapNone/>
                <wp:docPr id="7" name="Freccia a destr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w="25400" cap="flat" cmpd="sng" algn="ctr">
                          <a:solidFill>
                            <a:srgbClr val="E4261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41F43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7" o:spid="_x0000_s1026" type="#_x0000_t13" style="position:absolute;margin-left:-48.25pt;margin-top:26.95pt;width:34.5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" adj="12209" fillcolor="#e42618" strokecolor="#e42618" strokeweight="2pt">
                <v:path arrowok="t"/>
              </v:shape>
            </w:pict>
          </mc:Fallback>
        </mc:AlternateContent>
      </w:r>
    </w:p>
    <w:p w14:paraId="5E0EBE93" w14:textId="63604964" w:rsidR="00BB5287" w:rsidRDefault="00061C03" w:rsidP="000B24E0">
      <w:pPr>
        <w:tabs>
          <w:tab w:val="left" w:pos="851"/>
        </w:tabs>
        <w:autoSpaceDE w:val="0"/>
        <w:autoSpaceDN w:val="0"/>
        <w:adjustRightInd w:val="0"/>
        <w:spacing w:line="360" w:lineRule="exact"/>
        <w:jc w:val="both"/>
        <w:rPr>
          <w:rFonts w:ascii="Georgia" w:hAnsi="Georgia" w:cs="Arial"/>
          <w:bCs/>
          <w:color w:val="1F497D" w:themeColor="text2"/>
          <w:sz w:val="28"/>
          <w:szCs w:val="28"/>
        </w:rPr>
      </w:pPr>
      <w:r w:rsidRPr="00061C03">
        <w:rPr>
          <w:rFonts w:ascii="Georgia" w:hAnsi="Georgia" w:cs="Arial"/>
          <w:bCs/>
          <w:color w:val="1F497D" w:themeColor="text2"/>
          <w:sz w:val="28"/>
          <w:szCs w:val="28"/>
        </w:rPr>
        <w:t>Nel 201</w:t>
      </w:r>
      <w:r w:rsidR="003E0BF3">
        <w:rPr>
          <w:rFonts w:ascii="Georgia" w:hAnsi="Georgia" w:cs="Arial"/>
          <w:bCs/>
          <w:color w:val="1F497D" w:themeColor="text2"/>
          <w:sz w:val="28"/>
          <w:szCs w:val="28"/>
        </w:rPr>
        <w:t>9</w:t>
      </w:r>
      <w:r w:rsidR="008E62BA" w:rsidRPr="008E62BA">
        <w:rPr>
          <w:rFonts w:ascii="Georgia" w:hAnsi="Georgia" w:cs="Arial"/>
          <w:bCs/>
          <w:color w:val="1F497D" w:themeColor="text2"/>
          <w:sz w:val="28"/>
          <w:szCs w:val="28"/>
          <w:vertAlign w:val="superscript"/>
        </w:rPr>
        <w:t>i</w:t>
      </w:r>
      <w:r w:rsidRPr="00061C03">
        <w:rPr>
          <w:rFonts w:ascii="Georgia" w:hAnsi="Georgia" w:cs="Arial"/>
          <w:bCs/>
          <w:color w:val="1F497D" w:themeColor="text2"/>
          <w:sz w:val="28"/>
          <w:szCs w:val="28"/>
        </w:rPr>
        <w:t xml:space="preserve"> l</w:t>
      </w:r>
      <w:r w:rsidR="003E0BF3">
        <w:rPr>
          <w:rFonts w:ascii="Georgia" w:hAnsi="Georgia" w:cs="Arial"/>
          <w:bCs/>
          <w:color w:val="1F497D" w:themeColor="text2"/>
          <w:sz w:val="28"/>
          <w:szCs w:val="28"/>
        </w:rPr>
        <w:t>a superficie agricola destinata alla coltivazione di seminativi è diminuita, rispetto al 2010, sia in Italia (-2,9</w:t>
      </w:r>
      <w:r w:rsidRPr="00061C03">
        <w:rPr>
          <w:rFonts w:ascii="Georgia" w:hAnsi="Georgia" w:cs="Arial"/>
          <w:bCs/>
          <w:color w:val="1F497D" w:themeColor="text2"/>
          <w:sz w:val="28"/>
          <w:szCs w:val="28"/>
        </w:rPr>
        <w:t>%)</w:t>
      </w:r>
      <w:r w:rsidR="008B5E65">
        <w:rPr>
          <w:rFonts w:ascii="Georgia" w:hAnsi="Georgia" w:cs="Arial"/>
          <w:bCs/>
          <w:color w:val="1F497D" w:themeColor="text2"/>
          <w:sz w:val="28"/>
          <w:szCs w:val="28"/>
        </w:rPr>
        <w:t xml:space="preserve"> che</w:t>
      </w:r>
      <w:r w:rsidR="003E0BF3">
        <w:rPr>
          <w:rFonts w:ascii="Georgia" w:hAnsi="Georgia" w:cs="Arial"/>
          <w:bCs/>
          <w:color w:val="1F497D" w:themeColor="text2"/>
          <w:sz w:val="28"/>
          <w:szCs w:val="28"/>
        </w:rPr>
        <w:t xml:space="preserve"> nell’Unione </w:t>
      </w:r>
      <w:r w:rsidR="0006002C">
        <w:rPr>
          <w:rFonts w:ascii="Georgia" w:hAnsi="Georgia" w:cs="Arial"/>
          <w:bCs/>
          <w:color w:val="1F497D" w:themeColor="text2"/>
          <w:sz w:val="28"/>
          <w:szCs w:val="28"/>
        </w:rPr>
        <w:t>e</w:t>
      </w:r>
      <w:r w:rsidR="003E0BF3">
        <w:rPr>
          <w:rFonts w:ascii="Georgia" w:hAnsi="Georgia" w:cs="Arial"/>
          <w:bCs/>
          <w:color w:val="1F497D" w:themeColor="text2"/>
          <w:sz w:val="28"/>
          <w:szCs w:val="28"/>
        </w:rPr>
        <w:t>uropea (-2,7%), a vantaggio delle colture legnose, dei prati permanenti e dei pascoli</w:t>
      </w:r>
      <w:r w:rsidRPr="00061C03">
        <w:rPr>
          <w:rFonts w:ascii="Georgia" w:hAnsi="Georgia" w:cs="Arial"/>
          <w:bCs/>
          <w:color w:val="1F497D" w:themeColor="text2"/>
          <w:sz w:val="28"/>
          <w:szCs w:val="28"/>
        </w:rPr>
        <w:t>.</w:t>
      </w:r>
    </w:p>
    <w:p w14:paraId="25402C68" w14:textId="65980C06" w:rsidR="00061C03" w:rsidRPr="00061C03" w:rsidRDefault="00BB5287" w:rsidP="000B24E0">
      <w:pPr>
        <w:tabs>
          <w:tab w:val="left" w:pos="851"/>
        </w:tabs>
        <w:autoSpaceDE w:val="0"/>
        <w:autoSpaceDN w:val="0"/>
        <w:adjustRightInd w:val="0"/>
        <w:spacing w:line="360" w:lineRule="exact"/>
        <w:jc w:val="both"/>
        <w:rPr>
          <w:rFonts w:ascii="Georgia" w:hAnsi="Georgia" w:cs="Arial"/>
          <w:bCs/>
          <w:color w:val="1F497D" w:themeColor="text2"/>
          <w:sz w:val="28"/>
          <w:szCs w:val="28"/>
        </w:rPr>
      </w:pPr>
      <w:r>
        <w:rPr>
          <w:rFonts w:ascii="Georgia" w:hAnsi="Georgia" w:cs="Arial"/>
          <w:bCs/>
          <w:color w:val="1F497D" w:themeColor="text2"/>
          <w:sz w:val="28"/>
          <w:szCs w:val="28"/>
        </w:rPr>
        <w:t>Tra il 2010 e i</w:t>
      </w:r>
      <w:r w:rsidR="00061C03" w:rsidRPr="00061C03">
        <w:rPr>
          <w:rFonts w:ascii="Georgia" w:hAnsi="Georgia" w:cs="Arial"/>
          <w:bCs/>
          <w:color w:val="1F497D" w:themeColor="text2"/>
          <w:sz w:val="28"/>
          <w:szCs w:val="28"/>
        </w:rPr>
        <w:t xml:space="preserve">l </w:t>
      </w:r>
      <w:r>
        <w:rPr>
          <w:rFonts w:ascii="Georgia" w:hAnsi="Georgia" w:cs="Arial"/>
          <w:bCs/>
          <w:color w:val="1F497D" w:themeColor="text2"/>
          <w:sz w:val="28"/>
          <w:szCs w:val="28"/>
        </w:rPr>
        <w:t xml:space="preserve">2020, sul complesso delle superfici </w:t>
      </w:r>
      <w:r w:rsidR="0006002C">
        <w:rPr>
          <w:rFonts w:ascii="Georgia" w:hAnsi="Georgia" w:cs="Arial"/>
          <w:bCs/>
          <w:color w:val="1F497D" w:themeColor="text2"/>
          <w:sz w:val="28"/>
          <w:szCs w:val="28"/>
        </w:rPr>
        <w:t xml:space="preserve">coltivate </w:t>
      </w:r>
      <w:r>
        <w:rPr>
          <w:rFonts w:ascii="Georgia" w:hAnsi="Georgia" w:cs="Arial"/>
          <w:bCs/>
          <w:color w:val="1F497D" w:themeColor="text2"/>
          <w:sz w:val="28"/>
          <w:szCs w:val="28"/>
        </w:rPr>
        <w:t xml:space="preserve">a cereali cresce l’importanza relativa del frumento duro (dal 36,9% al 40,3%) e del frumento tenero (dal 15,8% al 16,7%), </w:t>
      </w:r>
      <w:r w:rsidR="008B5E65">
        <w:rPr>
          <w:rFonts w:ascii="Georgia" w:hAnsi="Georgia" w:cs="Arial"/>
          <w:bCs/>
          <w:color w:val="1F497D" w:themeColor="text2"/>
          <w:sz w:val="28"/>
          <w:szCs w:val="28"/>
        </w:rPr>
        <w:t>scende</w:t>
      </w:r>
      <w:r w:rsidR="00C6278D">
        <w:rPr>
          <w:rFonts w:ascii="Georgia" w:hAnsi="Georgia" w:cs="Arial"/>
          <w:bCs/>
          <w:color w:val="1F497D" w:themeColor="text2"/>
          <w:sz w:val="28"/>
          <w:szCs w:val="28"/>
        </w:rPr>
        <w:t xml:space="preserve"> </w:t>
      </w:r>
      <w:r>
        <w:rPr>
          <w:rFonts w:ascii="Georgia" w:hAnsi="Georgia" w:cs="Arial"/>
          <w:bCs/>
          <w:color w:val="1F497D" w:themeColor="text2"/>
          <w:sz w:val="28"/>
          <w:szCs w:val="28"/>
        </w:rPr>
        <w:t>quella del mais (dal 26,7% al 20,1%)</w:t>
      </w:r>
      <w:r w:rsidR="00061C03" w:rsidRPr="00061C03">
        <w:rPr>
          <w:rFonts w:ascii="Georgia" w:hAnsi="Georgia" w:cs="Arial"/>
          <w:bCs/>
          <w:color w:val="1F497D" w:themeColor="text2"/>
          <w:sz w:val="28"/>
          <w:szCs w:val="28"/>
        </w:rPr>
        <w:t>.</w:t>
      </w:r>
    </w:p>
    <w:p w14:paraId="193B2037" w14:textId="2539142E" w:rsidR="00D97687" w:rsidRPr="003D3F32" w:rsidRDefault="00061C03" w:rsidP="00304BC7">
      <w:pPr>
        <w:tabs>
          <w:tab w:val="left" w:pos="851"/>
          <w:tab w:val="left" w:pos="3544"/>
        </w:tabs>
        <w:autoSpaceDE w:val="0"/>
        <w:autoSpaceDN w:val="0"/>
        <w:adjustRightInd w:val="0"/>
        <w:spacing w:line="360" w:lineRule="exact"/>
        <w:jc w:val="both"/>
        <w:rPr>
          <w:rFonts w:ascii="Georgia" w:hAnsi="Georgia" w:cs="Arial"/>
          <w:bCs/>
          <w:color w:val="1F497D" w:themeColor="text2"/>
          <w:sz w:val="16"/>
          <w:szCs w:val="16"/>
        </w:rPr>
      </w:pPr>
      <w:r w:rsidRPr="00061C03">
        <w:rPr>
          <w:rFonts w:ascii="Georgia" w:hAnsi="Georgia" w:cs="Arial"/>
          <w:bCs/>
          <w:color w:val="1F497D" w:themeColor="text2"/>
          <w:sz w:val="28"/>
          <w:szCs w:val="28"/>
        </w:rPr>
        <w:t>I</w:t>
      </w:r>
      <w:r w:rsidR="0017434D">
        <w:rPr>
          <w:rFonts w:ascii="Georgia" w:hAnsi="Georgia" w:cs="Arial"/>
          <w:bCs/>
          <w:color w:val="1F497D" w:themeColor="text2"/>
          <w:sz w:val="28"/>
          <w:szCs w:val="28"/>
        </w:rPr>
        <w:t>l 31,4</w:t>
      </w:r>
      <w:r w:rsidRPr="00061C03">
        <w:rPr>
          <w:rFonts w:ascii="Georgia" w:hAnsi="Georgia" w:cs="Arial"/>
          <w:bCs/>
          <w:color w:val="1F497D" w:themeColor="text2"/>
          <w:sz w:val="28"/>
          <w:szCs w:val="28"/>
        </w:rPr>
        <w:t xml:space="preserve">% delle </w:t>
      </w:r>
      <w:r w:rsidR="0017434D">
        <w:rPr>
          <w:rFonts w:ascii="Georgia" w:hAnsi="Georgia" w:cs="Arial"/>
          <w:bCs/>
          <w:color w:val="1F497D" w:themeColor="text2"/>
          <w:sz w:val="28"/>
          <w:szCs w:val="28"/>
        </w:rPr>
        <w:t xml:space="preserve">aziende agricole che coltivano cereali ha dichiarato di non aver subito alcun impatto </w:t>
      </w:r>
      <w:r w:rsidR="00C6278D">
        <w:rPr>
          <w:rFonts w:ascii="Georgia" w:hAnsi="Georgia" w:cs="Arial"/>
          <w:bCs/>
          <w:color w:val="1F497D" w:themeColor="text2"/>
          <w:sz w:val="28"/>
          <w:szCs w:val="28"/>
        </w:rPr>
        <w:t>dall</w:t>
      </w:r>
      <w:r w:rsidR="008B5E65">
        <w:rPr>
          <w:rFonts w:ascii="Georgia" w:hAnsi="Georgia" w:cs="Arial"/>
          <w:bCs/>
          <w:color w:val="1F497D" w:themeColor="text2"/>
          <w:sz w:val="28"/>
          <w:szCs w:val="28"/>
        </w:rPr>
        <w:t xml:space="preserve">’emergenza sanitaria da </w:t>
      </w:r>
      <w:r w:rsidR="0017434D">
        <w:rPr>
          <w:rFonts w:ascii="Georgia" w:hAnsi="Georgia" w:cs="Arial"/>
          <w:bCs/>
          <w:color w:val="1F497D" w:themeColor="text2"/>
          <w:sz w:val="28"/>
          <w:szCs w:val="28"/>
        </w:rPr>
        <w:t>Covid-19.</w:t>
      </w:r>
    </w:p>
    <w:tbl>
      <w:tblPr>
        <w:tblStyle w:val="Grigliatabella"/>
        <w:tblW w:w="12191" w:type="dxa"/>
        <w:tblInd w:w="-993"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4061"/>
        <w:gridCol w:w="4063"/>
        <w:gridCol w:w="4067"/>
      </w:tblGrid>
      <w:tr w:rsidR="00D97687" w14:paraId="5BBB7974" w14:textId="77777777" w:rsidTr="00571245">
        <w:trPr>
          <w:trHeight w:val="72"/>
        </w:trPr>
        <w:tc>
          <w:tcPr>
            <w:tcW w:w="12191" w:type="dxa"/>
            <w:gridSpan w:val="3"/>
            <w:shd w:val="clear" w:color="auto" w:fill="D9D9D9" w:themeFill="background1" w:themeFillShade="D9"/>
          </w:tcPr>
          <w:p w14:paraId="4E66E066" w14:textId="77777777" w:rsidR="00D97687" w:rsidRPr="007539EA" w:rsidRDefault="00D97687" w:rsidP="003C702A">
            <w:pPr>
              <w:tabs>
                <w:tab w:val="left" w:pos="1401"/>
                <w:tab w:val="left" w:pos="2295"/>
              </w:tabs>
              <w:autoSpaceDE w:val="0"/>
              <w:autoSpaceDN w:val="0"/>
              <w:adjustRightInd w:val="0"/>
              <w:rPr>
                <w:rFonts w:ascii="Georgia" w:hAnsi="Georgia" w:cs="Arial"/>
                <w:b/>
                <w:bCs/>
                <w:color w:val="1F497D" w:themeColor="text2"/>
                <w:sz w:val="16"/>
                <w:szCs w:val="16"/>
              </w:rPr>
            </w:pPr>
          </w:p>
        </w:tc>
      </w:tr>
      <w:tr w:rsidR="00D97687" w:rsidRPr="001A62B5" w14:paraId="7D53B555" w14:textId="77777777" w:rsidTr="00571245">
        <w:trPr>
          <w:trHeight w:val="3969"/>
        </w:trPr>
        <w:tc>
          <w:tcPr>
            <w:tcW w:w="4061" w:type="dxa"/>
            <w:shd w:val="clear" w:color="auto" w:fill="D9D9D9" w:themeFill="background1" w:themeFillShade="D9"/>
          </w:tcPr>
          <w:p w14:paraId="4A2B16E3" w14:textId="77777777" w:rsidR="00D97687" w:rsidRPr="000B24E0" w:rsidRDefault="00D97687" w:rsidP="00D97687">
            <w:pPr>
              <w:tabs>
                <w:tab w:val="left" w:pos="-132"/>
              </w:tabs>
              <w:autoSpaceDE w:val="0"/>
              <w:autoSpaceDN w:val="0"/>
              <w:adjustRightInd w:val="0"/>
              <w:ind w:left="142"/>
              <w:rPr>
                <w:rFonts w:ascii="Georgia" w:hAnsi="Georgia" w:cs="Arial"/>
                <w:bCs/>
                <w:color w:val="E42618"/>
                <w:sz w:val="88"/>
                <w:szCs w:val="88"/>
              </w:rPr>
            </w:pPr>
            <w:r w:rsidRPr="000B24E0">
              <w:rPr>
                <w:rFonts w:ascii="Georgia" w:hAnsi="Georgia" w:cs="Arial"/>
                <w:bCs/>
                <w:color w:val="E42618"/>
                <w:sz w:val="88"/>
                <w:szCs w:val="88"/>
              </w:rPr>
              <w:t>45,9%</w:t>
            </w:r>
          </w:p>
          <w:p w14:paraId="7219D99B" w14:textId="77777777" w:rsidR="00D97687" w:rsidRPr="00CB0812" w:rsidRDefault="00D97687" w:rsidP="00084B71">
            <w:pPr>
              <w:autoSpaceDE w:val="0"/>
              <w:autoSpaceDN w:val="0"/>
              <w:adjustRightInd w:val="0"/>
              <w:spacing w:after="0"/>
              <w:ind w:left="142"/>
              <w:rPr>
                <w:rFonts w:ascii="Georgia" w:hAnsi="Georgia" w:cs="Arial"/>
                <w:b/>
                <w:bCs/>
                <w:color w:val="E42618"/>
                <w:sz w:val="24"/>
              </w:rPr>
            </w:pPr>
          </w:p>
          <w:p w14:paraId="64BDF2A9" w14:textId="45F2670B" w:rsidR="00D97687" w:rsidRPr="00C6278D" w:rsidRDefault="008B5E65" w:rsidP="00084B71">
            <w:pPr>
              <w:autoSpaceDE w:val="0"/>
              <w:autoSpaceDN w:val="0"/>
              <w:adjustRightInd w:val="0"/>
              <w:spacing w:after="0"/>
              <w:ind w:left="142"/>
              <w:rPr>
                <w:rFonts w:ascii="Georgia" w:hAnsi="Georgia" w:cs="Arial"/>
                <w:b/>
                <w:bCs/>
                <w:color w:val="E42618"/>
                <w:sz w:val="24"/>
              </w:rPr>
            </w:pPr>
            <w:r>
              <w:rPr>
                <w:rFonts w:ascii="Georgia" w:hAnsi="Georgia" w:cs="Arial"/>
                <w:b/>
                <w:bCs/>
                <w:color w:val="E42618"/>
                <w:sz w:val="24"/>
              </w:rPr>
              <w:t>P</w:t>
            </w:r>
            <w:r w:rsidR="00D97687" w:rsidRPr="00C6278D">
              <w:rPr>
                <w:rFonts w:ascii="Georgia" w:hAnsi="Georgia" w:cs="Arial"/>
                <w:b/>
                <w:bCs/>
                <w:color w:val="E42618"/>
                <w:sz w:val="24"/>
              </w:rPr>
              <w:t>ercentuale d</w:t>
            </w:r>
            <w:r>
              <w:rPr>
                <w:rFonts w:ascii="Georgia" w:hAnsi="Georgia" w:cs="Arial"/>
                <w:b/>
                <w:bCs/>
                <w:color w:val="E42618"/>
                <w:sz w:val="24"/>
              </w:rPr>
              <w:t>i</w:t>
            </w:r>
            <w:r w:rsidR="00D97687" w:rsidRPr="00C6278D">
              <w:rPr>
                <w:rFonts w:ascii="Georgia" w:hAnsi="Georgia" w:cs="Arial"/>
                <w:b/>
                <w:bCs/>
                <w:color w:val="E42618"/>
                <w:sz w:val="24"/>
              </w:rPr>
              <w:t xml:space="preserve"> superfici coltivate a cereali sul totale </w:t>
            </w:r>
            <w:r w:rsidR="00D97687">
              <w:rPr>
                <w:rFonts w:ascii="Georgia" w:hAnsi="Georgia" w:cs="Arial"/>
                <w:b/>
                <w:bCs/>
                <w:color w:val="E42618"/>
                <w:sz w:val="24"/>
              </w:rPr>
              <w:t>di quelle</w:t>
            </w:r>
            <w:r w:rsidR="00D97687" w:rsidRPr="00C6278D">
              <w:rPr>
                <w:rFonts w:ascii="Georgia" w:hAnsi="Georgia" w:cs="Arial"/>
                <w:b/>
                <w:bCs/>
                <w:color w:val="E42618"/>
                <w:sz w:val="24"/>
              </w:rPr>
              <w:t xml:space="preserve"> a seminativi nel 2019</w:t>
            </w:r>
          </w:p>
          <w:p w14:paraId="66133833" w14:textId="4D21E099" w:rsidR="00D97687" w:rsidRDefault="00D97687" w:rsidP="00084B71">
            <w:pPr>
              <w:tabs>
                <w:tab w:val="left" w:pos="851"/>
                <w:tab w:val="left" w:pos="2575"/>
              </w:tabs>
              <w:autoSpaceDE w:val="0"/>
              <w:autoSpaceDN w:val="0"/>
              <w:adjustRightInd w:val="0"/>
              <w:spacing w:after="0"/>
              <w:ind w:left="142" w:right="570"/>
              <w:rPr>
                <w:rFonts w:ascii="Georgia" w:hAnsi="Georgia" w:cs="Arial"/>
                <w:b/>
                <w:bCs/>
                <w:color w:val="FF0000"/>
                <w:sz w:val="24"/>
              </w:rPr>
            </w:pPr>
          </w:p>
          <w:p w14:paraId="27B21BBC" w14:textId="329FB748" w:rsidR="00C7409D" w:rsidRDefault="00C7409D" w:rsidP="00084B71">
            <w:pPr>
              <w:tabs>
                <w:tab w:val="left" w:pos="851"/>
                <w:tab w:val="left" w:pos="2575"/>
              </w:tabs>
              <w:autoSpaceDE w:val="0"/>
              <w:autoSpaceDN w:val="0"/>
              <w:adjustRightInd w:val="0"/>
              <w:spacing w:after="0"/>
              <w:ind w:left="142" w:right="570"/>
              <w:rPr>
                <w:rFonts w:ascii="Georgia" w:hAnsi="Georgia" w:cs="Arial"/>
                <w:b/>
                <w:bCs/>
                <w:color w:val="FF0000"/>
                <w:sz w:val="24"/>
              </w:rPr>
            </w:pPr>
          </w:p>
          <w:p w14:paraId="344706B8" w14:textId="23D99836" w:rsidR="00084B71" w:rsidRDefault="00084B71" w:rsidP="00084B71">
            <w:pPr>
              <w:tabs>
                <w:tab w:val="left" w:pos="851"/>
                <w:tab w:val="left" w:pos="2575"/>
              </w:tabs>
              <w:autoSpaceDE w:val="0"/>
              <w:autoSpaceDN w:val="0"/>
              <w:adjustRightInd w:val="0"/>
              <w:spacing w:after="0"/>
              <w:ind w:left="142" w:right="570"/>
              <w:rPr>
                <w:rFonts w:ascii="Georgia" w:hAnsi="Georgia" w:cs="Arial"/>
                <w:b/>
                <w:bCs/>
                <w:color w:val="FF0000"/>
                <w:sz w:val="24"/>
              </w:rPr>
            </w:pPr>
          </w:p>
          <w:p w14:paraId="6DB12183" w14:textId="3F5F8CE2" w:rsidR="00084B71" w:rsidRPr="00084B71" w:rsidRDefault="00084B71" w:rsidP="00084B71">
            <w:pPr>
              <w:tabs>
                <w:tab w:val="left" w:pos="851"/>
                <w:tab w:val="left" w:pos="2575"/>
              </w:tabs>
              <w:autoSpaceDE w:val="0"/>
              <w:autoSpaceDN w:val="0"/>
              <w:adjustRightInd w:val="0"/>
              <w:spacing w:after="0"/>
              <w:ind w:left="142" w:right="570"/>
              <w:rPr>
                <w:rFonts w:ascii="Georgia" w:hAnsi="Georgia" w:cs="Arial"/>
                <w:b/>
                <w:bCs/>
                <w:color w:val="FF0000"/>
                <w:sz w:val="32"/>
                <w:szCs w:val="32"/>
              </w:rPr>
            </w:pPr>
          </w:p>
          <w:p w14:paraId="643F4D25" w14:textId="7F67F76B" w:rsidR="00D97687" w:rsidRPr="006E43F2" w:rsidRDefault="00AC7BD8" w:rsidP="00084B71">
            <w:pPr>
              <w:tabs>
                <w:tab w:val="left" w:pos="435"/>
              </w:tabs>
              <w:autoSpaceDE w:val="0"/>
              <w:autoSpaceDN w:val="0"/>
              <w:adjustRightInd w:val="0"/>
              <w:spacing w:after="0"/>
              <w:ind w:left="142"/>
              <w:rPr>
                <w:rFonts w:ascii="Arial Narrow" w:hAnsi="Arial Narrow" w:cs="Arial"/>
                <w:bCs/>
                <w:color w:val="244061" w:themeColor="accent1" w:themeShade="80"/>
              </w:rPr>
            </w:pPr>
            <w:r w:rsidRPr="00AC7BD8">
              <w:rPr>
                <w:rFonts w:ascii="Arial Narrow" w:hAnsi="Arial Narrow" w:cs="Arial"/>
                <w:bCs/>
                <w:color w:val="1F497D" w:themeColor="text2"/>
                <w:sz w:val="24"/>
              </w:rPr>
              <w:t xml:space="preserve">51,9% </w:t>
            </w:r>
            <w:r>
              <w:rPr>
                <w:rFonts w:ascii="Arial Narrow" w:hAnsi="Arial Narrow" w:cs="Arial"/>
                <w:bCs/>
                <w:color w:val="1F497D" w:themeColor="text2"/>
                <w:sz w:val="24"/>
              </w:rPr>
              <w:t>n</w:t>
            </w:r>
            <w:r w:rsidRPr="00AC7BD8">
              <w:rPr>
                <w:rFonts w:ascii="Arial Narrow" w:hAnsi="Arial Narrow" w:cs="Arial"/>
                <w:bCs/>
                <w:color w:val="1F497D" w:themeColor="text2"/>
                <w:sz w:val="24"/>
              </w:rPr>
              <w:t>el 2010</w:t>
            </w:r>
          </w:p>
        </w:tc>
        <w:tc>
          <w:tcPr>
            <w:tcW w:w="4063" w:type="dxa"/>
            <w:shd w:val="clear" w:color="auto" w:fill="D9D9D9" w:themeFill="background1" w:themeFillShade="D9"/>
          </w:tcPr>
          <w:p w14:paraId="29F5E95D" w14:textId="77777777" w:rsidR="00D97687" w:rsidRPr="00571245" w:rsidRDefault="00D97687" w:rsidP="00D97687">
            <w:pPr>
              <w:autoSpaceDE w:val="0"/>
              <w:autoSpaceDN w:val="0"/>
              <w:adjustRightInd w:val="0"/>
              <w:ind w:right="570"/>
              <w:rPr>
                <w:rFonts w:ascii="Georgia" w:hAnsi="Georgia" w:cs="Arial"/>
                <w:bCs/>
                <w:color w:val="1F497D" w:themeColor="text2"/>
                <w:sz w:val="88"/>
                <w:szCs w:val="88"/>
              </w:rPr>
            </w:pPr>
            <w:r w:rsidRPr="00571245">
              <w:rPr>
                <w:rFonts w:ascii="Georgia" w:hAnsi="Georgia" w:cs="Arial"/>
                <w:bCs/>
                <w:color w:val="1F497D" w:themeColor="text2"/>
                <w:sz w:val="88"/>
                <w:szCs w:val="88"/>
              </w:rPr>
              <w:t>59,2%</w:t>
            </w:r>
          </w:p>
          <w:p w14:paraId="5A067092" w14:textId="77777777" w:rsidR="00D97687" w:rsidRPr="00571245" w:rsidRDefault="00D97687" w:rsidP="00084B71">
            <w:pPr>
              <w:autoSpaceDE w:val="0"/>
              <w:autoSpaceDN w:val="0"/>
              <w:adjustRightInd w:val="0"/>
              <w:spacing w:after="0"/>
              <w:ind w:right="570"/>
              <w:rPr>
                <w:rFonts w:ascii="Georgia" w:hAnsi="Georgia" w:cs="Arial"/>
                <w:b/>
                <w:bCs/>
                <w:color w:val="1F497D" w:themeColor="text2"/>
                <w:sz w:val="24"/>
              </w:rPr>
            </w:pPr>
          </w:p>
          <w:p w14:paraId="1CCF9AEF" w14:textId="528BCFB0" w:rsidR="00D97687" w:rsidRPr="00A43679" w:rsidRDefault="008B5E65" w:rsidP="00084B71">
            <w:pPr>
              <w:tabs>
                <w:tab w:val="left" w:pos="0"/>
              </w:tabs>
              <w:autoSpaceDE w:val="0"/>
              <w:autoSpaceDN w:val="0"/>
              <w:adjustRightInd w:val="0"/>
              <w:spacing w:after="0"/>
              <w:rPr>
                <w:rFonts w:ascii="Arial Narrow" w:hAnsi="Arial Narrow" w:cs="Arial"/>
                <w:bCs/>
                <w:color w:val="1F497D" w:themeColor="text2"/>
              </w:rPr>
            </w:pPr>
            <w:r>
              <w:rPr>
                <w:rFonts w:ascii="Georgia" w:hAnsi="Georgia" w:cs="Arial"/>
                <w:b/>
                <w:bCs/>
                <w:color w:val="1F497D" w:themeColor="text2"/>
                <w:sz w:val="24"/>
              </w:rPr>
              <w:t>Quota</w:t>
            </w:r>
            <w:r w:rsidR="00D97687" w:rsidRPr="00571245">
              <w:rPr>
                <w:rFonts w:ascii="Georgia" w:hAnsi="Georgia" w:cs="Arial"/>
                <w:b/>
                <w:bCs/>
                <w:color w:val="1F497D" w:themeColor="text2"/>
                <w:sz w:val="24"/>
              </w:rPr>
              <w:t xml:space="preserve"> di aziende agricole che hanno chiesto e ottenuto aiuti economici per far fronte all’emergenza </w:t>
            </w:r>
            <w:proofErr w:type="spellStart"/>
            <w:r w:rsidR="00D97687" w:rsidRPr="00571245">
              <w:rPr>
                <w:rFonts w:ascii="Georgia" w:hAnsi="Georgia" w:cs="Arial"/>
                <w:b/>
                <w:bCs/>
                <w:color w:val="1F497D" w:themeColor="text2"/>
                <w:sz w:val="24"/>
              </w:rPr>
              <w:t>Covid</w:t>
            </w:r>
            <w:proofErr w:type="spellEnd"/>
          </w:p>
          <w:p w14:paraId="6377929F" w14:textId="610320CA" w:rsidR="00D97687" w:rsidRDefault="00D97687">
            <w:pPr>
              <w:tabs>
                <w:tab w:val="left" w:pos="0"/>
              </w:tabs>
              <w:autoSpaceDE w:val="0"/>
              <w:autoSpaceDN w:val="0"/>
              <w:adjustRightInd w:val="0"/>
              <w:rPr>
                <w:rFonts w:ascii="Georgia" w:hAnsi="Georgia" w:cs="Arial"/>
                <w:b/>
                <w:bCs/>
                <w:color w:val="244061" w:themeColor="accent1" w:themeShade="80"/>
                <w:sz w:val="28"/>
                <w:szCs w:val="28"/>
              </w:rPr>
            </w:pPr>
          </w:p>
          <w:p w14:paraId="500DD254" w14:textId="77777777" w:rsidR="003F3426" w:rsidRDefault="003F3426" w:rsidP="00571245">
            <w:pPr>
              <w:tabs>
                <w:tab w:val="left" w:pos="0"/>
              </w:tabs>
              <w:autoSpaceDE w:val="0"/>
              <w:autoSpaceDN w:val="0"/>
              <w:adjustRightInd w:val="0"/>
              <w:rPr>
                <w:rFonts w:ascii="Georgia" w:hAnsi="Georgia" w:cs="Arial"/>
                <w:b/>
                <w:bCs/>
                <w:color w:val="244061" w:themeColor="accent1" w:themeShade="80"/>
                <w:sz w:val="28"/>
                <w:szCs w:val="28"/>
              </w:rPr>
            </w:pPr>
          </w:p>
          <w:p w14:paraId="7D40C8C2" w14:textId="77777777" w:rsidR="00D97687" w:rsidRPr="00C532A7" w:rsidRDefault="00D97687" w:rsidP="003C702A">
            <w:pPr>
              <w:autoSpaceDE w:val="0"/>
              <w:autoSpaceDN w:val="0"/>
              <w:adjustRightInd w:val="0"/>
              <w:ind w:left="143"/>
              <w:rPr>
                <w:rFonts w:ascii="Georgia" w:hAnsi="Georgia" w:cs="Arial"/>
                <w:b/>
                <w:bCs/>
                <w:color w:val="244061" w:themeColor="accent1" w:themeShade="80"/>
                <w:sz w:val="28"/>
                <w:szCs w:val="28"/>
              </w:rPr>
            </w:pPr>
          </w:p>
        </w:tc>
        <w:tc>
          <w:tcPr>
            <w:tcW w:w="4067" w:type="dxa"/>
            <w:shd w:val="clear" w:color="auto" w:fill="D9D9D9" w:themeFill="background1" w:themeFillShade="D9"/>
            <w:tcMar>
              <w:left w:w="284" w:type="dxa"/>
              <w:right w:w="284" w:type="dxa"/>
            </w:tcMar>
          </w:tcPr>
          <w:p w14:paraId="45ADF258" w14:textId="77777777" w:rsidR="00D97687" w:rsidRPr="000B24E0" w:rsidRDefault="00D97687" w:rsidP="00571245">
            <w:pPr>
              <w:tabs>
                <w:tab w:val="left" w:pos="-132"/>
              </w:tabs>
              <w:autoSpaceDE w:val="0"/>
              <w:autoSpaceDN w:val="0"/>
              <w:adjustRightInd w:val="0"/>
              <w:ind w:left="-40"/>
              <w:rPr>
                <w:rFonts w:ascii="Georgia" w:hAnsi="Georgia" w:cs="Arial"/>
                <w:bCs/>
                <w:color w:val="E42618"/>
                <w:sz w:val="88"/>
                <w:szCs w:val="88"/>
              </w:rPr>
            </w:pPr>
            <w:r w:rsidRPr="000B24E0">
              <w:rPr>
                <w:rFonts w:ascii="Georgia" w:hAnsi="Georgia" w:cs="Arial"/>
                <w:bCs/>
                <w:color w:val="E42618"/>
                <w:sz w:val="88"/>
                <w:szCs w:val="88"/>
              </w:rPr>
              <w:t>1,6%</w:t>
            </w:r>
          </w:p>
          <w:p w14:paraId="3D36F814" w14:textId="77777777" w:rsidR="00D97687" w:rsidRPr="000B24E0" w:rsidRDefault="00D97687" w:rsidP="00084B71">
            <w:pPr>
              <w:autoSpaceDE w:val="0"/>
              <w:autoSpaceDN w:val="0"/>
              <w:adjustRightInd w:val="0"/>
              <w:spacing w:after="0"/>
              <w:ind w:left="-40"/>
              <w:rPr>
                <w:rFonts w:ascii="Georgia" w:hAnsi="Georgia" w:cs="Arial"/>
                <w:b/>
                <w:bCs/>
                <w:color w:val="E42618"/>
                <w:sz w:val="24"/>
              </w:rPr>
            </w:pPr>
          </w:p>
          <w:p w14:paraId="00D7F681" w14:textId="43286396" w:rsidR="00D97687" w:rsidRPr="00571245" w:rsidRDefault="00D97687" w:rsidP="00084B71">
            <w:pPr>
              <w:tabs>
                <w:tab w:val="left" w:pos="851"/>
                <w:tab w:val="left" w:pos="2575"/>
              </w:tabs>
              <w:autoSpaceDE w:val="0"/>
              <w:autoSpaceDN w:val="0"/>
              <w:adjustRightInd w:val="0"/>
              <w:spacing w:after="0"/>
              <w:ind w:left="-40" w:right="570"/>
              <w:rPr>
                <w:rFonts w:ascii="Georgia" w:hAnsi="Georgia" w:cs="Arial"/>
                <w:b/>
                <w:bCs/>
                <w:color w:val="E42618"/>
                <w:sz w:val="24"/>
              </w:rPr>
            </w:pPr>
            <w:r w:rsidRPr="00571245">
              <w:rPr>
                <w:rFonts w:ascii="Georgia" w:hAnsi="Georgia" w:cs="Arial"/>
                <w:b/>
                <w:bCs/>
                <w:color w:val="E42618"/>
                <w:sz w:val="24"/>
              </w:rPr>
              <w:t xml:space="preserve">Incremento di superfici agricole previsto per la semina di cereali </w:t>
            </w:r>
            <w:r w:rsidR="008B5E65">
              <w:rPr>
                <w:rFonts w:ascii="Georgia" w:hAnsi="Georgia" w:cs="Arial"/>
                <w:b/>
                <w:bCs/>
                <w:color w:val="E42618"/>
                <w:sz w:val="24"/>
              </w:rPr>
              <w:t>nel</w:t>
            </w:r>
            <w:r w:rsidRPr="00571245">
              <w:rPr>
                <w:rFonts w:ascii="Georgia" w:hAnsi="Georgia" w:cs="Arial"/>
                <w:b/>
                <w:bCs/>
                <w:color w:val="E42618"/>
                <w:sz w:val="24"/>
              </w:rPr>
              <w:t xml:space="preserve">l’annata agraria 2020-2021 </w:t>
            </w:r>
            <w:r w:rsidR="008B5E65">
              <w:rPr>
                <w:rFonts w:ascii="Georgia" w:hAnsi="Georgia" w:cs="Arial"/>
                <w:b/>
                <w:bCs/>
                <w:color w:val="E42618"/>
                <w:sz w:val="24"/>
              </w:rPr>
              <w:t>sulla precedente</w:t>
            </w:r>
          </w:p>
          <w:p w14:paraId="1BBF2A45" w14:textId="77777777" w:rsidR="00D97687" w:rsidRPr="00571245" w:rsidRDefault="00D97687" w:rsidP="00084B71">
            <w:pPr>
              <w:tabs>
                <w:tab w:val="left" w:pos="851"/>
                <w:tab w:val="left" w:pos="2575"/>
              </w:tabs>
              <w:autoSpaceDE w:val="0"/>
              <w:autoSpaceDN w:val="0"/>
              <w:adjustRightInd w:val="0"/>
              <w:spacing w:after="0"/>
              <w:ind w:left="-40" w:right="570"/>
              <w:rPr>
                <w:rFonts w:ascii="Georgia" w:hAnsi="Georgia" w:cs="Arial"/>
                <w:b/>
                <w:bCs/>
                <w:color w:val="E42618"/>
                <w:sz w:val="24"/>
              </w:rPr>
            </w:pPr>
          </w:p>
          <w:p w14:paraId="32BC2D2F" w14:textId="77777777" w:rsidR="00446D62" w:rsidRDefault="008B5E65" w:rsidP="00084B71">
            <w:pPr>
              <w:spacing w:after="0"/>
              <w:ind w:left="-40"/>
              <w:rPr>
                <w:rFonts w:ascii="Arial Narrow" w:hAnsi="Arial Narrow" w:cs="Arial"/>
                <w:bCs/>
                <w:color w:val="1F497D" w:themeColor="text2"/>
                <w:sz w:val="24"/>
                <w:szCs w:val="28"/>
              </w:rPr>
            </w:pPr>
            <w:r w:rsidRPr="00446D62">
              <w:rPr>
                <w:rFonts w:ascii="Arial Narrow" w:hAnsi="Arial Narrow" w:cs="Arial"/>
                <w:bCs/>
                <w:color w:val="1F497D" w:themeColor="text2"/>
                <w:sz w:val="24"/>
                <w:szCs w:val="28"/>
              </w:rPr>
              <w:t xml:space="preserve">In costante calo nelle annate </w:t>
            </w:r>
          </w:p>
          <w:p w14:paraId="3784D106" w14:textId="10414336" w:rsidR="00D97687" w:rsidRPr="001A62B5" w:rsidRDefault="008B5E65" w:rsidP="00084B71">
            <w:pPr>
              <w:spacing w:after="0"/>
              <w:ind w:left="-40"/>
              <w:rPr>
                <w:rFonts w:ascii="Georgia" w:hAnsi="Georgia" w:cs="Arial"/>
                <w:bCs/>
                <w:color w:val="244061" w:themeColor="accent1" w:themeShade="80"/>
                <w:sz w:val="28"/>
                <w:szCs w:val="28"/>
              </w:rPr>
            </w:pPr>
            <w:r w:rsidRPr="00446D62">
              <w:rPr>
                <w:rFonts w:ascii="Arial Narrow" w:hAnsi="Arial Narrow" w:cs="Arial"/>
                <w:bCs/>
                <w:color w:val="1F497D" w:themeColor="text2"/>
                <w:sz w:val="24"/>
                <w:szCs w:val="28"/>
              </w:rPr>
              <w:t>precedenti</w:t>
            </w:r>
            <w:r w:rsidR="00D97687" w:rsidRPr="00446D62">
              <w:rPr>
                <w:rFonts w:ascii="Arial Narrow" w:hAnsi="Arial Narrow" w:cs="Arial"/>
                <w:bCs/>
                <w:color w:val="1F497D" w:themeColor="text2"/>
                <w:sz w:val="24"/>
                <w:szCs w:val="28"/>
              </w:rPr>
              <w:t xml:space="preserve"> </w:t>
            </w:r>
          </w:p>
        </w:tc>
      </w:tr>
      <w:tr w:rsidR="00D97687" w14:paraId="038700BE" w14:textId="77777777" w:rsidTr="003D3F32">
        <w:trPr>
          <w:trHeight w:val="96"/>
        </w:trPr>
        <w:tc>
          <w:tcPr>
            <w:tcW w:w="12191" w:type="dxa"/>
            <w:gridSpan w:val="3"/>
            <w:shd w:val="clear" w:color="auto" w:fill="D9D9D9" w:themeFill="background1" w:themeFillShade="D9"/>
          </w:tcPr>
          <w:p w14:paraId="0F607C23" w14:textId="77777777" w:rsidR="00D97687" w:rsidRPr="003D3F32" w:rsidRDefault="00D97687" w:rsidP="003C702A">
            <w:pPr>
              <w:tabs>
                <w:tab w:val="left" w:pos="4424"/>
              </w:tabs>
              <w:ind w:left="797"/>
              <w:rPr>
                <w:rFonts w:ascii="Georgia" w:hAnsi="Georgia" w:cs="Arial"/>
                <w:sz w:val="6"/>
                <w:szCs w:val="6"/>
              </w:rPr>
            </w:pPr>
            <w:r>
              <w:rPr>
                <w:rFonts w:ascii="Georgia" w:hAnsi="Georgia" w:cs="Arial"/>
                <w:sz w:val="16"/>
                <w:szCs w:val="16"/>
              </w:rPr>
              <w:tab/>
            </w:r>
          </w:p>
        </w:tc>
      </w:tr>
    </w:tbl>
    <w:p w14:paraId="3115F915" w14:textId="77777777" w:rsidR="00D97687" w:rsidRPr="00286DF4" w:rsidRDefault="00D97687" w:rsidP="00D97687">
      <w:pPr>
        <w:spacing w:after="0"/>
        <w:rPr>
          <w:rFonts w:cs="Arial"/>
          <w:bCs/>
          <w:color w:val="1F497D" w:themeColor="text2"/>
          <w:sz w:val="16"/>
          <w:szCs w:val="16"/>
        </w:rPr>
      </w:pPr>
      <w:r>
        <w:rPr>
          <w:rFonts w:cs="Arial"/>
          <w:b/>
          <w:color w:val="1F497D" w:themeColor="text2"/>
          <w:sz w:val="26"/>
          <w:szCs w:val="26"/>
        </w:rPr>
        <w:br w:type="page"/>
      </w:r>
    </w:p>
    <w:p w14:paraId="33016BC7" w14:textId="77777777" w:rsidR="00D97687" w:rsidRDefault="00D97687" w:rsidP="00D97687">
      <w:pPr>
        <w:rPr>
          <w:rFonts w:cs="Arial"/>
          <w:color w:val="1F497D" w:themeColor="text2"/>
          <w:szCs w:val="26"/>
        </w:rPr>
        <w:sectPr w:rsidR="00D97687" w:rsidSect="00D97687">
          <w:headerReference w:type="default" r:id="rId12"/>
          <w:footerReference w:type="default" r:id="rId13"/>
          <w:type w:val="continuous"/>
          <w:pgSz w:w="11906" w:h="16838" w:code="9"/>
          <w:pgMar w:top="567" w:right="992" w:bottom="680" w:left="992" w:header="0" w:footer="0" w:gutter="0"/>
          <w:cols w:space="430"/>
          <w:docGrid w:linePitch="360"/>
        </w:sectPr>
      </w:pPr>
    </w:p>
    <w:p w14:paraId="3C3124CE" w14:textId="77777777" w:rsidR="000253FE" w:rsidRPr="00571245" w:rsidRDefault="000253FE" w:rsidP="00CB0812">
      <w:pPr>
        <w:rPr>
          <w:rFonts w:cs="Arial"/>
          <w:color w:val="1F497D" w:themeColor="text2"/>
          <w:sz w:val="20"/>
        </w:rPr>
      </w:pPr>
    </w:p>
    <w:p w14:paraId="1EE43326" w14:textId="766B9E80" w:rsidR="00F26AA3" w:rsidRPr="00282CCB" w:rsidRDefault="008B5E65" w:rsidP="00A650C9">
      <w:pPr>
        <w:rPr>
          <w:rFonts w:cs="Arial"/>
          <w:b/>
          <w:color w:val="1F497D" w:themeColor="text2"/>
          <w:sz w:val="26"/>
          <w:szCs w:val="26"/>
        </w:rPr>
      </w:pPr>
      <w:r w:rsidRPr="007C52AC">
        <w:rPr>
          <w:rFonts w:cs="Arial"/>
          <w:b/>
          <w:color w:val="1F497D" w:themeColor="text2"/>
          <w:sz w:val="26"/>
          <w:szCs w:val="26"/>
        </w:rPr>
        <w:t>In dieci anni</w:t>
      </w:r>
      <w:r w:rsidR="00F26AA3" w:rsidRPr="00282CCB">
        <w:rPr>
          <w:rFonts w:cs="Arial"/>
          <w:b/>
          <w:color w:val="1F497D" w:themeColor="text2"/>
          <w:sz w:val="26"/>
          <w:szCs w:val="26"/>
        </w:rPr>
        <w:t xml:space="preserve"> </w:t>
      </w:r>
      <w:r w:rsidR="00276B1B">
        <w:rPr>
          <w:rFonts w:cs="Arial"/>
          <w:b/>
          <w:color w:val="1F497D" w:themeColor="text2"/>
          <w:sz w:val="26"/>
          <w:szCs w:val="26"/>
        </w:rPr>
        <w:t>la SAU cresce in Italia ma diminuisce nell’U</w:t>
      </w:r>
      <w:r w:rsidR="00C04B7B">
        <w:rPr>
          <w:rFonts w:cs="Arial"/>
          <w:b/>
          <w:color w:val="1F497D" w:themeColor="text2"/>
          <w:sz w:val="26"/>
          <w:szCs w:val="26"/>
        </w:rPr>
        <w:t>e</w:t>
      </w:r>
    </w:p>
    <w:p w14:paraId="2EDE4A71" w14:textId="2D7B17A6" w:rsidR="00D47951" w:rsidRPr="001727AF" w:rsidRDefault="00882E37">
      <w:pPr>
        <w:shd w:val="clear" w:color="auto" w:fill="FFFFFF"/>
        <w:jc w:val="both"/>
        <w:rPr>
          <w:rFonts w:cs="Arial"/>
          <w:iCs/>
          <w:noProof/>
          <w:szCs w:val="22"/>
        </w:rPr>
      </w:pPr>
      <w:r w:rsidRPr="001727AF">
        <w:rPr>
          <w:rFonts w:cs="Arial"/>
          <w:iCs/>
          <w:noProof/>
          <w:szCs w:val="22"/>
        </w:rPr>
        <w:t>A ottobre 2019</w:t>
      </w:r>
      <w:r w:rsidR="006618C3">
        <w:rPr>
          <w:rFonts w:cs="Arial"/>
          <w:iCs/>
          <w:noProof/>
          <w:szCs w:val="22"/>
        </w:rPr>
        <w:t>,</w:t>
      </w:r>
      <w:r w:rsidRPr="001727AF">
        <w:rPr>
          <w:rFonts w:cs="Arial"/>
          <w:iCs/>
          <w:noProof/>
          <w:szCs w:val="22"/>
        </w:rPr>
        <w:t xml:space="preserve"> la SAU italiana rappresenta l’8,1% della SAU complessiva dell’U</w:t>
      </w:r>
      <w:r w:rsidR="00C65989" w:rsidRPr="001727AF">
        <w:rPr>
          <w:rFonts w:cs="Arial"/>
          <w:iCs/>
          <w:noProof/>
          <w:szCs w:val="22"/>
        </w:rPr>
        <w:t>e27</w:t>
      </w:r>
      <w:r w:rsidR="003F3426" w:rsidRPr="00571245">
        <w:rPr>
          <w:rFonts w:cs="Arial"/>
          <w:iCs/>
          <w:noProof/>
          <w:szCs w:val="22"/>
        </w:rPr>
        <w:t xml:space="preserve"> che è</w:t>
      </w:r>
      <w:r w:rsidR="00FD31F3" w:rsidRPr="001727AF">
        <w:rPr>
          <w:rFonts w:cs="Arial"/>
          <w:iCs/>
          <w:noProof/>
          <w:szCs w:val="22"/>
        </w:rPr>
        <w:t xml:space="preserve"> pari a 162,7 milioni di ettari. Tale incidenza è di poco superiore alla quota relativa dell’intero territorio italiano rispetto a quello dell’U</w:t>
      </w:r>
      <w:r w:rsidR="00C65989" w:rsidRPr="001727AF">
        <w:rPr>
          <w:rFonts w:cs="Arial"/>
          <w:iCs/>
          <w:noProof/>
          <w:szCs w:val="22"/>
        </w:rPr>
        <w:t>e</w:t>
      </w:r>
      <w:r w:rsidR="00FD31F3" w:rsidRPr="001727AF">
        <w:rPr>
          <w:rFonts w:cs="Arial"/>
          <w:iCs/>
          <w:noProof/>
          <w:szCs w:val="22"/>
        </w:rPr>
        <w:t>, pari al 7,9%.</w:t>
      </w:r>
    </w:p>
    <w:p w14:paraId="6C5C1341" w14:textId="0998B701" w:rsidR="005434B2" w:rsidRDefault="00FD31F3">
      <w:pPr>
        <w:shd w:val="clear" w:color="auto" w:fill="FFFFFF"/>
        <w:jc w:val="both"/>
        <w:rPr>
          <w:rFonts w:cs="Arial"/>
          <w:iCs/>
          <w:noProof/>
          <w:szCs w:val="22"/>
        </w:rPr>
      </w:pPr>
      <w:r w:rsidRPr="001727AF">
        <w:rPr>
          <w:rFonts w:cs="Arial"/>
          <w:iCs/>
          <w:noProof/>
          <w:szCs w:val="22"/>
        </w:rPr>
        <w:t>L</w:t>
      </w:r>
      <w:r w:rsidR="005C2A1B" w:rsidRPr="001727AF">
        <w:rPr>
          <w:rFonts w:cs="Arial"/>
          <w:iCs/>
          <w:noProof/>
          <w:szCs w:val="22"/>
        </w:rPr>
        <w:t xml:space="preserve">a </w:t>
      </w:r>
      <w:r w:rsidR="00C65989" w:rsidRPr="001727AF">
        <w:rPr>
          <w:rFonts w:cs="Arial"/>
          <w:iCs/>
          <w:noProof/>
          <w:szCs w:val="22"/>
        </w:rPr>
        <w:t>SAU</w:t>
      </w:r>
      <w:r w:rsidR="005C2A1B" w:rsidRPr="001727AF">
        <w:rPr>
          <w:rFonts w:cs="Arial"/>
          <w:iCs/>
          <w:noProof/>
          <w:szCs w:val="22"/>
        </w:rPr>
        <w:t xml:space="preserve"> italiana</w:t>
      </w:r>
      <w:r w:rsidRPr="001727AF">
        <w:rPr>
          <w:rFonts w:cs="Arial"/>
          <w:iCs/>
          <w:noProof/>
          <w:szCs w:val="22"/>
        </w:rPr>
        <w:t xml:space="preserve"> si caratterizza per l</w:t>
      </w:r>
      <w:r w:rsidR="00D47951" w:rsidRPr="001727AF">
        <w:rPr>
          <w:rFonts w:cs="Arial"/>
          <w:iCs/>
          <w:noProof/>
          <w:szCs w:val="22"/>
        </w:rPr>
        <w:t>a forte incidenza sul totale U</w:t>
      </w:r>
      <w:r w:rsidR="00C65989" w:rsidRPr="001727AF">
        <w:rPr>
          <w:rFonts w:cs="Arial"/>
          <w:iCs/>
          <w:noProof/>
          <w:szCs w:val="22"/>
        </w:rPr>
        <w:t>e</w:t>
      </w:r>
      <w:r w:rsidR="00D47951" w:rsidRPr="001727AF">
        <w:rPr>
          <w:rFonts w:cs="Arial"/>
          <w:iCs/>
          <w:noProof/>
          <w:szCs w:val="22"/>
        </w:rPr>
        <w:t xml:space="preserve"> </w:t>
      </w:r>
      <w:r w:rsidRPr="001727AF">
        <w:rPr>
          <w:rFonts w:cs="Arial"/>
          <w:iCs/>
          <w:noProof/>
          <w:szCs w:val="22"/>
        </w:rPr>
        <w:t>delle colture permanenti (il 20,1%).</w:t>
      </w:r>
      <w:r w:rsidR="00D47951" w:rsidRPr="001727AF">
        <w:rPr>
          <w:rFonts w:cs="Arial"/>
          <w:iCs/>
          <w:noProof/>
          <w:szCs w:val="22"/>
        </w:rPr>
        <w:t xml:space="preserve"> </w:t>
      </w:r>
      <w:r w:rsidR="00B657C0" w:rsidRPr="001727AF">
        <w:rPr>
          <w:rFonts w:cs="Arial"/>
          <w:iCs/>
          <w:noProof/>
          <w:szCs w:val="22"/>
        </w:rPr>
        <w:t>In particolare</w:t>
      </w:r>
      <w:r w:rsidR="00B73317" w:rsidRPr="00B73317">
        <w:rPr>
          <w:rFonts w:cs="Arial"/>
          <w:iCs/>
          <w:noProof/>
          <w:szCs w:val="22"/>
          <w:vertAlign w:val="superscript"/>
        </w:rPr>
        <w:t>i</w:t>
      </w:r>
      <w:r w:rsidR="00F02274" w:rsidRPr="00571245">
        <w:rPr>
          <w:rFonts w:cs="Arial"/>
          <w:iCs/>
          <w:noProof/>
          <w:szCs w:val="22"/>
          <w:vertAlign w:val="superscript"/>
        </w:rPr>
        <w:t>i</w:t>
      </w:r>
      <w:r w:rsidR="00B657C0" w:rsidRPr="00A650C9">
        <w:rPr>
          <w:rFonts w:cs="Arial"/>
          <w:iCs/>
          <w:noProof/>
          <w:szCs w:val="22"/>
        </w:rPr>
        <w:t>, si</w:t>
      </w:r>
      <w:r w:rsidR="00B657C0" w:rsidRPr="002E0233">
        <w:rPr>
          <w:rFonts w:cs="Arial"/>
          <w:iCs/>
          <w:noProof/>
          <w:szCs w:val="22"/>
        </w:rPr>
        <w:t xml:space="preserve"> compone</w:t>
      </w:r>
      <w:r w:rsidR="00B657C0" w:rsidRPr="001727AF">
        <w:rPr>
          <w:rFonts w:cs="Arial"/>
          <w:iCs/>
          <w:noProof/>
          <w:szCs w:val="22"/>
        </w:rPr>
        <w:t xml:space="preserve"> per il 52,8% di terreni a seminativi, per il 28,8% di prati</w:t>
      </w:r>
      <w:r w:rsidR="00B657C0">
        <w:rPr>
          <w:rFonts w:cs="Arial"/>
          <w:iCs/>
          <w:noProof/>
          <w:szCs w:val="22"/>
        </w:rPr>
        <w:t xml:space="preserve"> permanenti e pascoli e per il 18,4%</w:t>
      </w:r>
      <w:r w:rsidR="005F2B0C">
        <w:rPr>
          <w:rFonts w:cs="Arial"/>
          <w:iCs/>
          <w:noProof/>
          <w:szCs w:val="22"/>
        </w:rPr>
        <w:t xml:space="preserve"> di colture permanenti. Rispetto alla composizione media dell’intera U</w:t>
      </w:r>
      <w:r w:rsidR="009D69B5">
        <w:rPr>
          <w:rFonts w:cs="Arial"/>
          <w:iCs/>
          <w:noProof/>
          <w:szCs w:val="22"/>
        </w:rPr>
        <w:t>e</w:t>
      </w:r>
      <w:r w:rsidR="005F2B0C">
        <w:rPr>
          <w:rFonts w:cs="Arial"/>
          <w:iCs/>
          <w:noProof/>
          <w:szCs w:val="22"/>
        </w:rPr>
        <w:t xml:space="preserve"> (Figura 1), tanto i seminativi quanto i prati permanenti e i pascoli hanno un peso minore (nell’U</w:t>
      </w:r>
      <w:r w:rsidR="009D69B5">
        <w:rPr>
          <w:rFonts w:cs="Arial"/>
          <w:iCs/>
          <w:noProof/>
          <w:szCs w:val="22"/>
        </w:rPr>
        <w:t>e</w:t>
      </w:r>
      <w:r w:rsidR="005F2B0C">
        <w:rPr>
          <w:rFonts w:cs="Arial"/>
          <w:iCs/>
          <w:noProof/>
          <w:szCs w:val="22"/>
        </w:rPr>
        <w:t xml:space="preserve"> tali pesi sono</w:t>
      </w:r>
      <w:r w:rsidR="00E73CDF">
        <w:rPr>
          <w:rFonts w:cs="Arial"/>
          <w:iCs/>
          <w:noProof/>
          <w:szCs w:val="22"/>
        </w:rPr>
        <w:t>,</w:t>
      </w:r>
      <w:r w:rsidR="005F2B0C">
        <w:rPr>
          <w:rFonts w:cs="Arial"/>
          <w:iCs/>
          <w:noProof/>
          <w:szCs w:val="22"/>
        </w:rPr>
        <w:t xml:space="preserve"> rispettivamente</w:t>
      </w:r>
      <w:r w:rsidR="00E73CDF">
        <w:rPr>
          <w:rFonts w:cs="Arial"/>
          <w:iCs/>
          <w:noProof/>
          <w:szCs w:val="22"/>
        </w:rPr>
        <w:t>,</w:t>
      </w:r>
      <w:r w:rsidR="005F2B0C">
        <w:rPr>
          <w:rFonts w:cs="Arial"/>
          <w:iCs/>
          <w:noProof/>
          <w:szCs w:val="22"/>
        </w:rPr>
        <w:t xml:space="preserve"> del 61,4% e del 31,2%), mentre </w:t>
      </w:r>
      <w:r w:rsidR="00E73CDF">
        <w:rPr>
          <w:rFonts w:cs="Arial"/>
          <w:iCs/>
          <w:noProof/>
          <w:szCs w:val="22"/>
        </w:rPr>
        <w:t>in Italia</w:t>
      </w:r>
      <w:r w:rsidR="005F2B0C">
        <w:rPr>
          <w:rFonts w:cs="Arial"/>
          <w:iCs/>
          <w:noProof/>
          <w:szCs w:val="22"/>
        </w:rPr>
        <w:t xml:space="preserve"> incidono di più le colture permanenti (che in media U</w:t>
      </w:r>
      <w:r w:rsidR="009D69B5">
        <w:rPr>
          <w:rFonts w:cs="Arial"/>
          <w:iCs/>
          <w:noProof/>
          <w:szCs w:val="22"/>
        </w:rPr>
        <w:t>e</w:t>
      </w:r>
      <w:r w:rsidR="005F2B0C">
        <w:rPr>
          <w:rFonts w:cs="Arial"/>
          <w:iCs/>
          <w:noProof/>
          <w:szCs w:val="22"/>
        </w:rPr>
        <w:t xml:space="preserve"> pesano solo per il 7,4%). Il profilo italiano è più simile a quello del sottoinsieme degli </w:t>
      </w:r>
      <w:r w:rsidR="009D69B5">
        <w:rPr>
          <w:rFonts w:cs="Arial"/>
          <w:iCs/>
          <w:noProof/>
          <w:szCs w:val="22"/>
        </w:rPr>
        <w:t xml:space="preserve">altri </w:t>
      </w:r>
      <w:r w:rsidR="003757CD">
        <w:rPr>
          <w:rFonts w:cs="Arial"/>
          <w:iCs/>
          <w:noProof/>
          <w:szCs w:val="22"/>
        </w:rPr>
        <w:t>s</w:t>
      </w:r>
      <w:r w:rsidR="005F2B0C">
        <w:rPr>
          <w:rFonts w:cs="Arial"/>
          <w:iCs/>
          <w:noProof/>
          <w:szCs w:val="22"/>
        </w:rPr>
        <w:t xml:space="preserve">tati mediterranei (Spagna, Portogallo, Francia, Croazia, Grecia, Cipro e Malta), </w:t>
      </w:r>
      <w:r w:rsidR="009D69B5">
        <w:rPr>
          <w:rFonts w:cs="Arial"/>
          <w:iCs/>
          <w:noProof/>
          <w:szCs w:val="22"/>
        </w:rPr>
        <w:t xml:space="preserve">nei quali </w:t>
      </w:r>
      <w:r w:rsidR="00CB0812">
        <w:rPr>
          <w:rFonts w:cs="Arial"/>
          <w:iCs/>
          <w:noProof/>
          <w:szCs w:val="22"/>
        </w:rPr>
        <w:t>incido</w:t>
      </w:r>
      <w:r w:rsidR="009D69B5">
        <w:rPr>
          <w:rFonts w:cs="Arial"/>
          <w:iCs/>
          <w:noProof/>
          <w:szCs w:val="22"/>
        </w:rPr>
        <w:t>no di più,</w:t>
      </w:r>
      <w:r w:rsidR="005F2B0C">
        <w:rPr>
          <w:rFonts w:cs="Arial"/>
          <w:iCs/>
          <w:noProof/>
          <w:szCs w:val="22"/>
        </w:rPr>
        <w:t xml:space="preserve"> rispetto all’Italia, i prati permanenti e i pascoli (33,0%).</w:t>
      </w:r>
    </w:p>
    <w:p w14:paraId="1FC27E3F" w14:textId="78D5F985" w:rsidR="003B71C7" w:rsidRDefault="003B71C7">
      <w:pPr>
        <w:shd w:val="clear" w:color="auto" w:fill="FFFFFF"/>
        <w:jc w:val="both"/>
        <w:rPr>
          <w:rFonts w:cs="Arial"/>
          <w:iCs/>
          <w:noProof/>
          <w:szCs w:val="22"/>
        </w:rPr>
      </w:pPr>
      <w:r>
        <w:rPr>
          <w:rFonts w:cs="Arial"/>
          <w:iCs/>
          <w:noProof/>
          <w:szCs w:val="22"/>
        </w:rPr>
        <w:t>Rispetto al</w:t>
      </w:r>
      <w:r w:rsidR="00815FE8">
        <w:rPr>
          <w:rFonts w:cs="Arial"/>
          <w:iCs/>
          <w:noProof/>
          <w:szCs w:val="22"/>
        </w:rPr>
        <w:t>l’annata agraria 2009-2010</w:t>
      </w:r>
      <w:r>
        <w:rPr>
          <w:rFonts w:cs="Arial"/>
          <w:iCs/>
          <w:noProof/>
          <w:szCs w:val="22"/>
        </w:rPr>
        <w:t xml:space="preserve">, </w:t>
      </w:r>
      <w:r w:rsidR="003757CD">
        <w:rPr>
          <w:rFonts w:cs="Arial"/>
          <w:iCs/>
          <w:noProof/>
          <w:szCs w:val="22"/>
        </w:rPr>
        <w:t>la</w:t>
      </w:r>
      <w:r w:rsidR="00815FE8">
        <w:rPr>
          <w:rFonts w:cs="Arial"/>
          <w:iCs/>
          <w:noProof/>
          <w:szCs w:val="22"/>
        </w:rPr>
        <w:t xml:space="preserve"> SAU complessiva</w:t>
      </w:r>
      <w:r w:rsidR="003757CD">
        <w:rPr>
          <w:rFonts w:cs="Arial"/>
          <w:iCs/>
          <w:noProof/>
          <w:szCs w:val="22"/>
        </w:rPr>
        <w:t xml:space="preserve"> cresce in Italia del </w:t>
      </w:r>
      <w:r w:rsidR="00815FE8">
        <w:rPr>
          <w:rFonts w:cs="Arial"/>
          <w:iCs/>
          <w:noProof/>
          <w:szCs w:val="22"/>
        </w:rPr>
        <w:t>4,1%</w:t>
      </w:r>
      <w:r w:rsidR="003757CD">
        <w:rPr>
          <w:rFonts w:cs="Arial"/>
          <w:iCs/>
          <w:noProof/>
          <w:szCs w:val="22"/>
        </w:rPr>
        <w:t xml:space="preserve"> (-0,9%</w:t>
      </w:r>
      <w:r w:rsidR="00815FE8">
        <w:rPr>
          <w:rFonts w:cs="Arial"/>
          <w:iCs/>
          <w:noProof/>
          <w:szCs w:val="22"/>
        </w:rPr>
        <w:t xml:space="preserve"> nell’U</w:t>
      </w:r>
      <w:r>
        <w:rPr>
          <w:rFonts w:cs="Arial"/>
          <w:iCs/>
          <w:noProof/>
          <w:szCs w:val="22"/>
        </w:rPr>
        <w:t>e</w:t>
      </w:r>
      <w:r w:rsidR="003757CD">
        <w:rPr>
          <w:rFonts w:cs="Arial"/>
          <w:iCs/>
          <w:noProof/>
          <w:szCs w:val="22"/>
        </w:rPr>
        <w:t>). Q</w:t>
      </w:r>
      <w:r w:rsidR="00815FE8">
        <w:rPr>
          <w:rFonts w:cs="Arial"/>
          <w:iCs/>
          <w:noProof/>
          <w:szCs w:val="22"/>
        </w:rPr>
        <w:t xml:space="preserve">uesto </w:t>
      </w:r>
      <w:r w:rsidR="003757CD">
        <w:rPr>
          <w:rFonts w:cs="Arial"/>
          <w:iCs/>
          <w:noProof/>
          <w:szCs w:val="22"/>
        </w:rPr>
        <w:t xml:space="preserve">risultato </w:t>
      </w:r>
      <w:r w:rsidR="00815FE8">
        <w:rPr>
          <w:rFonts w:cs="Arial"/>
          <w:iCs/>
          <w:noProof/>
          <w:szCs w:val="22"/>
        </w:rPr>
        <w:t>deriva dal protrarsi, nell’arco del</w:t>
      </w:r>
      <w:r>
        <w:rPr>
          <w:rFonts w:cs="Arial"/>
          <w:iCs/>
          <w:noProof/>
          <w:szCs w:val="22"/>
        </w:rPr>
        <w:t xml:space="preserve"> </w:t>
      </w:r>
      <w:r w:rsidR="00815FE8">
        <w:rPr>
          <w:rFonts w:cs="Arial"/>
          <w:iCs/>
          <w:noProof/>
          <w:szCs w:val="22"/>
        </w:rPr>
        <w:t>decennio, di forme di agricoltura estensiva nel nostro Paese, in contrasto con la tendenza</w:t>
      </w:r>
      <w:r>
        <w:rPr>
          <w:rFonts w:cs="Arial"/>
          <w:iCs/>
          <w:noProof/>
          <w:szCs w:val="22"/>
        </w:rPr>
        <w:t xml:space="preserve"> a</w:t>
      </w:r>
      <w:r w:rsidR="00815FE8">
        <w:rPr>
          <w:rFonts w:cs="Arial"/>
          <w:iCs/>
          <w:noProof/>
          <w:szCs w:val="22"/>
        </w:rPr>
        <w:t xml:space="preserve"> un uso più parcellizzato e specialistico del terreno a fini agricoli</w:t>
      </w:r>
      <w:r w:rsidRPr="003B71C7">
        <w:rPr>
          <w:rFonts w:cs="Arial"/>
          <w:iCs/>
          <w:noProof/>
          <w:szCs w:val="22"/>
        </w:rPr>
        <w:t xml:space="preserve"> </w:t>
      </w:r>
      <w:r>
        <w:rPr>
          <w:rFonts w:cs="Arial"/>
          <w:iCs/>
          <w:noProof/>
          <w:szCs w:val="22"/>
        </w:rPr>
        <w:t>prevalente negli altri Stati membri</w:t>
      </w:r>
      <w:r w:rsidR="00815FE8">
        <w:rPr>
          <w:rFonts w:cs="Arial"/>
          <w:iCs/>
          <w:noProof/>
          <w:szCs w:val="22"/>
        </w:rPr>
        <w:t xml:space="preserve">. </w:t>
      </w:r>
    </w:p>
    <w:p w14:paraId="3A184816" w14:textId="1ADB061E" w:rsidR="004A0030" w:rsidRDefault="00815FE8">
      <w:pPr>
        <w:shd w:val="clear" w:color="auto" w:fill="FFFFFF"/>
        <w:jc w:val="both"/>
        <w:rPr>
          <w:rFonts w:cs="Arial"/>
          <w:iCs/>
          <w:noProof/>
          <w:szCs w:val="22"/>
        </w:rPr>
      </w:pPr>
      <w:r>
        <w:rPr>
          <w:rFonts w:cs="Arial"/>
          <w:iCs/>
          <w:noProof/>
          <w:szCs w:val="22"/>
        </w:rPr>
        <w:t xml:space="preserve">Inoltre, il processo di graduale concentrazione del terreno agricolo a favore di un numero sempre più ridotto di aziende agricole mediamente più grandi segue in Europa ritmi più veloci di quelli </w:t>
      </w:r>
      <w:r w:rsidR="003B71C7">
        <w:rPr>
          <w:rFonts w:cs="Arial"/>
          <w:iCs/>
          <w:noProof/>
          <w:szCs w:val="22"/>
        </w:rPr>
        <w:t xml:space="preserve">italiani </w:t>
      </w:r>
      <w:r w:rsidR="003B71C7" w:rsidRPr="00202E3D">
        <w:rPr>
          <w:rFonts w:cs="Arial"/>
          <w:iCs/>
          <w:noProof/>
          <w:szCs w:val="22"/>
        </w:rPr>
        <w:t>(</w:t>
      </w:r>
      <w:r w:rsidR="003B71C7" w:rsidRPr="007003EC">
        <w:rPr>
          <w:rFonts w:cs="Arial"/>
          <w:iCs/>
          <w:noProof/>
          <w:szCs w:val="22"/>
        </w:rPr>
        <w:t xml:space="preserve">al riguardo, </w:t>
      </w:r>
      <w:r w:rsidRPr="007003EC">
        <w:rPr>
          <w:rFonts w:cs="Arial"/>
          <w:iCs/>
          <w:noProof/>
          <w:szCs w:val="22"/>
        </w:rPr>
        <w:t xml:space="preserve">gli esiti del settimo </w:t>
      </w:r>
      <w:r w:rsidR="00CB0812" w:rsidRPr="00571245">
        <w:rPr>
          <w:rFonts w:cs="Arial"/>
          <w:iCs/>
          <w:noProof/>
          <w:szCs w:val="22"/>
        </w:rPr>
        <w:t>C</w:t>
      </w:r>
      <w:r w:rsidRPr="00202E3D">
        <w:rPr>
          <w:rFonts w:cs="Arial"/>
          <w:iCs/>
          <w:noProof/>
          <w:szCs w:val="22"/>
        </w:rPr>
        <w:t>ensimento dell’agricolt</w:t>
      </w:r>
      <w:r w:rsidR="003B71C7" w:rsidRPr="00A650C9">
        <w:rPr>
          <w:rFonts w:cs="Arial"/>
          <w:iCs/>
          <w:noProof/>
          <w:szCs w:val="22"/>
        </w:rPr>
        <w:t>u</w:t>
      </w:r>
      <w:r w:rsidRPr="002E0233">
        <w:rPr>
          <w:rFonts w:cs="Arial"/>
          <w:iCs/>
          <w:noProof/>
          <w:szCs w:val="22"/>
        </w:rPr>
        <w:t xml:space="preserve">ra </w:t>
      </w:r>
      <w:r w:rsidR="003B71C7" w:rsidRPr="007003EC">
        <w:rPr>
          <w:rFonts w:cs="Arial"/>
          <w:iCs/>
          <w:noProof/>
          <w:szCs w:val="22"/>
        </w:rPr>
        <w:t xml:space="preserve">in corso </w:t>
      </w:r>
      <w:r w:rsidRPr="007003EC">
        <w:rPr>
          <w:rFonts w:cs="Arial"/>
          <w:iCs/>
          <w:noProof/>
          <w:szCs w:val="22"/>
        </w:rPr>
        <w:t>forniranno utili indicazioni sulla velocità di adeguamento del modello nazionale rispetto alle tendenze internazionali</w:t>
      </w:r>
      <w:r w:rsidR="003B71C7" w:rsidRPr="007003EC">
        <w:rPr>
          <w:rFonts w:cs="Arial"/>
          <w:iCs/>
          <w:noProof/>
          <w:szCs w:val="22"/>
        </w:rPr>
        <w:t>)</w:t>
      </w:r>
      <w:r w:rsidRPr="007003EC">
        <w:rPr>
          <w:rFonts w:cs="Arial"/>
          <w:iCs/>
          <w:noProof/>
          <w:szCs w:val="22"/>
        </w:rPr>
        <w:t>.</w:t>
      </w:r>
    </w:p>
    <w:p w14:paraId="61BA2A02" w14:textId="0E85F251" w:rsidR="00AE7A0C" w:rsidRDefault="0015441B" w:rsidP="00571245">
      <w:pPr>
        <w:shd w:val="clear" w:color="auto" w:fill="FFFFFF"/>
        <w:jc w:val="both"/>
        <w:rPr>
          <w:rFonts w:cs="Arial"/>
          <w:iCs/>
          <w:noProof/>
          <w:szCs w:val="22"/>
        </w:rPr>
      </w:pPr>
      <w:r>
        <w:rPr>
          <w:rFonts w:cs="Arial"/>
          <w:iCs/>
          <w:noProof/>
          <w:szCs w:val="22"/>
        </w:rPr>
        <w:t xml:space="preserve">Tuttavia </w:t>
      </w:r>
      <w:r w:rsidR="00810F71">
        <w:rPr>
          <w:rFonts w:cs="Arial"/>
          <w:iCs/>
          <w:noProof/>
          <w:szCs w:val="22"/>
        </w:rPr>
        <w:t>l’intera U</w:t>
      </w:r>
      <w:r w:rsidR="00CB0812">
        <w:rPr>
          <w:rFonts w:cs="Arial"/>
          <w:iCs/>
          <w:noProof/>
          <w:szCs w:val="22"/>
        </w:rPr>
        <w:t>e</w:t>
      </w:r>
      <w:r w:rsidR="00810F71">
        <w:rPr>
          <w:rFonts w:cs="Arial"/>
          <w:iCs/>
          <w:noProof/>
          <w:szCs w:val="22"/>
        </w:rPr>
        <w:t xml:space="preserve"> </w:t>
      </w:r>
      <w:r w:rsidR="00CB0812">
        <w:rPr>
          <w:rFonts w:cs="Arial"/>
          <w:iCs/>
          <w:noProof/>
          <w:szCs w:val="22"/>
        </w:rPr>
        <w:t>è accomunata dal</w:t>
      </w:r>
      <w:r>
        <w:rPr>
          <w:rFonts w:cs="Arial"/>
          <w:iCs/>
          <w:noProof/>
          <w:szCs w:val="22"/>
        </w:rPr>
        <w:t xml:space="preserve">la </w:t>
      </w:r>
      <w:r w:rsidR="00810F71">
        <w:rPr>
          <w:rFonts w:cs="Arial"/>
          <w:iCs/>
          <w:noProof/>
          <w:szCs w:val="22"/>
        </w:rPr>
        <w:t>flessione della SAU desti</w:t>
      </w:r>
      <w:r w:rsidR="00276B1B">
        <w:rPr>
          <w:rFonts w:cs="Arial"/>
          <w:iCs/>
          <w:noProof/>
          <w:szCs w:val="22"/>
        </w:rPr>
        <w:t>n</w:t>
      </w:r>
      <w:r w:rsidR="00810F71">
        <w:rPr>
          <w:rFonts w:cs="Arial"/>
          <w:iCs/>
          <w:noProof/>
          <w:szCs w:val="22"/>
        </w:rPr>
        <w:t xml:space="preserve">ata a seminativi, </w:t>
      </w:r>
      <w:r w:rsidR="00276B1B">
        <w:rPr>
          <w:rFonts w:cs="Arial"/>
          <w:iCs/>
          <w:noProof/>
          <w:szCs w:val="22"/>
        </w:rPr>
        <w:t xml:space="preserve">scesa </w:t>
      </w:r>
      <w:r w:rsidR="00810F71">
        <w:rPr>
          <w:rFonts w:cs="Arial"/>
          <w:iCs/>
          <w:noProof/>
          <w:szCs w:val="22"/>
        </w:rPr>
        <w:t xml:space="preserve">di 2,9 punti percentuali in Italia, di 7,4 punti nel complesso degli </w:t>
      </w:r>
      <w:r>
        <w:rPr>
          <w:rFonts w:cs="Arial"/>
          <w:iCs/>
          <w:noProof/>
          <w:szCs w:val="22"/>
        </w:rPr>
        <w:t>S</w:t>
      </w:r>
      <w:r w:rsidR="00810F71">
        <w:rPr>
          <w:rFonts w:cs="Arial"/>
          <w:iCs/>
          <w:noProof/>
          <w:szCs w:val="22"/>
        </w:rPr>
        <w:t>tati mediterranei e di 2,7 punti in media U</w:t>
      </w:r>
      <w:r>
        <w:rPr>
          <w:rFonts w:cs="Arial"/>
          <w:iCs/>
          <w:noProof/>
          <w:szCs w:val="22"/>
        </w:rPr>
        <w:t>e</w:t>
      </w:r>
      <w:r w:rsidR="00810F71">
        <w:rPr>
          <w:rFonts w:cs="Arial"/>
          <w:iCs/>
          <w:noProof/>
          <w:szCs w:val="22"/>
        </w:rPr>
        <w:t>. A questa tendenza si associa l’</w:t>
      </w:r>
      <w:r w:rsidR="00CB0812">
        <w:rPr>
          <w:rFonts w:cs="Arial"/>
          <w:iCs/>
          <w:noProof/>
          <w:szCs w:val="22"/>
        </w:rPr>
        <w:t>aumento</w:t>
      </w:r>
      <w:r w:rsidR="00810F71">
        <w:rPr>
          <w:rFonts w:cs="Arial"/>
          <w:iCs/>
          <w:noProof/>
          <w:szCs w:val="22"/>
        </w:rPr>
        <w:t xml:space="preserve"> della SAU destinata a prati permanenti e pascoli e alle coltivazioni permanenti</w:t>
      </w:r>
      <w:r w:rsidR="00CB0812">
        <w:rPr>
          <w:rFonts w:cs="Arial"/>
          <w:iCs/>
          <w:noProof/>
          <w:szCs w:val="22"/>
        </w:rPr>
        <w:t xml:space="preserve">, crescita che </w:t>
      </w:r>
      <w:r w:rsidR="00810F71">
        <w:rPr>
          <w:rFonts w:cs="Arial"/>
          <w:iCs/>
          <w:noProof/>
          <w:szCs w:val="22"/>
        </w:rPr>
        <w:t>in Italia</w:t>
      </w:r>
      <w:r w:rsidR="00CB0812">
        <w:rPr>
          <w:rFonts w:cs="Arial"/>
          <w:iCs/>
          <w:noProof/>
          <w:szCs w:val="22"/>
        </w:rPr>
        <w:t xml:space="preserve"> </w:t>
      </w:r>
      <w:r w:rsidR="00276B1B">
        <w:rPr>
          <w:rFonts w:cs="Arial"/>
          <w:iCs/>
          <w:noProof/>
          <w:szCs w:val="22"/>
        </w:rPr>
        <w:t>(+18,5 punti</w:t>
      </w:r>
      <w:r w:rsidR="0043442A">
        <w:rPr>
          <w:rFonts w:cs="Arial"/>
          <w:iCs/>
          <w:noProof/>
          <w:szCs w:val="22"/>
        </w:rPr>
        <w:t xml:space="preserve"> percentuali</w:t>
      </w:r>
      <w:r w:rsidR="00276B1B">
        <w:rPr>
          <w:rFonts w:cs="Arial"/>
          <w:iCs/>
          <w:noProof/>
          <w:szCs w:val="22"/>
        </w:rPr>
        <w:t>) è stat</w:t>
      </w:r>
      <w:r w:rsidR="00001461">
        <w:rPr>
          <w:rFonts w:cs="Arial"/>
          <w:iCs/>
          <w:noProof/>
          <w:szCs w:val="22"/>
        </w:rPr>
        <w:t>a</w:t>
      </w:r>
      <w:r w:rsidR="00276B1B">
        <w:rPr>
          <w:rFonts w:cs="Arial"/>
          <w:iCs/>
          <w:noProof/>
          <w:szCs w:val="22"/>
        </w:rPr>
        <w:t xml:space="preserve"> molto più elevat</w:t>
      </w:r>
      <w:r w:rsidR="00001461">
        <w:rPr>
          <w:rFonts w:cs="Arial"/>
          <w:iCs/>
          <w:noProof/>
          <w:szCs w:val="22"/>
        </w:rPr>
        <w:t>a</w:t>
      </w:r>
      <w:r w:rsidR="00276B1B">
        <w:rPr>
          <w:rFonts w:cs="Arial"/>
          <w:iCs/>
          <w:noProof/>
          <w:szCs w:val="22"/>
        </w:rPr>
        <w:t xml:space="preserve"> rispetto a</w:t>
      </w:r>
      <w:r w:rsidR="00FC2F15">
        <w:rPr>
          <w:rFonts w:cs="Arial"/>
          <w:iCs/>
          <w:noProof/>
          <w:szCs w:val="22"/>
        </w:rPr>
        <w:t xml:space="preserve"> quella de</w:t>
      </w:r>
      <w:r w:rsidR="00276B1B">
        <w:rPr>
          <w:rFonts w:cs="Arial"/>
          <w:iCs/>
          <w:noProof/>
          <w:szCs w:val="22"/>
        </w:rPr>
        <w:t>lle colture permanenti (+3,7)</w:t>
      </w:r>
      <w:r w:rsidR="004A3736" w:rsidRPr="004A3736">
        <w:rPr>
          <w:rFonts w:cs="Arial"/>
          <w:iCs/>
          <w:noProof/>
          <w:szCs w:val="22"/>
        </w:rPr>
        <w:t xml:space="preserve"> </w:t>
      </w:r>
      <w:r w:rsidR="004A3736">
        <w:rPr>
          <w:rFonts w:cs="Arial"/>
          <w:iCs/>
          <w:noProof/>
          <w:szCs w:val="22"/>
        </w:rPr>
        <w:t>a differenza dell’intera Ue e del complesso degli Stati mediterranei.</w:t>
      </w:r>
    </w:p>
    <w:p w14:paraId="1168FA10" w14:textId="1AEF37BC" w:rsidR="004A3736" w:rsidRPr="00571245" w:rsidRDefault="004A3736" w:rsidP="00571245">
      <w:pPr>
        <w:shd w:val="clear" w:color="auto" w:fill="FFFFFF"/>
        <w:jc w:val="both"/>
        <w:rPr>
          <w:rFonts w:cs="Arial"/>
          <w:iCs/>
          <w:noProof/>
          <w:szCs w:val="22"/>
        </w:rPr>
      </w:pPr>
    </w:p>
    <w:p w14:paraId="568F6F8E" w14:textId="77777777" w:rsidR="003757CD" w:rsidRPr="00571245" w:rsidRDefault="003757CD" w:rsidP="00571245">
      <w:pPr>
        <w:shd w:val="clear" w:color="auto" w:fill="FFFFFF"/>
        <w:jc w:val="both"/>
        <w:rPr>
          <w:rFonts w:cs="Arial"/>
          <w:iCs/>
          <w:noProof/>
          <w:szCs w:val="22"/>
        </w:rPr>
      </w:pPr>
    </w:p>
    <w:p w14:paraId="57B77360" w14:textId="77777777" w:rsidR="003757CD" w:rsidRPr="00571245" w:rsidRDefault="003757CD" w:rsidP="00571245">
      <w:pPr>
        <w:shd w:val="clear" w:color="auto" w:fill="FFFFFF"/>
        <w:jc w:val="both"/>
        <w:rPr>
          <w:rFonts w:cs="Arial"/>
          <w:iCs/>
          <w:noProof/>
          <w:szCs w:val="22"/>
        </w:rPr>
      </w:pPr>
    </w:p>
    <w:p w14:paraId="33D20D15" w14:textId="77777777" w:rsidR="003757CD" w:rsidRPr="00571245" w:rsidRDefault="003757CD" w:rsidP="00571245">
      <w:pPr>
        <w:shd w:val="clear" w:color="auto" w:fill="FFFFFF"/>
        <w:jc w:val="both"/>
        <w:rPr>
          <w:rFonts w:cs="Arial"/>
          <w:iCs/>
          <w:noProof/>
          <w:szCs w:val="22"/>
        </w:rPr>
      </w:pPr>
    </w:p>
    <w:p w14:paraId="1C4CA4FD" w14:textId="4A2D861D" w:rsidR="003757CD" w:rsidRDefault="003757CD">
      <w:pPr>
        <w:shd w:val="clear" w:color="auto" w:fill="FFFFFF"/>
        <w:jc w:val="both"/>
        <w:rPr>
          <w:rFonts w:cs="Arial"/>
          <w:iCs/>
          <w:noProof/>
          <w:szCs w:val="22"/>
        </w:rPr>
      </w:pPr>
    </w:p>
    <w:p w14:paraId="4F7ED56F" w14:textId="4FCEE76E" w:rsidR="00433444" w:rsidRDefault="00433444">
      <w:pPr>
        <w:shd w:val="clear" w:color="auto" w:fill="FFFFFF"/>
        <w:jc w:val="both"/>
        <w:rPr>
          <w:rFonts w:cs="Arial"/>
          <w:iCs/>
          <w:noProof/>
          <w:szCs w:val="22"/>
        </w:rPr>
      </w:pPr>
    </w:p>
    <w:p w14:paraId="4F913436" w14:textId="108CDFE0" w:rsidR="00433444" w:rsidRDefault="00433444">
      <w:pPr>
        <w:shd w:val="clear" w:color="auto" w:fill="FFFFFF"/>
        <w:jc w:val="both"/>
        <w:rPr>
          <w:rFonts w:cs="Arial"/>
          <w:iCs/>
          <w:noProof/>
          <w:szCs w:val="22"/>
        </w:rPr>
      </w:pPr>
    </w:p>
    <w:p w14:paraId="07754934" w14:textId="77777777" w:rsidR="00433444" w:rsidRPr="00433444" w:rsidRDefault="00433444" w:rsidP="00571245">
      <w:pPr>
        <w:shd w:val="clear" w:color="auto" w:fill="FFFFFF"/>
        <w:jc w:val="both"/>
        <w:rPr>
          <w:rFonts w:cs="Arial"/>
          <w:iCs/>
          <w:noProof/>
          <w:szCs w:val="22"/>
        </w:rPr>
      </w:pPr>
    </w:p>
    <w:p w14:paraId="3DEA6E8F" w14:textId="7A9C89C3" w:rsidR="00AE7A0C" w:rsidRDefault="003757CD" w:rsidP="00304BC7">
      <w:pPr>
        <w:spacing w:after="480"/>
        <w:jc w:val="both"/>
        <w:rPr>
          <w:rFonts w:ascii="Arial Black" w:hAnsi="Arial Black" w:cs="Arial"/>
          <w:color w:val="1F497D"/>
          <w:szCs w:val="22"/>
        </w:rPr>
      </w:pPr>
      <w:r>
        <w:rPr>
          <w:rFonts w:ascii="Arial Black" w:hAnsi="Arial Black" w:cs="Arial"/>
          <w:iCs/>
          <w:noProof/>
          <w:color w:val="1F497D" w:themeColor="text2"/>
          <w:szCs w:val="22"/>
        </w:rPr>
        <w:t>S</w:t>
      </w:r>
      <w:r w:rsidR="00F41910" w:rsidRPr="00F41910">
        <w:rPr>
          <w:rFonts w:ascii="Arial Black" w:hAnsi="Arial Black" w:cs="Arial"/>
          <w:iCs/>
          <w:noProof/>
          <w:color w:val="1F497D" w:themeColor="text2"/>
          <w:szCs w:val="22"/>
        </w:rPr>
        <w:t>UPERFICIE AGRICOLA UTILIZZATA (SAU) IN ITALIA E NELL’UNIONE EUROPEA</w:t>
      </w:r>
      <w:r w:rsidR="00E31349" w:rsidRPr="00D40763">
        <w:rPr>
          <w:rFonts w:cs="Arial"/>
          <w:color w:val="1F497D"/>
          <w:sz w:val="24"/>
          <w:vertAlign w:val="superscript"/>
        </w:rPr>
        <w:t>(a)</w:t>
      </w:r>
    </w:p>
    <w:tbl>
      <w:tblPr>
        <w:tblStyle w:val="Grigliatabella"/>
        <w:tblW w:w="992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15"/>
        <w:gridCol w:w="1168"/>
        <w:gridCol w:w="1168"/>
        <w:gridCol w:w="1168"/>
        <w:gridCol w:w="1168"/>
        <w:gridCol w:w="1168"/>
        <w:gridCol w:w="1168"/>
      </w:tblGrid>
      <w:tr w:rsidR="00326A76" w:rsidRPr="00847379" w14:paraId="6C57E42E" w14:textId="77777777" w:rsidTr="00326A76">
        <w:trPr>
          <w:jc w:val="center"/>
        </w:trPr>
        <w:tc>
          <w:tcPr>
            <w:tcW w:w="2915" w:type="dxa"/>
            <w:vMerge w:val="restart"/>
            <w:shd w:val="clear" w:color="auto" w:fill="D9D9D9" w:themeFill="background1" w:themeFillShade="D9"/>
            <w:vAlign w:val="center"/>
          </w:tcPr>
          <w:p w14:paraId="5D50557B" w14:textId="7329C23C" w:rsidR="00326A76" w:rsidRPr="00326A76" w:rsidRDefault="00326A76" w:rsidP="003C702A">
            <w:pPr>
              <w:spacing w:line="240" w:lineRule="atLeast"/>
              <w:jc w:val="center"/>
              <w:rPr>
                <w:rFonts w:ascii="Arial Narrow" w:hAnsi="Arial Narrow" w:cs="Arial"/>
                <w:b/>
                <w:color w:val="1F497D"/>
                <w:sz w:val="18"/>
                <w:szCs w:val="18"/>
              </w:rPr>
            </w:pPr>
            <w:r>
              <w:rPr>
                <w:rFonts w:ascii="Arial Narrow" w:hAnsi="Arial Narrow" w:cs="Arial"/>
                <w:b/>
                <w:color w:val="1F497D"/>
                <w:sz w:val="18"/>
                <w:szCs w:val="18"/>
              </w:rPr>
              <w:t>SPECIE VEGETALE</w:t>
            </w:r>
          </w:p>
        </w:tc>
        <w:tc>
          <w:tcPr>
            <w:tcW w:w="3504" w:type="dxa"/>
            <w:gridSpan w:val="3"/>
            <w:shd w:val="clear" w:color="auto" w:fill="1F497D"/>
            <w:vAlign w:val="center"/>
          </w:tcPr>
          <w:p w14:paraId="14AAD666" w14:textId="77777777" w:rsidR="00326A76" w:rsidRDefault="00326A76" w:rsidP="00326A76">
            <w:pPr>
              <w:spacing w:after="0"/>
              <w:jc w:val="center"/>
              <w:rPr>
                <w:rFonts w:ascii="Arial Narrow" w:hAnsi="Arial Narrow" w:cs="Calibri"/>
                <w:b/>
                <w:color w:val="FFFFFF" w:themeColor="background1"/>
                <w:sz w:val="18"/>
                <w:szCs w:val="18"/>
              </w:rPr>
            </w:pPr>
            <w:r w:rsidRPr="00326A76">
              <w:rPr>
                <w:rFonts w:ascii="Arial Narrow" w:hAnsi="Arial Narrow" w:cs="Calibri"/>
                <w:b/>
                <w:color w:val="FFFFFF" w:themeColor="background1"/>
                <w:sz w:val="18"/>
                <w:szCs w:val="18"/>
              </w:rPr>
              <w:t>Composizione della SAU:</w:t>
            </w:r>
          </w:p>
          <w:p w14:paraId="6DEC325D" w14:textId="78F345E9" w:rsidR="00326A76" w:rsidRPr="00326A76" w:rsidRDefault="00326A76" w:rsidP="00326A76">
            <w:pPr>
              <w:spacing w:after="0"/>
              <w:jc w:val="center"/>
              <w:rPr>
                <w:rFonts w:ascii="Arial Narrow" w:hAnsi="Arial Narrow" w:cs="Calibri"/>
                <w:b/>
                <w:color w:val="FFFFFF" w:themeColor="background1"/>
                <w:sz w:val="18"/>
                <w:szCs w:val="18"/>
              </w:rPr>
            </w:pPr>
            <w:r w:rsidRPr="00326A76">
              <w:rPr>
                <w:rFonts w:ascii="Arial Narrow" w:hAnsi="Arial Narrow" w:cs="Calibri"/>
                <w:b/>
                <w:color w:val="FFFFFF" w:themeColor="background1"/>
                <w:sz w:val="18"/>
                <w:szCs w:val="18"/>
              </w:rPr>
              <w:t xml:space="preserve">annata agraria 2018-2019 </w:t>
            </w:r>
          </w:p>
        </w:tc>
        <w:tc>
          <w:tcPr>
            <w:tcW w:w="3504" w:type="dxa"/>
            <w:gridSpan w:val="3"/>
            <w:shd w:val="clear" w:color="auto" w:fill="1F497D"/>
            <w:vAlign w:val="center"/>
          </w:tcPr>
          <w:p w14:paraId="0000ACA5" w14:textId="77777777" w:rsidR="00326A76" w:rsidRPr="00326A76" w:rsidRDefault="00326A76" w:rsidP="00326A76">
            <w:pPr>
              <w:spacing w:after="0"/>
              <w:jc w:val="center"/>
              <w:rPr>
                <w:rFonts w:ascii="Arial Narrow" w:hAnsi="Arial Narrow" w:cs="Arial"/>
                <w:b/>
                <w:color w:val="FFFFFF" w:themeColor="background1"/>
                <w:sz w:val="18"/>
                <w:szCs w:val="18"/>
              </w:rPr>
            </w:pPr>
            <w:proofErr w:type="spellStart"/>
            <w:r w:rsidRPr="00326A76">
              <w:rPr>
                <w:rFonts w:ascii="Arial Narrow" w:hAnsi="Arial Narrow" w:cs="Arial"/>
                <w:b/>
                <w:color w:val="FFFFFF" w:themeColor="background1"/>
                <w:sz w:val="18"/>
                <w:szCs w:val="18"/>
              </w:rPr>
              <w:t>Superifici</w:t>
            </w:r>
            <w:proofErr w:type="spellEnd"/>
            <w:r w:rsidRPr="00326A76">
              <w:rPr>
                <w:rFonts w:ascii="Arial Narrow" w:hAnsi="Arial Narrow" w:cs="Arial"/>
                <w:b/>
                <w:color w:val="FFFFFF" w:themeColor="background1"/>
                <w:sz w:val="18"/>
                <w:szCs w:val="18"/>
              </w:rPr>
              <w:t xml:space="preserve"> agricole utilizzate:</w:t>
            </w:r>
          </w:p>
          <w:p w14:paraId="1954FC18" w14:textId="0341474B" w:rsidR="00326A76" w:rsidRPr="00326A76" w:rsidRDefault="00326A76" w:rsidP="00326A76">
            <w:pPr>
              <w:spacing w:after="0"/>
              <w:jc w:val="center"/>
              <w:rPr>
                <w:rFonts w:ascii="Arial Narrow" w:hAnsi="Arial Narrow" w:cs="Arial"/>
                <w:b/>
                <w:color w:val="FFFFFF" w:themeColor="background1"/>
                <w:sz w:val="18"/>
                <w:szCs w:val="18"/>
              </w:rPr>
            </w:pPr>
            <w:r w:rsidRPr="00326A76">
              <w:rPr>
                <w:rFonts w:ascii="Arial Narrow" w:hAnsi="Arial Narrow" w:cs="Arial"/>
                <w:b/>
                <w:color w:val="FFFFFF" w:themeColor="background1"/>
                <w:sz w:val="18"/>
                <w:szCs w:val="18"/>
              </w:rPr>
              <w:t>differenze percentuali tra le annate agrarie 2018-2019 e 2009-2010</w:t>
            </w:r>
          </w:p>
        </w:tc>
      </w:tr>
      <w:tr w:rsidR="00326A76" w:rsidRPr="00C62E80" w14:paraId="10D229A3" w14:textId="77777777" w:rsidTr="00326A76">
        <w:trPr>
          <w:trHeight w:hRule="exact" w:val="454"/>
          <w:jc w:val="center"/>
        </w:trPr>
        <w:tc>
          <w:tcPr>
            <w:tcW w:w="2915" w:type="dxa"/>
            <w:vMerge/>
            <w:shd w:val="clear" w:color="auto" w:fill="D9D9D9" w:themeFill="background1" w:themeFillShade="D9"/>
            <w:vAlign w:val="center"/>
          </w:tcPr>
          <w:p w14:paraId="02D9B326" w14:textId="77777777" w:rsidR="00326A76" w:rsidRPr="00326A76" w:rsidRDefault="00326A76" w:rsidP="003C702A">
            <w:pPr>
              <w:spacing w:after="0"/>
              <w:rPr>
                <w:rFonts w:ascii="Arial Narrow" w:hAnsi="Arial Narrow" w:cs="Arial"/>
                <w:b/>
                <w:color w:val="1F497D"/>
                <w:sz w:val="18"/>
                <w:szCs w:val="18"/>
              </w:rPr>
            </w:pPr>
          </w:p>
        </w:tc>
        <w:tc>
          <w:tcPr>
            <w:tcW w:w="1168" w:type="dxa"/>
            <w:shd w:val="clear" w:color="auto" w:fill="D9D9D9" w:themeFill="background1" w:themeFillShade="D9"/>
          </w:tcPr>
          <w:p w14:paraId="74BA64C9" w14:textId="77777777" w:rsidR="00326A76" w:rsidRPr="00571245" w:rsidRDefault="00326A76" w:rsidP="00326A76">
            <w:pPr>
              <w:spacing w:after="0"/>
              <w:jc w:val="right"/>
              <w:rPr>
                <w:rFonts w:ascii="Arial Narrow" w:hAnsi="Arial Narrow" w:cs="Arial"/>
                <w:b/>
                <w:color w:val="1F497D"/>
                <w:sz w:val="18"/>
                <w:szCs w:val="18"/>
              </w:rPr>
            </w:pPr>
            <w:r w:rsidRPr="00571245">
              <w:rPr>
                <w:rFonts w:ascii="Arial Narrow" w:hAnsi="Arial Narrow" w:cs="Arial"/>
                <w:b/>
                <w:color w:val="1F497D"/>
                <w:sz w:val="18"/>
                <w:szCs w:val="18"/>
              </w:rPr>
              <w:t>UE27</w:t>
            </w:r>
          </w:p>
        </w:tc>
        <w:tc>
          <w:tcPr>
            <w:tcW w:w="1168" w:type="dxa"/>
            <w:shd w:val="pct10" w:color="auto" w:fill="auto"/>
          </w:tcPr>
          <w:p w14:paraId="2DB964C4" w14:textId="77777777" w:rsidR="00326A76" w:rsidRPr="00571245" w:rsidRDefault="00326A76" w:rsidP="00326A76">
            <w:pPr>
              <w:spacing w:after="0"/>
              <w:jc w:val="right"/>
              <w:rPr>
                <w:rFonts w:ascii="Arial Narrow" w:hAnsi="Arial Narrow" w:cs="Arial"/>
                <w:b/>
                <w:color w:val="1F497D"/>
                <w:sz w:val="18"/>
                <w:szCs w:val="18"/>
              </w:rPr>
            </w:pPr>
            <w:r w:rsidRPr="00571245">
              <w:rPr>
                <w:rFonts w:ascii="Arial Narrow" w:hAnsi="Arial Narrow" w:cs="Arial"/>
                <w:b/>
                <w:color w:val="1F497D"/>
                <w:sz w:val="18"/>
                <w:szCs w:val="18"/>
              </w:rPr>
              <w:t>Stati mediterranei</w:t>
            </w:r>
          </w:p>
        </w:tc>
        <w:tc>
          <w:tcPr>
            <w:tcW w:w="1168" w:type="dxa"/>
            <w:shd w:val="pct15" w:color="auto" w:fill="auto"/>
          </w:tcPr>
          <w:p w14:paraId="3C5B736B" w14:textId="77777777" w:rsidR="00326A76" w:rsidRPr="00571245" w:rsidRDefault="00326A76" w:rsidP="00326A76">
            <w:pPr>
              <w:spacing w:after="0"/>
              <w:jc w:val="right"/>
              <w:rPr>
                <w:rFonts w:ascii="Arial Narrow" w:hAnsi="Arial Narrow" w:cs="Arial"/>
                <w:b/>
                <w:color w:val="1F497D"/>
                <w:sz w:val="18"/>
                <w:szCs w:val="18"/>
              </w:rPr>
            </w:pPr>
            <w:r w:rsidRPr="00571245">
              <w:rPr>
                <w:rFonts w:ascii="Arial Narrow" w:hAnsi="Arial Narrow" w:cs="Arial"/>
                <w:b/>
                <w:color w:val="1F497D"/>
                <w:sz w:val="18"/>
                <w:szCs w:val="18"/>
              </w:rPr>
              <w:t>Italia</w:t>
            </w:r>
          </w:p>
        </w:tc>
        <w:tc>
          <w:tcPr>
            <w:tcW w:w="1168" w:type="dxa"/>
            <w:shd w:val="pct15" w:color="auto" w:fill="auto"/>
          </w:tcPr>
          <w:p w14:paraId="1B679CE6" w14:textId="77777777" w:rsidR="00326A76" w:rsidRPr="00571245" w:rsidRDefault="00326A76" w:rsidP="00326A76">
            <w:pPr>
              <w:spacing w:after="0"/>
              <w:jc w:val="right"/>
              <w:rPr>
                <w:rFonts w:ascii="Arial Narrow" w:hAnsi="Arial Narrow" w:cs="Arial"/>
                <w:b/>
                <w:color w:val="1F497D"/>
                <w:sz w:val="18"/>
                <w:szCs w:val="18"/>
              </w:rPr>
            </w:pPr>
            <w:r w:rsidRPr="00571245">
              <w:rPr>
                <w:rFonts w:ascii="Arial Narrow" w:hAnsi="Arial Narrow" w:cs="Arial"/>
                <w:b/>
                <w:color w:val="1F497D"/>
                <w:sz w:val="18"/>
                <w:szCs w:val="18"/>
              </w:rPr>
              <w:t>UE27</w:t>
            </w:r>
          </w:p>
        </w:tc>
        <w:tc>
          <w:tcPr>
            <w:tcW w:w="1168" w:type="dxa"/>
            <w:shd w:val="pct10" w:color="auto" w:fill="auto"/>
          </w:tcPr>
          <w:p w14:paraId="70FAF2E7" w14:textId="77777777" w:rsidR="00326A76" w:rsidRPr="00571245" w:rsidRDefault="00326A76" w:rsidP="00326A76">
            <w:pPr>
              <w:spacing w:after="0"/>
              <w:jc w:val="right"/>
              <w:rPr>
                <w:rFonts w:ascii="Arial Narrow" w:hAnsi="Arial Narrow" w:cs="Arial"/>
                <w:b/>
                <w:color w:val="1F497D"/>
                <w:sz w:val="18"/>
                <w:szCs w:val="18"/>
              </w:rPr>
            </w:pPr>
            <w:r w:rsidRPr="00571245">
              <w:rPr>
                <w:rFonts w:ascii="Arial Narrow" w:hAnsi="Arial Narrow" w:cs="Arial"/>
                <w:b/>
                <w:color w:val="1F497D"/>
                <w:sz w:val="18"/>
                <w:szCs w:val="18"/>
              </w:rPr>
              <w:t>Stati mediterranei</w:t>
            </w:r>
          </w:p>
        </w:tc>
        <w:tc>
          <w:tcPr>
            <w:tcW w:w="1168" w:type="dxa"/>
            <w:shd w:val="pct25" w:color="auto" w:fill="auto"/>
          </w:tcPr>
          <w:p w14:paraId="66456F78" w14:textId="77777777" w:rsidR="00326A76" w:rsidRPr="00571245" w:rsidRDefault="00326A76" w:rsidP="00326A76">
            <w:pPr>
              <w:spacing w:after="0"/>
              <w:jc w:val="right"/>
              <w:rPr>
                <w:rFonts w:ascii="Arial Narrow" w:hAnsi="Arial Narrow" w:cs="Arial"/>
                <w:b/>
                <w:color w:val="1F497D"/>
                <w:sz w:val="18"/>
                <w:szCs w:val="18"/>
              </w:rPr>
            </w:pPr>
            <w:r w:rsidRPr="00571245">
              <w:rPr>
                <w:rFonts w:ascii="Arial Narrow" w:hAnsi="Arial Narrow" w:cs="Arial"/>
                <w:b/>
                <w:color w:val="1F497D"/>
                <w:sz w:val="18"/>
                <w:szCs w:val="18"/>
              </w:rPr>
              <w:t>Italia</w:t>
            </w:r>
          </w:p>
        </w:tc>
      </w:tr>
      <w:tr w:rsidR="00717135" w:rsidRPr="00717135" w14:paraId="5B76C2F4" w14:textId="77777777" w:rsidTr="00717135">
        <w:trPr>
          <w:trHeight w:hRule="exact" w:val="284"/>
          <w:jc w:val="center"/>
        </w:trPr>
        <w:tc>
          <w:tcPr>
            <w:tcW w:w="2915" w:type="dxa"/>
            <w:shd w:val="clear" w:color="auto" w:fill="1F497D"/>
          </w:tcPr>
          <w:p w14:paraId="6993F9ED" w14:textId="77777777" w:rsidR="002D13F0" w:rsidRPr="00571245" w:rsidRDefault="002D13F0" w:rsidP="003C702A">
            <w:pPr>
              <w:spacing w:after="0"/>
              <w:rPr>
                <w:rFonts w:ascii="Arial Narrow" w:hAnsi="Arial Narrow" w:cs="Arial"/>
                <w:b/>
                <w:color w:val="FFFFFF" w:themeColor="background1"/>
                <w:sz w:val="18"/>
                <w:szCs w:val="18"/>
              </w:rPr>
            </w:pPr>
            <w:r w:rsidRPr="00571245">
              <w:rPr>
                <w:rFonts w:ascii="Arial Narrow" w:hAnsi="Arial Narrow"/>
                <w:b/>
                <w:color w:val="FFFFFF" w:themeColor="background1"/>
                <w:sz w:val="18"/>
                <w:szCs w:val="18"/>
              </w:rPr>
              <w:t>Totale</w:t>
            </w:r>
          </w:p>
        </w:tc>
        <w:tc>
          <w:tcPr>
            <w:tcW w:w="1168" w:type="dxa"/>
            <w:shd w:val="clear" w:color="auto" w:fill="1F497D"/>
          </w:tcPr>
          <w:p w14:paraId="6CE7DD46" w14:textId="77777777" w:rsidR="002D13F0" w:rsidRPr="00571245" w:rsidRDefault="002D13F0" w:rsidP="00326A76">
            <w:pPr>
              <w:spacing w:after="0"/>
              <w:jc w:val="right"/>
              <w:rPr>
                <w:rFonts w:ascii="Arial Narrow" w:hAnsi="Arial Narrow"/>
                <w:b/>
                <w:color w:val="FFFFFF" w:themeColor="background1"/>
                <w:sz w:val="18"/>
                <w:szCs w:val="18"/>
              </w:rPr>
            </w:pPr>
            <w:r w:rsidRPr="00571245">
              <w:rPr>
                <w:rFonts w:ascii="Arial Narrow" w:hAnsi="Arial Narrow"/>
                <w:b/>
                <w:color w:val="FFFFFF" w:themeColor="background1"/>
                <w:sz w:val="18"/>
                <w:szCs w:val="18"/>
              </w:rPr>
              <w:t>100,0</w:t>
            </w:r>
          </w:p>
        </w:tc>
        <w:tc>
          <w:tcPr>
            <w:tcW w:w="1168" w:type="dxa"/>
            <w:shd w:val="clear" w:color="auto" w:fill="1F497D"/>
          </w:tcPr>
          <w:p w14:paraId="1620C104" w14:textId="77777777" w:rsidR="002D13F0" w:rsidRPr="00571245" w:rsidRDefault="002D13F0" w:rsidP="00326A76">
            <w:pPr>
              <w:spacing w:after="0"/>
              <w:jc w:val="right"/>
              <w:rPr>
                <w:rFonts w:ascii="Arial Narrow" w:hAnsi="Arial Narrow" w:cs="Arial"/>
                <w:b/>
                <w:color w:val="FFFFFF" w:themeColor="background1"/>
                <w:sz w:val="18"/>
                <w:szCs w:val="18"/>
              </w:rPr>
            </w:pPr>
            <w:r w:rsidRPr="00571245">
              <w:rPr>
                <w:rFonts w:ascii="Arial Narrow" w:hAnsi="Arial Narrow"/>
                <w:b/>
                <w:color w:val="FFFFFF" w:themeColor="background1"/>
                <w:sz w:val="18"/>
                <w:szCs w:val="18"/>
              </w:rPr>
              <w:t>100,0</w:t>
            </w:r>
          </w:p>
        </w:tc>
        <w:tc>
          <w:tcPr>
            <w:tcW w:w="1168" w:type="dxa"/>
            <w:shd w:val="clear" w:color="auto" w:fill="1F497D"/>
          </w:tcPr>
          <w:p w14:paraId="0199703A" w14:textId="77777777" w:rsidR="002D13F0" w:rsidRPr="00571245" w:rsidRDefault="002D13F0" w:rsidP="00326A76">
            <w:pPr>
              <w:spacing w:after="0"/>
              <w:jc w:val="right"/>
              <w:rPr>
                <w:rFonts w:ascii="Arial Narrow" w:hAnsi="Arial Narrow" w:cs="Arial"/>
                <w:b/>
                <w:color w:val="FFFFFF" w:themeColor="background1"/>
                <w:sz w:val="18"/>
                <w:szCs w:val="18"/>
              </w:rPr>
            </w:pPr>
            <w:r w:rsidRPr="00571245">
              <w:rPr>
                <w:rFonts w:ascii="Arial Narrow" w:hAnsi="Arial Narrow"/>
                <w:b/>
                <w:color w:val="FFFFFF" w:themeColor="background1"/>
                <w:sz w:val="18"/>
                <w:szCs w:val="18"/>
              </w:rPr>
              <w:t>100,0</w:t>
            </w:r>
          </w:p>
        </w:tc>
        <w:tc>
          <w:tcPr>
            <w:tcW w:w="1168" w:type="dxa"/>
            <w:shd w:val="clear" w:color="auto" w:fill="1F497D"/>
          </w:tcPr>
          <w:p w14:paraId="76731644" w14:textId="77777777" w:rsidR="002D13F0" w:rsidRPr="00571245" w:rsidRDefault="002D13F0" w:rsidP="00326A76">
            <w:pPr>
              <w:spacing w:after="0"/>
              <w:jc w:val="right"/>
              <w:rPr>
                <w:rFonts w:ascii="Arial Narrow" w:hAnsi="Arial Narrow" w:cs="Arial"/>
                <w:b/>
                <w:color w:val="FFFFFF" w:themeColor="background1"/>
                <w:sz w:val="18"/>
                <w:szCs w:val="18"/>
              </w:rPr>
            </w:pPr>
            <w:r w:rsidRPr="00571245">
              <w:rPr>
                <w:rFonts w:ascii="Arial Narrow" w:hAnsi="Arial Narrow"/>
                <w:b/>
                <w:color w:val="FFFFFF" w:themeColor="background1"/>
                <w:sz w:val="18"/>
                <w:szCs w:val="18"/>
              </w:rPr>
              <w:t>-0,9</w:t>
            </w:r>
          </w:p>
        </w:tc>
        <w:tc>
          <w:tcPr>
            <w:tcW w:w="1168" w:type="dxa"/>
            <w:shd w:val="clear" w:color="auto" w:fill="1F497D"/>
          </w:tcPr>
          <w:p w14:paraId="382A2D8F" w14:textId="77777777" w:rsidR="002D13F0" w:rsidRPr="00571245" w:rsidRDefault="002D13F0" w:rsidP="00326A76">
            <w:pPr>
              <w:spacing w:after="0"/>
              <w:jc w:val="right"/>
              <w:rPr>
                <w:rFonts w:ascii="Arial Narrow" w:hAnsi="Arial Narrow" w:cs="Arial"/>
                <w:b/>
                <w:color w:val="FFFFFF" w:themeColor="background1"/>
                <w:sz w:val="18"/>
                <w:szCs w:val="18"/>
              </w:rPr>
            </w:pPr>
            <w:r w:rsidRPr="00571245">
              <w:rPr>
                <w:rFonts w:ascii="Arial Narrow" w:hAnsi="Arial Narrow"/>
                <w:b/>
                <w:color w:val="FFFFFF" w:themeColor="background1"/>
                <w:sz w:val="18"/>
                <w:szCs w:val="18"/>
              </w:rPr>
              <w:t>0,0</w:t>
            </w:r>
          </w:p>
        </w:tc>
        <w:tc>
          <w:tcPr>
            <w:tcW w:w="1168" w:type="dxa"/>
            <w:shd w:val="clear" w:color="auto" w:fill="1F497D"/>
          </w:tcPr>
          <w:p w14:paraId="452299E5" w14:textId="77777777" w:rsidR="002D13F0" w:rsidRPr="00571245" w:rsidRDefault="002D13F0" w:rsidP="00326A76">
            <w:pPr>
              <w:spacing w:after="0"/>
              <w:jc w:val="right"/>
              <w:rPr>
                <w:rFonts w:ascii="Arial Narrow" w:hAnsi="Arial Narrow" w:cs="Arial"/>
                <w:b/>
                <w:color w:val="FFFFFF" w:themeColor="background1"/>
                <w:sz w:val="18"/>
                <w:szCs w:val="18"/>
              </w:rPr>
            </w:pPr>
            <w:r w:rsidRPr="00571245">
              <w:rPr>
                <w:rFonts w:ascii="Arial Narrow" w:hAnsi="Arial Narrow"/>
                <w:b/>
                <w:color w:val="FFFFFF" w:themeColor="background1"/>
                <w:sz w:val="18"/>
                <w:szCs w:val="18"/>
              </w:rPr>
              <w:t>4,1</w:t>
            </w:r>
          </w:p>
        </w:tc>
      </w:tr>
      <w:tr w:rsidR="002D13F0" w:rsidRPr="00AA7CC0" w14:paraId="16AF4BA6" w14:textId="77777777" w:rsidTr="00326A76">
        <w:trPr>
          <w:trHeight w:hRule="exact" w:val="284"/>
          <w:jc w:val="center"/>
        </w:trPr>
        <w:tc>
          <w:tcPr>
            <w:tcW w:w="2915" w:type="dxa"/>
            <w:shd w:val="clear" w:color="auto" w:fill="D9D9D9" w:themeFill="background1" w:themeFillShade="D9"/>
          </w:tcPr>
          <w:p w14:paraId="7621DF88" w14:textId="77777777" w:rsidR="002D13F0" w:rsidRPr="00326A76" w:rsidRDefault="002D13F0" w:rsidP="003C702A">
            <w:pPr>
              <w:spacing w:after="0"/>
              <w:rPr>
                <w:rFonts w:ascii="Arial Narrow" w:hAnsi="Arial Narrow" w:cs="Arial"/>
                <w:i/>
                <w:color w:val="1F497D"/>
                <w:sz w:val="18"/>
                <w:szCs w:val="18"/>
              </w:rPr>
            </w:pPr>
            <w:r w:rsidRPr="00326A76">
              <w:rPr>
                <w:rFonts w:ascii="Arial Narrow" w:hAnsi="Arial Narrow"/>
                <w:sz w:val="18"/>
                <w:szCs w:val="18"/>
              </w:rPr>
              <w:t>Seminativi</w:t>
            </w:r>
          </w:p>
        </w:tc>
        <w:tc>
          <w:tcPr>
            <w:tcW w:w="1168" w:type="dxa"/>
            <w:shd w:val="clear" w:color="auto" w:fill="D9D9D9" w:themeFill="background1" w:themeFillShade="D9"/>
          </w:tcPr>
          <w:p w14:paraId="0C895CE5" w14:textId="77777777" w:rsidR="002D13F0" w:rsidRPr="00326A76" w:rsidRDefault="002D13F0" w:rsidP="00326A76">
            <w:pPr>
              <w:spacing w:after="0"/>
              <w:jc w:val="right"/>
              <w:rPr>
                <w:rFonts w:ascii="Arial Narrow" w:hAnsi="Arial Narrow"/>
                <w:b/>
                <w:i/>
                <w:color w:val="1F497D" w:themeColor="text2"/>
                <w:sz w:val="18"/>
                <w:szCs w:val="18"/>
              </w:rPr>
            </w:pPr>
            <w:r w:rsidRPr="00326A76">
              <w:rPr>
                <w:rFonts w:ascii="Arial Narrow" w:hAnsi="Arial Narrow"/>
                <w:sz w:val="18"/>
                <w:szCs w:val="18"/>
              </w:rPr>
              <w:t>61,4</w:t>
            </w:r>
          </w:p>
        </w:tc>
        <w:tc>
          <w:tcPr>
            <w:tcW w:w="1168" w:type="dxa"/>
            <w:shd w:val="pct10" w:color="auto" w:fill="auto"/>
          </w:tcPr>
          <w:p w14:paraId="0CBD73AB"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53,2</w:t>
            </w:r>
          </w:p>
        </w:tc>
        <w:tc>
          <w:tcPr>
            <w:tcW w:w="1168" w:type="dxa"/>
            <w:shd w:val="pct15" w:color="auto" w:fill="auto"/>
          </w:tcPr>
          <w:p w14:paraId="5B0B1C9E"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52,8</w:t>
            </w:r>
          </w:p>
        </w:tc>
        <w:tc>
          <w:tcPr>
            <w:tcW w:w="1168" w:type="dxa"/>
            <w:shd w:val="pct15" w:color="auto" w:fill="auto"/>
          </w:tcPr>
          <w:p w14:paraId="5455CDC3"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-2,7</w:t>
            </w:r>
          </w:p>
        </w:tc>
        <w:tc>
          <w:tcPr>
            <w:tcW w:w="1168" w:type="dxa"/>
            <w:shd w:val="pct10" w:color="auto" w:fill="auto"/>
          </w:tcPr>
          <w:p w14:paraId="7AC38F0C"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-7,4</w:t>
            </w:r>
          </w:p>
        </w:tc>
        <w:tc>
          <w:tcPr>
            <w:tcW w:w="1168" w:type="dxa"/>
            <w:shd w:val="pct25" w:color="auto" w:fill="auto"/>
          </w:tcPr>
          <w:p w14:paraId="3B53BE10"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-2,9</w:t>
            </w:r>
          </w:p>
        </w:tc>
      </w:tr>
      <w:tr w:rsidR="002D13F0" w:rsidRPr="00AA7CC0" w14:paraId="13B6E43F" w14:textId="77777777" w:rsidTr="00326A76">
        <w:trPr>
          <w:trHeight w:hRule="exact" w:val="284"/>
          <w:jc w:val="center"/>
        </w:trPr>
        <w:tc>
          <w:tcPr>
            <w:tcW w:w="2915" w:type="dxa"/>
            <w:shd w:val="clear" w:color="auto" w:fill="D9D9D9" w:themeFill="background1" w:themeFillShade="D9"/>
          </w:tcPr>
          <w:p w14:paraId="5DF5DEFE" w14:textId="77777777" w:rsidR="002D13F0" w:rsidRPr="00326A76" w:rsidRDefault="002D13F0" w:rsidP="003C702A">
            <w:pPr>
              <w:spacing w:after="0"/>
              <w:rPr>
                <w:rFonts w:ascii="Arial Narrow" w:hAnsi="Arial Narrow" w:cs="Arial"/>
                <w:i/>
                <w:color w:val="1F497D"/>
                <w:sz w:val="18"/>
                <w:szCs w:val="18"/>
              </w:rPr>
            </w:pPr>
            <w:r w:rsidRPr="00326A76">
              <w:rPr>
                <w:rFonts w:ascii="Arial Narrow" w:hAnsi="Arial Narrow"/>
                <w:sz w:val="18"/>
                <w:szCs w:val="18"/>
              </w:rPr>
              <w:t>Prati permanenti e pascoli</w:t>
            </w:r>
          </w:p>
        </w:tc>
        <w:tc>
          <w:tcPr>
            <w:tcW w:w="1168" w:type="dxa"/>
            <w:shd w:val="clear" w:color="auto" w:fill="D9D9D9" w:themeFill="background1" w:themeFillShade="D9"/>
          </w:tcPr>
          <w:p w14:paraId="3C789F40" w14:textId="77777777" w:rsidR="002D13F0" w:rsidRPr="00326A76" w:rsidRDefault="002D13F0" w:rsidP="00326A76">
            <w:pPr>
              <w:spacing w:after="0"/>
              <w:jc w:val="right"/>
              <w:rPr>
                <w:rFonts w:ascii="Arial Narrow" w:hAnsi="Arial Narrow"/>
                <w:b/>
                <w:i/>
                <w:color w:val="1F497D" w:themeColor="text2"/>
                <w:sz w:val="18"/>
                <w:szCs w:val="18"/>
              </w:rPr>
            </w:pPr>
            <w:r w:rsidRPr="00326A76">
              <w:rPr>
                <w:rFonts w:ascii="Arial Narrow" w:hAnsi="Arial Narrow"/>
                <w:sz w:val="18"/>
                <w:szCs w:val="18"/>
              </w:rPr>
              <w:t>31,2</w:t>
            </w:r>
          </w:p>
        </w:tc>
        <w:tc>
          <w:tcPr>
            <w:tcW w:w="1168" w:type="dxa"/>
            <w:shd w:val="pct10" w:color="auto" w:fill="auto"/>
          </w:tcPr>
          <w:p w14:paraId="7A822014"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33,0</w:t>
            </w:r>
          </w:p>
        </w:tc>
        <w:tc>
          <w:tcPr>
            <w:tcW w:w="1168" w:type="dxa"/>
            <w:shd w:val="pct15" w:color="auto" w:fill="auto"/>
          </w:tcPr>
          <w:p w14:paraId="6D15AA8E"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28,8</w:t>
            </w:r>
          </w:p>
        </w:tc>
        <w:tc>
          <w:tcPr>
            <w:tcW w:w="1168" w:type="dxa"/>
            <w:shd w:val="pct15" w:color="auto" w:fill="auto"/>
          </w:tcPr>
          <w:p w14:paraId="733CFD33"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0,9</w:t>
            </w:r>
          </w:p>
        </w:tc>
        <w:tc>
          <w:tcPr>
            <w:tcW w:w="1168" w:type="dxa"/>
            <w:shd w:val="pct10" w:color="auto" w:fill="auto"/>
          </w:tcPr>
          <w:p w14:paraId="05CA71DC" w14:textId="77777777" w:rsidR="002D13F0" w:rsidRPr="00326A76" w:rsidRDefault="002D13F0" w:rsidP="00326A76">
            <w:pPr>
              <w:spacing w:after="0"/>
              <w:jc w:val="right"/>
              <w:rPr>
                <w:rFonts w:ascii="Arial Narrow" w:hAnsi="Arial Narrow" w:cs="Arial Narrow"/>
                <w:i/>
                <w:color w:val="000000"/>
                <w:sz w:val="18"/>
                <w:szCs w:val="18"/>
              </w:rPr>
            </w:pPr>
            <w:r w:rsidRPr="00326A76">
              <w:rPr>
                <w:rFonts w:ascii="Arial Narrow" w:hAnsi="Arial Narrow"/>
                <w:sz w:val="18"/>
                <w:szCs w:val="18"/>
              </w:rPr>
              <w:t>8,8</w:t>
            </w:r>
          </w:p>
        </w:tc>
        <w:tc>
          <w:tcPr>
            <w:tcW w:w="1168" w:type="dxa"/>
            <w:shd w:val="pct25" w:color="auto" w:fill="auto"/>
          </w:tcPr>
          <w:p w14:paraId="427EC0CA"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18,5</w:t>
            </w:r>
          </w:p>
        </w:tc>
      </w:tr>
      <w:tr w:rsidR="002D13F0" w:rsidRPr="00AA7CC0" w14:paraId="028663BB" w14:textId="77777777" w:rsidTr="00326A76">
        <w:trPr>
          <w:trHeight w:hRule="exact" w:val="284"/>
          <w:jc w:val="center"/>
        </w:trPr>
        <w:tc>
          <w:tcPr>
            <w:tcW w:w="2915" w:type="dxa"/>
            <w:shd w:val="clear" w:color="auto" w:fill="D9D9D9" w:themeFill="background1" w:themeFillShade="D9"/>
          </w:tcPr>
          <w:p w14:paraId="6A5EF6B6" w14:textId="77777777" w:rsidR="002D13F0" w:rsidRPr="00326A76" w:rsidRDefault="002D13F0" w:rsidP="003C702A">
            <w:pPr>
              <w:spacing w:after="0"/>
              <w:rPr>
                <w:rFonts w:ascii="Arial Narrow" w:hAnsi="Arial Narrow" w:cs="Arial"/>
                <w:i/>
                <w:color w:val="1F497D"/>
                <w:sz w:val="18"/>
                <w:szCs w:val="18"/>
              </w:rPr>
            </w:pPr>
            <w:r w:rsidRPr="00326A76">
              <w:rPr>
                <w:rFonts w:ascii="Arial Narrow" w:hAnsi="Arial Narrow"/>
                <w:sz w:val="18"/>
                <w:szCs w:val="18"/>
              </w:rPr>
              <w:t>Colture permanenti</w:t>
            </w:r>
          </w:p>
        </w:tc>
        <w:tc>
          <w:tcPr>
            <w:tcW w:w="1168" w:type="dxa"/>
            <w:shd w:val="clear" w:color="auto" w:fill="D9D9D9" w:themeFill="background1" w:themeFillShade="D9"/>
          </w:tcPr>
          <w:p w14:paraId="582B9C4D" w14:textId="77777777" w:rsidR="002D13F0" w:rsidRPr="00326A76" w:rsidRDefault="002D13F0" w:rsidP="00326A76">
            <w:pPr>
              <w:spacing w:after="0"/>
              <w:jc w:val="right"/>
              <w:rPr>
                <w:rFonts w:ascii="Arial Narrow" w:hAnsi="Arial Narrow" w:cs="Arial"/>
                <w:b/>
                <w:i/>
                <w:color w:val="1F497D" w:themeColor="text2"/>
                <w:sz w:val="18"/>
                <w:szCs w:val="18"/>
              </w:rPr>
            </w:pPr>
            <w:r w:rsidRPr="00326A76">
              <w:rPr>
                <w:rFonts w:ascii="Arial Narrow" w:hAnsi="Arial Narrow"/>
                <w:sz w:val="18"/>
                <w:szCs w:val="18"/>
              </w:rPr>
              <w:t>7,4</w:t>
            </w:r>
          </w:p>
        </w:tc>
        <w:tc>
          <w:tcPr>
            <w:tcW w:w="1168" w:type="dxa"/>
            <w:shd w:val="pct10" w:color="auto" w:fill="auto"/>
          </w:tcPr>
          <w:p w14:paraId="1C181D4D"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13,7</w:t>
            </w:r>
          </w:p>
        </w:tc>
        <w:tc>
          <w:tcPr>
            <w:tcW w:w="1168" w:type="dxa"/>
            <w:shd w:val="pct15" w:color="auto" w:fill="auto"/>
          </w:tcPr>
          <w:p w14:paraId="6428D8F4"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18,4</w:t>
            </w:r>
          </w:p>
        </w:tc>
        <w:tc>
          <w:tcPr>
            <w:tcW w:w="1168" w:type="dxa"/>
            <w:shd w:val="pct15" w:color="auto" w:fill="auto"/>
          </w:tcPr>
          <w:p w14:paraId="0E17FB82"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7,6</w:t>
            </w:r>
          </w:p>
        </w:tc>
        <w:tc>
          <w:tcPr>
            <w:tcW w:w="1168" w:type="dxa"/>
            <w:shd w:val="pct10" w:color="auto" w:fill="auto"/>
          </w:tcPr>
          <w:p w14:paraId="49186F29"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10,1</w:t>
            </w:r>
          </w:p>
        </w:tc>
        <w:tc>
          <w:tcPr>
            <w:tcW w:w="1168" w:type="dxa"/>
            <w:shd w:val="pct25" w:color="auto" w:fill="auto"/>
          </w:tcPr>
          <w:p w14:paraId="496D55EE" w14:textId="77777777" w:rsidR="002D13F0" w:rsidRPr="00326A76" w:rsidRDefault="002D13F0" w:rsidP="00326A76">
            <w:pPr>
              <w:spacing w:after="0"/>
              <w:jc w:val="right"/>
              <w:rPr>
                <w:rFonts w:ascii="Arial Narrow" w:hAnsi="Arial Narrow" w:cs="Arial"/>
                <w:i/>
                <w:sz w:val="18"/>
                <w:szCs w:val="18"/>
              </w:rPr>
            </w:pPr>
            <w:r w:rsidRPr="00326A76">
              <w:rPr>
                <w:rFonts w:ascii="Arial Narrow" w:hAnsi="Arial Narrow"/>
                <w:sz w:val="18"/>
                <w:szCs w:val="18"/>
              </w:rPr>
              <w:t>3,7</w:t>
            </w:r>
          </w:p>
        </w:tc>
      </w:tr>
    </w:tbl>
    <w:p w14:paraId="500225A3" w14:textId="61170619" w:rsidR="00326A76" w:rsidRDefault="00326A76" w:rsidP="00326A76">
      <w:pPr>
        <w:spacing w:before="60" w:after="0"/>
        <w:rPr>
          <w:rFonts w:cs="Arial"/>
          <w:color w:val="000000" w:themeColor="text1"/>
          <w:sz w:val="14"/>
          <w:szCs w:val="14"/>
        </w:rPr>
      </w:pPr>
      <w:r w:rsidRPr="00571245">
        <w:rPr>
          <w:rFonts w:cs="Arial"/>
          <w:iCs/>
          <w:color w:val="000000" w:themeColor="text1"/>
          <w:sz w:val="14"/>
          <w:szCs w:val="14"/>
        </w:rPr>
        <w:t>Fonte</w:t>
      </w:r>
      <w:r w:rsidRPr="00717135">
        <w:rPr>
          <w:rFonts w:cs="Arial"/>
          <w:iCs/>
          <w:color w:val="000000" w:themeColor="text1"/>
          <w:sz w:val="14"/>
          <w:szCs w:val="14"/>
        </w:rPr>
        <w:t>:</w:t>
      </w:r>
      <w:r>
        <w:rPr>
          <w:rFonts w:cs="Arial"/>
          <w:color w:val="000000" w:themeColor="text1"/>
          <w:sz w:val="14"/>
          <w:szCs w:val="14"/>
        </w:rPr>
        <w:t xml:space="preserve"> elaborazioni su dati </w:t>
      </w:r>
      <w:r w:rsidR="00956997">
        <w:rPr>
          <w:rFonts w:cs="Arial"/>
          <w:color w:val="000000" w:themeColor="text1"/>
          <w:sz w:val="14"/>
          <w:szCs w:val="14"/>
        </w:rPr>
        <w:t>E</w:t>
      </w:r>
      <w:r w:rsidR="00F02274">
        <w:rPr>
          <w:rFonts w:cs="Arial"/>
          <w:color w:val="000000" w:themeColor="text1"/>
          <w:sz w:val="14"/>
          <w:szCs w:val="14"/>
        </w:rPr>
        <w:t>urostat</w:t>
      </w:r>
      <w:r w:rsidRPr="001F2F18">
        <w:rPr>
          <w:rFonts w:cs="Arial"/>
          <w:color w:val="000000" w:themeColor="text1"/>
          <w:sz w:val="14"/>
          <w:szCs w:val="14"/>
        </w:rPr>
        <w:t>.</w:t>
      </w:r>
    </w:p>
    <w:p w14:paraId="4C20A152" w14:textId="6E642CF0" w:rsidR="00D40763" w:rsidRPr="00D40763" w:rsidRDefault="00D40763" w:rsidP="00D40763">
      <w:pPr>
        <w:spacing w:after="0"/>
        <w:rPr>
          <w:rFonts w:cs="Arial"/>
          <w:color w:val="000000" w:themeColor="text1"/>
          <w:sz w:val="15"/>
          <w:szCs w:val="15"/>
        </w:rPr>
      </w:pPr>
      <w:r w:rsidRPr="00D40763">
        <w:rPr>
          <w:rFonts w:cs="Arial"/>
          <w:color w:val="000000" w:themeColor="text1"/>
          <w:sz w:val="15"/>
          <w:szCs w:val="15"/>
        </w:rPr>
        <w:t>a)</w:t>
      </w:r>
      <w:r w:rsidRPr="00D40763">
        <w:rPr>
          <w:sz w:val="15"/>
          <w:szCs w:val="15"/>
        </w:rPr>
        <w:t xml:space="preserve"> </w:t>
      </w:r>
      <w:r w:rsidRPr="00D40763">
        <w:rPr>
          <w:rFonts w:cs="Arial"/>
          <w:color w:val="000000" w:themeColor="text1"/>
          <w:sz w:val="15"/>
          <w:szCs w:val="15"/>
        </w:rPr>
        <w:t xml:space="preserve">I valori assoluti sulle superfici menzionati sono scaricabili ai seguenti link: </w:t>
      </w:r>
      <w:hyperlink r:id="rId14" w:history="1">
        <w:r w:rsidRPr="00D40763">
          <w:rPr>
            <w:rStyle w:val="Collegamentoipertestuale"/>
            <w:rFonts w:cs="Arial"/>
            <w:sz w:val="15"/>
            <w:szCs w:val="15"/>
          </w:rPr>
          <w:t>https://ec.europa.eu/eurostat/web/main/data/database</w:t>
        </w:r>
      </w:hyperlink>
      <w:r w:rsidRPr="00D40763">
        <w:rPr>
          <w:rFonts w:cs="Arial"/>
          <w:color w:val="000000" w:themeColor="text1"/>
          <w:sz w:val="15"/>
          <w:szCs w:val="15"/>
        </w:rPr>
        <w:t xml:space="preserve">; </w:t>
      </w:r>
    </w:p>
    <w:p w14:paraId="4B51DD8D" w14:textId="144FEBB3" w:rsidR="00D40763" w:rsidRPr="00D40763" w:rsidRDefault="00204136" w:rsidP="00D40763">
      <w:pPr>
        <w:spacing w:after="0"/>
        <w:rPr>
          <w:rFonts w:cs="Arial"/>
          <w:color w:val="000000" w:themeColor="text1"/>
          <w:sz w:val="14"/>
          <w:szCs w:val="14"/>
        </w:rPr>
      </w:pPr>
      <w:hyperlink r:id="rId15" w:history="1">
        <w:r w:rsidR="00D40763" w:rsidRPr="00D40763">
          <w:rPr>
            <w:rStyle w:val="Collegamentoipertestuale"/>
            <w:rFonts w:cs="Arial"/>
            <w:sz w:val="15"/>
            <w:szCs w:val="15"/>
          </w:rPr>
          <w:t>http://dati.istat.it/Index.aspx</w:t>
        </w:r>
      </w:hyperlink>
    </w:p>
    <w:p w14:paraId="0BAA45C3" w14:textId="2BA2BCAE" w:rsidR="00871BFB" w:rsidRDefault="00871BFB" w:rsidP="00074A2D">
      <w:pPr>
        <w:spacing w:after="240"/>
        <w:rPr>
          <w:rFonts w:cs="Arial"/>
          <w:color w:val="1F497D"/>
          <w:sz w:val="20"/>
          <w:szCs w:val="20"/>
        </w:rPr>
      </w:pPr>
    </w:p>
    <w:p w14:paraId="1D2D1A2F" w14:textId="79D58620" w:rsidR="00F02274" w:rsidRDefault="00F02274" w:rsidP="00074A2D">
      <w:pPr>
        <w:spacing w:after="240"/>
        <w:rPr>
          <w:rFonts w:cs="Arial"/>
          <w:color w:val="1F497D"/>
          <w:sz w:val="20"/>
          <w:szCs w:val="20"/>
        </w:rPr>
      </w:pPr>
      <w:r>
        <w:rPr>
          <w:rFonts w:cs="Arial"/>
          <w:color w:val="1F497D"/>
          <w:sz w:val="20"/>
          <w:szCs w:val="20"/>
        </w:rPr>
        <w:br w:type="page"/>
      </w:r>
    </w:p>
    <w:p w14:paraId="31D2C5A1" w14:textId="77777777" w:rsidR="00C67A5B" w:rsidRPr="00571245" w:rsidRDefault="00C67A5B" w:rsidP="00AE19AF">
      <w:pPr>
        <w:rPr>
          <w:rFonts w:cs="Arial"/>
          <w:bCs/>
          <w:color w:val="1F497D" w:themeColor="text2"/>
          <w:szCs w:val="22"/>
        </w:rPr>
      </w:pPr>
    </w:p>
    <w:p w14:paraId="618359F4" w14:textId="54E6559B" w:rsidR="00FA5359" w:rsidRPr="00282CCB" w:rsidRDefault="00C67A5B" w:rsidP="00AE19AF">
      <w:pPr>
        <w:rPr>
          <w:rFonts w:cs="Arial"/>
          <w:b/>
          <w:color w:val="1F497D" w:themeColor="text2"/>
          <w:sz w:val="26"/>
          <w:szCs w:val="26"/>
        </w:rPr>
      </w:pPr>
      <w:r>
        <w:rPr>
          <w:rFonts w:cs="Arial"/>
          <w:b/>
          <w:color w:val="1F497D" w:themeColor="text2"/>
          <w:sz w:val="26"/>
          <w:szCs w:val="26"/>
        </w:rPr>
        <w:t>R</w:t>
      </w:r>
      <w:r w:rsidR="00247E13">
        <w:rPr>
          <w:rFonts w:cs="Arial"/>
          <w:b/>
          <w:color w:val="1F497D" w:themeColor="text2"/>
          <w:sz w:val="26"/>
          <w:szCs w:val="26"/>
        </w:rPr>
        <w:t xml:space="preserve">ispetto al </w:t>
      </w:r>
      <w:r w:rsidR="002730A7">
        <w:rPr>
          <w:rFonts w:cs="Arial"/>
          <w:b/>
          <w:color w:val="1F497D" w:themeColor="text2"/>
          <w:sz w:val="26"/>
          <w:szCs w:val="26"/>
        </w:rPr>
        <w:t>2010</w:t>
      </w:r>
      <w:r w:rsidR="00247E13">
        <w:rPr>
          <w:rFonts w:cs="Arial"/>
          <w:b/>
          <w:color w:val="1F497D" w:themeColor="text2"/>
          <w:sz w:val="26"/>
          <w:szCs w:val="26"/>
        </w:rPr>
        <w:t xml:space="preserve"> </w:t>
      </w:r>
      <w:r w:rsidR="00FA5359">
        <w:rPr>
          <w:rFonts w:cs="Arial"/>
          <w:b/>
          <w:color w:val="1F497D" w:themeColor="text2"/>
          <w:sz w:val="26"/>
          <w:szCs w:val="26"/>
        </w:rPr>
        <w:t>scende il peso d</w:t>
      </w:r>
      <w:r w:rsidR="00247E13">
        <w:rPr>
          <w:rFonts w:cs="Arial"/>
          <w:b/>
          <w:color w:val="1F497D" w:themeColor="text2"/>
          <w:sz w:val="26"/>
          <w:szCs w:val="26"/>
        </w:rPr>
        <w:t>e</w:t>
      </w:r>
      <w:r>
        <w:rPr>
          <w:rFonts w:cs="Arial"/>
          <w:b/>
          <w:color w:val="1F497D" w:themeColor="text2"/>
          <w:sz w:val="26"/>
          <w:szCs w:val="26"/>
        </w:rPr>
        <w:t>lla coltivazione d</w:t>
      </w:r>
      <w:r w:rsidR="00CB0812">
        <w:rPr>
          <w:rFonts w:cs="Arial"/>
          <w:b/>
          <w:color w:val="1F497D" w:themeColor="text2"/>
          <w:sz w:val="26"/>
          <w:szCs w:val="26"/>
        </w:rPr>
        <w:t>e</w:t>
      </w:r>
      <w:r w:rsidR="00FA5359">
        <w:rPr>
          <w:rFonts w:cs="Arial"/>
          <w:b/>
          <w:color w:val="1F497D" w:themeColor="text2"/>
          <w:sz w:val="26"/>
          <w:szCs w:val="26"/>
        </w:rPr>
        <w:t>i cereali</w:t>
      </w:r>
    </w:p>
    <w:p w14:paraId="203F6AC2" w14:textId="39BA80E8" w:rsidR="00031473" w:rsidRDefault="00571245" w:rsidP="00411D86">
      <w:pPr>
        <w:jc w:val="both"/>
        <w:rPr>
          <w:rFonts w:cs="Arial"/>
          <w:iCs/>
          <w:noProof/>
          <w:szCs w:val="22"/>
        </w:rPr>
      </w:pPr>
      <w:r>
        <w:rPr>
          <w:rFonts w:cs="Arial"/>
          <w:iCs/>
          <w:noProof/>
          <w:szCs w:val="22"/>
        </w:rPr>
        <w:t>Tra il 2010 e il 2019 a livello nazionale si registra un lieve aumento della SAU, pari allo 0,9%</w:t>
      </w:r>
      <w:r w:rsidRPr="003F0384">
        <w:rPr>
          <w:rFonts w:cs="Arial"/>
          <w:iCs/>
          <w:noProof/>
          <w:szCs w:val="22"/>
        </w:rPr>
        <w:t>.</w:t>
      </w:r>
      <w:r>
        <w:rPr>
          <w:rFonts w:cs="Arial"/>
          <w:iCs/>
          <w:noProof/>
          <w:szCs w:val="22"/>
        </w:rPr>
        <w:t xml:space="preserve"> </w:t>
      </w:r>
      <w:r w:rsidR="00A7510F">
        <w:rPr>
          <w:rFonts w:cs="Arial"/>
          <w:iCs/>
          <w:noProof/>
          <w:szCs w:val="22"/>
        </w:rPr>
        <w:t>N</w:t>
      </w:r>
      <w:r w:rsidR="005F0980" w:rsidRPr="00D44242">
        <w:rPr>
          <w:rFonts w:cs="Arial"/>
          <w:iCs/>
          <w:noProof/>
          <w:szCs w:val="22"/>
        </w:rPr>
        <w:t>el corso del decennio le superfici a uso agricol</w:t>
      </w:r>
      <w:r w:rsidR="00306D13">
        <w:rPr>
          <w:rFonts w:cs="Arial"/>
          <w:iCs/>
          <w:noProof/>
          <w:szCs w:val="22"/>
        </w:rPr>
        <w:t>o</w:t>
      </w:r>
      <w:r w:rsidR="005F0980" w:rsidRPr="00D44242">
        <w:rPr>
          <w:rFonts w:cs="Arial"/>
          <w:iCs/>
          <w:noProof/>
          <w:szCs w:val="22"/>
        </w:rPr>
        <w:t xml:space="preserve"> </w:t>
      </w:r>
      <w:r w:rsidR="00031473">
        <w:rPr>
          <w:rFonts w:cs="Arial"/>
          <w:iCs/>
          <w:noProof/>
          <w:szCs w:val="22"/>
        </w:rPr>
        <w:t>non sono quindi</w:t>
      </w:r>
      <w:r w:rsidR="00031473" w:rsidRPr="00D44242">
        <w:rPr>
          <w:rFonts w:cs="Arial"/>
          <w:iCs/>
          <w:noProof/>
          <w:szCs w:val="22"/>
        </w:rPr>
        <w:t xml:space="preserve"> </w:t>
      </w:r>
      <w:r w:rsidR="005F0980" w:rsidRPr="00D44242">
        <w:rPr>
          <w:rFonts w:cs="Arial"/>
          <w:iCs/>
          <w:noProof/>
          <w:szCs w:val="22"/>
        </w:rPr>
        <w:t>diminuite</w:t>
      </w:r>
      <w:r w:rsidR="00031473">
        <w:rPr>
          <w:rFonts w:cs="Arial"/>
          <w:iCs/>
          <w:noProof/>
          <w:szCs w:val="22"/>
        </w:rPr>
        <w:t xml:space="preserve">, sono </w:t>
      </w:r>
      <w:r w:rsidR="006618C3">
        <w:rPr>
          <w:rFonts w:cs="Arial"/>
          <w:iCs/>
          <w:noProof/>
          <w:szCs w:val="22"/>
        </w:rPr>
        <w:t xml:space="preserve">però </w:t>
      </w:r>
      <w:r w:rsidR="00031473">
        <w:rPr>
          <w:rFonts w:cs="Arial"/>
          <w:iCs/>
          <w:noProof/>
          <w:szCs w:val="22"/>
        </w:rPr>
        <w:t>cambiate</w:t>
      </w:r>
      <w:r w:rsidR="005F0980" w:rsidRPr="00D44242">
        <w:rPr>
          <w:rFonts w:cs="Arial"/>
          <w:iCs/>
          <w:noProof/>
          <w:szCs w:val="22"/>
        </w:rPr>
        <w:t xml:space="preserve"> le modalità di </w:t>
      </w:r>
      <w:r w:rsidR="003757CD">
        <w:rPr>
          <w:rFonts w:cs="Arial"/>
          <w:iCs/>
          <w:noProof/>
          <w:szCs w:val="22"/>
        </w:rPr>
        <w:t xml:space="preserve">impiego: </w:t>
      </w:r>
      <w:r w:rsidR="0025341A" w:rsidRPr="00D44242">
        <w:rPr>
          <w:rFonts w:cs="Arial"/>
          <w:iCs/>
          <w:noProof/>
          <w:szCs w:val="22"/>
        </w:rPr>
        <w:t xml:space="preserve">le superfici a seminativi scendono del 3,7%, quelle destinate a </w:t>
      </w:r>
      <w:r w:rsidR="00AE19AF" w:rsidRPr="00D44242">
        <w:rPr>
          <w:rFonts w:cs="Arial"/>
          <w:iCs/>
          <w:noProof/>
          <w:szCs w:val="22"/>
        </w:rPr>
        <w:t>prati permanenti e pascoli e a</w:t>
      </w:r>
      <w:r w:rsidR="0025341A" w:rsidRPr="00D44242">
        <w:rPr>
          <w:rFonts w:cs="Arial"/>
          <w:iCs/>
          <w:noProof/>
          <w:szCs w:val="22"/>
        </w:rPr>
        <w:t>lle</w:t>
      </w:r>
      <w:r w:rsidR="00AE19AF" w:rsidRPr="00D44242">
        <w:rPr>
          <w:rFonts w:cs="Arial"/>
          <w:iCs/>
          <w:noProof/>
          <w:szCs w:val="22"/>
        </w:rPr>
        <w:t xml:space="preserve"> coltivazioni legnose agrarie</w:t>
      </w:r>
      <w:r w:rsidR="0025341A" w:rsidRPr="00D44242">
        <w:rPr>
          <w:rFonts w:cs="Arial"/>
          <w:iCs/>
          <w:noProof/>
          <w:szCs w:val="22"/>
        </w:rPr>
        <w:t xml:space="preserve"> crescono sensibilmente</w:t>
      </w:r>
      <w:r w:rsidR="00AE19AF" w:rsidRPr="00D44242">
        <w:rPr>
          <w:rFonts w:cs="Arial"/>
          <w:iCs/>
          <w:noProof/>
          <w:szCs w:val="22"/>
        </w:rPr>
        <w:t>, risp</w:t>
      </w:r>
      <w:r w:rsidR="0025341A" w:rsidRPr="00D44242">
        <w:rPr>
          <w:rFonts w:cs="Arial"/>
          <w:iCs/>
          <w:noProof/>
          <w:szCs w:val="22"/>
        </w:rPr>
        <w:t>ettivamente del 6,9% e del 5,7%.</w:t>
      </w:r>
      <w:r w:rsidR="008164AE" w:rsidRPr="00D44242">
        <w:rPr>
          <w:rFonts w:cs="Arial"/>
          <w:iCs/>
          <w:noProof/>
          <w:szCs w:val="22"/>
        </w:rPr>
        <w:t xml:space="preserve"> Tal</w:t>
      </w:r>
      <w:r w:rsidR="00A73A16">
        <w:rPr>
          <w:rFonts w:cs="Arial"/>
          <w:iCs/>
          <w:noProof/>
          <w:szCs w:val="22"/>
        </w:rPr>
        <w:t>i</w:t>
      </w:r>
      <w:r w:rsidR="008164AE" w:rsidRPr="00D44242">
        <w:rPr>
          <w:rFonts w:cs="Arial"/>
          <w:iCs/>
          <w:noProof/>
          <w:szCs w:val="22"/>
        </w:rPr>
        <w:t xml:space="preserve"> evidenze indicano la progressiva riduzione delle attività agricole, come </w:t>
      </w:r>
      <w:r w:rsidR="00327C8A">
        <w:rPr>
          <w:rFonts w:cs="Arial"/>
          <w:iCs/>
          <w:noProof/>
          <w:szCs w:val="22"/>
        </w:rPr>
        <w:t>la colt</w:t>
      </w:r>
      <w:r w:rsidR="003757CD">
        <w:rPr>
          <w:rFonts w:cs="Arial"/>
          <w:iCs/>
          <w:noProof/>
          <w:szCs w:val="22"/>
        </w:rPr>
        <w:t>i</w:t>
      </w:r>
      <w:r w:rsidR="00327C8A">
        <w:rPr>
          <w:rFonts w:cs="Arial"/>
          <w:iCs/>
          <w:noProof/>
          <w:szCs w:val="22"/>
        </w:rPr>
        <w:t xml:space="preserve">vazione di </w:t>
      </w:r>
      <w:r w:rsidR="008164AE" w:rsidRPr="00D44242">
        <w:rPr>
          <w:rFonts w:cs="Arial"/>
          <w:iCs/>
          <w:noProof/>
          <w:szCs w:val="22"/>
        </w:rPr>
        <w:t>seminativi, che richiedono una presenza costante dell’operatore umano, a vantaggio di co</w:t>
      </w:r>
      <w:r w:rsidR="0041284B" w:rsidRPr="00D44242">
        <w:rPr>
          <w:rFonts w:cs="Arial"/>
          <w:iCs/>
          <w:noProof/>
          <w:szCs w:val="22"/>
        </w:rPr>
        <w:t>l</w:t>
      </w:r>
      <w:r w:rsidR="008164AE" w:rsidRPr="00D44242">
        <w:rPr>
          <w:rFonts w:cs="Arial"/>
          <w:iCs/>
          <w:noProof/>
          <w:szCs w:val="22"/>
        </w:rPr>
        <w:t>ture estensive che</w:t>
      </w:r>
      <w:r w:rsidR="0095582D">
        <w:rPr>
          <w:rFonts w:cs="Arial"/>
          <w:iCs/>
          <w:noProof/>
          <w:szCs w:val="22"/>
        </w:rPr>
        <w:t>,</w:t>
      </w:r>
      <w:r w:rsidR="008164AE" w:rsidRPr="00D44242">
        <w:rPr>
          <w:rFonts w:cs="Arial"/>
          <w:iCs/>
          <w:noProof/>
          <w:szCs w:val="22"/>
        </w:rPr>
        <w:t xml:space="preserve"> per loro natura</w:t>
      </w:r>
      <w:r w:rsidR="0095582D">
        <w:rPr>
          <w:rFonts w:cs="Arial"/>
          <w:iCs/>
          <w:noProof/>
          <w:szCs w:val="22"/>
        </w:rPr>
        <w:t>,</w:t>
      </w:r>
      <w:r w:rsidR="008164AE" w:rsidRPr="00D44242">
        <w:rPr>
          <w:rFonts w:cs="Arial"/>
          <w:iCs/>
          <w:noProof/>
          <w:szCs w:val="22"/>
        </w:rPr>
        <w:t xml:space="preserve"> necessitano, in linea generale, di minore forza lavoro. </w:t>
      </w:r>
    </w:p>
    <w:p w14:paraId="44508AC2" w14:textId="78128E77" w:rsidR="00411D86" w:rsidRDefault="006D18E6" w:rsidP="00411D86">
      <w:pPr>
        <w:jc w:val="both"/>
        <w:rPr>
          <w:rFonts w:cs="Arial"/>
          <w:iCs/>
          <w:noProof/>
          <w:szCs w:val="22"/>
        </w:rPr>
      </w:pPr>
      <w:r w:rsidRPr="00D44242">
        <w:rPr>
          <w:rFonts w:cs="Arial"/>
          <w:iCs/>
          <w:noProof/>
          <w:szCs w:val="22"/>
        </w:rPr>
        <w:t xml:space="preserve">In particolare, nel 2019 le superfici agricole utilizzate per coltivare cereali </w:t>
      </w:r>
      <w:r w:rsidR="00031473">
        <w:rPr>
          <w:rFonts w:cs="Arial"/>
          <w:iCs/>
          <w:noProof/>
          <w:szCs w:val="22"/>
        </w:rPr>
        <w:t>so</w:t>
      </w:r>
      <w:r w:rsidRPr="00D44242">
        <w:rPr>
          <w:rFonts w:cs="Arial"/>
          <w:iCs/>
          <w:noProof/>
          <w:szCs w:val="22"/>
        </w:rPr>
        <w:t xml:space="preserve">no pari a </w:t>
      </w:r>
      <w:r w:rsidR="00FC76AB" w:rsidRPr="00D44242">
        <w:rPr>
          <w:rFonts w:cs="Arial"/>
          <w:iCs/>
          <w:noProof/>
          <w:szCs w:val="22"/>
        </w:rPr>
        <w:t>3.086.163</w:t>
      </w:r>
      <w:r w:rsidRPr="00D44242">
        <w:rPr>
          <w:rFonts w:cs="Arial"/>
          <w:iCs/>
          <w:noProof/>
          <w:szCs w:val="22"/>
        </w:rPr>
        <w:t xml:space="preserve"> ettari, in diminuzione rispetto a</w:t>
      </w:r>
      <w:r w:rsidR="001546EA" w:rsidRPr="00D44242">
        <w:rPr>
          <w:rFonts w:cs="Arial"/>
          <w:iCs/>
          <w:noProof/>
          <w:szCs w:val="22"/>
        </w:rPr>
        <w:t xml:space="preserve">i </w:t>
      </w:r>
      <w:r w:rsidR="00FC76AB" w:rsidRPr="00D44242">
        <w:rPr>
          <w:rFonts w:cs="Arial"/>
          <w:iCs/>
          <w:noProof/>
          <w:szCs w:val="22"/>
        </w:rPr>
        <w:t>3.619.477</w:t>
      </w:r>
      <w:r w:rsidR="001546EA" w:rsidRPr="00D44242">
        <w:rPr>
          <w:rFonts w:cs="Arial"/>
          <w:iCs/>
          <w:noProof/>
          <w:szCs w:val="22"/>
        </w:rPr>
        <w:t xml:space="preserve"> ettari del </w:t>
      </w:r>
      <w:r w:rsidRPr="00D44242">
        <w:rPr>
          <w:rFonts w:cs="Arial"/>
          <w:iCs/>
          <w:noProof/>
          <w:szCs w:val="22"/>
        </w:rPr>
        <w:t xml:space="preserve">2010 </w:t>
      </w:r>
      <w:r w:rsidR="001546EA" w:rsidRPr="00D44242">
        <w:rPr>
          <w:rFonts w:cs="Arial"/>
          <w:iCs/>
          <w:noProof/>
          <w:szCs w:val="22"/>
        </w:rPr>
        <w:t>(-</w:t>
      </w:r>
      <w:r w:rsidR="00FC76AB" w:rsidRPr="00D44242">
        <w:rPr>
          <w:rFonts w:cs="Arial"/>
          <w:iCs/>
          <w:noProof/>
          <w:szCs w:val="22"/>
        </w:rPr>
        <w:t>14,7</w:t>
      </w:r>
      <w:r w:rsidR="001546EA" w:rsidRPr="00D44242">
        <w:rPr>
          <w:rFonts w:cs="Arial"/>
          <w:iCs/>
          <w:noProof/>
          <w:szCs w:val="22"/>
        </w:rPr>
        <w:t>%)</w:t>
      </w:r>
      <w:r w:rsidRPr="00D44242">
        <w:rPr>
          <w:rFonts w:cs="Arial"/>
          <w:iCs/>
          <w:noProof/>
          <w:szCs w:val="22"/>
        </w:rPr>
        <w:t xml:space="preserve">. </w:t>
      </w:r>
      <w:r w:rsidR="0095582D">
        <w:rPr>
          <w:rFonts w:cs="Arial"/>
          <w:iCs/>
          <w:noProof/>
          <w:szCs w:val="22"/>
        </w:rPr>
        <w:t xml:space="preserve">Di contro, tra </w:t>
      </w:r>
      <w:r w:rsidR="00FC76AB" w:rsidRPr="00D44242">
        <w:rPr>
          <w:rFonts w:cs="Arial"/>
          <w:iCs/>
          <w:noProof/>
          <w:szCs w:val="22"/>
        </w:rPr>
        <w:t>le coltivazioni legnose agrarie si registra una</w:t>
      </w:r>
      <w:r w:rsidR="0095582D">
        <w:rPr>
          <w:rFonts w:cs="Arial"/>
          <w:iCs/>
          <w:noProof/>
          <w:szCs w:val="22"/>
        </w:rPr>
        <w:t xml:space="preserve"> crescita </w:t>
      </w:r>
      <w:r w:rsidR="00FC76AB" w:rsidRPr="00D44242">
        <w:rPr>
          <w:rFonts w:cs="Arial"/>
          <w:iCs/>
          <w:noProof/>
          <w:szCs w:val="22"/>
        </w:rPr>
        <w:t xml:space="preserve">delle superfici dei fruttiferi </w:t>
      </w:r>
      <w:r w:rsidR="0095582D">
        <w:rPr>
          <w:rFonts w:cs="Arial"/>
          <w:iCs/>
          <w:noProof/>
          <w:szCs w:val="22"/>
        </w:rPr>
        <w:t>(+</w:t>
      </w:r>
      <w:r w:rsidR="00FC76AB" w:rsidRPr="00D44242">
        <w:rPr>
          <w:rFonts w:cs="Arial"/>
          <w:iCs/>
          <w:noProof/>
          <w:szCs w:val="22"/>
        </w:rPr>
        <w:t>7,2%</w:t>
      </w:r>
      <w:r w:rsidR="0095582D">
        <w:rPr>
          <w:rFonts w:cs="Arial"/>
          <w:iCs/>
          <w:noProof/>
          <w:szCs w:val="22"/>
        </w:rPr>
        <w:t xml:space="preserve"> rispetto al 2010).</w:t>
      </w:r>
    </w:p>
    <w:p w14:paraId="7E6B3B85" w14:textId="278AF745" w:rsidR="00FA5359" w:rsidRDefault="00FA5359" w:rsidP="00FA5359">
      <w:pPr>
        <w:jc w:val="both"/>
        <w:rPr>
          <w:rFonts w:cs="Arial"/>
          <w:iCs/>
          <w:noProof/>
          <w:color w:val="000000" w:themeColor="text1"/>
          <w:szCs w:val="22"/>
        </w:rPr>
      </w:pPr>
      <w:r>
        <w:rPr>
          <w:rFonts w:cs="Arial"/>
          <w:iCs/>
          <w:noProof/>
          <w:szCs w:val="22"/>
        </w:rPr>
        <w:t>Una delle conseguenze della diminuzione delle superfici cerealicole è che, tra il 2010 e il 2019, risulta in netta flessione anche il peso relativo delle superfici a cereali sul totale delle superfici a seminativi</w:t>
      </w:r>
      <w:r w:rsidR="00031473">
        <w:rPr>
          <w:rFonts w:cs="Arial"/>
          <w:iCs/>
          <w:noProof/>
          <w:szCs w:val="22"/>
        </w:rPr>
        <w:t xml:space="preserve"> (dal 51,9% d</w:t>
      </w:r>
      <w:r>
        <w:rPr>
          <w:rFonts w:cs="Arial"/>
          <w:iCs/>
          <w:noProof/>
          <w:szCs w:val="22"/>
        </w:rPr>
        <w:t xml:space="preserve">el 2010 </w:t>
      </w:r>
      <w:r w:rsidR="00031473">
        <w:rPr>
          <w:rFonts w:cs="Arial"/>
          <w:iCs/>
          <w:noProof/>
          <w:szCs w:val="22"/>
        </w:rPr>
        <w:t xml:space="preserve">al </w:t>
      </w:r>
      <w:r w:rsidR="00031473" w:rsidRPr="002730A7">
        <w:rPr>
          <w:rFonts w:cs="Arial"/>
          <w:iCs/>
          <w:noProof/>
          <w:szCs w:val="22"/>
        </w:rPr>
        <w:t>45,9</w:t>
      </w:r>
      <w:r w:rsidR="00031473">
        <w:rPr>
          <w:rFonts w:cs="Arial"/>
          <w:iCs/>
          <w:noProof/>
          <w:szCs w:val="22"/>
        </w:rPr>
        <w:t>% d</w:t>
      </w:r>
      <w:r>
        <w:rPr>
          <w:rFonts w:cs="Arial"/>
          <w:iCs/>
          <w:noProof/>
          <w:szCs w:val="22"/>
        </w:rPr>
        <w:t>el 2019 è scesa</w:t>
      </w:r>
      <w:r w:rsidR="00031473">
        <w:rPr>
          <w:rFonts w:cs="Arial"/>
          <w:iCs/>
          <w:noProof/>
          <w:szCs w:val="22"/>
        </w:rPr>
        <w:t>,</w:t>
      </w:r>
      <w:r>
        <w:rPr>
          <w:rFonts w:cs="Arial"/>
          <w:iCs/>
          <w:noProof/>
          <w:szCs w:val="22"/>
        </w:rPr>
        <w:t xml:space="preserve"> Figura </w:t>
      </w:r>
      <w:r w:rsidR="00306D13">
        <w:rPr>
          <w:rFonts w:cs="Arial"/>
          <w:iCs/>
          <w:noProof/>
          <w:szCs w:val="22"/>
        </w:rPr>
        <w:t>2</w:t>
      </w:r>
      <w:r w:rsidRPr="006D18E6">
        <w:rPr>
          <w:rFonts w:cs="Arial"/>
          <w:iCs/>
          <w:noProof/>
          <w:color w:val="000000" w:themeColor="text1"/>
          <w:szCs w:val="22"/>
        </w:rPr>
        <w:t>).</w:t>
      </w:r>
    </w:p>
    <w:p w14:paraId="21DA8856" w14:textId="193CE205" w:rsidR="00202E3D" w:rsidRDefault="00FA5359" w:rsidP="00FA5359">
      <w:pPr>
        <w:autoSpaceDE w:val="0"/>
        <w:autoSpaceDN w:val="0"/>
        <w:adjustRightInd w:val="0"/>
        <w:jc w:val="both"/>
        <w:rPr>
          <w:rFonts w:cs="Arial"/>
          <w:color w:val="000000" w:themeColor="text1"/>
          <w:szCs w:val="22"/>
        </w:rPr>
      </w:pPr>
      <w:r>
        <w:rPr>
          <w:rFonts w:cs="Arial"/>
          <w:color w:val="000000" w:themeColor="text1"/>
          <w:szCs w:val="22"/>
        </w:rPr>
        <w:t>Le diminuzioni più rilevanti caratterizzano il Nord Italia</w:t>
      </w:r>
      <w:r w:rsidR="00031473">
        <w:rPr>
          <w:rFonts w:cs="Arial"/>
          <w:color w:val="000000" w:themeColor="text1"/>
          <w:szCs w:val="22"/>
        </w:rPr>
        <w:t>, dove</w:t>
      </w:r>
      <w:r>
        <w:rPr>
          <w:rFonts w:cs="Arial"/>
          <w:color w:val="000000" w:themeColor="text1"/>
          <w:szCs w:val="22"/>
        </w:rPr>
        <w:t xml:space="preserve"> il peso relativo delle superfici cerealicole rispetto al complesso delle superfici a seminativi scende dal 42,1% al 33,3% nel Nord est e dal 29,9% al 24,2% nel Nord ovest</w:t>
      </w:r>
      <w:r w:rsidR="00031473">
        <w:rPr>
          <w:rFonts w:cs="Arial"/>
          <w:color w:val="000000" w:themeColor="text1"/>
          <w:szCs w:val="22"/>
        </w:rPr>
        <w:t xml:space="preserve">. </w:t>
      </w:r>
    </w:p>
    <w:p w14:paraId="4BBE228B" w14:textId="36284146" w:rsidR="00FA5359" w:rsidRPr="003011B8" w:rsidRDefault="00031473" w:rsidP="00FA5359">
      <w:pPr>
        <w:autoSpaceDE w:val="0"/>
        <w:autoSpaceDN w:val="0"/>
        <w:adjustRightInd w:val="0"/>
        <w:jc w:val="both"/>
        <w:rPr>
          <w:rFonts w:cs="Arial"/>
          <w:szCs w:val="22"/>
        </w:rPr>
      </w:pPr>
      <w:r>
        <w:rPr>
          <w:rFonts w:cs="Arial"/>
          <w:color w:val="000000" w:themeColor="text1"/>
          <w:szCs w:val="22"/>
        </w:rPr>
        <w:t>I</w:t>
      </w:r>
      <w:r w:rsidR="00FA5359">
        <w:rPr>
          <w:rFonts w:cs="Arial"/>
          <w:color w:val="000000" w:themeColor="text1"/>
          <w:szCs w:val="22"/>
        </w:rPr>
        <w:t xml:space="preserve">l Centro e le Isole denotano </w:t>
      </w:r>
      <w:r w:rsidR="003210C0">
        <w:rPr>
          <w:rFonts w:cs="Arial"/>
          <w:color w:val="000000" w:themeColor="text1"/>
          <w:szCs w:val="22"/>
        </w:rPr>
        <w:t xml:space="preserve">riduzioni </w:t>
      </w:r>
      <w:r w:rsidR="00FA5359">
        <w:rPr>
          <w:rFonts w:cs="Arial"/>
          <w:color w:val="000000" w:themeColor="text1"/>
          <w:szCs w:val="22"/>
        </w:rPr>
        <w:t xml:space="preserve">del peso relativo dei cereali più contenute mentre il Sud registra </w:t>
      </w:r>
      <w:r w:rsidR="00202E3D">
        <w:rPr>
          <w:rFonts w:cs="Arial"/>
          <w:color w:val="000000" w:themeColor="text1"/>
          <w:szCs w:val="22"/>
        </w:rPr>
        <w:t>una</w:t>
      </w:r>
      <w:r w:rsidR="00FA5359">
        <w:rPr>
          <w:rFonts w:cs="Arial"/>
          <w:color w:val="000000" w:themeColor="text1"/>
          <w:szCs w:val="22"/>
        </w:rPr>
        <w:t xml:space="preserve"> flessione più bassa</w:t>
      </w:r>
      <w:r>
        <w:rPr>
          <w:rFonts w:cs="Arial"/>
          <w:color w:val="000000" w:themeColor="text1"/>
          <w:szCs w:val="22"/>
        </w:rPr>
        <w:t xml:space="preserve"> </w:t>
      </w:r>
      <w:r w:rsidR="003210C0" w:rsidRPr="00571245">
        <w:rPr>
          <w:rFonts w:cs="Arial"/>
          <w:color w:val="000000" w:themeColor="text1"/>
          <w:szCs w:val="22"/>
        </w:rPr>
        <w:t>(-</w:t>
      </w:r>
      <w:r w:rsidR="00FA5359" w:rsidRPr="00571245">
        <w:rPr>
          <w:rFonts w:cs="Arial"/>
          <w:color w:val="000000" w:themeColor="text1"/>
          <w:szCs w:val="22"/>
        </w:rPr>
        <w:t>0,8 punti percentuali</w:t>
      </w:r>
      <w:r w:rsidR="003210C0" w:rsidRPr="00571245">
        <w:rPr>
          <w:rFonts w:cs="Arial"/>
          <w:color w:val="000000" w:themeColor="text1"/>
          <w:szCs w:val="22"/>
        </w:rPr>
        <w:t>)</w:t>
      </w:r>
      <w:r w:rsidR="00FA5359" w:rsidRPr="00571245">
        <w:rPr>
          <w:rFonts w:cs="Arial"/>
          <w:color w:val="000000" w:themeColor="text1"/>
          <w:szCs w:val="22"/>
        </w:rPr>
        <w:t>, dovuta alla crescita delle superfici cerealicole in tale ripartizione geografica.</w:t>
      </w:r>
      <w:r w:rsidR="00202E3D" w:rsidRPr="00571245">
        <w:rPr>
          <w:rFonts w:cs="Arial"/>
          <w:color w:val="000000" w:themeColor="text1"/>
          <w:szCs w:val="22"/>
        </w:rPr>
        <w:t xml:space="preserve"> </w:t>
      </w:r>
      <w:r w:rsidR="00D4227A" w:rsidRPr="00571245">
        <w:rPr>
          <w:rFonts w:cs="Arial"/>
          <w:szCs w:val="22"/>
        </w:rPr>
        <w:t>D</w:t>
      </w:r>
      <w:r w:rsidR="00FA5359" w:rsidRPr="00571245">
        <w:rPr>
          <w:rFonts w:cs="Arial"/>
          <w:szCs w:val="22"/>
        </w:rPr>
        <w:t xml:space="preserve">i particolare rilievo la </w:t>
      </w:r>
      <w:r w:rsidR="003210C0" w:rsidRPr="00571245">
        <w:rPr>
          <w:rFonts w:cs="Arial"/>
          <w:szCs w:val="22"/>
        </w:rPr>
        <w:t xml:space="preserve">diminuzione </w:t>
      </w:r>
      <w:r w:rsidR="00FA5359" w:rsidRPr="00571245">
        <w:rPr>
          <w:rFonts w:cs="Arial"/>
          <w:szCs w:val="22"/>
        </w:rPr>
        <w:t>dell’incidenza della superficie cerealicola su quella dei seminativi del Piemonte (14,2 punti percentuali) e della Puglia</w:t>
      </w:r>
      <w:r w:rsidR="00084EC5" w:rsidRPr="00571245">
        <w:rPr>
          <w:rFonts w:cs="Arial"/>
          <w:szCs w:val="22"/>
        </w:rPr>
        <w:t xml:space="preserve"> (</w:t>
      </w:r>
      <w:r w:rsidR="00FA5359" w:rsidRPr="00571245">
        <w:rPr>
          <w:rFonts w:cs="Arial"/>
          <w:szCs w:val="22"/>
        </w:rPr>
        <w:t>6,8 punti percentuali</w:t>
      </w:r>
      <w:r w:rsidR="00084EC5" w:rsidRPr="00571245">
        <w:rPr>
          <w:rFonts w:cs="Arial"/>
          <w:szCs w:val="22"/>
        </w:rPr>
        <w:t>)</w:t>
      </w:r>
      <w:r w:rsidR="00D4227A" w:rsidRPr="00571245">
        <w:rPr>
          <w:rFonts w:cs="Arial"/>
          <w:szCs w:val="22"/>
        </w:rPr>
        <w:t>. A queste due</w:t>
      </w:r>
      <w:r w:rsidR="00FA5359" w:rsidRPr="00571245">
        <w:rPr>
          <w:rFonts w:cs="Arial"/>
          <w:szCs w:val="22"/>
        </w:rPr>
        <w:t xml:space="preserve"> regioni spettano</w:t>
      </w:r>
      <w:r w:rsidR="00FA5359">
        <w:rPr>
          <w:rFonts w:cs="Arial"/>
          <w:szCs w:val="22"/>
        </w:rPr>
        <w:t xml:space="preserve"> quote rilevanti della superficie cerealicola nazionale </w:t>
      </w:r>
      <w:r w:rsidR="00D4227A">
        <w:rPr>
          <w:rFonts w:cs="Arial"/>
          <w:szCs w:val="22"/>
        </w:rPr>
        <w:t>(</w:t>
      </w:r>
      <w:r w:rsidR="00FA5359" w:rsidRPr="0088296A">
        <w:rPr>
          <w:rFonts w:cs="Arial"/>
          <w:szCs w:val="22"/>
        </w:rPr>
        <w:t>rispettivamente 60,4% e 55,5%</w:t>
      </w:r>
      <w:r w:rsidR="00FA5359">
        <w:rPr>
          <w:rFonts w:cs="Arial"/>
          <w:szCs w:val="22"/>
        </w:rPr>
        <w:t xml:space="preserve"> nel 2019</w:t>
      </w:r>
      <w:r w:rsidR="00D4227A">
        <w:rPr>
          <w:rFonts w:cs="Arial"/>
          <w:szCs w:val="22"/>
        </w:rPr>
        <w:t>)</w:t>
      </w:r>
      <w:r w:rsidR="00FA5359" w:rsidRPr="0088296A">
        <w:rPr>
          <w:rFonts w:cs="Arial"/>
          <w:szCs w:val="22"/>
        </w:rPr>
        <w:t>.</w:t>
      </w:r>
    </w:p>
    <w:p w14:paraId="5840038A" w14:textId="07A8BE91" w:rsidR="00FA5359" w:rsidRDefault="002C5912" w:rsidP="00FA5359">
      <w:pPr>
        <w:autoSpaceDE w:val="0"/>
        <w:autoSpaceDN w:val="0"/>
        <w:adjustRightInd w:val="0"/>
        <w:jc w:val="both"/>
        <w:rPr>
          <w:rFonts w:cs="Arial"/>
          <w:color w:val="000000" w:themeColor="text1"/>
          <w:szCs w:val="22"/>
        </w:rPr>
      </w:pPr>
      <w:r>
        <w:rPr>
          <w:rFonts w:cs="Arial"/>
          <w:color w:val="000000" w:themeColor="text1"/>
          <w:szCs w:val="22"/>
        </w:rPr>
        <w:t xml:space="preserve">I cambiamenti </w:t>
      </w:r>
      <w:r w:rsidR="00FA5359">
        <w:rPr>
          <w:rFonts w:cs="Arial"/>
          <w:color w:val="000000" w:themeColor="text1"/>
          <w:szCs w:val="22"/>
        </w:rPr>
        <w:t xml:space="preserve">di uso del suolo agricolo, intervenute in un arco temporale relativamente breve, dipendono soprattutto da tre fattori: il processo di modernizzazione del settore agricolo, che comporta frequenti sospensioni e cessazioni delle attività e quindi discontinuità e necessità riorganizzative dei processi di produzione; la concorrenza di prezzo di prodotti esteri, che </w:t>
      </w:r>
      <w:r w:rsidR="00327C8A">
        <w:rPr>
          <w:rFonts w:cs="Arial"/>
          <w:color w:val="000000" w:themeColor="text1"/>
          <w:szCs w:val="22"/>
        </w:rPr>
        <w:t>determina</w:t>
      </w:r>
      <w:r w:rsidR="00FA5359">
        <w:rPr>
          <w:rFonts w:cs="Arial"/>
          <w:color w:val="000000" w:themeColor="text1"/>
          <w:szCs w:val="22"/>
        </w:rPr>
        <w:t xml:space="preserve"> la necessità di riadattare continuamente la tipologia di prodotti agricoli in funzione delle fluttuazione cicliche della domanda; i cambiamenti climatici, fattore di rischio aggiuntivo per gli agricoltori </w:t>
      </w:r>
      <w:r>
        <w:rPr>
          <w:rFonts w:cs="Arial"/>
          <w:color w:val="000000" w:themeColor="text1"/>
          <w:szCs w:val="22"/>
        </w:rPr>
        <w:t>che può</w:t>
      </w:r>
      <w:r w:rsidR="00FA5359">
        <w:rPr>
          <w:rFonts w:cs="Arial"/>
          <w:color w:val="000000" w:themeColor="text1"/>
          <w:szCs w:val="22"/>
        </w:rPr>
        <w:t xml:space="preserve"> comportare il graduale riorientamento verso la coltivazione di specie vegetali meno dipendenti da</w:t>
      </w:r>
      <w:r>
        <w:rPr>
          <w:rFonts w:cs="Arial"/>
          <w:color w:val="000000" w:themeColor="text1"/>
          <w:szCs w:val="22"/>
        </w:rPr>
        <w:t>gli eventi</w:t>
      </w:r>
      <w:r w:rsidR="00FA5359">
        <w:rPr>
          <w:rFonts w:cs="Arial"/>
          <w:color w:val="000000" w:themeColor="text1"/>
          <w:szCs w:val="22"/>
        </w:rPr>
        <w:t xml:space="preserve"> meteorologi</w:t>
      </w:r>
      <w:r>
        <w:rPr>
          <w:rFonts w:cs="Arial"/>
          <w:color w:val="000000" w:themeColor="text1"/>
          <w:szCs w:val="22"/>
        </w:rPr>
        <w:t>ci</w:t>
      </w:r>
      <w:r w:rsidR="00FA5359">
        <w:rPr>
          <w:rFonts w:cs="Arial"/>
          <w:color w:val="000000" w:themeColor="text1"/>
          <w:szCs w:val="22"/>
        </w:rPr>
        <w:t>.</w:t>
      </w:r>
    </w:p>
    <w:p w14:paraId="2D104624" w14:textId="645FAF50" w:rsidR="00433444" w:rsidRDefault="00433444" w:rsidP="00FA5359">
      <w:pPr>
        <w:autoSpaceDE w:val="0"/>
        <w:autoSpaceDN w:val="0"/>
        <w:adjustRightInd w:val="0"/>
        <w:jc w:val="both"/>
        <w:rPr>
          <w:rFonts w:cs="Arial"/>
          <w:color w:val="000000" w:themeColor="text1"/>
          <w:szCs w:val="22"/>
        </w:rPr>
      </w:pPr>
    </w:p>
    <w:p w14:paraId="45D580E8" w14:textId="2ABF0CE3" w:rsidR="00433444" w:rsidRDefault="00433444" w:rsidP="00FA5359">
      <w:pPr>
        <w:autoSpaceDE w:val="0"/>
        <w:autoSpaceDN w:val="0"/>
        <w:adjustRightInd w:val="0"/>
        <w:jc w:val="both"/>
        <w:rPr>
          <w:rFonts w:cs="Arial"/>
          <w:color w:val="000000" w:themeColor="text1"/>
          <w:szCs w:val="22"/>
        </w:rPr>
      </w:pPr>
    </w:p>
    <w:p w14:paraId="7E5E3AAD" w14:textId="444DD0DC" w:rsidR="00433444" w:rsidRDefault="00433444" w:rsidP="00FA5359">
      <w:pPr>
        <w:autoSpaceDE w:val="0"/>
        <w:autoSpaceDN w:val="0"/>
        <w:adjustRightInd w:val="0"/>
        <w:jc w:val="both"/>
        <w:rPr>
          <w:rFonts w:cs="Arial"/>
          <w:color w:val="000000" w:themeColor="text1"/>
          <w:sz w:val="16"/>
          <w:szCs w:val="16"/>
        </w:rPr>
      </w:pPr>
    </w:p>
    <w:p w14:paraId="78525EB0" w14:textId="77777777" w:rsidR="007C52AC" w:rsidRPr="00571245" w:rsidRDefault="007C52AC" w:rsidP="00FA5359">
      <w:pPr>
        <w:autoSpaceDE w:val="0"/>
        <w:autoSpaceDN w:val="0"/>
        <w:adjustRightInd w:val="0"/>
        <w:jc w:val="both"/>
        <w:rPr>
          <w:rFonts w:cs="Arial"/>
          <w:color w:val="000000" w:themeColor="text1"/>
          <w:sz w:val="16"/>
          <w:szCs w:val="16"/>
        </w:rPr>
      </w:pPr>
    </w:p>
    <w:p w14:paraId="74A69A57" w14:textId="6C023578" w:rsidR="00202E3D" w:rsidRDefault="00DF71D7" w:rsidP="00571245">
      <w:pPr>
        <w:spacing w:after="0"/>
        <w:jc w:val="both"/>
        <w:rPr>
          <w:rFonts w:ascii="Arial Narrow" w:hAnsi="Arial Narrow" w:cs="Arial"/>
          <w:color w:val="1F497D"/>
          <w:szCs w:val="22"/>
        </w:rPr>
      </w:pPr>
      <w:r w:rsidRPr="005371F5">
        <w:rPr>
          <w:rFonts w:ascii="Arial Black" w:hAnsi="Arial Black" w:cs="Arial"/>
          <w:iCs/>
          <w:noProof/>
          <w:color w:val="1F497D" w:themeColor="text2"/>
          <w:szCs w:val="22"/>
        </w:rPr>
        <w:t xml:space="preserve">FIGURA </w:t>
      </w:r>
      <w:r w:rsidR="00C87208">
        <w:rPr>
          <w:rFonts w:ascii="Arial Black" w:hAnsi="Arial Black" w:cs="Arial"/>
          <w:iCs/>
          <w:noProof/>
          <w:color w:val="1F497D" w:themeColor="text2"/>
          <w:szCs w:val="22"/>
        </w:rPr>
        <w:t>1</w:t>
      </w:r>
      <w:r>
        <w:rPr>
          <w:rFonts w:ascii="Arial Black" w:hAnsi="Arial Black" w:cs="Arial"/>
          <w:iCs/>
          <w:noProof/>
          <w:color w:val="1F497D" w:themeColor="text2"/>
          <w:szCs w:val="22"/>
        </w:rPr>
        <w:t xml:space="preserve">. </w:t>
      </w:r>
      <w:r w:rsidR="00202E3D" w:rsidRPr="00571245">
        <w:rPr>
          <w:rFonts w:ascii="Arial Narrow" w:hAnsi="Arial Narrow" w:cs="Arial"/>
          <w:b/>
          <w:bCs/>
          <w:color w:val="1F497D"/>
          <w:szCs w:val="22"/>
        </w:rPr>
        <w:t xml:space="preserve">PESO DEI </w:t>
      </w:r>
      <w:r w:rsidR="00FD5707" w:rsidRPr="00571245">
        <w:rPr>
          <w:rFonts w:ascii="Arial Narrow" w:hAnsi="Arial Narrow" w:cs="Arial"/>
          <w:b/>
          <w:bCs/>
          <w:color w:val="1F497D"/>
          <w:szCs w:val="22"/>
        </w:rPr>
        <w:t>CEREALI SUI SEMINATIVI PER RIPARTIZIONE GEOGRAFICA</w:t>
      </w:r>
      <w:r w:rsidR="00FD5707">
        <w:rPr>
          <w:rFonts w:ascii="Arial Narrow" w:hAnsi="Arial Narrow" w:cs="Arial"/>
          <w:color w:val="1F497D"/>
          <w:szCs w:val="22"/>
        </w:rPr>
        <w:t>.</w:t>
      </w:r>
    </w:p>
    <w:p w14:paraId="1490FB46" w14:textId="43D24D31" w:rsidR="007F1765" w:rsidRDefault="00FD5707" w:rsidP="00DF71D7">
      <w:pPr>
        <w:spacing w:after="160"/>
        <w:jc w:val="both"/>
        <w:rPr>
          <w:rFonts w:ascii="Arial Narrow" w:hAnsi="Arial Narrow" w:cs="Arial"/>
          <w:color w:val="1F497D"/>
          <w:szCs w:val="22"/>
        </w:rPr>
      </w:pPr>
      <w:r>
        <w:rPr>
          <w:rFonts w:ascii="Arial Narrow" w:hAnsi="Arial Narrow" w:cs="Arial"/>
          <w:color w:val="1F497D"/>
          <w:szCs w:val="22"/>
        </w:rPr>
        <w:t>Anni</w:t>
      </w:r>
      <w:r w:rsidR="004240D5">
        <w:rPr>
          <w:rFonts w:ascii="Arial Narrow" w:hAnsi="Arial Narrow" w:cs="Arial"/>
          <w:color w:val="1F497D"/>
          <w:szCs w:val="22"/>
        </w:rPr>
        <w:t xml:space="preserve"> 2010 e 2019</w:t>
      </w:r>
      <w:r>
        <w:rPr>
          <w:rFonts w:ascii="Arial Narrow" w:hAnsi="Arial Narrow" w:cs="Arial"/>
          <w:color w:val="1F497D"/>
          <w:szCs w:val="22"/>
        </w:rPr>
        <w:t xml:space="preserve">, </w:t>
      </w:r>
      <w:r w:rsidR="00202E3D">
        <w:rPr>
          <w:rFonts w:ascii="Arial Narrow" w:hAnsi="Arial Narrow" w:cs="Arial"/>
          <w:color w:val="1F497D"/>
          <w:szCs w:val="22"/>
        </w:rPr>
        <w:t>valori</w:t>
      </w:r>
      <w:r w:rsidRPr="002E70BC">
        <w:rPr>
          <w:rFonts w:ascii="Arial Narrow" w:hAnsi="Arial Narrow" w:cs="Arial"/>
          <w:color w:val="1F497D"/>
          <w:szCs w:val="22"/>
        </w:rPr>
        <w:t xml:space="preserve"> percentual</w:t>
      </w:r>
      <w:r w:rsidR="00202E3D">
        <w:rPr>
          <w:rFonts w:ascii="Arial Narrow" w:hAnsi="Arial Narrow" w:cs="Arial"/>
          <w:color w:val="1F497D"/>
          <w:szCs w:val="22"/>
        </w:rPr>
        <w:t>i</w:t>
      </w:r>
    </w:p>
    <w:p w14:paraId="75E83487" w14:textId="71284740" w:rsidR="001401AD" w:rsidRDefault="001401AD" w:rsidP="00DF71D7">
      <w:pPr>
        <w:spacing w:after="160"/>
        <w:jc w:val="both"/>
        <w:rPr>
          <w:rFonts w:ascii="Arial Narrow" w:hAnsi="Arial Narrow" w:cs="Arial"/>
          <w:color w:val="1F497D"/>
          <w:szCs w:val="22"/>
        </w:rPr>
      </w:pPr>
      <w:r>
        <w:rPr>
          <w:noProof/>
        </w:rPr>
        <w:drawing>
          <wp:inline distT="0" distB="0" distL="0" distR="0" wp14:anchorId="314259FD" wp14:editId="5982FC93">
            <wp:extent cx="6300000" cy="2160000"/>
            <wp:effectExtent l="0" t="0" r="0" b="0"/>
            <wp:docPr id="1" name="Gra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934E20" w14:textId="0F3CEB1D" w:rsidR="003C702A" w:rsidRDefault="003C702A" w:rsidP="00571245">
      <w:pPr>
        <w:spacing w:after="160"/>
        <w:jc w:val="both"/>
        <w:rPr>
          <w:rFonts w:ascii="Arial Narrow" w:hAnsi="Arial Narrow" w:cs="Arial"/>
          <w:color w:val="1F497D"/>
          <w:szCs w:val="22"/>
        </w:rPr>
      </w:pPr>
      <w:r>
        <w:rPr>
          <w:rFonts w:ascii="Arial Narrow" w:hAnsi="Arial Narrow" w:cs="Arial"/>
          <w:color w:val="1F497D"/>
          <w:szCs w:val="22"/>
        </w:rPr>
        <w:br w:type="page"/>
      </w:r>
    </w:p>
    <w:p w14:paraId="103A0C4A" w14:textId="7990EE82" w:rsidR="007F1765" w:rsidRPr="00033345" w:rsidRDefault="007F1765" w:rsidP="00DF71D7">
      <w:pPr>
        <w:spacing w:after="160"/>
        <w:jc w:val="both"/>
        <w:rPr>
          <w:rFonts w:ascii="Arial Narrow" w:hAnsi="Arial Narrow" w:cs="Arial"/>
          <w:color w:val="1F497D"/>
          <w:szCs w:val="22"/>
        </w:rPr>
      </w:pPr>
    </w:p>
    <w:p w14:paraId="2A25D216" w14:textId="02F8CF46" w:rsidR="0029358B" w:rsidRPr="0029358B" w:rsidRDefault="0017335E" w:rsidP="0029358B">
      <w:pPr>
        <w:jc w:val="both"/>
        <w:rPr>
          <w:rFonts w:cs="Arial"/>
          <w:b/>
          <w:color w:val="1F497D" w:themeColor="text2"/>
          <w:sz w:val="26"/>
          <w:szCs w:val="26"/>
        </w:rPr>
      </w:pPr>
      <w:r>
        <w:rPr>
          <w:rFonts w:cs="Arial"/>
          <w:b/>
          <w:color w:val="1F497D" w:themeColor="text2"/>
          <w:sz w:val="26"/>
          <w:szCs w:val="26"/>
        </w:rPr>
        <w:t>L’importanza dei cereali cresce solo al Sud</w:t>
      </w:r>
    </w:p>
    <w:p w14:paraId="0D65EB35" w14:textId="730FC3BB" w:rsidR="00B440E7" w:rsidRDefault="00125D7B" w:rsidP="00FA5359">
      <w:pPr>
        <w:jc w:val="both"/>
      </w:pPr>
      <w:r>
        <w:rPr>
          <w:rFonts w:cs="Arial"/>
          <w:iCs/>
          <w:noProof/>
          <w:szCs w:val="22"/>
        </w:rPr>
        <w:t xml:space="preserve">La collaborazione tra </w:t>
      </w:r>
      <w:r w:rsidR="003210C0">
        <w:rPr>
          <w:rFonts w:cs="Arial"/>
          <w:iCs/>
          <w:noProof/>
          <w:szCs w:val="22"/>
        </w:rPr>
        <w:t xml:space="preserve">Istat </w:t>
      </w:r>
      <w:r>
        <w:rPr>
          <w:rFonts w:cs="Arial"/>
          <w:iCs/>
          <w:noProof/>
          <w:szCs w:val="22"/>
        </w:rPr>
        <w:t xml:space="preserve">e </w:t>
      </w:r>
      <w:r>
        <w:t>Regioni e Province autonome consente di o</w:t>
      </w:r>
      <w:r w:rsidR="00FA5359" w:rsidRPr="002614BA">
        <w:rPr>
          <w:rFonts w:cs="Arial"/>
          <w:iCs/>
          <w:noProof/>
          <w:szCs w:val="22"/>
        </w:rPr>
        <w:t>ttempera</w:t>
      </w:r>
      <w:r>
        <w:rPr>
          <w:rFonts w:cs="Arial"/>
          <w:iCs/>
          <w:noProof/>
          <w:szCs w:val="22"/>
        </w:rPr>
        <w:t>re</w:t>
      </w:r>
      <w:r w:rsidR="00FA5359" w:rsidRPr="002614BA">
        <w:rPr>
          <w:rFonts w:cs="Arial"/>
          <w:iCs/>
          <w:noProof/>
          <w:szCs w:val="22"/>
        </w:rPr>
        <w:t xml:space="preserve"> agli obblighi </w:t>
      </w:r>
      <w:r>
        <w:rPr>
          <w:rFonts w:cs="Arial"/>
          <w:iCs/>
          <w:noProof/>
          <w:szCs w:val="22"/>
        </w:rPr>
        <w:t xml:space="preserve">statistici </w:t>
      </w:r>
      <w:r w:rsidR="00FA5359" w:rsidRPr="002614BA">
        <w:rPr>
          <w:rFonts w:cs="Arial"/>
          <w:iCs/>
          <w:noProof/>
          <w:szCs w:val="22"/>
        </w:rPr>
        <w:t xml:space="preserve">europei </w:t>
      </w:r>
      <w:r w:rsidR="00B73317">
        <w:rPr>
          <w:rFonts w:cs="Arial"/>
          <w:iCs/>
          <w:noProof/>
          <w:szCs w:val="22"/>
        </w:rPr>
        <w:t>in materia di statistiche sulle coltivazioni agrarie</w:t>
      </w:r>
      <w:r w:rsidR="00B73317" w:rsidRPr="00B73317">
        <w:rPr>
          <w:rFonts w:cs="Arial"/>
          <w:iCs/>
          <w:noProof/>
          <w:szCs w:val="22"/>
          <w:vertAlign w:val="superscript"/>
        </w:rPr>
        <w:t xml:space="preserve">iii </w:t>
      </w:r>
      <w:r w:rsidR="003D79D0">
        <w:rPr>
          <w:rFonts w:cs="Arial"/>
          <w:iCs/>
          <w:noProof/>
          <w:szCs w:val="22"/>
        </w:rPr>
        <w:t>(</w:t>
      </w:r>
      <w:r w:rsidR="00FA5359" w:rsidRPr="002614BA">
        <w:rPr>
          <w:rFonts w:cs="Arial"/>
          <w:iCs/>
          <w:noProof/>
          <w:szCs w:val="22"/>
        </w:rPr>
        <w:t>come stabilito d</w:t>
      </w:r>
      <w:r w:rsidR="00B440E7">
        <w:rPr>
          <w:rFonts w:cs="Arial"/>
          <w:iCs/>
          <w:noProof/>
          <w:szCs w:val="22"/>
        </w:rPr>
        <w:t xml:space="preserve">al Regolamento (CE) n.543/2009 </w:t>
      </w:r>
      <w:r w:rsidR="00B440E7">
        <w:t>del Parlamento europeo e del Consiglio del 18 giugno 2009, relativo alle statistiche sui prodotti vegetali</w:t>
      </w:r>
      <w:r w:rsidR="003D79D0">
        <w:t>)</w:t>
      </w:r>
      <w:r>
        <w:t xml:space="preserve">. </w:t>
      </w:r>
    </w:p>
    <w:p w14:paraId="06BAD39A" w14:textId="0EF9BBCA" w:rsidR="00612001" w:rsidRPr="00EA3589" w:rsidRDefault="001346FD" w:rsidP="00FA5359">
      <w:pPr>
        <w:jc w:val="both"/>
        <w:rPr>
          <w:rFonts w:cs="Arial"/>
          <w:iCs/>
          <w:noProof/>
          <w:szCs w:val="22"/>
        </w:rPr>
      </w:pPr>
      <w:r>
        <w:rPr>
          <w:rFonts w:cs="Arial"/>
          <w:iCs/>
          <w:noProof/>
          <w:szCs w:val="22"/>
        </w:rPr>
        <w:t>T</w:t>
      </w:r>
      <w:r w:rsidR="00125D7B">
        <w:rPr>
          <w:rFonts w:cs="Arial"/>
          <w:iCs/>
          <w:noProof/>
          <w:szCs w:val="22"/>
        </w:rPr>
        <w:t xml:space="preserve">ra il 2010 e il 2020 </w:t>
      </w:r>
      <w:r>
        <w:rPr>
          <w:rFonts w:cs="Arial"/>
          <w:iCs/>
          <w:noProof/>
          <w:szCs w:val="22"/>
        </w:rPr>
        <w:t>l</w:t>
      </w:r>
      <w:r w:rsidR="00125D7B">
        <w:rPr>
          <w:rFonts w:cs="Arial"/>
          <w:iCs/>
          <w:noProof/>
          <w:szCs w:val="22"/>
        </w:rPr>
        <w:t xml:space="preserve">a flessione generalizzata </w:t>
      </w:r>
      <w:r w:rsidR="00EA3589">
        <w:rPr>
          <w:rFonts w:cs="Arial"/>
          <w:iCs/>
          <w:noProof/>
          <w:szCs w:val="22"/>
        </w:rPr>
        <w:t>del peso relativo</w:t>
      </w:r>
      <w:r>
        <w:rPr>
          <w:rFonts w:cs="Arial"/>
          <w:iCs/>
          <w:noProof/>
          <w:szCs w:val="22"/>
        </w:rPr>
        <w:t xml:space="preserve"> </w:t>
      </w:r>
      <w:r w:rsidR="00EA3589">
        <w:rPr>
          <w:rFonts w:cs="Arial"/>
          <w:iCs/>
          <w:noProof/>
          <w:szCs w:val="22"/>
        </w:rPr>
        <w:t>delle superfici cerealicole</w:t>
      </w:r>
      <w:r>
        <w:rPr>
          <w:rFonts w:cs="Arial"/>
          <w:iCs/>
          <w:noProof/>
          <w:szCs w:val="22"/>
        </w:rPr>
        <w:t xml:space="preserve"> caratterizza quasi tutte </w:t>
      </w:r>
      <w:r w:rsidR="0017335E">
        <w:rPr>
          <w:rFonts w:cs="Arial"/>
          <w:iCs/>
          <w:noProof/>
          <w:szCs w:val="22"/>
        </w:rPr>
        <w:t>le ripartizioni geografiche</w:t>
      </w:r>
      <w:r w:rsidR="00EA3589">
        <w:rPr>
          <w:rFonts w:cs="Arial"/>
          <w:iCs/>
          <w:noProof/>
          <w:szCs w:val="22"/>
        </w:rPr>
        <w:t>.</w:t>
      </w:r>
    </w:p>
    <w:p w14:paraId="21412C25" w14:textId="53704A88" w:rsidR="00FA5359" w:rsidRPr="00EA3589" w:rsidRDefault="00EA3589" w:rsidP="00FA5359">
      <w:pPr>
        <w:jc w:val="both"/>
        <w:rPr>
          <w:rFonts w:cs="Arial"/>
          <w:iCs/>
          <w:noProof/>
          <w:szCs w:val="22"/>
        </w:rPr>
      </w:pPr>
      <w:r>
        <w:rPr>
          <w:rFonts w:cs="Arial"/>
          <w:iCs/>
          <w:noProof/>
          <w:szCs w:val="22"/>
        </w:rPr>
        <w:t>In particolare</w:t>
      </w:r>
      <w:r w:rsidR="00FA5359" w:rsidRPr="00B440E7">
        <w:rPr>
          <w:rFonts w:cs="Arial"/>
          <w:iCs/>
          <w:noProof/>
          <w:szCs w:val="22"/>
        </w:rPr>
        <w:t>,</w:t>
      </w:r>
      <w:r w:rsidRPr="00EA3589">
        <w:rPr>
          <w:rFonts w:cs="Arial"/>
          <w:iCs/>
          <w:noProof/>
          <w:szCs w:val="22"/>
        </w:rPr>
        <w:t xml:space="preserve"> il</w:t>
      </w:r>
      <w:r w:rsidR="00FA5359" w:rsidRPr="00EA3589">
        <w:rPr>
          <w:rFonts w:cs="Arial"/>
          <w:iCs/>
          <w:noProof/>
          <w:szCs w:val="22"/>
        </w:rPr>
        <w:t xml:space="preserve"> Nord ovest </w:t>
      </w:r>
      <w:r w:rsidR="001346FD">
        <w:rPr>
          <w:rFonts w:cs="Arial"/>
          <w:iCs/>
          <w:noProof/>
          <w:szCs w:val="22"/>
        </w:rPr>
        <w:t>registra</w:t>
      </w:r>
      <w:r w:rsidR="00FA5359" w:rsidRPr="00EA3589">
        <w:rPr>
          <w:rFonts w:cs="Arial"/>
          <w:iCs/>
          <w:noProof/>
          <w:szCs w:val="22"/>
        </w:rPr>
        <w:t xml:space="preserve"> il maggiore calo delle superfici</w:t>
      </w:r>
      <w:r w:rsidR="001346FD">
        <w:rPr>
          <w:rFonts w:cs="Arial"/>
          <w:iCs/>
          <w:noProof/>
          <w:szCs w:val="22"/>
        </w:rPr>
        <w:t xml:space="preserve"> </w:t>
      </w:r>
      <w:r w:rsidR="005B4039" w:rsidRPr="00EA3589">
        <w:rPr>
          <w:rFonts w:cs="Arial"/>
          <w:iCs/>
          <w:noProof/>
          <w:szCs w:val="22"/>
        </w:rPr>
        <w:t xml:space="preserve">cerealicole </w:t>
      </w:r>
      <w:r w:rsidR="001346FD">
        <w:rPr>
          <w:rFonts w:cs="Arial"/>
          <w:iCs/>
          <w:noProof/>
          <w:szCs w:val="22"/>
        </w:rPr>
        <w:t>(-</w:t>
      </w:r>
      <w:r w:rsidR="00FA5359" w:rsidRPr="00EA3589">
        <w:rPr>
          <w:rFonts w:cs="Arial"/>
          <w:iCs/>
          <w:noProof/>
          <w:szCs w:val="22"/>
        </w:rPr>
        <w:t>3,1%</w:t>
      </w:r>
      <w:r w:rsidR="001346FD">
        <w:rPr>
          <w:rFonts w:cs="Arial"/>
          <w:iCs/>
          <w:noProof/>
          <w:szCs w:val="22"/>
        </w:rPr>
        <w:t>)</w:t>
      </w:r>
      <w:r w:rsidR="005B4039">
        <w:rPr>
          <w:rFonts w:cs="Arial"/>
          <w:iCs/>
          <w:noProof/>
          <w:szCs w:val="22"/>
        </w:rPr>
        <w:t>,</w:t>
      </w:r>
      <w:r w:rsidR="001346FD">
        <w:rPr>
          <w:rFonts w:cs="Arial"/>
          <w:iCs/>
          <w:noProof/>
          <w:szCs w:val="22"/>
        </w:rPr>
        <w:t xml:space="preserve"> </w:t>
      </w:r>
      <w:r w:rsidR="005B4039">
        <w:rPr>
          <w:rFonts w:cs="Arial"/>
          <w:iCs/>
          <w:noProof/>
          <w:szCs w:val="22"/>
        </w:rPr>
        <w:t xml:space="preserve">il cui </w:t>
      </w:r>
      <w:r w:rsidR="00FA5359" w:rsidRPr="00EA3589">
        <w:rPr>
          <w:rFonts w:cs="Arial"/>
          <w:iCs/>
          <w:noProof/>
          <w:szCs w:val="22"/>
        </w:rPr>
        <w:t xml:space="preserve">peso relativo sull’Italia nel complesso </w:t>
      </w:r>
      <w:r w:rsidR="001346FD">
        <w:rPr>
          <w:rFonts w:cs="Arial"/>
          <w:iCs/>
          <w:noProof/>
          <w:szCs w:val="22"/>
        </w:rPr>
        <w:t>scende</w:t>
      </w:r>
      <w:r w:rsidR="00FA5359" w:rsidRPr="00EA3589">
        <w:rPr>
          <w:rFonts w:cs="Arial"/>
          <w:iCs/>
          <w:noProof/>
          <w:szCs w:val="22"/>
        </w:rPr>
        <w:t xml:space="preserve"> dal 24,9% del 2010 al 21,8% del 2020</w:t>
      </w:r>
      <w:r w:rsidR="00E70ED6">
        <w:rPr>
          <w:rFonts w:cs="Arial"/>
          <w:iCs/>
          <w:noProof/>
          <w:szCs w:val="22"/>
        </w:rPr>
        <w:t xml:space="preserve"> (Figura 3)</w:t>
      </w:r>
      <w:r w:rsidR="00FA5359" w:rsidRPr="00EA3589">
        <w:rPr>
          <w:rFonts w:cs="Arial"/>
          <w:iCs/>
          <w:noProof/>
          <w:szCs w:val="22"/>
        </w:rPr>
        <w:t xml:space="preserve">. Una tendenza simile </w:t>
      </w:r>
      <w:r w:rsidR="00125D7B">
        <w:rPr>
          <w:rFonts w:cs="Arial"/>
          <w:iCs/>
          <w:noProof/>
          <w:szCs w:val="22"/>
        </w:rPr>
        <w:t>caratterizza anche il Nord</w:t>
      </w:r>
      <w:r w:rsidR="001346FD">
        <w:rPr>
          <w:rFonts w:cs="Arial"/>
          <w:iCs/>
          <w:noProof/>
          <w:szCs w:val="22"/>
        </w:rPr>
        <w:t>-e</w:t>
      </w:r>
      <w:r w:rsidR="00FA5359" w:rsidRPr="00EA3589">
        <w:rPr>
          <w:rFonts w:cs="Arial"/>
          <w:iCs/>
          <w:noProof/>
          <w:szCs w:val="22"/>
        </w:rPr>
        <w:t xml:space="preserve">st, il cui peso relativo passa dal 24,0% del 2010 al 21,9% del 2020, a causa della flessione del 2,1% delle superfici a cereali. Nel Centro e nelle Isole la flessione delle superfici cerealicole è meno significativa (pari, rispettivamente, </w:t>
      </w:r>
      <w:r w:rsidR="00FA5359" w:rsidRPr="00571245">
        <w:rPr>
          <w:rFonts w:cs="Arial"/>
          <w:iCs/>
          <w:noProof/>
          <w:szCs w:val="22"/>
        </w:rPr>
        <w:t>allo 0,44% e allo 0,47%). Risulta</w:t>
      </w:r>
      <w:r w:rsidR="00FA5359" w:rsidRPr="00EA3589">
        <w:rPr>
          <w:rFonts w:cs="Arial"/>
          <w:iCs/>
          <w:noProof/>
          <w:szCs w:val="22"/>
        </w:rPr>
        <w:t xml:space="preserve"> invece in controtendenza il Sud, con una crescita delle superfici a cereali significativa (+6,1%) e un aumento del peso relativo sul totale nazionale, che passa dal 24,2% del 2010 al 30,3% del 2020. </w:t>
      </w:r>
    </w:p>
    <w:p w14:paraId="5C47591D" w14:textId="1E8A1D65" w:rsidR="00FA5359" w:rsidRPr="00EA3589" w:rsidRDefault="00FA5359" w:rsidP="00FA5359">
      <w:pPr>
        <w:jc w:val="both"/>
        <w:rPr>
          <w:rFonts w:cs="Arial"/>
          <w:iCs/>
          <w:noProof/>
          <w:szCs w:val="22"/>
        </w:rPr>
      </w:pPr>
      <w:r w:rsidRPr="00EA3589">
        <w:rPr>
          <w:rFonts w:cs="Arial"/>
          <w:iCs/>
          <w:noProof/>
          <w:szCs w:val="22"/>
        </w:rPr>
        <w:t xml:space="preserve">Le regioni che nel 2020 detengono le quote più elevate di superfici cerealicole sul totale nazionale sono la Puglia e il Piemonte, rispettivamente 13,8% e 11,4% del totale nazionale. In particolare, in Puglia oltre l’83% della superficie cerealicola è investita a frumento duro (344.300 ettari, il 28% del totale nazionale), nel Piemonte il 40,1% delle superfici cerealicole </w:t>
      </w:r>
      <w:r w:rsidR="003210C0">
        <w:rPr>
          <w:rFonts w:cs="Arial"/>
          <w:iCs/>
          <w:noProof/>
          <w:szCs w:val="22"/>
        </w:rPr>
        <w:t>è investito</w:t>
      </w:r>
      <w:r w:rsidRPr="00EA3589">
        <w:rPr>
          <w:rFonts w:cs="Arial"/>
          <w:iCs/>
          <w:noProof/>
          <w:szCs w:val="22"/>
        </w:rPr>
        <w:t xml:space="preserve"> a mais (137.422 ettari, che rappresentano il 22,8% del totale nazionale)</w:t>
      </w:r>
      <w:r w:rsidR="005B4039">
        <w:rPr>
          <w:rFonts w:cs="Arial"/>
          <w:iCs/>
          <w:noProof/>
          <w:szCs w:val="22"/>
        </w:rPr>
        <w:t>. I</w:t>
      </w:r>
      <w:r w:rsidRPr="00EA3589">
        <w:rPr>
          <w:rFonts w:cs="Arial"/>
          <w:iCs/>
          <w:noProof/>
          <w:szCs w:val="22"/>
        </w:rPr>
        <w:t>l Piemonte rappresenta la regione con la maggiore superficie investita a riso (oltre il 50% del totale nazionale).</w:t>
      </w:r>
    </w:p>
    <w:p w14:paraId="509D059B" w14:textId="4BB99989" w:rsidR="00811516" w:rsidRDefault="00811516" w:rsidP="00625B74">
      <w:pPr>
        <w:autoSpaceDE w:val="0"/>
        <w:autoSpaceDN w:val="0"/>
        <w:adjustRightInd w:val="0"/>
        <w:jc w:val="both"/>
        <w:rPr>
          <w:rFonts w:cs="Arial"/>
          <w:color w:val="000000" w:themeColor="text1"/>
          <w:szCs w:val="22"/>
        </w:rPr>
      </w:pPr>
    </w:p>
    <w:p w14:paraId="2A44061F" w14:textId="0EAB9594" w:rsidR="00625B74" w:rsidRDefault="00625B74" w:rsidP="00625B74">
      <w:pPr>
        <w:autoSpaceDE w:val="0"/>
        <w:autoSpaceDN w:val="0"/>
        <w:adjustRightInd w:val="0"/>
        <w:jc w:val="both"/>
        <w:rPr>
          <w:rFonts w:cs="Arial"/>
          <w:color w:val="000000" w:themeColor="text1"/>
          <w:szCs w:val="22"/>
        </w:rPr>
      </w:pPr>
    </w:p>
    <w:p w14:paraId="6795F8B9" w14:textId="7F73C69E" w:rsidR="00625B74" w:rsidRDefault="00625B74" w:rsidP="00625B74">
      <w:pPr>
        <w:autoSpaceDE w:val="0"/>
        <w:autoSpaceDN w:val="0"/>
        <w:adjustRightInd w:val="0"/>
        <w:jc w:val="both"/>
        <w:rPr>
          <w:rFonts w:cs="Arial"/>
          <w:color w:val="000000" w:themeColor="text1"/>
          <w:szCs w:val="22"/>
        </w:rPr>
      </w:pPr>
    </w:p>
    <w:p w14:paraId="17978D71" w14:textId="2C19ED36" w:rsidR="00625B74" w:rsidRDefault="00625B74" w:rsidP="00625B74">
      <w:pPr>
        <w:autoSpaceDE w:val="0"/>
        <w:autoSpaceDN w:val="0"/>
        <w:adjustRightInd w:val="0"/>
        <w:jc w:val="both"/>
        <w:rPr>
          <w:rFonts w:cs="Arial"/>
          <w:color w:val="000000" w:themeColor="text1"/>
          <w:szCs w:val="22"/>
        </w:rPr>
      </w:pPr>
    </w:p>
    <w:p w14:paraId="34CEED2A" w14:textId="016D43DF" w:rsidR="00625B74" w:rsidRDefault="00625B74" w:rsidP="00625B74">
      <w:pPr>
        <w:autoSpaceDE w:val="0"/>
        <w:autoSpaceDN w:val="0"/>
        <w:adjustRightInd w:val="0"/>
        <w:jc w:val="both"/>
        <w:rPr>
          <w:rFonts w:cs="Arial"/>
          <w:color w:val="000000" w:themeColor="text1"/>
          <w:szCs w:val="22"/>
        </w:rPr>
      </w:pPr>
    </w:p>
    <w:p w14:paraId="57D16CCB" w14:textId="73A38C97" w:rsidR="00625B74" w:rsidRDefault="00625B74" w:rsidP="00625B74">
      <w:pPr>
        <w:autoSpaceDE w:val="0"/>
        <w:autoSpaceDN w:val="0"/>
        <w:adjustRightInd w:val="0"/>
        <w:jc w:val="both"/>
        <w:rPr>
          <w:rFonts w:cs="Arial"/>
          <w:color w:val="000000" w:themeColor="text1"/>
          <w:szCs w:val="22"/>
        </w:rPr>
      </w:pPr>
    </w:p>
    <w:p w14:paraId="6455823A" w14:textId="1C552114" w:rsidR="00FD5707" w:rsidRDefault="00FD5707" w:rsidP="00625B74">
      <w:pPr>
        <w:autoSpaceDE w:val="0"/>
        <w:autoSpaceDN w:val="0"/>
        <w:adjustRightInd w:val="0"/>
        <w:jc w:val="both"/>
        <w:rPr>
          <w:rFonts w:cs="Arial"/>
          <w:color w:val="000000" w:themeColor="text1"/>
          <w:szCs w:val="22"/>
        </w:rPr>
      </w:pPr>
    </w:p>
    <w:p w14:paraId="08E2B344" w14:textId="2B596700" w:rsidR="00FD5707" w:rsidRDefault="00FD5707" w:rsidP="00625B74">
      <w:pPr>
        <w:autoSpaceDE w:val="0"/>
        <w:autoSpaceDN w:val="0"/>
        <w:adjustRightInd w:val="0"/>
        <w:jc w:val="both"/>
        <w:rPr>
          <w:rFonts w:cs="Arial"/>
          <w:color w:val="000000" w:themeColor="text1"/>
          <w:szCs w:val="22"/>
        </w:rPr>
      </w:pPr>
    </w:p>
    <w:p w14:paraId="1FD13721" w14:textId="383CB572" w:rsidR="00433444" w:rsidRPr="00304BC7" w:rsidRDefault="00433444" w:rsidP="00625B74">
      <w:pPr>
        <w:autoSpaceDE w:val="0"/>
        <w:autoSpaceDN w:val="0"/>
        <w:adjustRightInd w:val="0"/>
        <w:jc w:val="both"/>
        <w:rPr>
          <w:rFonts w:cs="Arial"/>
          <w:color w:val="000000" w:themeColor="text1"/>
          <w:sz w:val="44"/>
          <w:szCs w:val="44"/>
        </w:rPr>
      </w:pPr>
    </w:p>
    <w:p w14:paraId="0C09A2B2" w14:textId="38063934" w:rsidR="00433444" w:rsidRDefault="00433444" w:rsidP="00625B74">
      <w:pPr>
        <w:autoSpaceDE w:val="0"/>
        <w:autoSpaceDN w:val="0"/>
        <w:adjustRightInd w:val="0"/>
        <w:jc w:val="both"/>
        <w:rPr>
          <w:rFonts w:cs="Arial"/>
          <w:color w:val="000000" w:themeColor="text1"/>
          <w:szCs w:val="22"/>
        </w:rPr>
      </w:pPr>
    </w:p>
    <w:p w14:paraId="61CD5588" w14:textId="77777777" w:rsidR="00931189" w:rsidRPr="00931189" w:rsidRDefault="00931189" w:rsidP="00625B74">
      <w:pPr>
        <w:autoSpaceDE w:val="0"/>
        <w:autoSpaceDN w:val="0"/>
        <w:adjustRightInd w:val="0"/>
        <w:jc w:val="both"/>
        <w:rPr>
          <w:rFonts w:cs="Arial"/>
          <w:color w:val="000000" w:themeColor="text1"/>
          <w:sz w:val="16"/>
          <w:szCs w:val="16"/>
        </w:rPr>
      </w:pPr>
    </w:p>
    <w:p w14:paraId="4DC3C988" w14:textId="33966EE7" w:rsidR="00FD5707" w:rsidRDefault="00DF71D7" w:rsidP="00571245">
      <w:pPr>
        <w:spacing w:after="0"/>
        <w:jc w:val="both"/>
        <w:rPr>
          <w:rFonts w:ascii="Arial Narrow" w:hAnsi="Arial Narrow" w:cs="Arial"/>
          <w:color w:val="1F497D"/>
          <w:szCs w:val="22"/>
        </w:rPr>
      </w:pPr>
      <w:r w:rsidRPr="005371F5">
        <w:rPr>
          <w:rFonts w:ascii="Arial Black" w:hAnsi="Arial Black" w:cs="Arial"/>
          <w:iCs/>
          <w:noProof/>
          <w:color w:val="1F497D" w:themeColor="text2"/>
          <w:szCs w:val="22"/>
        </w:rPr>
        <w:t xml:space="preserve">FIGURA </w:t>
      </w:r>
      <w:r w:rsidR="00C87208">
        <w:rPr>
          <w:rFonts w:ascii="Arial Black" w:hAnsi="Arial Black" w:cs="Arial"/>
          <w:iCs/>
          <w:noProof/>
          <w:color w:val="1F497D" w:themeColor="text2"/>
          <w:szCs w:val="22"/>
        </w:rPr>
        <w:t>2</w:t>
      </w:r>
      <w:r>
        <w:rPr>
          <w:rFonts w:ascii="Arial Black" w:hAnsi="Arial Black" w:cs="Arial"/>
          <w:iCs/>
          <w:noProof/>
          <w:color w:val="1F497D" w:themeColor="text2"/>
          <w:szCs w:val="22"/>
        </w:rPr>
        <w:t>.</w:t>
      </w:r>
      <w:r w:rsidRPr="005371F5">
        <w:rPr>
          <w:rFonts w:ascii="Arial Black" w:hAnsi="Arial Black" w:cs="Arial"/>
          <w:iCs/>
          <w:noProof/>
          <w:color w:val="1F497D" w:themeColor="text2"/>
          <w:szCs w:val="22"/>
        </w:rPr>
        <w:t xml:space="preserve"> </w:t>
      </w:r>
      <w:r w:rsidR="00FD5707" w:rsidRPr="00571245">
        <w:rPr>
          <w:rFonts w:ascii="Arial Narrow" w:hAnsi="Arial Narrow" w:cs="Arial"/>
          <w:b/>
          <w:bCs/>
          <w:color w:val="1F497D"/>
          <w:szCs w:val="22"/>
        </w:rPr>
        <w:t>PESO RELATIVO DELLE SUPERFICI A CEREALI PER RIPARTIZIONE GEOGRAFICA</w:t>
      </w:r>
      <w:r w:rsidR="00FD5707">
        <w:rPr>
          <w:rFonts w:ascii="Arial Narrow" w:hAnsi="Arial Narrow" w:cs="Arial"/>
          <w:color w:val="1F497D"/>
          <w:szCs w:val="22"/>
        </w:rPr>
        <w:t>.</w:t>
      </w:r>
    </w:p>
    <w:p w14:paraId="09042F08" w14:textId="32A63E1D" w:rsidR="00033345" w:rsidRDefault="00FD5707" w:rsidP="00033345">
      <w:pPr>
        <w:spacing w:after="160"/>
        <w:jc w:val="both"/>
        <w:rPr>
          <w:rFonts w:ascii="Arial Narrow" w:hAnsi="Arial Narrow" w:cs="Arial"/>
          <w:color w:val="1F497D"/>
          <w:szCs w:val="22"/>
        </w:rPr>
      </w:pPr>
      <w:r>
        <w:rPr>
          <w:rFonts w:ascii="Arial Narrow" w:hAnsi="Arial Narrow" w:cs="Arial"/>
          <w:color w:val="1F497D"/>
          <w:szCs w:val="22"/>
        </w:rPr>
        <w:t xml:space="preserve">Anni </w:t>
      </w:r>
      <w:r w:rsidR="004240D5">
        <w:rPr>
          <w:rFonts w:ascii="Arial Narrow" w:hAnsi="Arial Narrow" w:cs="Arial"/>
          <w:color w:val="1F497D"/>
          <w:szCs w:val="22"/>
        </w:rPr>
        <w:t>2010 e 2020</w:t>
      </w:r>
      <w:r>
        <w:rPr>
          <w:rFonts w:ascii="Arial Narrow" w:hAnsi="Arial Narrow" w:cs="Arial"/>
          <w:color w:val="1F497D"/>
          <w:szCs w:val="22"/>
        </w:rPr>
        <w:t xml:space="preserve">, </w:t>
      </w:r>
      <w:r w:rsidRPr="00A650C9">
        <w:rPr>
          <w:rFonts w:ascii="Arial Narrow" w:hAnsi="Arial Narrow" w:cs="Arial"/>
          <w:color w:val="1F497D"/>
          <w:szCs w:val="22"/>
        </w:rPr>
        <w:t>valori percentuali</w:t>
      </w:r>
      <w:r>
        <w:rPr>
          <w:rFonts w:ascii="Arial Narrow" w:hAnsi="Arial Narrow" w:cs="Arial"/>
          <w:color w:val="1F497D"/>
          <w:szCs w:val="22"/>
        </w:rPr>
        <w:t xml:space="preserve"> </w:t>
      </w:r>
    </w:p>
    <w:p w14:paraId="2EA9B65A" w14:textId="086AAA97" w:rsidR="00DD348F" w:rsidRDefault="00DD348F" w:rsidP="00033345">
      <w:pPr>
        <w:spacing w:after="160"/>
        <w:jc w:val="both"/>
        <w:rPr>
          <w:rFonts w:ascii="Arial Narrow" w:hAnsi="Arial Narrow" w:cs="Arial"/>
          <w:color w:val="1F497D"/>
          <w:szCs w:val="22"/>
        </w:rPr>
      </w:pPr>
      <w:r>
        <w:rPr>
          <w:noProof/>
        </w:rPr>
        <w:drawing>
          <wp:inline distT="0" distB="0" distL="0" distR="0" wp14:anchorId="7F1F10EF" wp14:editId="65D995DC">
            <wp:extent cx="6300000" cy="2160000"/>
            <wp:effectExtent l="0" t="0" r="0" b="0"/>
            <wp:docPr id="3" name="Grafico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1EA24D" w14:textId="77777777" w:rsidR="009A1BAF" w:rsidRDefault="00D67CA7" w:rsidP="00B13234">
      <w:pPr>
        <w:rPr>
          <w:rFonts w:cs="Arial"/>
          <w:b/>
          <w:color w:val="1F497D" w:themeColor="text2"/>
          <w:sz w:val="26"/>
          <w:szCs w:val="26"/>
        </w:rPr>
      </w:pPr>
      <w:r>
        <w:rPr>
          <w:rFonts w:cs="Arial"/>
          <w:b/>
          <w:color w:val="1F497D" w:themeColor="text2"/>
          <w:sz w:val="26"/>
          <w:szCs w:val="26"/>
        </w:rPr>
        <w:br w:type="page"/>
      </w:r>
    </w:p>
    <w:p w14:paraId="2C2A062A" w14:textId="77777777" w:rsidR="009A1BAF" w:rsidRPr="00571245" w:rsidRDefault="009A1BAF" w:rsidP="00B13234">
      <w:pPr>
        <w:rPr>
          <w:rFonts w:cs="Arial"/>
          <w:bCs/>
          <w:color w:val="1F497D" w:themeColor="text2"/>
          <w:szCs w:val="22"/>
          <w:highlight w:val="green"/>
        </w:rPr>
      </w:pPr>
    </w:p>
    <w:p w14:paraId="2D8DDA1E" w14:textId="0B8AA235" w:rsidR="004A0030" w:rsidRDefault="005660BA" w:rsidP="00B13234">
      <w:pPr>
        <w:rPr>
          <w:rFonts w:cs="Arial"/>
          <w:b/>
          <w:color w:val="1F497D" w:themeColor="text2"/>
          <w:sz w:val="26"/>
          <w:szCs w:val="26"/>
        </w:rPr>
      </w:pPr>
      <w:r>
        <w:rPr>
          <w:rFonts w:cs="Arial"/>
          <w:b/>
          <w:color w:val="1F497D" w:themeColor="text2"/>
          <w:sz w:val="26"/>
          <w:szCs w:val="26"/>
        </w:rPr>
        <w:t>Aumenta la coltivazione di</w:t>
      </w:r>
      <w:r w:rsidR="00DA5902" w:rsidRPr="008D56D6">
        <w:rPr>
          <w:rFonts w:cs="Arial"/>
          <w:b/>
          <w:color w:val="1F497D" w:themeColor="text2"/>
          <w:sz w:val="26"/>
          <w:szCs w:val="26"/>
        </w:rPr>
        <w:t xml:space="preserve"> frumento duro</w:t>
      </w:r>
      <w:r>
        <w:rPr>
          <w:rFonts w:cs="Arial"/>
          <w:b/>
          <w:color w:val="1F497D" w:themeColor="text2"/>
          <w:sz w:val="26"/>
          <w:szCs w:val="26"/>
        </w:rPr>
        <w:t>, scende quella del</w:t>
      </w:r>
      <w:r w:rsidR="007000E1" w:rsidRPr="00571245">
        <w:rPr>
          <w:rFonts w:cs="Arial"/>
          <w:b/>
          <w:color w:val="1F497D" w:themeColor="text2"/>
          <w:sz w:val="26"/>
          <w:szCs w:val="26"/>
        </w:rPr>
        <w:t xml:space="preserve"> </w:t>
      </w:r>
      <w:r w:rsidR="00DA5902" w:rsidRPr="007000E1">
        <w:rPr>
          <w:rFonts w:cs="Arial"/>
          <w:b/>
          <w:color w:val="1F497D" w:themeColor="text2"/>
          <w:sz w:val="26"/>
          <w:szCs w:val="26"/>
        </w:rPr>
        <w:t>mais</w:t>
      </w:r>
    </w:p>
    <w:p w14:paraId="1336EFE8" w14:textId="02BF8C70" w:rsidR="00FE2CB6" w:rsidRDefault="007000E1" w:rsidP="00FE2CB6">
      <w:pPr>
        <w:jc w:val="both"/>
      </w:pPr>
      <w:r>
        <w:t xml:space="preserve">Nel confronto tra il 2010 e il 2020, </w:t>
      </w:r>
      <w:r w:rsidR="003210C0">
        <w:t xml:space="preserve">emergono decisi cambiamenti </w:t>
      </w:r>
      <w:r>
        <w:t>f</w:t>
      </w:r>
      <w:r w:rsidR="009A1BAF">
        <w:t>ra le</w:t>
      </w:r>
      <w:r w:rsidR="0017335E">
        <w:t xml:space="preserve"> varietà cerealicole, </w:t>
      </w:r>
      <w:r>
        <w:t xml:space="preserve">soprattutto nelle coltivazioni del </w:t>
      </w:r>
      <w:r w:rsidR="009A1BAF">
        <w:t xml:space="preserve">frumento duro e </w:t>
      </w:r>
      <w:r>
        <w:t>de</w:t>
      </w:r>
      <w:r w:rsidR="009A1BAF">
        <w:t xml:space="preserve">l </w:t>
      </w:r>
      <w:proofErr w:type="gramStart"/>
      <w:r w:rsidR="009A1BAF">
        <w:t xml:space="preserve">mais </w:t>
      </w:r>
      <w:r w:rsidR="00FE2CB6">
        <w:t>.</w:t>
      </w:r>
      <w:proofErr w:type="gramEnd"/>
    </w:p>
    <w:p w14:paraId="3D9E4DAE" w14:textId="3F81A823" w:rsidR="00FE2CB6" w:rsidRPr="00571245" w:rsidRDefault="00FE2CB6" w:rsidP="00FE2CB6">
      <w:pPr>
        <w:jc w:val="both"/>
      </w:pPr>
      <w:r>
        <w:t>Il frumento duro, infatt</w:t>
      </w:r>
      <w:r w:rsidR="00DA5902">
        <w:t xml:space="preserve">i, aumenta la sua incidenza </w:t>
      </w:r>
      <w:r w:rsidR="00B5312B">
        <w:t>sul complesso delle superfici cerealicole</w:t>
      </w:r>
      <w:r>
        <w:t xml:space="preserve">, passando dal 36,9% del 2010 al 40,3% del 2020. </w:t>
      </w:r>
      <w:r w:rsidR="00FF7C93">
        <w:t>La coltivazione de</w:t>
      </w:r>
      <w:r>
        <w:t>l mais, al contrario,</w:t>
      </w:r>
      <w:r w:rsidR="006618C3">
        <w:t xml:space="preserve"> </w:t>
      </w:r>
      <w:r w:rsidR="00FF7C93">
        <w:t xml:space="preserve">incide sempre meno </w:t>
      </w:r>
      <w:r>
        <w:t>sul total</w:t>
      </w:r>
      <w:r w:rsidR="00FF7C93">
        <w:t>e</w:t>
      </w:r>
      <w:r>
        <w:t xml:space="preserve"> dei cereali</w:t>
      </w:r>
      <w:r w:rsidR="00B13234">
        <w:t>:</w:t>
      </w:r>
      <w:r>
        <w:t xml:space="preserve"> </w:t>
      </w:r>
      <w:r w:rsidR="006618C3">
        <w:t xml:space="preserve">passa </w:t>
      </w:r>
      <w:r>
        <w:t>dal 26,7% al 20,1%</w:t>
      </w:r>
      <w:r w:rsidR="00E55B7A">
        <w:t>.</w:t>
      </w:r>
    </w:p>
    <w:p w14:paraId="7D16E11A" w14:textId="05B241A0" w:rsidR="00FE2CB6" w:rsidRDefault="00FE2CB6" w:rsidP="00FE2CB6">
      <w:pPr>
        <w:jc w:val="both"/>
      </w:pPr>
      <w:r>
        <w:t xml:space="preserve">Un discreto incremento </w:t>
      </w:r>
      <w:r w:rsidR="00B5312B">
        <w:t xml:space="preserve">caratterizza </w:t>
      </w:r>
      <w:r>
        <w:t>anche il frumento tenero</w:t>
      </w:r>
      <w:r w:rsidR="00677293">
        <w:t xml:space="preserve"> (</w:t>
      </w:r>
      <w:r>
        <w:t>dal 15,8% del 2010 al 16,7% del 2020</w:t>
      </w:r>
      <w:r w:rsidR="00677293">
        <w:t>)</w:t>
      </w:r>
      <w:r>
        <w:t xml:space="preserve"> e l’orzo</w:t>
      </w:r>
      <w:r w:rsidR="00677293">
        <w:t xml:space="preserve"> (</w:t>
      </w:r>
      <w:r>
        <w:t>dal 7,8% all’8,8%</w:t>
      </w:r>
      <w:r w:rsidR="00677293">
        <w:t>)</w:t>
      </w:r>
      <w:r>
        <w:t>. Non si registrano, invece</w:t>
      </w:r>
      <w:r w:rsidR="00B5312B">
        <w:t>,</w:t>
      </w:r>
      <w:r>
        <w:t xml:space="preserve"> variazioni significative per i restanti cereali, alcuni dei quali mantengono </w:t>
      </w:r>
      <w:r w:rsidR="00CE4F46">
        <w:t>incidenze</w:t>
      </w:r>
      <w:r w:rsidR="0016219D">
        <w:t xml:space="preserve"> simili a</w:t>
      </w:r>
      <w:r>
        <w:t xml:space="preserve"> quelli di </w:t>
      </w:r>
      <w:proofErr w:type="gramStart"/>
      <w:r>
        <w:t>10</w:t>
      </w:r>
      <w:proofErr w:type="gramEnd"/>
      <w:r>
        <w:t xml:space="preserve"> anni fa. </w:t>
      </w:r>
    </w:p>
    <w:p w14:paraId="1615BF21" w14:textId="638109AC" w:rsidR="005637B0" w:rsidRDefault="00677293" w:rsidP="00FE2CB6">
      <w:pPr>
        <w:jc w:val="both"/>
      </w:pPr>
      <w:r>
        <w:t>L</w:t>
      </w:r>
      <w:r w:rsidR="00FE2CB6">
        <w:t xml:space="preserve">a </w:t>
      </w:r>
      <w:r w:rsidR="00CE4F46">
        <w:t xml:space="preserve">Puglia </w:t>
      </w:r>
      <w:r>
        <w:t xml:space="preserve">è </w:t>
      </w:r>
      <w:r w:rsidR="00FE2CB6">
        <w:t xml:space="preserve">la regione che registra </w:t>
      </w:r>
      <w:r w:rsidR="00CE4F46">
        <w:t>la</w:t>
      </w:r>
      <w:r w:rsidR="00FE2CB6">
        <w:t xml:space="preserve"> maggior superficie</w:t>
      </w:r>
      <w:r w:rsidR="00CE4F46">
        <w:t xml:space="preserve"> investita</w:t>
      </w:r>
      <w:r>
        <w:t xml:space="preserve"> in frumento duro</w:t>
      </w:r>
      <w:r w:rsidR="00CE4F46">
        <w:t>:</w:t>
      </w:r>
      <w:r w:rsidR="00FE2CB6">
        <w:t xml:space="preserve"> </w:t>
      </w:r>
      <w:r>
        <w:t>nel</w:t>
      </w:r>
      <w:r w:rsidR="00B5312B">
        <w:t xml:space="preserve"> 2020,</w:t>
      </w:r>
      <w:r w:rsidR="00FE2CB6">
        <w:t xml:space="preserve"> </w:t>
      </w:r>
      <w:r w:rsidR="00CE4F46">
        <w:t>344.300 ettari</w:t>
      </w:r>
      <w:r>
        <w:t>,</w:t>
      </w:r>
      <w:r w:rsidR="00B5312B">
        <w:t xml:space="preserve"> </w:t>
      </w:r>
      <w:r>
        <w:t xml:space="preserve">conto i </w:t>
      </w:r>
      <w:r w:rsidR="00CE4F46">
        <w:t>283</w:t>
      </w:r>
      <w:r w:rsidR="0016219D">
        <w:t>.</w:t>
      </w:r>
      <w:r w:rsidR="00CE4F46">
        <w:t xml:space="preserve">870 ettari </w:t>
      </w:r>
      <w:r>
        <w:t>nel 2010</w:t>
      </w:r>
      <w:r w:rsidR="00CE4F46">
        <w:t>, anno in cui la Sicilia d</w:t>
      </w:r>
      <w:r w:rsidR="00B5312B">
        <w:t>etene</w:t>
      </w:r>
      <w:r>
        <w:t>va il primato della superficie (</w:t>
      </w:r>
      <w:r w:rsidR="00CE4F46">
        <w:t>301</w:t>
      </w:r>
      <w:r w:rsidR="0016219D">
        <w:t>.</w:t>
      </w:r>
      <w:r w:rsidR="00CE4F46">
        <w:t>821 ettari</w:t>
      </w:r>
      <w:r>
        <w:t>)</w:t>
      </w:r>
      <w:r w:rsidR="00CE4F46">
        <w:t>.</w:t>
      </w:r>
      <w:r w:rsidR="00FE2CB6">
        <w:t xml:space="preserve"> </w:t>
      </w:r>
    </w:p>
    <w:p w14:paraId="0A417B10" w14:textId="28962909" w:rsidR="00CE4F46" w:rsidRPr="00B5312B" w:rsidRDefault="00397766" w:rsidP="00FE2CB6">
      <w:pPr>
        <w:jc w:val="both"/>
        <w:rPr>
          <w:color w:val="000000" w:themeColor="text1"/>
        </w:rPr>
      </w:pPr>
      <w:r>
        <w:t>La crescente propensione a investire nella coltivazione di</w:t>
      </w:r>
      <w:r w:rsidR="0088296A" w:rsidRPr="0088296A">
        <w:t xml:space="preserve"> frumento duro</w:t>
      </w:r>
      <w:r w:rsidR="00D912BA" w:rsidRPr="0088296A">
        <w:t xml:space="preserve"> </w:t>
      </w:r>
      <w:r w:rsidR="005637B0" w:rsidRPr="0088296A">
        <w:t>p</w:t>
      </w:r>
      <w:r w:rsidR="005637B0" w:rsidRPr="00B5312B">
        <w:rPr>
          <w:color w:val="000000" w:themeColor="text1"/>
        </w:rPr>
        <w:t>uò essere ricondott</w:t>
      </w:r>
      <w:r>
        <w:rPr>
          <w:color w:val="000000" w:themeColor="text1"/>
        </w:rPr>
        <w:t>a</w:t>
      </w:r>
      <w:r w:rsidR="005637B0" w:rsidRPr="00B5312B">
        <w:rPr>
          <w:color w:val="000000" w:themeColor="text1"/>
        </w:rPr>
        <w:t xml:space="preserve"> all’a</w:t>
      </w:r>
      <w:r w:rsidR="00DC16D2" w:rsidRPr="00B5312B">
        <w:rPr>
          <w:color w:val="000000" w:themeColor="text1"/>
        </w:rPr>
        <w:t>umento dei prezzi</w:t>
      </w:r>
      <w:r w:rsidR="005637B0" w:rsidRPr="00B5312B">
        <w:rPr>
          <w:color w:val="000000" w:themeColor="text1"/>
        </w:rPr>
        <w:t xml:space="preserve"> </w:t>
      </w:r>
      <w:r>
        <w:rPr>
          <w:color w:val="000000" w:themeColor="text1"/>
        </w:rPr>
        <w:t>dovuto</w:t>
      </w:r>
      <w:r w:rsidR="005637B0" w:rsidRPr="00B5312B">
        <w:rPr>
          <w:color w:val="000000" w:themeColor="text1"/>
        </w:rPr>
        <w:t xml:space="preserve">, a livello </w:t>
      </w:r>
      <w:r>
        <w:rPr>
          <w:color w:val="000000" w:themeColor="text1"/>
        </w:rPr>
        <w:t xml:space="preserve">sia </w:t>
      </w:r>
      <w:r w:rsidR="005637B0" w:rsidRPr="00B5312B">
        <w:rPr>
          <w:color w:val="000000" w:themeColor="text1"/>
        </w:rPr>
        <w:t>nazionale sia mondiale</w:t>
      </w:r>
      <w:r>
        <w:rPr>
          <w:color w:val="000000" w:themeColor="text1"/>
        </w:rPr>
        <w:t>, alla scarsità del</w:t>
      </w:r>
      <w:r w:rsidR="005637B0" w:rsidRPr="00B5312B">
        <w:rPr>
          <w:color w:val="000000" w:themeColor="text1"/>
        </w:rPr>
        <w:t>l</w:t>
      </w:r>
      <w:r w:rsidR="00DC16D2" w:rsidRPr="00B5312B">
        <w:rPr>
          <w:color w:val="000000" w:themeColor="text1"/>
        </w:rPr>
        <w:t xml:space="preserve">’offerta </w:t>
      </w:r>
      <w:r>
        <w:rPr>
          <w:color w:val="000000" w:themeColor="text1"/>
        </w:rPr>
        <w:t xml:space="preserve">rispetto alla </w:t>
      </w:r>
      <w:r w:rsidR="00DC16D2" w:rsidRPr="00B5312B">
        <w:rPr>
          <w:color w:val="000000" w:themeColor="text1"/>
        </w:rPr>
        <w:t>domanda</w:t>
      </w:r>
      <w:r w:rsidR="005637B0" w:rsidRPr="00B5312B">
        <w:rPr>
          <w:color w:val="000000" w:themeColor="text1"/>
        </w:rPr>
        <w:t>.</w:t>
      </w:r>
      <w:r w:rsidR="00B13234">
        <w:rPr>
          <w:color w:val="000000" w:themeColor="text1"/>
        </w:rPr>
        <w:t xml:space="preserve"> Questa tendenza</w:t>
      </w:r>
      <w:r w:rsidR="005637B0" w:rsidRPr="00B5312B">
        <w:rPr>
          <w:color w:val="000000" w:themeColor="text1"/>
        </w:rPr>
        <w:t xml:space="preserve"> </w:t>
      </w:r>
      <w:r w:rsidR="00D912BA">
        <w:rPr>
          <w:color w:val="000000" w:themeColor="text1"/>
        </w:rPr>
        <w:t xml:space="preserve">sembra </w:t>
      </w:r>
      <w:r w:rsidR="005637B0" w:rsidRPr="00B5312B">
        <w:rPr>
          <w:color w:val="000000" w:themeColor="text1"/>
        </w:rPr>
        <w:t>confermat</w:t>
      </w:r>
      <w:r w:rsidR="00B13234">
        <w:rPr>
          <w:color w:val="000000" w:themeColor="text1"/>
        </w:rPr>
        <w:t>a</w:t>
      </w:r>
      <w:r w:rsidR="005637B0" w:rsidRPr="00B5312B">
        <w:rPr>
          <w:color w:val="000000" w:themeColor="text1"/>
        </w:rPr>
        <w:t xml:space="preserve"> anche </w:t>
      </w:r>
      <w:r>
        <w:rPr>
          <w:color w:val="000000" w:themeColor="text1"/>
        </w:rPr>
        <w:t>nelle</w:t>
      </w:r>
      <w:r w:rsidR="00D912BA">
        <w:rPr>
          <w:color w:val="000000" w:themeColor="text1"/>
        </w:rPr>
        <w:t xml:space="preserve"> </w:t>
      </w:r>
      <w:r w:rsidR="001F3FE0">
        <w:rPr>
          <w:color w:val="000000" w:themeColor="text1"/>
        </w:rPr>
        <w:t>previsioni</w:t>
      </w:r>
      <w:r w:rsidR="00D912BA">
        <w:rPr>
          <w:color w:val="000000" w:themeColor="text1"/>
        </w:rPr>
        <w:t xml:space="preserve"> di semina per l’annata agraria 2020-2021.</w:t>
      </w:r>
    </w:p>
    <w:p w14:paraId="3D9E9FAC" w14:textId="0B050480" w:rsidR="00DA5902" w:rsidRPr="00B5312B" w:rsidRDefault="00FE2CB6" w:rsidP="00DA5902">
      <w:pPr>
        <w:jc w:val="both"/>
        <w:rPr>
          <w:color w:val="000000" w:themeColor="text1"/>
        </w:rPr>
      </w:pPr>
      <w:r w:rsidRPr="00B5312B">
        <w:rPr>
          <w:color w:val="000000" w:themeColor="text1"/>
        </w:rPr>
        <w:t xml:space="preserve">Per quanto riguarda il mais, invece, </w:t>
      </w:r>
      <w:r w:rsidR="008C6BB6" w:rsidRPr="00B5312B">
        <w:rPr>
          <w:color w:val="000000" w:themeColor="text1"/>
        </w:rPr>
        <w:t xml:space="preserve">risultano significative le riduzioni di superficie </w:t>
      </w:r>
      <w:r w:rsidR="003210C0">
        <w:rPr>
          <w:color w:val="000000" w:themeColor="text1"/>
        </w:rPr>
        <w:t>in</w:t>
      </w:r>
      <w:r w:rsidR="008C6BB6" w:rsidRPr="00B5312B">
        <w:rPr>
          <w:color w:val="000000" w:themeColor="text1"/>
        </w:rPr>
        <w:t xml:space="preserve"> Lombardia </w:t>
      </w:r>
      <w:r w:rsidR="00397766">
        <w:rPr>
          <w:color w:val="000000" w:themeColor="text1"/>
        </w:rPr>
        <w:t>(</w:t>
      </w:r>
      <w:r w:rsidR="00397766" w:rsidRPr="00B5312B">
        <w:rPr>
          <w:color w:val="000000" w:themeColor="text1"/>
        </w:rPr>
        <w:t>da 22</w:t>
      </w:r>
      <w:r w:rsidR="00397766">
        <w:rPr>
          <w:color w:val="000000" w:themeColor="text1"/>
        </w:rPr>
        <w:t>1mila</w:t>
      </w:r>
      <w:r w:rsidR="00397766" w:rsidRPr="00B5312B">
        <w:rPr>
          <w:color w:val="000000" w:themeColor="text1"/>
        </w:rPr>
        <w:t xml:space="preserve"> ettari nel 2010 a 13</w:t>
      </w:r>
      <w:r w:rsidR="00397766">
        <w:rPr>
          <w:color w:val="000000" w:themeColor="text1"/>
        </w:rPr>
        <w:t>7mila</w:t>
      </w:r>
      <w:r w:rsidR="00397766" w:rsidRPr="00B5312B">
        <w:rPr>
          <w:color w:val="000000" w:themeColor="text1"/>
        </w:rPr>
        <w:t xml:space="preserve"> ettari nel 2020</w:t>
      </w:r>
      <w:r w:rsidR="00397766">
        <w:rPr>
          <w:color w:val="000000" w:themeColor="text1"/>
        </w:rPr>
        <w:t>)</w:t>
      </w:r>
      <w:r w:rsidR="00397766" w:rsidRPr="00B5312B">
        <w:rPr>
          <w:color w:val="000000" w:themeColor="text1"/>
        </w:rPr>
        <w:t xml:space="preserve"> </w:t>
      </w:r>
      <w:r w:rsidR="008C6BB6" w:rsidRPr="00B5312B">
        <w:rPr>
          <w:color w:val="000000" w:themeColor="text1"/>
        </w:rPr>
        <w:t xml:space="preserve">e </w:t>
      </w:r>
      <w:r w:rsidR="003210C0">
        <w:rPr>
          <w:color w:val="000000" w:themeColor="text1"/>
        </w:rPr>
        <w:t xml:space="preserve">nel </w:t>
      </w:r>
      <w:r w:rsidR="008C6BB6" w:rsidRPr="00B5312B">
        <w:rPr>
          <w:color w:val="000000" w:themeColor="text1"/>
        </w:rPr>
        <w:t>Veneto</w:t>
      </w:r>
      <w:r w:rsidR="00397766">
        <w:rPr>
          <w:color w:val="000000" w:themeColor="text1"/>
        </w:rPr>
        <w:t xml:space="preserve"> (</w:t>
      </w:r>
      <w:r w:rsidR="008C6BB6" w:rsidRPr="00B5312B">
        <w:rPr>
          <w:color w:val="000000" w:themeColor="text1"/>
        </w:rPr>
        <w:t>da 229</w:t>
      </w:r>
      <w:r w:rsidR="00C650AE">
        <w:rPr>
          <w:color w:val="000000" w:themeColor="text1"/>
        </w:rPr>
        <w:t>mi</w:t>
      </w:r>
      <w:r w:rsidR="00C96D78">
        <w:rPr>
          <w:color w:val="000000" w:themeColor="text1"/>
        </w:rPr>
        <w:t>la</w:t>
      </w:r>
      <w:r w:rsidR="008C6BB6" w:rsidRPr="00B5312B">
        <w:rPr>
          <w:color w:val="000000" w:themeColor="text1"/>
        </w:rPr>
        <w:t xml:space="preserve"> ettari a 15</w:t>
      </w:r>
      <w:r w:rsidR="00C96D78">
        <w:rPr>
          <w:color w:val="000000" w:themeColor="text1"/>
        </w:rPr>
        <w:t>4</w:t>
      </w:r>
      <w:r w:rsidR="00DB11F7">
        <w:rPr>
          <w:color w:val="000000" w:themeColor="text1"/>
        </w:rPr>
        <w:t xml:space="preserve">mila </w:t>
      </w:r>
      <w:r w:rsidR="008C6BB6" w:rsidRPr="00B5312B">
        <w:rPr>
          <w:color w:val="000000" w:themeColor="text1"/>
        </w:rPr>
        <w:t>ettari</w:t>
      </w:r>
      <w:r w:rsidR="00397766">
        <w:rPr>
          <w:color w:val="000000" w:themeColor="text1"/>
        </w:rPr>
        <w:t>)</w:t>
      </w:r>
      <w:r w:rsidRPr="00B5312B">
        <w:rPr>
          <w:color w:val="000000" w:themeColor="text1"/>
        </w:rPr>
        <w:t>.</w:t>
      </w:r>
      <w:r w:rsidR="00697885">
        <w:rPr>
          <w:color w:val="000000" w:themeColor="text1"/>
        </w:rPr>
        <w:t xml:space="preserve"> </w:t>
      </w:r>
      <w:r w:rsidR="003210C0">
        <w:rPr>
          <w:color w:val="000000" w:themeColor="text1"/>
        </w:rPr>
        <w:t>In dieci anni</w:t>
      </w:r>
      <w:r w:rsidR="00697885">
        <w:rPr>
          <w:color w:val="000000" w:themeColor="text1"/>
        </w:rPr>
        <w:t xml:space="preserve">, a </w:t>
      </w:r>
      <w:r w:rsidR="00DC16D2" w:rsidRPr="00B5312B">
        <w:rPr>
          <w:color w:val="000000" w:themeColor="text1"/>
        </w:rPr>
        <w:t>livello nazionale</w:t>
      </w:r>
      <w:r w:rsidR="00B5312B">
        <w:rPr>
          <w:color w:val="000000" w:themeColor="text1"/>
        </w:rPr>
        <w:t>,</w:t>
      </w:r>
      <w:r w:rsidR="00DC16D2" w:rsidRPr="00B5312B">
        <w:rPr>
          <w:color w:val="000000" w:themeColor="text1"/>
        </w:rPr>
        <w:t xml:space="preserve"> </w:t>
      </w:r>
      <w:r w:rsidR="003210C0">
        <w:rPr>
          <w:color w:val="000000" w:themeColor="text1"/>
        </w:rPr>
        <w:t>il calo</w:t>
      </w:r>
      <w:r w:rsidR="00DC16D2" w:rsidRPr="00B5312B">
        <w:rPr>
          <w:color w:val="000000" w:themeColor="text1"/>
        </w:rPr>
        <w:t xml:space="preserve"> della superficie </w:t>
      </w:r>
      <w:r w:rsidR="00B5312B" w:rsidRPr="0088296A">
        <w:t xml:space="preserve">a mais </w:t>
      </w:r>
      <w:r w:rsidR="00697885">
        <w:t xml:space="preserve">è </w:t>
      </w:r>
      <w:r w:rsidR="00DC16D2" w:rsidRPr="00B5312B">
        <w:rPr>
          <w:color w:val="000000" w:themeColor="text1"/>
        </w:rPr>
        <w:t>del 35% (da 92</w:t>
      </w:r>
      <w:r w:rsidR="00C96D78">
        <w:rPr>
          <w:color w:val="000000" w:themeColor="text1"/>
        </w:rPr>
        <w:t>7</w:t>
      </w:r>
      <w:r w:rsidR="00BE7301">
        <w:rPr>
          <w:color w:val="000000" w:themeColor="text1"/>
        </w:rPr>
        <w:t>mila</w:t>
      </w:r>
      <w:r w:rsidR="00DC16D2" w:rsidRPr="00B5312B">
        <w:rPr>
          <w:color w:val="000000" w:themeColor="text1"/>
        </w:rPr>
        <w:t xml:space="preserve"> ettari a 60</w:t>
      </w:r>
      <w:r w:rsidR="00C96D78">
        <w:rPr>
          <w:color w:val="000000" w:themeColor="text1"/>
        </w:rPr>
        <w:t>3</w:t>
      </w:r>
      <w:r w:rsidR="00BE7301">
        <w:rPr>
          <w:color w:val="000000" w:themeColor="text1"/>
        </w:rPr>
        <w:t>mila</w:t>
      </w:r>
      <w:r w:rsidR="00DC16D2" w:rsidRPr="00B5312B">
        <w:rPr>
          <w:color w:val="000000" w:themeColor="text1"/>
        </w:rPr>
        <w:t xml:space="preserve"> ettari). Nonostante il mais rappresenti la prima coltura cerealicola naziona</w:t>
      </w:r>
      <w:r w:rsidR="00B5312B">
        <w:rPr>
          <w:color w:val="000000" w:themeColor="text1"/>
        </w:rPr>
        <w:t xml:space="preserve">le in termini di produzione e per livello di </w:t>
      </w:r>
      <w:r w:rsidR="00DC16D2" w:rsidRPr="00B5312B">
        <w:rPr>
          <w:color w:val="000000" w:themeColor="text1"/>
        </w:rPr>
        <w:t>res</w:t>
      </w:r>
      <w:r w:rsidR="00B5312B">
        <w:rPr>
          <w:color w:val="000000" w:themeColor="text1"/>
        </w:rPr>
        <w:t>a produttiva per ettaro</w:t>
      </w:r>
      <w:r w:rsidR="00DC16D2" w:rsidRPr="00B5312B">
        <w:rPr>
          <w:color w:val="000000" w:themeColor="text1"/>
        </w:rPr>
        <w:t xml:space="preserve">, il settore maidicolo </w:t>
      </w:r>
      <w:r w:rsidR="00697885">
        <w:rPr>
          <w:color w:val="000000" w:themeColor="text1"/>
        </w:rPr>
        <w:t>ha perso progressivamente</w:t>
      </w:r>
      <w:r w:rsidR="00DC16D2" w:rsidRPr="00B5312B">
        <w:rPr>
          <w:color w:val="000000" w:themeColor="text1"/>
        </w:rPr>
        <w:t xml:space="preserve"> competitività </w:t>
      </w:r>
      <w:r w:rsidR="00697885">
        <w:rPr>
          <w:color w:val="000000" w:themeColor="text1"/>
        </w:rPr>
        <w:t>a causa di</w:t>
      </w:r>
      <w:r w:rsidR="00DC16D2" w:rsidRPr="00B5312B">
        <w:rPr>
          <w:color w:val="000000" w:themeColor="text1"/>
        </w:rPr>
        <w:t xml:space="preserve"> una serie di criticità convergenti: la con</w:t>
      </w:r>
      <w:r w:rsidR="00B5312B">
        <w:rPr>
          <w:color w:val="000000" w:themeColor="text1"/>
        </w:rPr>
        <w:t>trazione dei prezzi, gli</w:t>
      </w:r>
      <w:r w:rsidR="00DC16D2" w:rsidRPr="00B5312B">
        <w:rPr>
          <w:color w:val="000000" w:themeColor="text1"/>
        </w:rPr>
        <w:t xml:space="preserve"> elevati costi fissi e il maggiore rischio sanitario a cui sono esposte tali colture che incide anche sulla componente variabile dei costi.</w:t>
      </w:r>
    </w:p>
    <w:p w14:paraId="2EBF47D4" w14:textId="5C452ECF" w:rsidR="00FC76AB" w:rsidRPr="00571245" w:rsidRDefault="00FC76AB" w:rsidP="00033345">
      <w:pPr>
        <w:jc w:val="both"/>
        <w:rPr>
          <w:rFonts w:cs="Arial"/>
          <w:iCs/>
          <w:noProof/>
          <w:szCs w:val="22"/>
        </w:rPr>
      </w:pPr>
    </w:p>
    <w:p w14:paraId="34AE99E8" w14:textId="00BA12B8" w:rsidR="003B0F79" w:rsidRPr="00571245" w:rsidRDefault="003B0F79" w:rsidP="00033345">
      <w:pPr>
        <w:jc w:val="both"/>
        <w:rPr>
          <w:rFonts w:cs="Arial"/>
          <w:iCs/>
          <w:noProof/>
          <w:szCs w:val="22"/>
        </w:rPr>
      </w:pPr>
    </w:p>
    <w:p w14:paraId="7D6CC0E1" w14:textId="58B1D583" w:rsidR="003B0F79" w:rsidRPr="00571245" w:rsidRDefault="003B0F79" w:rsidP="00033345">
      <w:pPr>
        <w:jc w:val="both"/>
        <w:rPr>
          <w:rFonts w:cs="Arial"/>
          <w:iCs/>
          <w:noProof/>
          <w:szCs w:val="22"/>
        </w:rPr>
      </w:pPr>
    </w:p>
    <w:p w14:paraId="3A16519A" w14:textId="06C32462" w:rsidR="003B0F79" w:rsidRPr="00571245" w:rsidRDefault="003B0F79" w:rsidP="00033345">
      <w:pPr>
        <w:jc w:val="both"/>
        <w:rPr>
          <w:rFonts w:cs="Arial"/>
          <w:iCs/>
          <w:noProof/>
          <w:szCs w:val="22"/>
        </w:rPr>
      </w:pPr>
    </w:p>
    <w:p w14:paraId="0757664C" w14:textId="0369F32F" w:rsidR="003B0F79" w:rsidRDefault="003B0F79" w:rsidP="00033345">
      <w:pPr>
        <w:jc w:val="both"/>
        <w:rPr>
          <w:rFonts w:cs="Arial"/>
          <w:iCs/>
          <w:noProof/>
          <w:szCs w:val="22"/>
        </w:rPr>
      </w:pPr>
    </w:p>
    <w:p w14:paraId="381A0079" w14:textId="3B38C247" w:rsidR="0088296A" w:rsidRDefault="0088296A" w:rsidP="00571245">
      <w:pPr>
        <w:jc w:val="both"/>
        <w:rPr>
          <w:rFonts w:cs="Arial"/>
          <w:iCs/>
          <w:noProof/>
          <w:szCs w:val="22"/>
        </w:rPr>
      </w:pPr>
    </w:p>
    <w:p w14:paraId="0B81F7A3" w14:textId="1405D387" w:rsidR="008D7EA4" w:rsidRDefault="008D7EA4" w:rsidP="00571245">
      <w:pPr>
        <w:jc w:val="both"/>
        <w:rPr>
          <w:rFonts w:cs="Arial"/>
          <w:iCs/>
          <w:noProof/>
          <w:szCs w:val="22"/>
        </w:rPr>
      </w:pPr>
    </w:p>
    <w:p w14:paraId="3E909512" w14:textId="4BB3A1C4" w:rsidR="008D7EA4" w:rsidRDefault="008D7EA4" w:rsidP="00571245">
      <w:pPr>
        <w:jc w:val="both"/>
        <w:rPr>
          <w:rFonts w:cs="Arial"/>
          <w:iCs/>
          <w:noProof/>
          <w:szCs w:val="22"/>
        </w:rPr>
      </w:pPr>
    </w:p>
    <w:p w14:paraId="4551A7F5" w14:textId="77777777" w:rsidR="008D7EA4" w:rsidRDefault="008D7EA4" w:rsidP="00571245">
      <w:pPr>
        <w:jc w:val="both"/>
        <w:rPr>
          <w:rFonts w:cs="Arial"/>
          <w:iCs/>
          <w:noProof/>
          <w:szCs w:val="22"/>
        </w:rPr>
      </w:pPr>
    </w:p>
    <w:p w14:paraId="4A93CBF2" w14:textId="0A4A4FE4" w:rsidR="00142AC2" w:rsidRDefault="0007220C" w:rsidP="00571245">
      <w:pPr>
        <w:spacing w:after="0"/>
        <w:jc w:val="both"/>
        <w:rPr>
          <w:rFonts w:ascii="Arial Narrow" w:hAnsi="Arial Narrow" w:cs="Arial"/>
          <w:color w:val="1F497D" w:themeColor="text2"/>
          <w:szCs w:val="22"/>
        </w:rPr>
      </w:pPr>
      <w:r w:rsidRPr="005371F5">
        <w:rPr>
          <w:rFonts w:ascii="Arial Black" w:hAnsi="Arial Black" w:cs="Arial"/>
          <w:iCs/>
          <w:noProof/>
          <w:color w:val="1F497D" w:themeColor="text2"/>
          <w:szCs w:val="22"/>
        </w:rPr>
        <w:t xml:space="preserve">FIGURA </w:t>
      </w:r>
      <w:r w:rsidR="00C87208">
        <w:rPr>
          <w:rFonts w:ascii="Arial Black" w:hAnsi="Arial Black" w:cs="Arial"/>
          <w:iCs/>
          <w:noProof/>
          <w:color w:val="1F497D" w:themeColor="text2"/>
          <w:szCs w:val="22"/>
        </w:rPr>
        <w:t>3</w:t>
      </w:r>
      <w:r w:rsidR="00C70D83">
        <w:rPr>
          <w:rFonts w:ascii="Arial Black" w:hAnsi="Arial Black" w:cs="Arial"/>
          <w:iCs/>
          <w:noProof/>
          <w:color w:val="1F497D" w:themeColor="text2"/>
          <w:szCs w:val="22"/>
        </w:rPr>
        <w:t>.</w:t>
      </w:r>
      <w:r w:rsidR="00033345">
        <w:rPr>
          <w:rFonts w:ascii="Arial Black" w:hAnsi="Arial Black" w:cs="Arial"/>
          <w:iCs/>
          <w:noProof/>
          <w:color w:val="1F497D" w:themeColor="text2"/>
          <w:szCs w:val="22"/>
        </w:rPr>
        <w:t xml:space="preserve"> </w:t>
      </w:r>
      <w:r w:rsidR="00142AC2" w:rsidRPr="00571245">
        <w:rPr>
          <w:rFonts w:ascii="Arial Narrow" w:hAnsi="Arial Narrow" w:cs="Arial"/>
          <w:b/>
          <w:bCs/>
          <w:color w:val="1F497D" w:themeColor="text2"/>
          <w:szCs w:val="22"/>
        </w:rPr>
        <w:t>SUPERFICI DI DIVERSE SPECIE CEREALICOLE SUL TOTALE DELLE SUPERFICI A CEREALI</w:t>
      </w:r>
      <w:r w:rsidR="00F02274" w:rsidRPr="00792FA8">
        <w:rPr>
          <w:color w:val="1F497D"/>
          <w:sz w:val="18"/>
          <w:szCs w:val="18"/>
          <w:vertAlign w:val="superscript"/>
        </w:rPr>
        <w:t>(a)</w:t>
      </w:r>
      <w:r w:rsidR="00142AC2">
        <w:rPr>
          <w:rFonts w:ascii="Arial Narrow" w:hAnsi="Arial Narrow" w:cs="Arial"/>
          <w:color w:val="1F497D" w:themeColor="text2"/>
          <w:szCs w:val="22"/>
        </w:rPr>
        <w:t>.</w:t>
      </w:r>
    </w:p>
    <w:p w14:paraId="0B526D4B" w14:textId="150E34CB" w:rsidR="00581A95" w:rsidRDefault="00142AC2" w:rsidP="00571245">
      <w:pPr>
        <w:spacing w:after="0"/>
        <w:jc w:val="both"/>
        <w:rPr>
          <w:rFonts w:ascii="Arial Narrow" w:hAnsi="Arial Narrow" w:cs="Arial"/>
          <w:color w:val="1F497D" w:themeColor="text2"/>
          <w:szCs w:val="22"/>
        </w:rPr>
      </w:pPr>
      <w:r>
        <w:rPr>
          <w:rFonts w:ascii="Arial Narrow" w:hAnsi="Arial Narrow" w:cs="Arial"/>
          <w:color w:val="1F497D" w:themeColor="text2"/>
          <w:szCs w:val="22"/>
        </w:rPr>
        <w:t>Anni</w:t>
      </w:r>
      <w:r w:rsidR="0063417F" w:rsidRPr="00142AC2">
        <w:rPr>
          <w:rFonts w:ascii="Arial Narrow" w:hAnsi="Arial Narrow" w:cs="Arial"/>
          <w:color w:val="1F497D" w:themeColor="text2"/>
          <w:szCs w:val="22"/>
        </w:rPr>
        <w:t xml:space="preserve"> 2010 e 2020</w:t>
      </w:r>
      <w:r w:rsidR="00202E3D">
        <w:rPr>
          <w:rFonts w:ascii="Arial Narrow" w:hAnsi="Arial Narrow" w:cs="Arial"/>
          <w:color w:val="1F497D" w:themeColor="text2"/>
          <w:szCs w:val="22"/>
        </w:rPr>
        <w:t>,</w:t>
      </w:r>
      <w:r>
        <w:rPr>
          <w:rFonts w:ascii="Arial Narrow" w:hAnsi="Arial Narrow" w:cs="Arial"/>
          <w:color w:val="1F497D" w:themeColor="text2"/>
          <w:szCs w:val="22"/>
        </w:rPr>
        <w:t xml:space="preserve"> </w:t>
      </w:r>
      <w:r w:rsidR="00202E3D">
        <w:rPr>
          <w:rFonts w:ascii="Arial Narrow" w:hAnsi="Arial Narrow" w:cs="Arial"/>
          <w:color w:val="1F497D" w:themeColor="text2"/>
          <w:szCs w:val="22"/>
        </w:rPr>
        <w:t>i</w:t>
      </w:r>
      <w:r>
        <w:rPr>
          <w:rFonts w:ascii="Arial Narrow" w:hAnsi="Arial Narrow" w:cs="Arial"/>
          <w:color w:val="1F497D" w:themeColor="text2"/>
          <w:szCs w:val="22"/>
        </w:rPr>
        <w:t>ncidenza percentuale</w:t>
      </w:r>
    </w:p>
    <w:p w14:paraId="5D0C0BE9" w14:textId="4464811B" w:rsidR="00CE6C14" w:rsidRDefault="00CE6C14" w:rsidP="00571245">
      <w:pPr>
        <w:spacing w:after="0"/>
        <w:jc w:val="both"/>
        <w:rPr>
          <w:rFonts w:ascii="Arial Narrow" w:hAnsi="Arial Narrow" w:cs="Arial"/>
          <w:color w:val="1F497D" w:themeColor="text2"/>
          <w:szCs w:val="22"/>
        </w:rPr>
      </w:pPr>
      <w:r>
        <w:rPr>
          <w:noProof/>
        </w:rPr>
        <w:drawing>
          <wp:inline distT="0" distB="0" distL="0" distR="0" wp14:anchorId="5EB9BB74" wp14:editId="16593865">
            <wp:extent cx="6300000" cy="2160000"/>
            <wp:effectExtent l="0" t="0" r="5715" b="0"/>
            <wp:docPr id="6" name="Grafico 6">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ED3176" w14:textId="1BD0A37C" w:rsidR="00912736" w:rsidRPr="00571245" w:rsidRDefault="00581A95" w:rsidP="00D67CA7">
      <w:pPr>
        <w:rPr>
          <w:rFonts w:ascii="Arial Narrow" w:hAnsi="Arial Narrow"/>
          <w:sz w:val="15"/>
          <w:szCs w:val="15"/>
        </w:rPr>
      </w:pPr>
      <w:r w:rsidRPr="00571245">
        <w:rPr>
          <w:rFonts w:ascii="Arial Narrow" w:hAnsi="Arial Narrow"/>
          <w:sz w:val="15"/>
          <w:szCs w:val="15"/>
        </w:rPr>
        <w:t xml:space="preserve">(a) Gli “Altri </w:t>
      </w:r>
      <w:proofErr w:type="gramStart"/>
      <w:r w:rsidRPr="00571245">
        <w:rPr>
          <w:rFonts w:ascii="Arial Narrow" w:hAnsi="Arial Narrow"/>
          <w:sz w:val="15"/>
          <w:szCs w:val="15"/>
        </w:rPr>
        <w:t>cereali“ comprendono</w:t>
      </w:r>
      <w:proofErr w:type="gramEnd"/>
      <w:r w:rsidRPr="00571245">
        <w:rPr>
          <w:rFonts w:ascii="Arial Narrow" w:hAnsi="Arial Narrow"/>
          <w:sz w:val="15"/>
          <w:szCs w:val="15"/>
        </w:rPr>
        <w:t xml:space="preserve"> le superfici investite a farro, grano saraceno, miglio, panico, scagliola ed altre tipologie minori</w:t>
      </w:r>
    </w:p>
    <w:p w14:paraId="498F73FA" w14:textId="4490F6F1" w:rsidR="00581A95" w:rsidRDefault="00581A95">
      <w:pPr>
        <w:spacing w:after="0"/>
        <w:rPr>
          <w:sz w:val="16"/>
          <w:szCs w:val="16"/>
        </w:rPr>
      </w:pPr>
      <w:r>
        <w:rPr>
          <w:sz w:val="16"/>
          <w:szCs w:val="16"/>
        </w:rPr>
        <w:br w:type="page"/>
      </w:r>
    </w:p>
    <w:p w14:paraId="0B1C35B7" w14:textId="77777777" w:rsidR="008D56D6" w:rsidRPr="00571245" w:rsidRDefault="008D56D6" w:rsidP="00D67CA7">
      <w:pPr>
        <w:rPr>
          <w:szCs w:val="22"/>
        </w:rPr>
      </w:pPr>
    </w:p>
    <w:p w14:paraId="4A5ECB50" w14:textId="3E46C73A" w:rsidR="00033345" w:rsidRDefault="005660BA" w:rsidP="00033345">
      <w:pPr>
        <w:rPr>
          <w:rFonts w:cs="Arial"/>
          <w:b/>
          <w:color w:val="1F497D" w:themeColor="text2"/>
          <w:sz w:val="26"/>
          <w:szCs w:val="26"/>
        </w:rPr>
      </w:pPr>
      <w:r w:rsidRPr="00571245">
        <w:rPr>
          <w:rFonts w:cs="Arial"/>
          <w:b/>
          <w:color w:val="1F497D" w:themeColor="text2"/>
          <w:sz w:val="26"/>
          <w:szCs w:val="26"/>
        </w:rPr>
        <w:t xml:space="preserve">In </w:t>
      </w:r>
      <w:r>
        <w:rPr>
          <w:rFonts w:cs="Arial"/>
          <w:b/>
          <w:color w:val="1F497D" w:themeColor="text2"/>
          <w:sz w:val="26"/>
          <w:szCs w:val="26"/>
        </w:rPr>
        <w:t>cresc</w:t>
      </w:r>
      <w:r w:rsidR="008D56D6">
        <w:rPr>
          <w:rFonts w:cs="Arial"/>
          <w:b/>
          <w:color w:val="1F497D" w:themeColor="text2"/>
          <w:sz w:val="26"/>
          <w:szCs w:val="26"/>
        </w:rPr>
        <w:t>ita</w:t>
      </w:r>
      <w:r>
        <w:rPr>
          <w:rFonts w:cs="Arial"/>
          <w:b/>
          <w:color w:val="1F497D" w:themeColor="text2"/>
          <w:sz w:val="26"/>
          <w:szCs w:val="26"/>
        </w:rPr>
        <w:t xml:space="preserve"> le previsioni</w:t>
      </w:r>
      <w:r w:rsidR="008D56D6">
        <w:rPr>
          <w:rFonts w:cs="Arial"/>
          <w:b/>
          <w:color w:val="1F497D" w:themeColor="text2"/>
          <w:sz w:val="26"/>
          <w:szCs w:val="26"/>
        </w:rPr>
        <w:t xml:space="preserve"> del</w:t>
      </w:r>
      <w:r w:rsidR="00C12D5E">
        <w:rPr>
          <w:rFonts w:cs="Arial"/>
          <w:b/>
          <w:color w:val="1F497D" w:themeColor="text2"/>
          <w:sz w:val="26"/>
          <w:szCs w:val="26"/>
        </w:rPr>
        <w:t xml:space="preserve"> frumento duro</w:t>
      </w:r>
      <w:r w:rsidR="00581A95" w:rsidRPr="00581A95">
        <w:rPr>
          <w:rFonts w:cs="Arial"/>
          <w:b/>
          <w:color w:val="1F497D" w:themeColor="text2"/>
          <w:sz w:val="26"/>
          <w:szCs w:val="26"/>
        </w:rPr>
        <w:t xml:space="preserve"> </w:t>
      </w:r>
      <w:r w:rsidR="00581A95">
        <w:rPr>
          <w:rFonts w:cs="Arial"/>
          <w:b/>
          <w:color w:val="1F497D" w:themeColor="text2"/>
          <w:sz w:val="26"/>
          <w:szCs w:val="26"/>
        </w:rPr>
        <w:t>per l’annata agraria 2020-2021</w:t>
      </w:r>
    </w:p>
    <w:p w14:paraId="43C7AC8C" w14:textId="758EF039" w:rsidR="00E80716" w:rsidRPr="00EE3BB6" w:rsidRDefault="002A22B1" w:rsidP="00CB0812">
      <w:pPr>
        <w:jc w:val="both"/>
      </w:pPr>
      <w:r w:rsidRPr="00EE3BB6">
        <w:t>N</w:t>
      </w:r>
      <w:r w:rsidR="00E80716" w:rsidRPr="00EE3BB6">
        <w:t xml:space="preserve">onostante </w:t>
      </w:r>
      <w:r w:rsidR="004D1952">
        <w:t>si st</w:t>
      </w:r>
      <w:r w:rsidR="008D56D6">
        <w:t>i</w:t>
      </w:r>
      <w:r w:rsidR="004D1952">
        <w:t xml:space="preserve">a riducendo la propensione a utilizzare le </w:t>
      </w:r>
      <w:r w:rsidR="004D1952" w:rsidRPr="00A650C9">
        <w:t xml:space="preserve">superfici </w:t>
      </w:r>
      <w:r w:rsidR="00C2768A" w:rsidRPr="00571245">
        <w:t>a</w:t>
      </w:r>
      <w:r w:rsidR="008D56D6" w:rsidRPr="00C2768A">
        <w:t xml:space="preserve"> </w:t>
      </w:r>
      <w:r w:rsidR="004D1952" w:rsidRPr="00C2768A">
        <w:t>seminativi per</w:t>
      </w:r>
      <w:r w:rsidR="004D1952">
        <w:t xml:space="preserve"> coltivare cereali, </w:t>
      </w:r>
      <w:r w:rsidR="005660BA">
        <w:t>le</w:t>
      </w:r>
      <w:r w:rsidRPr="00EE3BB6">
        <w:t xml:space="preserve"> intenzioni </w:t>
      </w:r>
      <w:r w:rsidR="000C606D">
        <w:t>d</w:t>
      </w:r>
      <w:r w:rsidRPr="00EE3BB6">
        <w:t xml:space="preserve">i semina di alcune colture erbacee </w:t>
      </w:r>
      <w:r w:rsidR="005660BA">
        <w:t xml:space="preserve">per </w:t>
      </w:r>
      <w:r w:rsidRPr="002E0233">
        <w:t>l’annata agraria 2020-2021</w:t>
      </w:r>
      <w:r w:rsidR="00F02274" w:rsidRPr="00571245">
        <w:rPr>
          <w:vertAlign w:val="superscript"/>
        </w:rPr>
        <w:t>iv</w:t>
      </w:r>
      <w:r w:rsidR="00F02274" w:rsidRPr="00571245">
        <w:t xml:space="preserve"> </w:t>
      </w:r>
      <w:r w:rsidR="008D56D6">
        <w:t>indicano</w:t>
      </w:r>
      <w:r w:rsidR="000C606D">
        <w:t xml:space="preserve"> </w:t>
      </w:r>
      <w:r w:rsidRPr="00EE3BB6">
        <w:t xml:space="preserve">una </w:t>
      </w:r>
      <w:r w:rsidR="00E80716" w:rsidRPr="00EE3BB6">
        <w:t xml:space="preserve">previsione di </w:t>
      </w:r>
      <w:r w:rsidR="000C606D">
        <w:t>crescita</w:t>
      </w:r>
      <w:r w:rsidR="005660BA">
        <w:t xml:space="preserve"> dell’1,6%</w:t>
      </w:r>
      <w:r w:rsidR="000C606D">
        <w:t xml:space="preserve">, rispetto all’annata </w:t>
      </w:r>
      <w:r w:rsidR="005660BA">
        <w:t>precedente</w:t>
      </w:r>
      <w:r w:rsidR="000C606D">
        <w:t>, della</w:t>
      </w:r>
      <w:r w:rsidR="00E80716" w:rsidRPr="00EE3BB6">
        <w:t xml:space="preserve"> superficie </w:t>
      </w:r>
      <w:r w:rsidR="000C606D">
        <w:t xml:space="preserve">agricola </w:t>
      </w:r>
      <w:r w:rsidR="001F3FE0">
        <w:t>destinata</w:t>
      </w:r>
      <w:r w:rsidR="000C606D">
        <w:t xml:space="preserve"> alla coltivazione di c</w:t>
      </w:r>
      <w:r w:rsidR="00E80716" w:rsidRPr="00EE3BB6">
        <w:t>ereali</w:t>
      </w:r>
      <w:r w:rsidR="005660BA">
        <w:t xml:space="preserve">. </w:t>
      </w:r>
      <w:r w:rsidR="00884C53">
        <w:rPr>
          <w:rFonts w:cs="Arial"/>
        </w:rPr>
        <w:t>È</w:t>
      </w:r>
      <w:r w:rsidR="005660BA">
        <w:t xml:space="preserve"> un dato </w:t>
      </w:r>
      <w:r w:rsidR="00387084" w:rsidRPr="00EE3BB6">
        <w:t>in controtendenza rispetto alle annate precedenti</w:t>
      </w:r>
      <w:r w:rsidR="003264C5" w:rsidRPr="00EE3BB6">
        <w:t>,</w:t>
      </w:r>
      <w:r w:rsidR="00387084" w:rsidRPr="00EE3BB6">
        <w:t xml:space="preserve"> </w:t>
      </w:r>
      <w:r w:rsidR="005660BA">
        <w:t>caratterizzate da</w:t>
      </w:r>
      <w:r w:rsidR="000C606D">
        <w:t xml:space="preserve"> </w:t>
      </w:r>
      <w:r w:rsidR="001F3FE0">
        <w:t>continue</w:t>
      </w:r>
      <w:r w:rsidR="000C606D">
        <w:t xml:space="preserve"> flessioni</w:t>
      </w:r>
      <w:r w:rsidR="005660BA">
        <w:t xml:space="preserve">, </w:t>
      </w:r>
      <w:r w:rsidR="000C606D">
        <w:t xml:space="preserve">di intensità </w:t>
      </w:r>
      <w:r w:rsidR="008D56D6">
        <w:t>variabile nel corso degli anni</w:t>
      </w:r>
      <w:r w:rsidR="00597E71">
        <w:t xml:space="preserve">, dovute soprattutto </w:t>
      </w:r>
      <w:r w:rsidR="00E80716" w:rsidRPr="00EE3BB6">
        <w:t xml:space="preserve">alle basse quotazioni dei prezzi dei cereali </w:t>
      </w:r>
      <w:r w:rsidR="00597E71">
        <w:t>e alle conseguenti</w:t>
      </w:r>
      <w:r w:rsidR="00292FCD">
        <w:t xml:space="preserve"> erosioni </w:t>
      </w:r>
      <w:r w:rsidR="00E80716" w:rsidRPr="00EE3BB6">
        <w:t xml:space="preserve">dei margini </w:t>
      </w:r>
      <w:r w:rsidR="00F54962">
        <w:t xml:space="preserve">di profitto </w:t>
      </w:r>
      <w:r w:rsidR="00E80716" w:rsidRPr="00EE3BB6">
        <w:t>sui costi fissi</w:t>
      </w:r>
      <w:r w:rsidR="00F54962">
        <w:t xml:space="preserve"> delle</w:t>
      </w:r>
      <w:r w:rsidR="00E80716" w:rsidRPr="00EE3BB6">
        <w:t xml:space="preserve"> coltivazioni.</w:t>
      </w:r>
    </w:p>
    <w:p w14:paraId="08AA2A3F" w14:textId="5C8F3010" w:rsidR="00E80716" w:rsidRPr="00EE3BB6" w:rsidRDefault="00E80716" w:rsidP="003264C5">
      <w:pPr>
        <w:jc w:val="both"/>
      </w:pPr>
      <w:r w:rsidRPr="00EE3BB6">
        <w:t xml:space="preserve">Il 2020 è stato, come già evidenziato, un anno di svolta soprattutto </w:t>
      </w:r>
      <w:r w:rsidR="005B52A3">
        <w:t>per il</w:t>
      </w:r>
      <w:r w:rsidRPr="00EE3BB6">
        <w:t xml:space="preserve"> frumento duro</w:t>
      </w:r>
      <w:r w:rsidR="00292FCD">
        <w:t>,</w:t>
      </w:r>
      <w:r w:rsidRPr="00EE3BB6">
        <w:t xml:space="preserve"> che ha mostrato </w:t>
      </w:r>
      <w:r w:rsidR="005B52A3" w:rsidRPr="00EE3BB6">
        <w:t xml:space="preserve">anche a livello internazionale </w:t>
      </w:r>
      <w:r w:rsidRPr="00EE3BB6">
        <w:t>una crescita della domanda, non controbilanciata da un</w:t>
      </w:r>
      <w:r w:rsidR="004C514A" w:rsidRPr="00EE3BB6">
        <w:t xml:space="preserve"> </w:t>
      </w:r>
      <w:r w:rsidRPr="00EE3BB6">
        <w:t>adeguato aumento dell’o</w:t>
      </w:r>
      <w:r w:rsidR="004C514A" w:rsidRPr="00EE3BB6">
        <w:t>fferta</w:t>
      </w:r>
      <w:r w:rsidR="00292FCD">
        <w:t xml:space="preserve">, con la </w:t>
      </w:r>
      <w:r w:rsidR="001F3FE0">
        <w:t>conseguente</w:t>
      </w:r>
      <w:r w:rsidR="00292FCD">
        <w:t xml:space="preserve"> </w:t>
      </w:r>
      <w:r w:rsidRPr="00EE3BB6">
        <w:t>impennata dei prezzi.</w:t>
      </w:r>
    </w:p>
    <w:p w14:paraId="7A2121D7" w14:textId="2858EA44" w:rsidR="003264C5" w:rsidRPr="00EE3BB6" w:rsidRDefault="00292FCD" w:rsidP="003264C5">
      <w:pPr>
        <w:jc w:val="both"/>
      </w:pPr>
      <w:r>
        <w:t>P</w:t>
      </w:r>
      <w:r w:rsidR="00E80716" w:rsidRPr="00EE3BB6">
        <w:t xml:space="preserve">roprio </w:t>
      </w:r>
      <w:r w:rsidR="003264C5" w:rsidRPr="00EE3BB6">
        <w:t>al frumento duro</w:t>
      </w:r>
      <w:r w:rsidR="00174ED8" w:rsidRPr="00EE3BB6">
        <w:t xml:space="preserve"> è</w:t>
      </w:r>
      <w:r w:rsidR="00E80716" w:rsidRPr="00EE3BB6">
        <w:t xml:space="preserve"> </w:t>
      </w:r>
      <w:r w:rsidR="004C514A" w:rsidRPr="00EE3BB6">
        <w:t>riconducibile</w:t>
      </w:r>
      <w:r w:rsidR="00E80716" w:rsidRPr="00EE3BB6">
        <w:t xml:space="preserve"> l</w:t>
      </w:r>
      <w:r>
        <w:t xml:space="preserve">a previsione più elevata di </w:t>
      </w:r>
      <w:r w:rsidR="00E80716" w:rsidRPr="00EE3BB6">
        <w:t>incremento di superficie</w:t>
      </w:r>
      <w:r w:rsidR="005B52A3">
        <w:t xml:space="preserve"> coltivata, che copre la</w:t>
      </w:r>
      <w:r w:rsidR="005B52A3" w:rsidRPr="005B52A3">
        <w:t xml:space="preserve"> </w:t>
      </w:r>
      <w:r w:rsidR="005B52A3" w:rsidRPr="00EE3BB6">
        <w:t>quota</w:t>
      </w:r>
      <w:r w:rsidR="005B52A3">
        <w:t xml:space="preserve"> più alta </w:t>
      </w:r>
      <w:r w:rsidR="00174ED8" w:rsidRPr="00EE3BB6">
        <w:t>fra tutti i cereali (40,3% nel 2020</w:t>
      </w:r>
      <w:r w:rsidR="004C514A" w:rsidRPr="00EE3BB6">
        <w:t>)</w:t>
      </w:r>
      <w:r w:rsidR="005B52A3">
        <w:t xml:space="preserve">: </w:t>
      </w:r>
      <w:r w:rsidR="00174ED8" w:rsidRPr="00EE3BB6">
        <w:t xml:space="preserve">le aziende </w:t>
      </w:r>
      <w:r>
        <w:t>agricole intervistate pr</w:t>
      </w:r>
      <w:r w:rsidR="00F82D46" w:rsidRPr="00EE3BB6">
        <w:t>evedono</w:t>
      </w:r>
      <w:r w:rsidR="00174ED8" w:rsidRPr="00EE3BB6">
        <w:t xml:space="preserve"> </w:t>
      </w:r>
      <w:r w:rsidR="003264C5" w:rsidRPr="00EE3BB6">
        <w:t>un incremento del</w:t>
      </w:r>
      <w:r>
        <w:t xml:space="preserve">la superficie coltivata </w:t>
      </w:r>
      <w:r w:rsidR="004F0F77">
        <w:t xml:space="preserve">significativo, </w:t>
      </w:r>
      <w:r>
        <w:t xml:space="preserve">pari al </w:t>
      </w:r>
      <w:r w:rsidR="003264C5" w:rsidRPr="00EE3BB6">
        <w:t>5,6%</w:t>
      </w:r>
      <w:r w:rsidR="004F0F77">
        <w:t>,</w:t>
      </w:r>
      <w:r>
        <w:t xml:space="preserve"> tra il 2021 e il 2020</w:t>
      </w:r>
      <w:r w:rsidR="003264C5" w:rsidRPr="00EE3BB6">
        <w:t>.</w:t>
      </w:r>
    </w:p>
    <w:p w14:paraId="12924C01" w14:textId="77777777" w:rsidR="00571245" w:rsidRPr="00EE3BB6" w:rsidRDefault="00571245" w:rsidP="00571245">
      <w:pPr>
        <w:jc w:val="both"/>
      </w:pPr>
      <w:r>
        <w:t xml:space="preserve">Anche per il mais si prevede un cambio di tendenza rispetto agli ultimi anni e, </w:t>
      </w:r>
      <w:r w:rsidRPr="00EE3BB6">
        <w:t xml:space="preserve">per l’annata agraria </w:t>
      </w:r>
      <w:r>
        <w:t xml:space="preserve">2020-2021 </w:t>
      </w:r>
      <w:r w:rsidRPr="00EE3BB6">
        <w:t>un seppur lieve aumento</w:t>
      </w:r>
      <w:r>
        <w:t xml:space="preserve"> delle superfici coltivate</w:t>
      </w:r>
      <w:r w:rsidRPr="00EE3BB6">
        <w:t xml:space="preserve">, probabilmente riconducibile al ruolo importante di tale coltura nell’ambito delle filiere della zootecnia e della </w:t>
      </w:r>
      <w:proofErr w:type="spellStart"/>
      <w:r w:rsidRPr="00EE3BB6">
        <w:t>bio</w:t>
      </w:r>
      <w:proofErr w:type="spellEnd"/>
      <w:r w:rsidRPr="00EE3BB6">
        <w:t>-</w:t>
      </w:r>
      <w:r w:rsidRPr="00585A4C">
        <w:t>industria e che ha condotto nel febbraio dello scorso anno all’approvazione e alla redazione, da parte della  la Conferenza stato regioni, di un Piano Nazionale a sostegno del settore del mais per il periodo 2019-2022, finalizzato</w:t>
      </w:r>
      <w:r>
        <w:t xml:space="preserve"> a ristabilire il livello di autoapprovvigionamento della produzione nazionale basandosi su tre principali azioni: orientamento al mercato, recupero di efficienza e interventi mirati su </w:t>
      </w:r>
      <w:proofErr w:type="spellStart"/>
      <w:r>
        <w:t>Pac</w:t>
      </w:r>
      <w:proofErr w:type="spellEnd"/>
      <w:r>
        <w:t xml:space="preserve"> (</w:t>
      </w:r>
      <w:r w:rsidRPr="00585A4C">
        <w:t>Politica Agricola Comune)</w:t>
      </w:r>
      <w:r>
        <w:t xml:space="preserve"> e </w:t>
      </w:r>
      <w:proofErr w:type="spellStart"/>
      <w:r>
        <w:t>Psr</w:t>
      </w:r>
      <w:proofErr w:type="spellEnd"/>
      <w:r>
        <w:t xml:space="preserve"> (</w:t>
      </w:r>
      <w:r w:rsidRPr="00585A4C">
        <w:t>Piani di Sviluppo Rurale)</w:t>
      </w:r>
      <w:r>
        <w:t xml:space="preserve">. </w:t>
      </w:r>
    </w:p>
    <w:p w14:paraId="75608894" w14:textId="53389E66" w:rsidR="008D7733" w:rsidRDefault="00AF1C56" w:rsidP="003264C5">
      <w:pPr>
        <w:jc w:val="both"/>
      </w:pPr>
      <w:r>
        <w:t>P</w:t>
      </w:r>
      <w:r w:rsidR="008D7733" w:rsidRPr="00EE3BB6">
        <w:t xml:space="preserve">er </w:t>
      </w:r>
      <w:r w:rsidR="00A00FB1" w:rsidRPr="00EE3BB6">
        <w:t>l’orzo</w:t>
      </w:r>
      <w:r w:rsidR="008D7733" w:rsidRPr="00EE3BB6">
        <w:t xml:space="preserve"> </w:t>
      </w:r>
      <w:r w:rsidR="00E10A62">
        <w:t xml:space="preserve">si </w:t>
      </w:r>
      <w:r w:rsidR="008D7733" w:rsidRPr="00EE3BB6">
        <w:t>prev</w:t>
      </w:r>
      <w:r w:rsidR="00E10A62">
        <w:t>ede</w:t>
      </w:r>
      <w:r>
        <w:t xml:space="preserve"> invece</w:t>
      </w:r>
      <w:r w:rsidR="008D7733" w:rsidRPr="00EE3BB6">
        <w:t xml:space="preserve"> un</w:t>
      </w:r>
      <w:r w:rsidR="00A00FB1" w:rsidRPr="00EE3BB6">
        <w:t>a</w:t>
      </w:r>
      <w:r w:rsidR="008D7733" w:rsidRPr="00EE3BB6">
        <w:t xml:space="preserve"> </w:t>
      </w:r>
      <w:r w:rsidR="00A00FB1" w:rsidRPr="00EE3BB6">
        <w:t>riduzione</w:t>
      </w:r>
      <w:r w:rsidR="008D7733" w:rsidRPr="00EE3BB6">
        <w:t xml:space="preserve"> del</w:t>
      </w:r>
      <w:r w:rsidR="00A00FB1" w:rsidRPr="00EE3BB6">
        <w:t>la</w:t>
      </w:r>
      <w:r w:rsidR="00421B66" w:rsidRPr="00EE3BB6">
        <w:t xml:space="preserve"> superficie pari al</w:t>
      </w:r>
      <w:r w:rsidR="008D7733" w:rsidRPr="00EE3BB6">
        <w:t xml:space="preserve"> </w:t>
      </w:r>
      <w:r w:rsidR="00A00FB1" w:rsidRPr="00EE3BB6">
        <w:t>7</w:t>
      </w:r>
      <w:r w:rsidR="008D7733" w:rsidRPr="00EE3BB6">
        <w:t>,</w:t>
      </w:r>
      <w:r w:rsidR="00A00FB1" w:rsidRPr="00EE3BB6">
        <w:t>7</w:t>
      </w:r>
      <w:r w:rsidR="008D7733" w:rsidRPr="00EE3BB6">
        <w:t>%</w:t>
      </w:r>
      <w:r w:rsidR="004C514A" w:rsidRPr="00EE3BB6">
        <w:t xml:space="preserve">, </w:t>
      </w:r>
      <w:r w:rsidR="00421B66" w:rsidRPr="00EE3BB6">
        <w:t xml:space="preserve">per </w:t>
      </w:r>
      <w:r w:rsidR="00A00FB1" w:rsidRPr="00EE3BB6">
        <w:t xml:space="preserve">il frumento tenero </w:t>
      </w:r>
      <w:r>
        <w:t>dell’1</w:t>
      </w:r>
      <w:r w:rsidR="00A00FB1" w:rsidRPr="00EE3BB6">
        <w:t>,6%.</w:t>
      </w:r>
    </w:p>
    <w:p w14:paraId="34E3C3FF" w14:textId="50CA3924" w:rsidR="00FC5802" w:rsidRDefault="00FC5802" w:rsidP="003264C5">
      <w:pPr>
        <w:jc w:val="both"/>
      </w:pPr>
    </w:p>
    <w:p w14:paraId="78FEF184" w14:textId="1F33F12F" w:rsidR="00FC5802" w:rsidRDefault="00FC5802" w:rsidP="003264C5">
      <w:pPr>
        <w:jc w:val="both"/>
      </w:pPr>
    </w:p>
    <w:p w14:paraId="2C396907" w14:textId="47896458" w:rsidR="00FC5802" w:rsidRDefault="00FC5802" w:rsidP="003264C5">
      <w:pPr>
        <w:jc w:val="both"/>
      </w:pPr>
    </w:p>
    <w:p w14:paraId="6C5B072C" w14:textId="7B2F261B" w:rsidR="00B66091" w:rsidRDefault="00B66091" w:rsidP="003264C5">
      <w:pPr>
        <w:jc w:val="both"/>
      </w:pPr>
    </w:p>
    <w:p w14:paraId="5AD5D537" w14:textId="77777777" w:rsidR="00B66091" w:rsidRDefault="00B66091" w:rsidP="003264C5">
      <w:pPr>
        <w:jc w:val="both"/>
      </w:pPr>
    </w:p>
    <w:p w14:paraId="58B13563" w14:textId="7592A4C1" w:rsidR="00FC5802" w:rsidRDefault="00FC5802" w:rsidP="003264C5">
      <w:pPr>
        <w:jc w:val="both"/>
      </w:pPr>
    </w:p>
    <w:p w14:paraId="15C77D8C" w14:textId="68B336B1" w:rsidR="00825318" w:rsidRDefault="00825318" w:rsidP="003264C5">
      <w:pPr>
        <w:jc w:val="both"/>
      </w:pPr>
    </w:p>
    <w:p w14:paraId="3E460EB3" w14:textId="20AEC02C" w:rsidR="00433444" w:rsidRPr="00304BC7" w:rsidRDefault="00433444" w:rsidP="003264C5">
      <w:pPr>
        <w:jc w:val="both"/>
        <w:rPr>
          <w:sz w:val="44"/>
          <w:szCs w:val="48"/>
        </w:rPr>
      </w:pPr>
    </w:p>
    <w:p w14:paraId="6B0F14F9" w14:textId="77777777" w:rsidR="00433444" w:rsidRPr="002502FB" w:rsidRDefault="00433444" w:rsidP="003264C5">
      <w:pPr>
        <w:jc w:val="both"/>
        <w:rPr>
          <w:sz w:val="32"/>
          <w:szCs w:val="36"/>
        </w:rPr>
      </w:pPr>
    </w:p>
    <w:p w14:paraId="6018628E" w14:textId="3E218898" w:rsidR="00FC5802" w:rsidRDefault="0029064F" w:rsidP="00571245">
      <w:pPr>
        <w:spacing w:after="0"/>
        <w:jc w:val="both"/>
        <w:rPr>
          <w:rFonts w:ascii="Arial Narrow" w:hAnsi="Arial Narrow" w:cs="Arial"/>
          <w:iCs/>
          <w:noProof/>
          <w:color w:val="1F497D" w:themeColor="text2"/>
          <w:szCs w:val="22"/>
        </w:rPr>
      </w:pPr>
      <w:r w:rsidRPr="005371F5">
        <w:rPr>
          <w:rFonts w:ascii="Arial Black" w:hAnsi="Arial Black" w:cs="Arial"/>
          <w:iCs/>
          <w:noProof/>
          <w:color w:val="1F497D" w:themeColor="text2"/>
          <w:szCs w:val="22"/>
        </w:rPr>
        <w:t xml:space="preserve">FIGURA </w:t>
      </w:r>
      <w:r w:rsidR="00C87208">
        <w:rPr>
          <w:rFonts w:ascii="Arial Black" w:hAnsi="Arial Black" w:cs="Arial"/>
          <w:iCs/>
          <w:noProof/>
          <w:color w:val="1F497D" w:themeColor="text2"/>
          <w:szCs w:val="22"/>
        </w:rPr>
        <w:t>4</w:t>
      </w:r>
      <w:r w:rsidR="00F85E18">
        <w:rPr>
          <w:rFonts w:ascii="Arial Black" w:hAnsi="Arial Black" w:cs="Arial"/>
          <w:iCs/>
          <w:noProof/>
          <w:color w:val="1F497D" w:themeColor="text2"/>
          <w:szCs w:val="22"/>
        </w:rPr>
        <w:t xml:space="preserve">. </w:t>
      </w:r>
      <w:r w:rsidR="00FC5802" w:rsidRPr="00571245">
        <w:rPr>
          <w:rFonts w:ascii="Arial Narrow" w:hAnsi="Arial Narrow" w:cs="Arial"/>
          <w:b/>
          <w:bCs/>
          <w:iCs/>
          <w:noProof/>
          <w:color w:val="1F497D" w:themeColor="text2"/>
          <w:szCs w:val="22"/>
        </w:rPr>
        <w:t>SUPERFICI A CEREALI RISPETTO ALL’ANNO PRECEDENTE</w:t>
      </w:r>
      <w:r w:rsidR="00FC5802">
        <w:rPr>
          <w:rFonts w:ascii="Arial Narrow" w:hAnsi="Arial Narrow" w:cs="Arial"/>
          <w:iCs/>
          <w:noProof/>
          <w:color w:val="1F497D" w:themeColor="text2"/>
          <w:szCs w:val="22"/>
        </w:rPr>
        <w:t>.</w:t>
      </w:r>
    </w:p>
    <w:p w14:paraId="78A0B8D3" w14:textId="7E98CA9E" w:rsidR="00826B0F" w:rsidRDefault="00FC5802" w:rsidP="00FC5802">
      <w:pPr>
        <w:spacing w:after="0"/>
        <w:jc w:val="both"/>
        <w:rPr>
          <w:rFonts w:ascii="Arial Narrow" w:hAnsi="Arial Narrow" w:cs="Arial"/>
          <w:iCs/>
          <w:noProof/>
          <w:color w:val="1F497D" w:themeColor="text2"/>
          <w:szCs w:val="22"/>
        </w:rPr>
      </w:pPr>
      <w:r>
        <w:rPr>
          <w:rFonts w:ascii="Arial Narrow" w:hAnsi="Arial Narrow" w:cs="Arial"/>
          <w:iCs/>
          <w:noProof/>
          <w:color w:val="1F497D" w:themeColor="text2"/>
          <w:szCs w:val="22"/>
        </w:rPr>
        <w:t>D</w:t>
      </w:r>
      <w:r w:rsidR="00F85E18">
        <w:rPr>
          <w:rFonts w:ascii="Arial Narrow" w:hAnsi="Arial Narrow" w:cs="Arial"/>
          <w:iCs/>
          <w:noProof/>
          <w:color w:val="1F497D" w:themeColor="text2"/>
          <w:szCs w:val="22"/>
        </w:rPr>
        <w:t xml:space="preserve">ati storici e previsioni per </w:t>
      </w:r>
      <w:r w:rsidR="00DC4F3D">
        <w:rPr>
          <w:rFonts w:ascii="Arial Narrow" w:hAnsi="Arial Narrow" w:cs="Arial"/>
          <w:iCs/>
          <w:noProof/>
          <w:color w:val="1F497D" w:themeColor="text2"/>
          <w:szCs w:val="22"/>
        </w:rPr>
        <w:t xml:space="preserve">il </w:t>
      </w:r>
      <w:r w:rsidR="00F85E18">
        <w:rPr>
          <w:rFonts w:ascii="Arial Narrow" w:hAnsi="Arial Narrow" w:cs="Arial"/>
          <w:iCs/>
          <w:noProof/>
          <w:color w:val="1F497D" w:themeColor="text2"/>
          <w:szCs w:val="22"/>
        </w:rPr>
        <w:t>202</w:t>
      </w:r>
      <w:r>
        <w:rPr>
          <w:rFonts w:ascii="Arial Narrow" w:hAnsi="Arial Narrow" w:cs="Arial"/>
          <w:iCs/>
          <w:noProof/>
          <w:color w:val="1F497D" w:themeColor="text2"/>
          <w:szCs w:val="22"/>
        </w:rPr>
        <w:t>1</w:t>
      </w:r>
      <w:r w:rsidR="00C2768A">
        <w:rPr>
          <w:rFonts w:ascii="Arial Narrow" w:hAnsi="Arial Narrow" w:cs="Arial"/>
          <w:iCs/>
          <w:noProof/>
          <w:color w:val="1F497D" w:themeColor="text2"/>
          <w:szCs w:val="22"/>
        </w:rPr>
        <w:t>, v</w:t>
      </w:r>
      <w:r>
        <w:rPr>
          <w:rFonts w:ascii="Arial Narrow" w:hAnsi="Arial Narrow" w:cs="Arial"/>
          <w:iCs/>
          <w:noProof/>
          <w:color w:val="1F497D" w:themeColor="text2"/>
          <w:szCs w:val="22"/>
        </w:rPr>
        <w:t>ariazioni percentuali</w:t>
      </w:r>
    </w:p>
    <w:p w14:paraId="46A20629" w14:textId="020CF3D2" w:rsidR="005935C8" w:rsidRDefault="005935C8" w:rsidP="00FC5802">
      <w:pPr>
        <w:spacing w:after="0"/>
        <w:jc w:val="both"/>
        <w:rPr>
          <w:rFonts w:ascii="Arial Narrow" w:hAnsi="Arial Narrow" w:cs="Arial"/>
          <w:iCs/>
          <w:noProof/>
          <w:color w:val="1F497D" w:themeColor="text2"/>
          <w:szCs w:val="22"/>
        </w:rPr>
      </w:pPr>
      <w:r>
        <w:rPr>
          <w:noProof/>
        </w:rPr>
        <w:drawing>
          <wp:inline distT="0" distB="0" distL="0" distR="0" wp14:anchorId="45F2746A" wp14:editId="7376C548">
            <wp:extent cx="6300470" cy="2115185"/>
            <wp:effectExtent l="0" t="0" r="5080" b="0"/>
            <wp:docPr id="8" name="Grafico 8">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B9305B" w14:textId="2E7B4332" w:rsidR="00CE71A3" w:rsidRDefault="00CE71A3" w:rsidP="00571245">
      <w:pPr>
        <w:spacing w:after="0"/>
        <w:jc w:val="both"/>
        <w:rPr>
          <w:rFonts w:ascii="Arial Narrow" w:hAnsi="Arial Narrow" w:cs="Arial"/>
          <w:iCs/>
          <w:noProof/>
          <w:color w:val="1F497D" w:themeColor="text2"/>
          <w:szCs w:val="22"/>
        </w:rPr>
      </w:pPr>
      <w:r>
        <w:rPr>
          <w:rFonts w:ascii="Arial Narrow" w:hAnsi="Arial Narrow" w:cs="Arial"/>
          <w:iCs/>
          <w:noProof/>
          <w:color w:val="1F497D" w:themeColor="text2"/>
          <w:szCs w:val="22"/>
        </w:rPr>
        <w:br w:type="page"/>
      </w:r>
    </w:p>
    <w:p w14:paraId="556D31D8" w14:textId="77777777" w:rsidR="00826B0F" w:rsidRPr="00571245" w:rsidRDefault="00826B0F" w:rsidP="00901667">
      <w:pPr>
        <w:rPr>
          <w:szCs w:val="22"/>
        </w:rPr>
      </w:pPr>
    </w:p>
    <w:p w14:paraId="357FBF56" w14:textId="16E14785" w:rsidR="008D7733" w:rsidRDefault="00F85E18">
      <w:pPr>
        <w:rPr>
          <w:rFonts w:cs="Arial"/>
          <w:b/>
          <w:color w:val="1F497D" w:themeColor="text2"/>
          <w:sz w:val="26"/>
          <w:szCs w:val="26"/>
        </w:rPr>
      </w:pPr>
      <w:r>
        <w:rPr>
          <w:rFonts w:cs="Arial"/>
          <w:b/>
          <w:color w:val="1F497D" w:themeColor="text2"/>
          <w:sz w:val="26"/>
          <w:szCs w:val="26"/>
        </w:rPr>
        <w:t>Annata agraria 2020-2021</w:t>
      </w:r>
      <w:r w:rsidRPr="009F5D8D">
        <w:rPr>
          <w:rFonts w:cs="Arial"/>
          <w:b/>
          <w:color w:val="1F497D" w:themeColor="text2"/>
          <w:sz w:val="26"/>
          <w:szCs w:val="26"/>
        </w:rPr>
        <w:t xml:space="preserve">: </w:t>
      </w:r>
      <w:r w:rsidR="00825318" w:rsidRPr="009F5D8D">
        <w:rPr>
          <w:rFonts w:cs="Arial"/>
          <w:b/>
          <w:color w:val="1F497D" w:themeColor="text2"/>
          <w:sz w:val="26"/>
          <w:szCs w:val="26"/>
        </w:rPr>
        <w:t xml:space="preserve">in </w:t>
      </w:r>
      <w:r w:rsidR="00875D86" w:rsidRPr="009F5D8D">
        <w:rPr>
          <w:rFonts w:cs="Arial"/>
          <w:b/>
          <w:color w:val="1F497D" w:themeColor="text2"/>
          <w:sz w:val="26"/>
          <w:szCs w:val="26"/>
        </w:rPr>
        <w:t>aumento</w:t>
      </w:r>
      <w:r w:rsidRPr="009F5D8D">
        <w:rPr>
          <w:rFonts w:cs="Arial"/>
          <w:b/>
          <w:color w:val="1F497D" w:themeColor="text2"/>
          <w:sz w:val="26"/>
          <w:szCs w:val="26"/>
        </w:rPr>
        <w:t xml:space="preserve"> </w:t>
      </w:r>
      <w:r w:rsidR="00FB6FFA" w:rsidRPr="009F5D8D">
        <w:rPr>
          <w:rFonts w:cs="Arial"/>
          <w:b/>
          <w:color w:val="1F497D" w:themeColor="text2"/>
          <w:sz w:val="26"/>
          <w:szCs w:val="26"/>
        </w:rPr>
        <w:t>i ce</w:t>
      </w:r>
      <w:r w:rsidR="00FB6FFA" w:rsidRPr="00825318">
        <w:rPr>
          <w:rFonts w:cs="Arial"/>
          <w:b/>
          <w:color w:val="1F497D" w:themeColor="text2"/>
          <w:sz w:val="26"/>
          <w:szCs w:val="26"/>
        </w:rPr>
        <w:t xml:space="preserve">reali </w:t>
      </w:r>
      <w:r w:rsidR="00825318">
        <w:rPr>
          <w:rFonts w:cs="Arial"/>
          <w:b/>
          <w:color w:val="1F497D" w:themeColor="text2"/>
          <w:sz w:val="26"/>
          <w:szCs w:val="26"/>
        </w:rPr>
        <w:t xml:space="preserve">ma </w:t>
      </w:r>
      <w:r w:rsidRPr="00CB0812">
        <w:rPr>
          <w:rFonts w:cs="Arial"/>
          <w:b/>
          <w:color w:val="1F497D" w:themeColor="text2"/>
          <w:sz w:val="26"/>
          <w:szCs w:val="26"/>
        </w:rPr>
        <w:t>solo al Nord</w:t>
      </w:r>
    </w:p>
    <w:p w14:paraId="7ACBC809" w14:textId="01EFE391" w:rsidR="008D7733" w:rsidRPr="00F43E79" w:rsidRDefault="00033D99">
      <w:pPr>
        <w:jc w:val="both"/>
      </w:pPr>
      <w:r>
        <w:t xml:space="preserve">In chiave </w:t>
      </w:r>
      <w:r w:rsidR="008D7733" w:rsidRPr="00F43E79">
        <w:t>territoriale</w:t>
      </w:r>
      <w:r>
        <w:t xml:space="preserve">, si </w:t>
      </w:r>
      <w:r w:rsidR="008B50BD">
        <w:t xml:space="preserve">prevede un aumento della </w:t>
      </w:r>
      <w:r w:rsidR="008D7733" w:rsidRPr="00F43E79">
        <w:t xml:space="preserve">superficie destinata a frumento duro </w:t>
      </w:r>
      <w:r w:rsidR="008B50BD">
        <w:t>in</w:t>
      </w:r>
      <w:r>
        <w:t xml:space="preserve"> tutte le ripartizioni geografiche (Figura 6)</w:t>
      </w:r>
      <w:r w:rsidR="00F82D46" w:rsidRPr="00F43E79">
        <w:t>.</w:t>
      </w:r>
    </w:p>
    <w:p w14:paraId="659FFC4E" w14:textId="6932CE5F" w:rsidR="00A323F0" w:rsidRDefault="00B10551">
      <w:pPr>
        <w:jc w:val="both"/>
      </w:pPr>
      <w:r>
        <w:t>Nel dettaglio,</w:t>
      </w:r>
      <w:r w:rsidR="00A323F0" w:rsidRPr="00F43E79">
        <w:t xml:space="preserve"> è il Nord che mostra le tendenze in aumento più evidenti. </w:t>
      </w:r>
      <w:r>
        <w:t>In</w:t>
      </w:r>
      <w:r w:rsidR="008B50BD">
        <w:t xml:space="preserve"> particolare, per le superfici</w:t>
      </w:r>
      <w:r w:rsidR="008B50BD" w:rsidRPr="00F43E79">
        <w:t xml:space="preserve"> destinate a frumento duro</w:t>
      </w:r>
      <w:r w:rsidR="006618C3">
        <w:t>,</w:t>
      </w:r>
      <w:r w:rsidR="008B50BD" w:rsidDel="008B50BD">
        <w:t xml:space="preserve"> </w:t>
      </w:r>
      <w:r>
        <w:t>n</w:t>
      </w:r>
      <w:r w:rsidR="00A323F0" w:rsidRPr="00F43E79">
        <w:t>el Nord</w:t>
      </w:r>
      <w:r>
        <w:t xml:space="preserve"> o</w:t>
      </w:r>
      <w:r w:rsidR="00A323F0" w:rsidRPr="00F43E79">
        <w:t xml:space="preserve">vest è previsto un incremento </w:t>
      </w:r>
      <w:r w:rsidR="00883930" w:rsidRPr="00F43E79">
        <w:t>del 15,2%</w:t>
      </w:r>
      <w:r w:rsidR="00AF1C56">
        <w:t xml:space="preserve"> e</w:t>
      </w:r>
      <w:r w:rsidR="008B50BD">
        <w:t xml:space="preserve"> nel</w:t>
      </w:r>
      <w:r w:rsidR="00A323F0" w:rsidRPr="00F43E79">
        <w:t xml:space="preserve"> Nord</w:t>
      </w:r>
      <w:r>
        <w:t xml:space="preserve"> e</w:t>
      </w:r>
      <w:r w:rsidR="00A323F0" w:rsidRPr="00F43E79">
        <w:t xml:space="preserve">st </w:t>
      </w:r>
      <w:r w:rsidR="008B50BD">
        <w:t>di ben il</w:t>
      </w:r>
      <w:r w:rsidR="00883930" w:rsidRPr="00F43E79">
        <w:t xml:space="preserve"> 24,7%</w:t>
      </w:r>
      <w:r w:rsidR="008B50BD">
        <w:t xml:space="preserve">, quota su cui incide la produzione </w:t>
      </w:r>
      <w:r w:rsidR="00D85207">
        <w:t>dell’</w:t>
      </w:r>
      <w:r w:rsidR="00A323F0" w:rsidRPr="00F43E79">
        <w:t xml:space="preserve">Emilia Romagna </w:t>
      </w:r>
      <w:r w:rsidR="008B50BD">
        <w:t>destinata</w:t>
      </w:r>
      <w:r w:rsidR="000B5435" w:rsidRPr="00F43E79">
        <w:t xml:space="preserve"> </w:t>
      </w:r>
      <w:r w:rsidR="006618C3">
        <w:t xml:space="preserve">a soddisfare </w:t>
      </w:r>
      <w:r w:rsidR="000B5435" w:rsidRPr="00F43E79">
        <w:t xml:space="preserve">le </w:t>
      </w:r>
      <w:r w:rsidR="00DC6D19" w:rsidRPr="00F43E79">
        <w:t>rich</w:t>
      </w:r>
      <w:r w:rsidR="00DC6D19">
        <w:t>ieste</w:t>
      </w:r>
      <w:r>
        <w:t xml:space="preserve"> del settore </w:t>
      </w:r>
      <w:proofErr w:type="spellStart"/>
      <w:r>
        <w:t>pa</w:t>
      </w:r>
      <w:r w:rsidR="000B5435" w:rsidRPr="00F43E79">
        <w:t>stario</w:t>
      </w:r>
      <w:proofErr w:type="spellEnd"/>
      <w:r w:rsidR="000B5435" w:rsidRPr="00F43E79">
        <w:t>.</w:t>
      </w:r>
    </w:p>
    <w:p w14:paraId="39693BFB" w14:textId="03622733" w:rsidR="00112BC7" w:rsidRDefault="00112BC7">
      <w:pPr>
        <w:jc w:val="both"/>
      </w:pPr>
      <w:r>
        <w:t xml:space="preserve">Per il </w:t>
      </w:r>
      <w:r w:rsidR="00B10551" w:rsidRPr="00F43E79">
        <w:t xml:space="preserve">frumento tenero, </w:t>
      </w:r>
      <w:r>
        <w:t xml:space="preserve">si prevede una </w:t>
      </w:r>
      <w:r w:rsidR="00B10551" w:rsidRPr="00F43E79">
        <w:t>riduzione d</w:t>
      </w:r>
      <w:r w:rsidR="00B10551">
        <w:t>ella</w:t>
      </w:r>
      <w:r w:rsidR="00B10551" w:rsidRPr="00F43E79">
        <w:t xml:space="preserve"> superficie</w:t>
      </w:r>
      <w:r>
        <w:t xml:space="preserve"> coltivata</w:t>
      </w:r>
      <w:r w:rsidR="00B10551">
        <w:t xml:space="preserve"> pari su scala nazionale a</w:t>
      </w:r>
      <w:r w:rsidR="00B10551" w:rsidRPr="00F43E79">
        <w:t>l</w:t>
      </w:r>
      <w:r w:rsidR="00B10551">
        <w:t>l</w:t>
      </w:r>
      <w:r w:rsidR="00B10551" w:rsidRPr="00F43E79">
        <w:t>’1,6%</w:t>
      </w:r>
      <w:r w:rsidR="00B10551">
        <w:t xml:space="preserve">, </w:t>
      </w:r>
      <w:r>
        <w:t xml:space="preserve">risultato della contrazione di </w:t>
      </w:r>
      <w:r w:rsidR="00C1793C">
        <w:t>10,8 punti percentuali</w:t>
      </w:r>
      <w:r w:rsidR="00B10551" w:rsidRPr="00F43E79">
        <w:t xml:space="preserve"> </w:t>
      </w:r>
      <w:r w:rsidR="00B10551">
        <w:t>r</w:t>
      </w:r>
      <w:r w:rsidR="00B10551" w:rsidRPr="00F43E79">
        <w:t>egistra</w:t>
      </w:r>
      <w:r w:rsidR="00B10551">
        <w:t>ta</w:t>
      </w:r>
      <w:r w:rsidR="00B10551" w:rsidRPr="00F43E79">
        <w:t xml:space="preserve"> </w:t>
      </w:r>
      <w:r w:rsidR="00B10551">
        <w:t xml:space="preserve">per la ripartizione </w:t>
      </w:r>
      <w:r w:rsidR="00B10551" w:rsidRPr="00F43E79">
        <w:t>Nord</w:t>
      </w:r>
      <w:r w:rsidR="00B10551">
        <w:t xml:space="preserve"> e</w:t>
      </w:r>
      <w:r w:rsidR="00B10551" w:rsidRPr="00F43E79">
        <w:t>st</w:t>
      </w:r>
      <w:r>
        <w:t xml:space="preserve"> (</w:t>
      </w:r>
      <w:r w:rsidR="00B10551" w:rsidRPr="00F43E79">
        <w:t xml:space="preserve">dove </w:t>
      </w:r>
      <w:r>
        <w:t>si trova</w:t>
      </w:r>
      <w:r w:rsidR="00B10551" w:rsidRPr="00F43E79">
        <w:t xml:space="preserve"> circa il 47% delle superfici </w:t>
      </w:r>
      <w:r>
        <w:t>nazionali di coltivazione del</w:t>
      </w:r>
      <w:r w:rsidR="00B10551" w:rsidRPr="00F43E79">
        <w:t xml:space="preserve"> cereale</w:t>
      </w:r>
      <w:r>
        <w:t>) e della previsione di</w:t>
      </w:r>
      <w:r w:rsidR="00883930">
        <w:t xml:space="preserve"> </w:t>
      </w:r>
      <w:r>
        <w:t xml:space="preserve">incremento </w:t>
      </w:r>
      <w:r w:rsidRPr="00F43E79">
        <w:t xml:space="preserve">del 14,4% </w:t>
      </w:r>
      <w:r>
        <w:t>de</w:t>
      </w:r>
      <w:r w:rsidR="00883930">
        <w:t>l Nord ovest</w:t>
      </w:r>
      <w:r>
        <w:t>.</w:t>
      </w:r>
    </w:p>
    <w:p w14:paraId="249DD76E" w14:textId="213FBF03" w:rsidR="008D7733" w:rsidRPr="00F43E79" w:rsidRDefault="00797E78">
      <w:pPr>
        <w:jc w:val="both"/>
      </w:pPr>
      <w:r>
        <w:t xml:space="preserve">La contrazione </w:t>
      </w:r>
      <w:r w:rsidR="006E5733">
        <w:t xml:space="preserve">prevista per </w:t>
      </w:r>
      <w:r>
        <w:t xml:space="preserve">le </w:t>
      </w:r>
      <w:r w:rsidR="00A00FB1" w:rsidRPr="00F43E79">
        <w:t xml:space="preserve">superfici </w:t>
      </w:r>
      <w:r>
        <w:t>c</w:t>
      </w:r>
      <w:r w:rsidR="00A00FB1" w:rsidRPr="00F43E79">
        <w:t>oltiva</w:t>
      </w:r>
      <w:r>
        <w:t>t</w:t>
      </w:r>
      <w:r w:rsidR="00A00FB1" w:rsidRPr="00F43E79">
        <w:t xml:space="preserve">e a orzo </w:t>
      </w:r>
      <w:r>
        <w:t xml:space="preserve">caratterizza tutte le ripartizioni geografiche, </w:t>
      </w:r>
      <w:r w:rsidR="00E12CFC">
        <w:t xml:space="preserve">con picchi </w:t>
      </w:r>
      <w:r w:rsidR="006E5733">
        <w:t>n</w:t>
      </w:r>
      <w:r w:rsidR="00E12CFC">
        <w:t xml:space="preserve">el Centro (-11,7%) e </w:t>
      </w:r>
      <w:r w:rsidR="006E5733">
        <w:t>n</w:t>
      </w:r>
      <w:r w:rsidR="00E12CFC">
        <w:t>el Nord est (-11,5%).</w:t>
      </w:r>
    </w:p>
    <w:p w14:paraId="56455D33" w14:textId="1FD57C35" w:rsidR="00223F0D" w:rsidRDefault="001226C7">
      <w:pPr>
        <w:jc w:val="both"/>
      </w:pPr>
      <w:r>
        <w:t>Per superfici coltivate a</w:t>
      </w:r>
      <w:r w:rsidR="00A00FB1" w:rsidRPr="00F43E79">
        <w:t xml:space="preserve"> mais</w:t>
      </w:r>
      <w:r w:rsidR="00421B66" w:rsidRPr="00F43E79">
        <w:t xml:space="preserve">, </w:t>
      </w:r>
      <w:r>
        <w:t xml:space="preserve">si prevede una crescita </w:t>
      </w:r>
      <w:r w:rsidR="00E12CFC">
        <w:t xml:space="preserve">pari allo </w:t>
      </w:r>
      <w:r w:rsidR="00421B66" w:rsidRPr="00F43E79">
        <w:t>0,4%</w:t>
      </w:r>
      <w:r w:rsidR="00E12CFC">
        <w:t xml:space="preserve"> </w:t>
      </w:r>
      <w:r>
        <w:t xml:space="preserve">a livello nazionale e una contrazione </w:t>
      </w:r>
      <w:r w:rsidR="00A00FB1" w:rsidRPr="00F43E79">
        <w:t>in tre ar</w:t>
      </w:r>
      <w:r w:rsidR="00E12CFC">
        <w:t xml:space="preserve">ee geografiche su </w:t>
      </w:r>
      <w:r w:rsidR="00223F0D">
        <w:t>cinque</w:t>
      </w:r>
      <w:r w:rsidR="00E12CFC">
        <w:t xml:space="preserve"> (Nord ovest -0,4%</w:t>
      </w:r>
      <w:r>
        <w:t>;</w:t>
      </w:r>
      <w:r w:rsidR="00E12CFC">
        <w:t xml:space="preserve"> Centro -8,4%</w:t>
      </w:r>
      <w:r>
        <w:t>;</w:t>
      </w:r>
      <w:r w:rsidR="00A00FB1" w:rsidRPr="00F43E79">
        <w:t xml:space="preserve"> Sud -</w:t>
      </w:r>
      <w:r w:rsidR="00223F0D">
        <w:t>5,9</w:t>
      </w:r>
      <w:r w:rsidR="00A00FB1" w:rsidRPr="00F43E79">
        <w:t>%)</w:t>
      </w:r>
      <w:r w:rsidR="00A22DA4" w:rsidRPr="00F43E79">
        <w:t>.</w:t>
      </w:r>
      <w:r w:rsidR="00E12CFC">
        <w:t xml:space="preserve"> </w:t>
      </w:r>
      <w:r w:rsidR="00A22DA4" w:rsidRPr="00F43E79">
        <w:t>Al contempo</w:t>
      </w:r>
      <w:r w:rsidR="00E12CFC">
        <w:t xml:space="preserve">, </w:t>
      </w:r>
      <w:r w:rsidR="00223F0D">
        <w:t>mentre l</w:t>
      </w:r>
      <w:r w:rsidR="00DC6D19">
        <w:t>a</w:t>
      </w:r>
      <w:r w:rsidR="00223F0D">
        <w:t xml:space="preserve"> prevision</w:t>
      </w:r>
      <w:r w:rsidR="00DC6D19">
        <w:t>e</w:t>
      </w:r>
      <w:r w:rsidR="00223F0D">
        <w:t xml:space="preserve"> di </w:t>
      </w:r>
      <w:r w:rsidR="00D027B1">
        <w:t>incremento del 36%</w:t>
      </w:r>
      <w:r w:rsidR="00223F0D">
        <w:t xml:space="preserve"> delle Isole non </w:t>
      </w:r>
      <w:r w:rsidR="00D027B1">
        <w:t xml:space="preserve">risulta significativa perché le superfici a mais in tale partizione pesano </w:t>
      </w:r>
      <w:r>
        <w:t xml:space="preserve">per </w:t>
      </w:r>
      <w:r w:rsidR="00D027B1">
        <w:t xml:space="preserve">lo 0,35% </w:t>
      </w:r>
      <w:r>
        <w:t xml:space="preserve">circa </w:t>
      </w:r>
      <w:r w:rsidR="00D027B1">
        <w:t xml:space="preserve">del totale, </w:t>
      </w:r>
      <w:r w:rsidR="00E12CFC" w:rsidRPr="00F43E79">
        <w:t xml:space="preserve">la previsione </w:t>
      </w:r>
      <w:r>
        <w:t xml:space="preserve">di </w:t>
      </w:r>
      <w:r w:rsidR="00E12CFC" w:rsidRPr="00F43E79">
        <w:t xml:space="preserve">aumento </w:t>
      </w:r>
      <w:r w:rsidR="00E12CFC">
        <w:t>che caratterizza il Nord est</w:t>
      </w:r>
      <w:r>
        <w:t xml:space="preserve"> (</w:t>
      </w:r>
      <w:r w:rsidR="00E12CFC" w:rsidRPr="00F43E79">
        <w:t>3,1%</w:t>
      </w:r>
      <w:r>
        <w:t>),</w:t>
      </w:r>
      <w:r w:rsidR="00E12CFC" w:rsidRPr="00F43E79">
        <w:t xml:space="preserve"> </w:t>
      </w:r>
      <w:r>
        <w:t xml:space="preserve">dove </w:t>
      </w:r>
      <w:r w:rsidR="00AF1C56">
        <w:t>è localizzato</w:t>
      </w:r>
      <w:r w:rsidR="00E12CFC">
        <w:t xml:space="preserve"> il </w:t>
      </w:r>
      <w:r w:rsidR="00A00FB1" w:rsidRPr="00F43E79">
        <w:t>42,5%</w:t>
      </w:r>
      <w:r w:rsidR="00E12CFC">
        <w:t xml:space="preserve"> delle superfici a mai</w:t>
      </w:r>
      <w:r w:rsidR="00D027B1">
        <w:t>s</w:t>
      </w:r>
      <w:r w:rsidR="00E12CFC">
        <w:t xml:space="preserve"> </w:t>
      </w:r>
      <w:r>
        <w:t>di tutto il Paese,</w:t>
      </w:r>
      <w:r w:rsidRPr="001226C7">
        <w:t xml:space="preserve"> </w:t>
      </w:r>
      <w:r>
        <w:t>bilancia le flessioni delle altre ripartizioni.</w:t>
      </w:r>
    </w:p>
    <w:p w14:paraId="5DA85924" w14:textId="1E70903F" w:rsidR="001226C7" w:rsidRDefault="001226C7">
      <w:pPr>
        <w:jc w:val="both"/>
      </w:pPr>
    </w:p>
    <w:p w14:paraId="5F5A9661" w14:textId="3147EABF" w:rsidR="001226C7" w:rsidRDefault="001226C7">
      <w:pPr>
        <w:jc w:val="both"/>
      </w:pPr>
    </w:p>
    <w:p w14:paraId="2F055D41" w14:textId="7BD76578" w:rsidR="001226C7" w:rsidRDefault="001226C7">
      <w:pPr>
        <w:jc w:val="both"/>
      </w:pPr>
    </w:p>
    <w:p w14:paraId="115CAB27" w14:textId="2B1EA2B4" w:rsidR="001226C7" w:rsidRDefault="001226C7">
      <w:pPr>
        <w:jc w:val="both"/>
      </w:pPr>
    </w:p>
    <w:p w14:paraId="51549B52" w14:textId="35D78104" w:rsidR="001226C7" w:rsidRDefault="001226C7">
      <w:pPr>
        <w:jc w:val="both"/>
      </w:pPr>
    </w:p>
    <w:p w14:paraId="277D4355" w14:textId="0B8CD54B" w:rsidR="001226C7" w:rsidRDefault="001226C7">
      <w:pPr>
        <w:jc w:val="both"/>
      </w:pPr>
    </w:p>
    <w:p w14:paraId="34DF67AD" w14:textId="799931FC" w:rsidR="001226C7" w:rsidRDefault="001226C7">
      <w:pPr>
        <w:jc w:val="both"/>
      </w:pPr>
    </w:p>
    <w:p w14:paraId="051F7E19" w14:textId="243527C7" w:rsidR="001226C7" w:rsidRDefault="001226C7">
      <w:pPr>
        <w:jc w:val="both"/>
      </w:pPr>
    </w:p>
    <w:p w14:paraId="2643B498" w14:textId="0E73E0A5" w:rsidR="001226C7" w:rsidRDefault="001226C7">
      <w:pPr>
        <w:jc w:val="both"/>
      </w:pPr>
    </w:p>
    <w:p w14:paraId="0E7DE0FA" w14:textId="0E2C91CB" w:rsidR="001226C7" w:rsidRDefault="001226C7">
      <w:pPr>
        <w:jc w:val="both"/>
      </w:pPr>
    </w:p>
    <w:p w14:paraId="5EE1CA59" w14:textId="171C9B9D" w:rsidR="001226C7" w:rsidRDefault="001226C7">
      <w:pPr>
        <w:jc w:val="both"/>
      </w:pPr>
    </w:p>
    <w:p w14:paraId="3F8AA35D" w14:textId="77777777" w:rsidR="001226C7" w:rsidRPr="00F43E79" w:rsidRDefault="001226C7">
      <w:pPr>
        <w:jc w:val="both"/>
      </w:pPr>
    </w:p>
    <w:p w14:paraId="279B8B32" w14:textId="77777777" w:rsidR="00575739" w:rsidRDefault="0029064F" w:rsidP="005935C8">
      <w:pPr>
        <w:spacing w:after="0"/>
        <w:rPr>
          <w:rFonts w:ascii="Arial Narrow" w:hAnsi="Arial Narrow" w:cs="Arial"/>
          <w:iCs/>
          <w:noProof/>
          <w:color w:val="1F497D" w:themeColor="text2"/>
          <w:szCs w:val="22"/>
        </w:rPr>
      </w:pPr>
      <w:r w:rsidRPr="0029064F">
        <w:rPr>
          <w:rFonts w:ascii="Arial Black" w:hAnsi="Arial Black" w:cs="Arial"/>
          <w:iCs/>
          <w:noProof/>
          <w:color w:val="1F497D" w:themeColor="text2"/>
          <w:szCs w:val="22"/>
        </w:rPr>
        <w:t>FIGURA</w:t>
      </w:r>
      <w:r w:rsidRPr="0029064F">
        <w:rPr>
          <w:rFonts w:ascii="Arial Black" w:hAnsi="Arial Black" w:cs="Arial"/>
          <w:i/>
          <w:iCs/>
          <w:noProof/>
          <w:color w:val="1F497D" w:themeColor="text2"/>
          <w:szCs w:val="22"/>
        </w:rPr>
        <w:t xml:space="preserve"> </w:t>
      </w:r>
      <w:r w:rsidR="00C87208">
        <w:rPr>
          <w:rFonts w:ascii="Arial Black" w:hAnsi="Arial Black" w:cs="Arial"/>
          <w:iCs/>
          <w:noProof/>
          <w:color w:val="1F497D" w:themeColor="text2"/>
          <w:szCs w:val="22"/>
        </w:rPr>
        <w:t>5</w:t>
      </w:r>
      <w:r w:rsidR="00F85E18">
        <w:rPr>
          <w:rFonts w:ascii="Arial Black" w:hAnsi="Arial Black" w:cs="Arial"/>
          <w:iCs/>
          <w:noProof/>
          <w:color w:val="1F497D" w:themeColor="text2"/>
          <w:szCs w:val="22"/>
        </w:rPr>
        <w:t xml:space="preserve">. </w:t>
      </w:r>
      <w:r w:rsidR="00575739" w:rsidRPr="00575739">
        <w:rPr>
          <w:rFonts w:ascii="Arial Narrow" w:hAnsi="Arial Narrow" w:cs="Arial"/>
          <w:b/>
          <w:bCs/>
          <w:iCs/>
          <w:noProof/>
          <w:color w:val="1F497D" w:themeColor="text2"/>
          <w:szCs w:val="22"/>
        </w:rPr>
        <w:t>DISTRIBUZIONE TERRITORIALE PREVISIONI DI SEMINA</w:t>
      </w:r>
      <w:r w:rsidR="00575739" w:rsidRPr="00575739">
        <w:rPr>
          <w:rFonts w:ascii="Arial Narrow" w:hAnsi="Arial Narrow" w:cs="Arial"/>
          <w:iCs/>
          <w:noProof/>
          <w:color w:val="1F497D" w:themeColor="text2"/>
          <w:szCs w:val="22"/>
        </w:rPr>
        <w:t xml:space="preserve"> </w:t>
      </w:r>
    </w:p>
    <w:p w14:paraId="42536B7A" w14:textId="77777777" w:rsidR="005935C8" w:rsidRDefault="00575739" w:rsidP="005935C8">
      <w:pPr>
        <w:spacing w:after="0"/>
        <w:rPr>
          <w:rFonts w:ascii="Arial Narrow" w:hAnsi="Arial Narrow" w:cs="Arial"/>
          <w:iCs/>
          <w:noProof/>
          <w:color w:val="1F497D" w:themeColor="text2"/>
          <w:szCs w:val="22"/>
        </w:rPr>
      </w:pPr>
      <w:r>
        <w:rPr>
          <w:rFonts w:ascii="Arial Narrow" w:hAnsi="Arial Narrow" w:cs="Arial"/>
          <w:iCs/>
          <w:noProof/>
          <w:color w:val="1F497D" w:themeColor="text2"/>
          <w:szCs w:val="22"/>
        </w:rPr>
        <w:t>Previsioni per il 2021, variazioni percentuali</w:t>
      </w:r>
    </w:p>
    <w:p w14:paraId="10431238" w14:textId="1DE076E9" w:rsidR="005935C8" w:rsidRDefault="005935C8" w:rsidP="005935C8">
      <w:pPr>
        <w:spacing w:after="0"/>
        <w:rPr>
          <w:rFonts w:ascii="Arial Narrow" w:hAnsi="Arial Narrow" w:cs="Arial"/>
          <w:iCs/>
          <w:noProof/>
          <w:color w:val="1F497D" w:themeColor="text2"/>
          <w:szCs w:val="22"/>
        </w:rPr>
      </w:pPr>
      <w:r>
        <w:rPr>
          <w:noProof/>
        </w:rPr>
        <w:drawing>
          <wp:inline distT="0" distB="0" distL="0" distR="0" wp14:anchorId="473E83D6" wp14:editId="4454959D">
            <wp:extent cx="6300000" cy="2160000"/>
            <wp:effectExtent l="0" t="0" r="0" b="0"/>
            <wp:docPr id="9" name="Grafico 9">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21845B" w14:textId="707C3A20" w:rsidR="00CE71A3" w:rsidRDefault="00CE71A3">
      <w:pPr>
        <w:spacing w:after="0"/>
        <w:rPr>
          <w:rFonts w:ascii="Arial Narrow" w:hAnsi="Arial Narrow" w:cs="Arial"/>
          <w:iCs/>
          <w:noProof/>
          <w:color w:val="1F497D" w:themeColor="text2"/>
          <w:szCs w:val="22"/>
        </w:rPr>
      </w:pPr>
      <w:r>
        <w:rPr>
          <w:rFonts w:ascii="Arial Narrow" w:hAnsi="Arial Narrow" w:cs="Arial"/>
          <w:iCs/>
          <w:noProof/>
          <w:color w:val="1F497D" w:themeColor="text2"/>
          <w:szCs w:val="22"/>
        </w:rPr>
        <w:br w:type="page"/>
      </w:r>
    </w:p>
    <w:p w14:paraId="516EF421" w14:textId="04599FE7" w:rsidR="006B70B8" w:rsidRPr="00C93E85" w:rsidRDefault="006B70B8">
      <w:pPr>
        <w:rPr>
          <w:rFonts w:cs="Arial"/>
          <w:color w:val="1F497D" w:themeColor="text2"/>
          <w:szCs w:val="26"/>
        </w:rPr>
      </w:pPr>
    </w:p>
    <w:p w14:paraId="605CB94F" w14:textId="2AD6D088" w:rsidR="00152578" w:rsidRPr="00F925F2" w:rsidRDefault="00E44FFA">
      <w:pPr>
        <w:jc w:val="both"/>
        <w:outlineLvl w:val="0"/>
        <w:rPr>
          <w:rFonts w:cs="Arial"/>
          <w:b/>
          <w:color w:val="1F497D" w:themeColor="text2"/>
          <w:sz w:val="26"/>
          <w:szCs w:val="26"/>
        </w:rPr>
      </w:pPr>
      <w:r>
        <w:rPr>
          <w:rFonts w:cs="Arial"/>
          <w:b/>
          <w:color w:val="1F497D" w:themeColor="text2"/>
          <w:sz w:val="26"/>
          <w:szCs w:val="26"/>
        </w:rPr>
        <w:t>Covid</w:t>
      </w:r>
      <w:r w:rsidR="001226C7">
        <w:rPr>
          <w:rFonts w:cs="Arial"/>
          <w:b/>
          <w:color w:val="1F497D" w:themeColor="text2"/>
          <w:sz w:val="26"/>
          <w:szCs w:val="26"/>
        </w:rPr>
        <w:t>-19</w:t>
      </w:r>
      <w:r w:rsidR="00152578">
        <w:rPr>
          <w:rFonts w:cs="Arial"/>
          <w:b/>
          <w:color w:val="1F497D" w:themeColor="text2"/>
          <w:sz w:val="26"/>
          <w:szCs w:val="26"/>
        </w:rPr>
        <w:t>: prevale l’opinione che non ci siano effetti sull’attività aziendale</w:t>
      </w:r>
    </w:p>
    <w:p w14:paraId="64428B80" w14:textId="5B2BCE06" w:rsidR="00614BA1" w:rsidRDefault="001226C7">
      <w:pPr>
        <w:jc w:val="both"/>
        <w:rPr>
          <w:rFonts w:cs="Arial"/>
          <w:szCs w:val="22"/>
        </w:rPr>
      </w:pPr>
      <w:r>
        <w:rPr>
          <w:rFonts w:cs="Arial"/>
          <w:szCs w:val="22"/>
        </w:rPr>
        <w:t xml:space="preserve">La crisi dovuta </w:t>
      </w:r>
      <w:r w:rsidR="00AF1C56">
        <w:rPr>
          <w:rFonts w:cs="Arial"/>
          <w:szCs w:val="22"/>
        </w:rPr>
        <w:t>all’emergenza sanitaria</w:t>
      </w:r>
      <w:r w:rsidR="00AD34A3">
        <w:rPr>
          <w:rFonts w:cs="Arial"/>
          <w:szCs w:val="22"/>
        </w:rPr>
        <w:t xml:space="preserve"> </w:t>
      </w:r>
      <w:r w:rsidR="00614BA1">
        <w:rPr>
          <w:rFonts w:cs="Arial"/>
          <w:szCs w:val="22"/>
        </w:rPr>
        <w:t>ha avuto effetti differenziati sui dive</w:t>
      </w:r>
      <w:r w:rsidR="00AD34A3">
        <w:rPr>
          <w:rFonts w:cs="Arial"/>
          <w:szCs w:val="22"/>
        </w:rPr>
        <w:t xml:space="preserve">rsi settori dell’economia. </w:t>
      </w:r>
      <w:r>
        <w:rPr>
          <w:rFonts w:cs="Arial"/>
          <w:szCs w:val="22"/>
        </w:rPr>
        <w:t>I</w:t>
      </w:r>
      <w:r w:rsidR="00AD34A3">
        <w:rPr>
          <w:rFonts w:cs="Arial"/>
          <w:szCs w:val="22"/>
        </w:rPr>
        <w:t xml:space="preserve"> dati di fatturazione elettronica denota</w:t>
      </w:r>
      <w:r w:rsidR="00D15690">
        <w:rPr>
          <w:rFonts w:cs="Arial"/>
          <w:szCs w:val="22"/>
        </w:rPr>
        <w:t>n</w:t>
      </w:r>
      <w:r w:rsidR="00AD34A3">
        <w:rPr>
          <w:rFonts w:cs="Arial"/>
          <w:szCs w:val="22"/>
        </w:rPr>
        <w:t xml:space="preserve">o, per il 2020, un andamento relativamente positivo per il settore primario; nell’indagine sulle intenzioni di semina per l’annata agraria 2020-2021 sono state </w:t>
      </w:r>
      <w:r w:rsidR="00DC29E1">
        <w:rPr>
          <w:rFonts w:cs="Arial"/>
          <w:szCs w:val="22"/>
        </w:rPr>
        <w:t xml:space="preserve">comunque </w:t>
      </w:r>
      <w:r w:rsidR="00AD34A3">
        <w:rPr>
          <w:rFonts w:cs="Arial"/>
          <w:szCs w:val="22"/>
        </w:rPr>
        <w:t>inserite domande specifiche sugli effetti della pandemia.</w:t>
      </w:r>
    </w:p>
    <w:p w14:paraId="48B19A06" w14:textId="50D3574F" w:rsidR="00064802" w:rsidRDefault="00AD34A3">
      <w:pPr>
        <w:jc w:val="both"/>
        <w:rPr>
          <w:rFonts w:cs="Arial"/>
          <w:szCs w:val="22"/>
        </w:rPr>
      </w:pPr>
      <w:r>
        <w:rPr>
          <w:rFonts w:cs="Arial"/>
          <w:szCs w:val="22"/>
        </w:rPr>
        <w:t>C</w:t>
      </w:r>
      <w:r w:rsidR="00614BA1">
        <w:rPr>
          <w:rFonts w:cs="Arial"/>
          <w:szCs w:val="22"/>
        </w:rPr>
        <w:t>on riferi</w:t>
      </w:r>
      <w:r w:rsidR="005E0F9A">
        <w:rPr>
          <w:rFonts w:cs="Arial"/>
          <w:szCs w:val="22"/>
        </w:rPr>
        <w:t xml:space="preserve">mento all’annata agraria </w:t>
      </w:r>
      <w:r w:rsidR="00614BA1">
        <w:rPr>
          <w:rFonts w:cs="Arial"/>
          <w:szCs w:val="22"/>
        </w:rPr>
        <w:t>conclusa 2019-2020</w:t>
      </w:r>
      <w:r>
        <w:rPr>
          <w:rFonts w:cs="Arial"/>
          <w:szCs w:val="22"/>
        </w:rPr>
        <w:t xml:space="preserve">, alla domanda </w:t>
      </w:r>
      <w:r w:rsidR="00506C45">
        <w:rPr>
          <w:rFonts w:cs="Arial"/>
          <w:szCs w:val="22"/>
        </w:rPr>
        <w:t xml:space="preserve">circa </w:t>
      </w:r>
      <w:r w:rsidR="008C31BD">
        <w:rPr>
          <w:rFonts w:cs="Arial"/>
          <w:szCs w:val="22"/>
        </w:rPr>
        <w:t>“Q</w:t>
      </w:r>
      <w:r w:rsidR="00506C45">
        <w:rPr>
          <w:rFonts w:cs="Arial"/>
          <w:szCs w:val="22"/>
        </w:rPr>
        <w:t>uali e</w:t>
      </w:r>
      <w:r w:rsidR="008C31BD">
        <w:rPr>
          <w:rFonts w:cs="Arial"/>
          <w:szCs w:val="22"/>
        </w:rPr>
        <w:t>f</w:t>
      </w:r>
      <w:r w:rsidR="00506C45">
        <w:rPr>
          <w:rFonts w:cs="Arial"/>
          <w:szCs w:val="22"/>
        </w:rPr>
        <w:t>fetti avesse prodotto la pandemia sulla p</w:t>
      </w:r>
      <w:r w:rsidR="00DC4F3D">
        <w:rPr>
          <w:rFonts w:cs="Arial"/>
          <w:szCs w:val="22"/>
        </w:rPr>
        <w:t>ropria azienda</w:t>
      </w:r>
      <w:r w:rsidR="00506C45">
        <w:rPr>
          <w:rFonts w:cs="Arial"/>
          <w:szCs w:val="22"/>
        </w:rPr>
        <w:t xml:space="preserve"> agricola</w:t>
      </w:r>
      <w:r w:rsidR="008C31BD">
        <w:rPr>
          <w:rFonts w:cs="Arial"/>
          <w:szCs w:val="22"/>
        </w:rPr>
        <w:t>”</w:t>
      </w:r>
      <w:r w:rsidR="00506C45">
        <w:rPr>
          <w:rFonts w:cs="Arial"/>
          <w:szCs w:val="22"/>
        </w:rPr>
        <w:t xml:space="preserve"> </w:t>
      </w:r>
      <w:r w:rsidR="00FF0D20">
        <w:rPr>
          <w:rFonts w:cs="Arial"/>
          <w:szCs w:val="22"/>
        </w:rPr>
        <w:t>la risposta più frequente è “nessun impatto”</w:t>
      </w:r>
      <w:r w:rsidR="00DC29E1">
        <w:rPr>
          <w:rFonts w:cs="Arial"/>
          <w:szCs w:val="22"/>
        </w:rPr>
        <w:t xml:space="preserve"> (</w:t>
      </w:r>
      <w:r w:rsidR="00FF0D20">
        <w:rPr>
          <w:rFonts w:cs="Arial"/>
          <w:szCs w:val="22"/>
        </w:rPr>
        <w:t>31,4%</w:t>
      </w:r>
      <w:r w:rsidR="00DC29E1">
        <w:rPr>
          <w:rFonts w:cs="Arial"/>
          <w:szCs w:val="22"/>
        </w:rPr>
        <w:t xml:space="preserve"> </w:t>
      </w:r>
      <w:r w:rsidR="00C2768A" w:rsidRPr="00571245">
        <w:rPr>
          <w:rFonts w:cs="Arial"/>
          <w:szCs w:val="22"/>
        </w:rPr>
        <w:t>de</w:t>
      </w:r>
      <w:r w:rsidR="00C2768A">
        <w:rPr>
          <w:rFonts w:cs="Arial"/>
          <w:szCs w:val="22"/>
        </w:rPr>
        <w:t>i rispondent</w:t>
      </w:r>
      <w:r w:rsidR="00C2768A" w:rsidRPr="00571245">
        <w:rPr>
          <w:rFonts w:cs="Arial"/>
          <w:szCs w:val="22"/>
        </w:rPr>
        <w:t>i).</w:t>
      </w:r>
      <w:r w:rsidR="00C2768A">
        <w:rPr>
          <w:rFonts w:cs="Arial"/>
          <w:szCs w:val="22"/>
        </w:rPr>
        <w:t xml:space="preserve"> </w:t>
      </w:r>
      <w:r w:rsidR="00064802">
        <w:rPr>
          <w:rFonts w:cs="Arial"/>
          <w:szCs w:val="22"/>
        </w:rPr>
        <w:t xml:space="preserve">Tra gli effetti della pandemia dichiarati, </w:t>
      </w:r>
      <w:r w:rsidR="00DC29E1">
        <w:rPr>
          <w:rFonts w:cs="Arial"/>
          <w:szCs w:val="22"/>
        </w:rPr>
        <w:t xml:space="preserve">sono </w:t>
      </w:r>
      <w:r w:rsidR="00064802">
        <w:rPr>
          <w:rFonts w:cs="Arial"/>
          <w:szCs w:val="22"/>
        </w:rPr>
        <w:t xml:space="preserve">segnalati </w:t>
      </w:r>
      <w:r w:rsidR="00DC29E1">
        <w:rPr>
          <w:rFonts w:cs="Arial"/>
          <w:szCs w:val="22"/>
        </w:rPr>
        <w:t>soprattutto</w:t>
      </w:r>
      <w:r w:rsidR="00064802">
        <w:rPr>
          <w:rFonts w:cs="Arial"/>
          <w:szCs w:val="22"/>
        </w:rPr>
        <w:t xml:space="preserve"> la “Riduzione dei prezzi di vendita del proprio prodotto” (17,8%) e la “Riduzione della domanda” (17,4%). </w:t>
      </w:r>
      <w:r w:rsidR="00F551F5">
        <w:rPr>
          <w:rFonts w:cs="Arial"/>
          <w:szCs w:val="22"/>
        </w:rPr>
        <w:t>La crisi non sembra avere impatto su</w:t>
      </w:r>
      <w:r w:rsidR="00064802">
        <w:rPr>
          <w:rFonts w:cs="Arial"/>
          <w:szCs w:val="22"/>
        </w:rPr>
        <w:t xml:space="preserve">lle superfici coltivate </w:t>
      </w:r>
      <w:proofErr w:type="spellStart"/>
      <w:r w:rsidR="00F551F5">
        <w:rPr>
          <w:rFonts w:cs="Arial"/>
          <w:szCs w:val="22"/>
        </w:rPr>
        <w:t>nè</w:t>
      </w:r>
      <w:proofErr w:type="spellEnd"/>
      <w:r w:rsidR="00980E7E">
        <w:rPr>
          <w:rFonts w:cs="Arial"/>
          <w:szCs w:val="22"/>
        </w:rPr>
        <w:t xml:space="preserve"> </w:t>
      </w:r>
      <w:r w:rsidR="00F551F5">
        <w:rPr>
          <w:rFonts w:cs="Arial"/>
          <w:szCs w:val="22"/>
        </w:rPr>
        <w:t>su</w:t>
      </w:r>
      <w:r w:rsidR="00980E7E">
        <w:rPr>
          <w:rFonts w:cs="Arial"/>
          <w:szCs w:val="22"/>
        </w:rPr>
        <w:t>lle produzioni raccolte</w:t>
      </w:r>
      <w:r w:rsidR="00F551F5">
        <w:rPr>
          <w:rFonts w:cs="Arial"/>
          <w:szCs w:val="22"/>
        </w:rPr>
        <w:t>. I</w:t>
      </w:r>
      <w:r w:rsidR="00064802">
        <w:rPr>
          <w:rFonts w:cs="Arial"/>
          <w:szCs w:val="22"/>
        </w:rPr>
        <w:t xml:space="preserve">l 2020 </w:t>
      </w:r>
      <w:r w:rsidR="00AF1C56">
        <w:rPr>
          <w:rFonts w:cs="Arial"/>
          <w:szCs w:val="22"/>
        </w:rPr>
        <w:t>è</w:t>
      </w:r>
      <w:r w:rsidR="00064802">
        <w:rPr>
          <w:rFonts w:cs="Arial"/>
          <w:szCs w:val="22"/>
        </w:rPr>
        <w:t xml:space="preserve"> stato caratterizzato da un surplus di offerta di beni primari cerealicoli rispetto alla domanda, animat</w:t>
      </w:r>
      <w:r w:rsidR="00AF1C56">
        <w:rPr>
          <w:rFonts w:cs="Arial"/>
          <w:szCs w:val="22"/>
        </w:rPr>
        <w:t>o</w:t>
      </w:r>
      <w:r w:rsidR="00064802">
        <w:rPr>
          <w:rFonts w:cs="Arial"/>
          <w:szCs w:val="22"/>
        </w:rPr>
        <w:t xml:space="preserve"> da </w:t>
      </w:r>
      <w:r w:rsidR="00980E7E">
        <w:rPr>
          <w:rFonts w:cs="Arial"/>
          <w:szCs w:val="22"/>
        </w:rPr>
        <w:t>una riduzione dei prezzi di vendita.</w:t>
      </w:r>
      <w:r w:rsidR="00205104">
        <w:rPr>
          <w:rFonts w:cs="Arial"/>
          <w:szCs w:val="22"/>
        </w:rPr>
        <w:t xml:space="preserve"> </w:t>
      </w:r>
    </w:p>
    <w:p w14:paraId="6CA6F106" w14:textId="352632DD" w:rsidR="007E0A9C" w:rsidRDefault="00980E7E" w:rsidP="00CB0812">
      <w:pPr>
        <w:jc w:val="both"/>
        <w:rPr>
          <w:rFonts w:cs="Arial"/>
          <w:szCs w:val="22"/>
        </w:rPr>
      </w:pPr>
      <w:r>
        <w:rPr>
          <w:rFonts w:cs="Arial"/>
          <w:szCs w:val="22"/>
        </w:rPr>
        <w:t>A livello territoriale, la percentuale di aziende che dichiara</w:t>
      </w:r>
      <w:r w:rsidR="00D15690">
        <w:rPr>
          <w:rFonts w:cs="Arial"/>
          <w:szCs w:val="22"/>
        </w:rPr>
        <w:t>n</w:t>
      </w:r>
      <w:r>
        <w:rPr>
          <w:rFonts w:cs="Arial"/>
          <w:szCs w:val="22"/>
        </w:rPr>
        <w:t xml:space="preserve">o di non prevedere alcun impatto sui propri risultati </w:t>
      </w:r>
      <w:r w:rsidR="008C31BD">
        <w:rPr>
          <w:rFonts w:cs="Arial"/>
          <w:szCs w:val="22"/>
        </w:rPr>
        <w:t xml:space="preserve">aziendali </w:t>
      </w:r>
      <w:r>
        <w:rPr>
          <w:rFonts w:cs="Arial"/>
          <w:szCs w:val="22"/>
        </w:rPr>
        <w:t>è lievem</w:t>
      </w:r>
      <w:r w:rsidR="001E6D4F">
        <w:rPr>
          <w:rFonts w:cs="Arial"/>
          <w:szCs w:val="22"/>
        </w:rPr>
        <w:t>ente più bassa nel Nord o</w:t>
      </w:r>
      <w:r>
        <w:rPr>
          <w:rFonts w:cs="Arial"/>
          <w:szCs w:val="22"/>
        </w:rPr>
        <w:t>vest</w:t>
      </w:r>
      <w:r w:rsidR="00AF1C56">
        <w:rPr>
          <w:rFonts w:cs="Arial"/>
          <w:szCs w:val="22"/>
        </w:rPr>
        <w:t xml:space="preserve"> (39,9%) </w:t>
      </w:r>
      <w:r>
        <w:rPr>
          <w:rFonts w:cs="Arial"/>
          <w:szCs w:val="22"/>
        </w:rPr>
        <w:t xml:space="preserve">rispetto alle altre aree, in cui la percentuale </w:t>
      </w:r>
      <w:r w:rsidR="007E0A9C">
        <w:rPr>
          <w:rFonts w:cs="Arial"/>
          <w:szCs w:val="22"/>
        </w:rPr>
        <w:t>supera sempre il</w:t>
      </w:r>
      <w:r>
        <w:rPr>
          <w:rFonts w:cs="Arial"/>
          <w:szCs w:val="22"/>
        </w:rPr>
        <w:t xml:space="preserve"> 42%, </w:t>
      </w:r>
      <w:r w:rsidR="00DC4F3D">
        <w:rPr>
          <w:rFonts w:cs="Arial"/>
          <w:szCs w:val="22"/>
        </w:rPr>
        <w:t>con il picco del 48,5%</w:t>
      </w:r>
      <w:r w:rsidR="00506C45">
        <w:rPr>
          <w:rFonts w:cs="Arial"/>
          <w:szCs w:val="22"/>
        </w:rPr>
        <w:t xml:space="preserve"> nel Centro. </w:t>
      </w:r>
      <w:r w:rsidR="00AF1C56">
        <w:rPr>
          <w:rFonts w:cs="Arial"/>
          <w:szCs w:val="22"/>
        </w:rPr>
        <w:t xml:space="preserve"> </w:t>
      </w:r>
    </w:p>
    <w:p w14:paraId="45B69BAC" w14:textId="7D0F8A16" w:rsidR="00614BA1" w:rsidRDefault="003F2150" w:rsidP="00A650C9">
      <w:pPr>
        <w:jc w:val="both"/>
        <w:rPr>
          <w:rFonts w:cs="Arial"/>
          <w:szCs w:val="22"/>
        </w:rPr>
      </w:pPr>
      <w:r>
        <w:rPr>
          <w:rFonts w:cs="Arial"/>
          <w:szCs w:val="22"/>
        </w:rPr>
        <w:t>Anche c</w:t>
      </w:r>
      <w:r w:rsidR="00506C45">
        <w:rPr>
          <w:rFonts w:cs="Arial"/>
          <w:szCs w:val="22"/>
        </w:rPr>
        <w:t xml:space="preserve">on riferimento agli effetti della pandemia per l’annata agraria in corso 2020-2021, la risposta più frequente è </w:t>
      </w:r>
      <w:r w:rsidR="00614BA1">
        <w:rPr>
          <w:rFonts w:cs="Arial"/>
          <w:szCs w:val="22"/>
        </w:rPr>
        <w:t>“nessun impatto”</w:t>
      </w:r>
      <w:r w:rsidR="007E0A9C">
        <w:rPr>
          <w:rFonts w:cs="Arial"/>
          <w:szCs w:val="22"/>
        </w:rPr>
        <w:t xml:space="preserve"> </w:t>
      </w:r>
      <w:r w:rsidR="00506C45">
        <w:rPr>
          <w:rFonts w:cs="Arial"/>
          <w:szCs w:val="22"/>
        </w:rPr>
        <w:t>nel 42</w:t>
      </w:r>
      <w:r w:rsidR="00614BA1">
        <w:rPr>
          <w:rFonts w:cs="Arial"/>
          <w:szCs w:val="22"/>
        </w:rPr>
        <w:t>,8% de</w:t>
      </w:r>
      <w:r w:rsidR="00506C45">
        <w:rPr>
          <w:rFonts w:cs="Arial"/>
          <w:szCs w:val="22"/>
        </w:rPr>
        <w:t>i casi</w:t>
      </w:r>
      <w:r>
        <w:rPr>
          <w:rFonts w:cs="Arial"/>
          <w:szCs w:val="22"/>
        </w:rPr>
        <w:t xml:space="preserve"> (v</w:t>
      </w:r>
      <w:r w:rsidR="00506C45">
        <w:rPr>
          <w:rFonts w:cs="Arial"/>
          <w:szCs w:val="22"/>
        </w:rPr>
        <w:t>a tuttavia ricordato che il questionario è stato somministrato tra l’inizio di novembre 2020 e l’inizio di gennaio 2021</w:t>
      </w:r>
      <w:r>
        <w:rPr>
          <w:rFonts w:cs="Arial"/>
          <w:szCs w:val="22"/>
        </w:rPr>
        <w:t>)</w:t>
      </w:r>
      <w:r w:rsidR="00506C45">
        <w:rPr>
          <w:rFonts w:cs="Arial"/>
          <w:szCs w:val="22"/>
        </w:rPr>
        <w:t>.</w:t>
      </w:r>
      <w:r w:rsidR="009955F3">
        <w:rPr>
          <w:rFonts w:cs="Arial"/>
          <w:szCs w:val="22"/>
        </w:rPr>
        <w:t xml:space="preserve"> Tra </w:t>
      </w:r>
      <w:r>
        <w:rPr>
          <w:rFonts w:cs="Arial"/>
          <w:szCs w:val="22"/>
        </w:rPr>
        <w:t>i rispondenti che invece indica</w:t>
      </w:r>
      <w:r w:rsidR="00D15690">
        <w:rPr>
          <w:rFonts w:cs="Arial"/>
          <w:szCs w:val="22"/>
        </w:rPr>
        <w:t>n</w:t>
      </w:r>
      <w:r>
        <w:rPr>
          <w:rFonts w:cs="Arial"/>
          <w:szCs w:val="22"/>
        </w:rPr>
        <w:t>o conseguenze</w:t>
      </w:r>
      <w:r w:rsidR="009955F3">
        <w:rPr>
          <w:rFonts w:cs="Arial"/>
          <w:szCs w:val="22"/>
        </w:rPr>
        <w:t xml:space="preserve">, </w:t>
      </w:r>
      <w:r>
        <w:rPr>
          <w:rFonts w:cs="Arial"/>
          <w:szCs w:val="22"/>
        </w:rPr>
        <w:t>emerge</w:t>
      </w:r>
      <w:r w:rsidR="009955F3">
        <w:rPr>
          <w:rFonts w:cs="Arial"/>
          <w:szCs w:val="22"/>
        </w:rPr>
        <w:t xml:space="preserve"> il timore circa la riduzione della domanda (18,0%), </w:t>
      </w:r>
      <w:r w:rsidR="00AF1C56">
        <w:rPr>
          <w:rFonts w:cs="Arial"/>
          <w:szCs w:val="22"/>
        </w:rPr>
        <w:t xml:space="preserve">poiché </w:t>
      </w:r>
      <w:r w:rsidR="009955F3">
        <w:rPr>
          <w:rFonts w:cs="Arial"/>
          <w:szCs w:val="22"/>
        </w:rPr>
        <w:t xml:space="preserve">si ritiene che non </w:t>
      </w:r>
      <w:r w:rsidR="00AF1C56">
        <w:rPr>
          <w:rFonts w:cs="Arial"/>
          <w:szCs w:val="22"/>
        </w:rPr>
        <w:t xml:space="preserve">sia </w:t>
      </w:r>
      <w:r w:rsidR="009955F3">
        <w:rPr>
          <w:rFonts w:cs="Arial"/>
          <w:szCs w:val="22"/>
        </w:rPr>
        <w:t>possibile tornare alla situazione anteced</w:t>
      </w:r>
      <w:r w:rsidR="001E6D4F">
        <w:rPr>
          <w:rFonts w:cs="Arial"/>
          <w:szCs w:val="22"/>
        </w:rPr>
        <w:t>e</w:t>
      </w:r>
      <w:r w:rsidR="009955F3">
        <w:rPr>
          <w:rFonts w:cs="Arial"/>
          <w:szCs w:val="22"/>
        </w:rPr>
        <w:t>nte alla pandemia (9,5%) e si profilano sia aumenti dei costi di produzione (7,5%) sia la mancanza di liquidità per fare fronte alle spese correnti (6,9%).</w:t>
      </w:r>
    </w:p>
    <w:p w14:paraId="5069C9FB" w14:textId="6FEBDEFC" w:rsidR="00614BA1" w:rsidRDefault="000B5435">
      <w:pPr>
        <w:jc w:val="both"/>
        <w:rPr>
          <w:rFonts w:cs="Arial"/>
          <w:szCs w:val="22"/>
        </w:rPr>
      </w:pPr>
      <w:r w:rsidRPr="001E6D4F">
        <w:rPr>
          <w:rFonts w:cs="Arial"/>
          <w:szCs w:val="22"/>
        </w:rPr>
        <w:t xml:space="preserve">A livello territoriale vengono confermate le tendenze mostrate a livello nazionale. In tutte le </w:t>
      </w:r>
      <w:r w:rsidR="001E6D4F">
        <w:rPr>
          <w:rFonts w:cs="Arial"/>
          <w:szCs w:val="22"/>
        </w:rPr>
        <w:t xml:space="preserve">ripartizioni, </w:t>
      </w:r>
      <w:r w:rsidRPr="001E6D4F">
        <w:rPr>
          <w:rFonts w:cs="Arial"/>
          <w:szCs w:val="22"/>
        </w:rPr>
        <w:t>infatti</w:t>
      </w:r>
      <w:r w:rsidR="001E6D4F">
        <w:rPr>
          <w:rFonts w:cs="Arial"/>
          <w:szCs w:val="22"/>
        </w:rPr>
        <w:t>,</w:t>
      </w:r>
      <w:r w:rsidRPr="001E6D4F">
        <w:rPr>
          <w:rFonts w:cs="Arial"/>
          <w:szCs w:val="22"/>
        </w:rPr>
        <w:t xml:space="preserve"> </w:t>
      </w:r>
      <w:r w:rsidR="001300A4" w:rsidRPr="001E6D4F">
        <w:rPr>
          <w:rFonts w:cs="Arial"/>
          <w:szCs w:val="22"/>
        </w:rPr>
        <w:t>oltre il 42% del</w:t>
      </w:r>
      <w:r w:rsidRPr="001E6D4F">
        <w:rPr>
          <w:rFonts w:cs="Arial"/>
          <w:szCs w:val="22"/>
        </w:rPr>
        <w:t xml:space="preserve">le aziende dichiara di non prevedere alcun impatto per </w:t>
      </w:r>
      <w:r w:rsidR="001300A4" w:rsidRPr="001E6D4F">
        <w:rPr>
          <w:rFonts w:cs="Arial"/>
          <w:szCs w:val="22"/>
        </w:rPr>
        <w:t>l’annata agraria 2020-2021, fatta eccezione per il Nord</w:t>
      </w:r>
      <w:r w:rsidR="001E6D4F">
        <w:rPr>
          <w:rFonts w:cs="Arial"/>
          <w:szCs w:val="22"/>
        </w:rPr>
        <w:t xml:space="preserve"> </w:t>
      </w:r>
      <w:r w:rsidR="001300A4" w:rsidRPr="001E6D4F">
        <w:rPr>
          <w:rFonts w:cs="Arial"/>
          <w:szCs w:val="22"/>
        </w:rPr>
        <w:t>ovest</w:t>
      </w:r>
      <w:r w:rsidR="001E6D4F">
        <w:rPr>
          <w:rFonts w:cs="Arial"/>
          <w:szCs w:val="22"/>
        </w:rPr>
        <w:t>,</w:t>
      </w:r>
      <w:r w:rsidR="001300A4" w:rsidRPr="001E6D4F">
        <w:rPr>
          <w:rFonts w:cs="Arial"/>
          <w:szCs w:val="22"/>
        </w:rPr>
        <w:t xml:space="preserve"> in cui la percentuale è del 39,9%</w:t>
      </w:r>
      <w:r w:rsidR="00614BA1" w:rsidRPr="001E6D4F">
        <w:rPr>
          <w:rFonts w:cs="Arial"/>
          <w:szCs w:val="22"/>
        </w:rPr>
        <w:t>.</w:t>
      </w:r>
    </w:p>
    <w:p w14:paraId="43DCA70A" w14:textId="6E3B791A" w:rsidR="00D85207" w:rsidRDefault="00D85207" w:rsidP="00571245">
      <w:pPr>
        <w:jc w:val="both"/>
        <w:rPr>
          <w:rFonts w:cs="Arial"/>
          <w:szCs w:val="22"/>
        </w:rPr>
      </w:pPr>
    </w:p>
    <w:p w14:paraId="7AA1BC00" w14:textId="6375EBBE" w:rsidR="00CE71A3" w:rsidRDefault="00CE71A3" w:rsidP="00DC29E1">
      <w:pPr>
        <w:jc w:val="both"/>
        <w:rPr>
          <w:rFonts w:cs="Arial"/>
          <w:szCs w:val="22"/>
        </w:rPr>
      </w:pPr>
    </w:p>
    <w:p w14:paraId="3DE1D561" w14:textId="1BC3BFA9" w:rsidR="00D15690" w:rsidRDefault="00D15690" w:rsidP="00DC29E1">
      <w:pPr>
        <w:jc w:val="both"/>
        <w:rPr>
          <w:rFonts w:cs="Arial"/>
          <w:szCs w:val="22"/>
        </w:rPr>
      </w:pPr>
    </w:p>
    <w:p w14:paraId="3F9C6C91" w14:textId="6EFDDD06" w:rsidR="00D15690" w:rsidRDefault="00D15690" w:rsidP="00DC29E1">
      <w:pPr>
        <w:jc w:val="both"/>
        <w:rPr>
          <w:rFonts w:cs="Arial"/>
          <w:szCs w:val="22"/>
        </w:rPr>
      </w:pPr>
    </w:p>
    <w:p w14:paraId="1C153408" w14:textId="7479CC54" w:rsidR="00D15690" w:rsidRDefault="00D15690" w:rsidP="00DC29E1">
      <w:pPr>
        <w:jc w:val="both"/>
        <w:rPr>
          <w:rFonts w:cs="Arial"/>
          <w:szCs w:val="22"/>
        </w:rPr>
      </w:pPr>
    </w:p>
    <w:p w14:paraId="7FA09FE8" w14:textId="50238EFA" w:rsidR="00D15690" w:rsidRDefault="00D15690" w:rsidP="00DC29E1">
      <w:pPr>
        <w:jc w:val="both"/>
        <w:rPr>
          <w:rFonts w:cs="Arial"/>
          <w:szCs w:val="22"/>
        </w:rPr>
      </w:pPr>
    </w:p>
    <w:p w14:paraId="7F30E4DC" w14:textId="77777777" w:rsidR="00D15690" w:rsidRPr="00304BC7" w:rsidRDefault="00D15690" w:rsidP="00571245">
      <w:pPr>
        <w:jc w:val="both"/>
        <w:rPr>
          <w:rFonts w:cs="Arial"/>
          <w:sz w:val="32"/>
          <w:szCs w:val="32"/>
        </w:rPr>
      </w:pPr>
    </w:p>
    <w:p w14:paraId="4EB659BF" w14:textId="7F0DC17E" w:rsidR="00CE71A3" w:rsidRPr="00304BC7" w:rsidRDefault="00CE71A3" w:rsidP="00CB0812">
      <w:pPr>
        <w:jc w:val="both"/>
        <w:rPr>
          <w:rFonts w:cs="Arial"/>
          <w:sz w:val="28"/>
          <w:szCs w:val="28"/>
        </w:rPr>
      </w:pPr>
    </w:p>
    <w:p w14:paraId="148B2681" w14:textId="77514602" w:rsidR="00CF5824" w:rsidRDefault="0029064F" w:rsidP="00571245">
      <w:pPr>
        <w:spacing w:after="0"/>
        <w:rPr>
          <w:rFonts w:ascii="Arial Narrow" w:hAnsi="Arial Narrow" w:cs="Arial"/>
          <w:iCs/>
          <w:noProof/>
          <w:color w:val="1F497D" w:themeColor="text2"/>
          <w:szCs w:val="22"/>
        </w:rPr>
      </w:pPr>
      <w:r w:rsidRPr="0029064F">
        <w:rPr>
          <w:rFonts w:ascii="Arial Black" w:hAnsi="Arial Black" w:cs="Arial"/>
          <w:iCs/>
          <w:noProof/>
          <w:color w:val="1F497D" w:themeColor="text2"/>
          <w:szCs w:val="22"/>
        </w:rPr>
        <w:t xml:space="preserve">FIGURA </w:t>
      </w:r>
      <w:r w:rsidR="00C87208">
        <w:rPr>
          <w:rFonts w:ascii="Arial Black" w:hAnsi="Arial Black" w:cs="Arial"/>
          <w:iCs/>
          <w:noProof/>
          <w:color w:val="1F497D" w:themeColor="text2"/>
          <w:szCs w:val="22"/>
        </w:rPr>
        <w:t>6</w:t>
      </w:r>
      <w:r w:rsidR="00C7135E">
        <w:rPr>
          <w:rFonts w:ascii="Arial Black" w:hAnsi="Arial Black" w:cs="Arial"/>
          <w:iCs/>
          <w:noProof/>
          <w:color w:val="1F497D" w:themeColor="text2"/>
          <w:szCs w:val="22"/>
        </w:rPr>
        <w:t xml:space="preserve">. </w:t>
      </w:r>
      <w:r w:rsidR="00A67177" w:rsidRPr="00901667">
        <w:rPr>
          <w:rFonts w:ascii="Arial Narrow" w:hAnsi="Arial Narrow" w:cs="Arial"/>
          <w:b/>
          <w:bCs/>
          <w:iCs/>
          <w:noProof/>
          <w:color w:val="1F497D" w:themeColor="text2"/>
          <w:szCs w:val="22"/>
        </w:rPr>
        <w:t>IMPATTO DEL COVID</w:t>
      </w:r>
      <w:r w:rsidR="00C2768A">
        <w:rPr>
          <w:rFonts w:ascii="Arial Narrow" w:hAnsi="Arial Narrow" w:cs="Arial"/>
          <w:b/>
          <w:bCs/>
          <w:iCs/>
          <w:noProof/>
          <w:color w:val="1F497D" w:themeColor="text2"/>
          <w:szCs w:val="22"/>
        </w:rPr>
        <w:t>-19</w:t>
      </w:r>
      <w:r w:rsidR="00A67177">
        <w:rPr>
          <w:rFonts w:ascii="Arial Narrow" w:hAnsi="Arial Narrow" w:cs="Arial"/>
          <w:b/>
          <w:bCs/>
          <w:iCs/>
          <w:noProof/>
          <w:color w:val="1F497D" w:themeColor="text2"/>
          <w:szCs w:val="22"/>
        </w:rPr>
        <w:t xml:space="preserve">. </w:t>
      </w:r>
      <w:r w:rsidR="00A67177">
        <w:rPr>
          <w:rFonts w:ascii="Arial Narrow" w:hAnsi="Arial Narrow" w:cs="Arial"/>
          <w:iCs/>
          <w:noProof/>
          <w:color w:val="1F497D" w:themeColor="text2"/>
          <w:szCs w:val="22"/>
        </w:rPr>
        <w:t>A</w:t>
      </w:r>
      <w:r w:rsidR="00DC4F3D">
        <w:rPr>
          <w:rFonts w:ascii="Arial Narrow" w:hAnsi="Arial Narrow" w:cs="Arial"/>
          <w:iCs/>
          <w:noProof/>
          <w:color w:val="1F497D" w:themeColor="text2"/>
          <w:szCs w:val="22"/>
        </w:rPr>
        <w:t xml:space="preserve">nnata agraria </w:t>
      </w:r>
      <w:r w:rsidR="00494737">
        <w:rPr>
          <w:rFonts w:ascii="Arial Narrow" w:hAnsi="Arial Narrow" w:cs="Arial"/>
          <w:iCs/>
          <w:noProof/>
          <w:color w:val="1F497D" w:themeColor="text2"/>
          <w:szCs w:val="22"/>
        </w:rPr>
        <w:t xml:space="preserve">2019-2020 </w:t>
      </w:r>
      <w:r w:rsidR="00DC4F3D">
        <w:rPr>
          <w:rFonts w:ascii="Arial Narrow" w:hAnsi="Arial Narrow" w:cs="Arial"/>
          <w:iCs/>
          <w:noProof/>
          <w:color w:val="1F497D" w:themeColor="text2"/>
          <w:szCs w:val="22"/>
        </w:rPr>
        <w:t xml:space="preserve">e previsioni per l’annata </w:t>
      </w:r>
      <w:r w:rsidR="00494737">
        <w:rPr>
          <w:rFonts w:ascii="Arial Narrow" w:hAnsi="Arial Narrow" w:cs="Arial"/>
          <w:iCs/>
          <w:noProof/>
          <w:color w:val="1F497D" w:themeColor="text2"/>
          <w:szCs w:val="22"/>
        </w:rPr>
        <w:t>2020-2021</w:t>
      </w:r>
      <w:r w:rsidR="00C2768A">
        <w:rPr>
          <w:rFonts w:ascii="Arial Narrow" w:hAnsi="Arial Narrow" w:cs="Arial"/>
          <w:iCs/>
          <w:noProof/>
          <w:color w:val="1F497D" w:themeColor="text2"/>
          <w:szCs w:val="22"/>
        </w:rPr>
        <w:t>, quota percentuale sul totale dei rispondenti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61"/>
        <w:gridCol w:w="4961"/>
      </w:tblGrid>
      <w:tr w:rsidR="002E15A7" w14:paraId="105ADFE0" w14:textId="77777777" w:rsidTr="005B4FB8">
        <w:tc>
          <w:tcPr>
            <w:tcW w:w="5072" w:type="dxa"/>
          </w:tcPr>
          <w:p w14:paraId="2DF36BCD" w14:textId="046B0736" w:rsidR="002E15A7" w:rsidRDefault="00953D18" w:rsidP="00571245">
            <w:pPr>
              <w:spacing w:after="0"/>
              <w:rPr>
                <w:rFonts w:cs="Arial"/>
                <w:bCs/>
                <w:color w:val="1F497D" w:themeColor="text2"/>
                <w:szCs w:val="22"/>
              </w:rPr>
            </w:pPr>
            <w:r>
              <w:rPr>
                <w:noProof/>
              </w:rPr>
              <w:drawing>
                <wp:inline distT="0" distB="0" distL="0" distR="0" wp14:anchorId="1900563F" wp14:editId="3CF96822">
                  <wp:extent cx="3132000" cy="2159999"/>
                  <wp:effectExtent l="0" t="0" r="0" b="0"/>
                  <wp:docPr id="10" name="Grafico 10">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40" w:type="dxa"/>
          </w:tcPr>
          <w:p w14:paraId="6E7B6EE9" w14:textId="101F35BA" w:rsidR="002E15A7" w:rsidRDefault="00953D18" w:rsidP="00571245">
            <w:pPr>
              <w:spacing w:after="0"/>
              <w:rPr>
                <w:rFonts w:cs="Arial"/>
                <w:bCs/>
                <w:color w:val="1F497D" w:themeColor="text2"/>
                <w:szCs w:val="22"/>
              </w:rPr>
            </w:pPr>
            <w:r>
              <w:rPr>
                <w:noProof/>
              </w:rPr>
              <w:drawing>
                <wp:inline distT="0" distB="0" distL="0" distR="0" wp14:anchorId="185CE907" wp14:editId="3F647DD2">
                  <wp:extent cx="3132000" cy="2160000"/>
                  <wp:effectExtent l="0" t="0" r="0" b="0"/>
                  <wp:docPr id="13" name="Grafico 13">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6B0D465D" w14:textId="5AE372E9" w:rsidR="002502FB" w:rsidRDefault="002502FB" w:rsidP="00571245">
      <w:pPr>
        <w:spacing w:after="0"/>
        <w:rPr>
          <w:rFonts w:cs="Arial"/>
          <w:bCs/>
          <w:color w:val="1F497D" w:themeColor="text2"/>
          <w:szCs w:val="22"/>
        </w:rPr>
      </w:pPr>
    </w:p>
    <w:p w14:paraId="62BC2F3B" w14:textId="77777777" w:rsidR="002502FB" w:rsidRDefault="002502FB">
      <w:pPr>
        <w:spacing w:after="0"/>
        <w:rPr>
          <w:rFonts w:cs="Arial"/>
          <w:bCs/>
          <w:color w:val="1F497D" w:themeColor="text2"/>
          <w:szCs w:val="22"/>
        </w:rPr>
      </w:pPr>
      <w:r>
        <w:rPr>
          <w:rFonts w:cs="Arial"/>
          <w:bCs/>
          <w:color w:val="1F497D" w:themeColor="text2"/>
          <w:szCs w:val="22"/>
        </w:rPr>
        <w:br w:type="page"/>
      </w:r>
    </w:p>
    <w:p w14:paraId="11D60751" w14:textId="77777777" w:rsidR="005B4FB8" w:rsidRDefault="005B4FB8" w:rsidP="002502FB">
      <w:pPr>
        <w:rPr>
          <w:rFonts w:cs="Arial"/>
          <w:bCs/>
          <w:color w:val="1F497D" w:themeColor="text2"/>
          <w:szCs w:val="22"/>
        </w:rPr>
      </w:pPr>
    </w:p>
    <w:p w14:paraId="204EAF26" w14:textId="768646FD" w:rsidR="00614BA1" w:rsidRDefault="00740925" w:rsidP="002502FB">
      <w:pPr>
        <w:jc w:val="both"/>
        <w:outlineLvl w:val="0"/>
        <w:rPr>
          <w:rFonts w:cs="Arial"/>
          <w:b/>
          <w:color w:val="1F497D" w:themeColor="text2"/>
          <w:sz w:val="26"/>
          <w:szCs w:val="26"/>
        </w:rPr>
      </w:pPr>
      <w:r>
        <w:rPr>
          <w:rFonts w:cs="Arial"/>
          <w:b/>
          <w:color w:val="1F497D" w:themeColor="text2"/>
          <w:sz w:val="26"/>
          <w:szCs w:val="26"/>
        </w:rPr>
        <w:t>L</w:t>
      </w:r>
      <w:r w:rsidR="00DC4F3D">
        <w:rPr>
          <w:rFonts w:cs="Arial"/>
          <w:b/>
          <w:color w:val="1F497D" w:themeColor="text2"/>
          <w:sz w:val="26"/>
          <w:szCs w:val="26"/>
        </w:rPr>
        <w:t xml:space="preserve">a maggior parte delle aziende ha </w:t>
      </w:r>
      <w:r>
        <w:rPr>
          <w:rFonts w:cs="Arial"/>
          <w:b/>
          <w:color w:val="1F497D" w:themeColor="text2"/>
          <w:sz w:val="26"/>
          <w:szCs w:val="26"/>
        </w:rPr>
        <w:t>avuto</w:t>
      </w:r>
      <w:r w:rsidR="00DC4F3D">
        <w:rPr>
          <w:rFonts w:cs="Arial"/>
          <w:b/>
          <w:color w:val="1F497D" w:themeColor="text2"/>
          <w:sz w:val="26"/>
          <w:szCs w:val="26"/>
        </w:rPr>
        <w:t xml:space="preserve"> sussidi </w:t>
      </w:r>
      <w:r>
        <w:rPr>
          <w:rFonts w:cs="Arial"/>
          <w:b/>
          <w:color w:val="1F497D" w:themeColor="text2"/>
          <w:sz w:val="26"/>
          <w:szCs w:val="26"/>
        </w:rPr>
        <w:t>a seguito della pandemia</w:t>
      </w:r>
    </w:p>
    <w:p w14:paraId="2300551E" w14:textId="7A4A4CB5" w:rsidR="001E6D4F" w:rsidRPr="001E6D4F" w:rsidRDefault="001E6D4F" w:rsidP="002502FB">
      <w:pPr>
        <w:jc w:val="both"/>
        <w:rPr>
          <w:rFonts w:cs="Arial"/>
          <w:szCs w:val="48"/>
        </w:rPr>
      </w:pPr>
      <w:r w:rsidRPr="001E6D4F">
        <w:rPr>
          <w:rFonts w:cs="Arial"/>
          <w:szCs w:val="48"/>
        </w:rPr>
        <w:t xml:space="preserve">L’indagine ha </w:t>
      </w:r>
      <w:r w:rsidR="00DC4F3D">
        <w:rPr>
          <w:rFonts w:cs="Arial"/>
          <w:szCs w:val="48"/>
        </w:rPr>
        <w:t xml:space="preserve">raccolto informazioni anche con </w:t>
      </w:r>
      <w:r w:rsidRPr="001E6D4F">
        <w:rPr>
          <w:rFonts w:cs="Arial"/>
          <w:szCs w:val="48"/>
        </w:rPr>
        <w:t xml:space="preserve">riferimento alle diverse forme di erogazione </w:t>
      </w:r>
      <w:r w:rsidR="00DC4F3D">
        <w:rPr>
          <w:rFonts w:cs="Arial"/>
          <w:szCs w:val="48"/>
        </w:rPr>
        <w:t xml:space="preserve">finanziaria </w:t>
      </w:r>
      <w:r w:rsidRPr="001E6D4F">
        <w:rPr>
          <w:rFonts w:cs="Arial"/>
          <w:szCs w:val="48"/>
        </w:rPr>
        <w:t>previste per far fronte alle conseguenze della pandemia, prendendo in considerazione non solo quelle di fonte statale, ma anche i fondi europei e altre forme di aiuto.</w:t>
      </w:r>
    </w:p>
    <w:p w14:paraId="11C5DE72" w14:textId="79E5C555" w:rsidR="001E6D4F" w:rsidRPr="001E6D4F" w:rsidRDefault="00D45EA5" w:rsidP="002502FB">
      <w:pPr>
        <w:jc w:val="both"/>
        <w:rPr>
          <w:rFonts w:cs="Arial"/>
          <w:szCs w:val="48"/>
        </w:rPr>
      </w:pPr>
      <w:r>
        <w:rPr>
          <w:rFonts w:cs="Arial"/>
          <w:szCs w:val="48"/>
        </w:rPr>
        <w:t>La maggioranza delle aziende agricole (il 59,2%) dichiara di aver chiesto e ottenuto</w:t>
      </w:r>
      <w:r w:rsidR="00BD3A4C">
        <w:rPr>
          <w:rFonts w:cs="Arial"/>
          <w:szCs w:val="48"/>
        </w:rPr>
        <w:t xml:space="preserve"> almeno una forma di</w:t>
      </w:r>
      <w:r>
        <w:rPr>
          <w:rFonts w:cs="Arial"/>
          <w:szCs w:val="48"/>
        </w:rPr>
        <w:t xml:space="preserve"> </w:t>
      </w:r>
      <w:r w:rsidR="00614BA1">
        <w:rPr>
          <w:rFonts w:cs="Arial"/>
          <w:szCs w:val="48"/>
        </w:rPr>
        <w:t>aiut</w:t>
      </w:r>
      <w:r w:rsidR="00BD3A4C">
        <w:rPr>
          <w:rFonts w:cs="Arial"/>
          <w:szCs w:val="48"/>
        </w:rPr>
        <w:t>o</w:t>
      </w:r>
      <w:r w:rsidR="00614BA1">
        <w:rPr>
          <w:rFonts w:cs="Arial"/>
          <w:szCs w:val="48"/>
        </w:rPr>
        <w:t xml:space="preserve"> economic</w:t>
      </w:r>
      <w:r w:rsidR="00BD3A4C">
        <w:rPr>
          <w:rFonts w:cs="Arial"/>
          <w:szCs w:val="48"/>
        </w:rPr>
        <w:t>o</w:t>
      </w:r>
      <w:r w:rsidR="00614BA1">
        <w:rPr>
          <w:rFonts w:cs="Arial"/>
          <w:szCs w:val="48"/>
        </w:rPr>
        <w:t xml:space="preserve">. </w:t>
      </w:r>
      <w:r w:rsidR="001E6D4F">
        <w:rPr>
          <w:rFonts w:cs="Arial"/>
          <w:szCs w:val="48"/>
        </w:rPr>
        <w:t>In particol</w:t>
      </w:r>
      <w:r w:rsidR="00DC4F3D">
        <w:rPr>
          <w:rFonts w:cs="Arial"/>
          <w:szCs w:val="48"/>
        </w:rPr>
        <w:t>a</w:t>
      </w:r>
      <w:r w:rsidR="001E6D4F">
        <w:rPr>
          <w:rFonts w:cs="Arial"/>
          <w:szCs w:val="48"/>
        </w:rPr>
        <w:t xml:space="preserve">re, </w:t>
      </w:r>
      <w:r w:rsidR="001E6D4F" w:rsidRPr="001E6D4F">
        <w:rPr>
          <w:rFonts w:cs="Arial"/>
          <w:szCs w:val="48"/>
        </w:rPr>
        <w:t>il 51,2% ha ottenuto contributi statali, il 13,3% ha usufruito di fondi europei e l’11,4% ha avuto accesso ad altre forme di sostegno.</w:t>
      </w:r>
    </w:p>
    <w:p w14:paraId="561A7934" w14:textId="5A4EE34D" w:rsidR="00D45EA5" w:rsidRDefault="00632756" w:rsidP="002502FB">
      <w:pPr>
        <w:jc w:val="both"/>
        <w:rPr>
          <w:rFonts w:cs="Arial"/>
          <w:szCs w:val="48"/>
        </w:rPr>
      </w:pPr>
      <w:r>
        <w:rPr>
          <w:rFonts w:cs="Arial"/>
          <w:szCs w:val="48"/>
        </w:rPr>
        <w:t>I</w:t>
      </w:r>
      <w:r w:rsidR="00D45EA5">
        <w:rPr>
          <w:rFonts w:cs="Arial"/>
          <w:szCs w:val="48"/>
        </w:rPr>
        <w:t xml:space="preserve">l settore primario </w:t>
      </w:r>
      <w:r>
        <w:rPr>
          <w:rFonts w:cs="Arial"/>
          <w:szCs w:val="48"/>
        </w:rPr>
        <w:t>si è avvalso</w:t>
      </w:r>
      <w:r w:rsidR="00D45EA5">
        <w:rPr>
          <w:rFonts w:cs="Arial"/>
          <w:szCs w:val="48"/>
        </w:rPr>
        <w:t xml:space="preserve"> di fondi straordinari che hanno consentito di accrescere i ricavi e contenere le perdite derivate dalla pandemia, come già evidenziato dai dati di </w:t>
      </w:r>
      <w:r w:rsidR="001F3FE0">
        <w:rPr>
          <w:rFonts w:cs="Arial"/>
          <w:szCs w:val="48"/>
        </w:rPr>
        <w:t>fatturazione</w:t>
      </w:r>
      <w:r w:rsidR="00D45EA5">
        <w:rPr>
          <w:rFonts w:cs="Arial"/>
          <w:szCs w:val="48"/>
        </w:rPr>
        <w:t xml:space="preserve"> elettronica.</w:t>
      </w:r>
    </w:p>
    <w:p w14:paraId="14BE3DE6" w14:textId="3629DDFB" w:rsidR="001E6D4F" w:rsidRDefault="00865B56" w:rsidP="002502FB">
      <w:pPr>
        <w:jc w:val="both"/>
        <w:rPr>
          <w:rFonts w:cs="Arial"/>
          <w:szCs w:val="48"/>
        </w:rPr>
      </w:pPr>
      <w:r>
        <w:rPr>
          <w:rFonts w:cs="Arial"/>
          <w:szCs w:val="48"/>
        </w:rPr>
        <w:t xml:space="preserve">La quota </w:t>
      </w:r>
      <w:r w:rsidR="001F3FE0">
        <w:rPr>
          <w:rFonts w:cs="Arial"/>
          <w:szCs w:val="48"/>
        </w:rPr>
        <w:t>relativa</w:t>
      </w:r>
      <w:r w:rsidR="00DC4F3D">
        <w:rPr>
          <w:rFonts w:cs="Arial"/>
          <w:szCs w:val="48"/>
        </w:rPr>
        <w:t xml:space="preserve"> </w:t>
      </w:r>
      <w:r>
        <w:rPr>
          <w:rFonts w:cs="Arial"/>
          <w:szCs w:val="48"/>
        </w:rPr>
        <w:t>più elevata di aziende che hanno chiesto e ricevuto aiuti caratterizza il Sud (</w:t>
      </w:r>
      <w:r w:rsidR="00DC4F3D">
        <w:rPr>
          <w:rFonts w:cs="Arial"/>
          <w:szCs w:val="48"/>
        </w:rPr>
        <w:t xml:space="preserve">il </w:t>
      </w:r>
      <w:r w:rsidR="00614BA1">
        <w:rPr>
          <w:rFonts w:cs="Arial"/>
          <w:szCs w:val="48"/>
        </w:rPr>
        <w:t>61,7%</w:t>
      </w:r>
      <w:r w:rsidR="00DC4F3D">
        <w:rPr>
          <w:rFonts w:cs="Arial"/>
          <w:szCs w:val="48"/>
        </w:rPr>
        <w:t xml:space="preserve"> delle aziende agricole intervistate nel</w:t>
      </w:r>
      <w:r w:rsidR="00632756">
        <w:rPr>
          <w:rFonts w:cs="Arial"/>
          <w:szCs w:val="48"/>
        </w:rPr>
        <w:t>la ripartizione</w:t>
      </w:r>
      <w:r w:rsidR="00DC4F3D">
        <w:rPr>
          <w:rFonts w:cs="Arial"/>
          <w:szCs w:val="48"/>
        </w:rPr>
        <w:t>)</w:t>
      </w:r>
      <w:r>
        <w:rPr>
          <w:rFonts w:cs="Arial"/>
          <w:szCs w:val="48"/>
        </w:rPr>
        <w:t xml:space="preserve"> </w:t>
      </w:r>
      <w:r w:rsidR="001E6D4F">
        <w:rPr>
          <w:rFonts w:cs="Arial"/>
          <w:szCs w:val="48"/>
        </w:rPr>
        <w:t>e</w:t>
      </w:r>
      <w:r>
        <w:rPr>
          <w:rFonts w:cs="Arial"/>
          <w:szCs w:val="48"/>
        </w:rPr>
        <w:t xml:space="preserve"> si mantiene molto vicina alla media nazionale i</w:t>
      </w:r>
      <w:r w:rsidR="001E6D4F">
        <w:rPr>
          <w:rFonts w:cs="Arial"/>
          <w:szCs w:val="48"/>
        </w:rPr>
        <w:t>n ogni ripartizione territoriale</w:t>
      </w:r>
      <w:r w:rsidR="00632756">
        <w:rPr>
          <w:rFonts w:cs="Arial"/>
          <w:szCs w:val="48"/>
        </w:rPr>
        <w:t>. L</w:t>
      </w:r>
      <w:r>
        <w:rPr>
          <w:rFonts w:cs="Arial"/>
          <w:szCs w:val="48"/>
        </w:rPr>
        <w:t>a quota più bassa</w:t>
      </w:r>
      <w:r w:rsidR="00AF1C56">
        <w:rPr>
          <w:rFonts w:cs="Arial"/>
          <w:szCs w:val="48"/>
        </w:rPr>
        <w:t xml:space="preserve"> si registra</w:t>
      </w:r>
      <w:r>
        <w:rPr>
          <w:rFonts w:cs="Arial"/>
          <w:szCs w:val="48"/>
        </w:rPr>
        <w:t xml:space="preserve"> nel Centro</w:t>
      </w:r>
      <w:r w:rsidR="00AF1C56">
        <w:rPr>
          <w:rFonts w:cs="Arial"/>
          <w:szCs w:val="48"/>
        </w:rPr>
        <w:t xml:space="preserve"> (</w:t>
      </w:r>
      <w:r w:rsidR="00614BA1">
        <w:rPr>
          <w:rFonts w:cs="Arial"/>
          <w:szCs w:val="48"/>
        </w:rPr>
        <w:t>58%</w:t>
      </w:r>
      <w:r w:rsidR="00AF1C56">
        <w:rPr>
          <w:rFonts w:cs="Arial"/>
          <w:szCs w:val="48"/>
        </w:rPr>
        <w:t>)</w:t>
      </w:r>
      <w:r w:rsidR="00614BA1">
        <w:rPr>
          <w:rFonts w:cs="Arial"/>
          <w:szCs w:val="48"/>
        </w:rPr>
        <w:t>.</w:t>
      </w:r>
    </w:p>
    <w:p w14:paraId="59BD2FDF" w14:textId="58B9666D" w:rsidR="00DC4F3D" w:rsidRDefault="00865B56" w:rsidP="002502FB">
      <w:pPr>
        <w:jc w:val="both"/>
        <w:rPr>
          <w:rFonts w:cs="Arial"/>
          <w:szCs w:val="48"/>
        </w:rPr>
      </w:pPr>
      <w:r>
        <w:rPr>
          <w:rFonts w:cs="Arial"/>
          <w:szCs w:val="48"/>
        </w:rPr>
        <w:t xml:space="preserve">Una sostanziale omogeneità della quota di aziende che hanno ricevuto contributi pubblici si riscontra anche in funzione della dimensione aziendale. </w:t>
      </w:r>
      <w:r w:rsidR="00632756">
        <w:rPr>
          <w:rFonts w:cs="Arial"/>
          <w:szCs w:val="48"/>
        </w:rPr>
        <w:t>L</w:t>
      </w:r>
      <w:r>
        <w:rPr>
          <w:rFonts w:cs="Arial"/>
          <w:szCs w:val="48"/>
        </w:rPr>
        <w:t>e aziende più piccole (fino a 10 ettari di SAU) hanno ottenuti sussidi nel 6</w:t>
      </w:r>
      <w:r w:rsidR="00614BA1">
        <w:rPr>
          <w:rFonts w:cs="Arial"/>
          <w:szCs w:val="48"/>
        </w:rPr>
        <w:t>1,6%</w:t>
      </w:r>
      <w:r w:rsidR="001E6D4F">
        <w:rPr>
          <w:rFonts w:cs="Arial"/>
          <w:szCs w:val="48"/>
        </w:rPr>
        <w:t xml:space="preserve"> dei casi</w:t>
      </w:r>
      <w:r>
        <w:rPr>
          <w:rFonts w:cs="Arial"/>
          <w:szCs w:val="48"/>
        </w:rPr>
        <w:t xml:space="preserve">, </w:t>
      </w:r>
      <w:r w:rsidR="00AF1C56">
        <w:rPr>
          <w:rFonts w:cs="Arial"/>
          <w:szCs w:val="48"/>
        </w:rPr>
        <w:t>quelle più grandi</w:t>
      </w:r>
      <w:r>
        <w:rPr>
          <w:rFonts w:cs="Arial"/>
          <w:szCs w:val="48"/>
        </w:rPr>
        <w:t xml:space="preserve">, con superficie compresa tra 50 e 100 ettari, </w:t>
      </w:r>
      <w:r w:rsidR="00AF1C56">
        <w:rPr>
          <w:rFonts w:cs="Arial"/>
          <w:szCs w:val="48"/>
        </w:rPr>
        <w:t>nel</w:t>
      </w:r>
      <w:r w:rsidR="001E6D4F">
        <w:rPr>
          <w:rFonts w:cs="Arial"/>
          <w:szCs w:val="48"/>
        </w:rPr>
        <w:t xml:space="preserve"> </w:t>
      </w:r>
      <w:r w:rsidR="00614BA1">
        <w:rPr>
          <w:rFonts w:cs="Arial"/>
          <w:szCs w:val="48"/>
        </w:rPr>
        <w:t>58,1%.</w:t>
      </w:r>
    </w:p>
    <w:p w14:paraId="2E48B717" w14:textId="6DCB1A16" w:rsidR="00614BA1" w:rsidRPr="00327C8A" w:rsidRDefault="00614BA1" w:rsidP="002502FB">
      <w:pPr>
        <w:jc w:val="both"/>
        <w:rPr>
          <w:rFonts w:cs="Arial"/>
          <w:szCs w:val="22"/>
        </w:rPr>
      </w:pPr>
      <w:r>
        <w:rPr>
          <w:rFonts w:cs="Arial"/>
          <w:szCs w:val="48"/>
        </w:rPr>
        <w:t>I</w:t>
      </w:r>
      <w:r w:rsidR="00865B56">
        <w:rPr>
          <w:rFonts w:cs="Arial"/>
          <w:szCs w:val="48"/>
        </w:rPr>
        <w:t>n sintesi, la possibilità di usufruire di sostegno economico straordinario da parte dello Stato</w:t>
      </w:r>
      <w:r>
        <w:rPr>
          <w:rFonts w:cs="Arial"/>
          <w:szCs w:val="48"/>
        </w:rPr>
        <w:t xml:space="preserve"> </w:t>
      </w:r>
      <w:r w:rsidR="00865B56">
        <w:rPr>
          <w:rFonts w:cs="Arial"/>
          <w:szCs w:val="48"/>
        </w:rPr>
        <w:t xml:space="preserve">è stata </w:t>
      </w:r>
      <w:r w:rsidR="00865B56" w:rsidRPr="00327C8A">
        <w:rPr>
          <w:rFonts w:cs="Arial"/>
          <w:szCs w:val="22"/>
        </w:rPr>
        <w:t>molto sfruttata dalle aziende agrico</w:t>
      </w:r>
      <w:r w:rsidR="00031099" w:rsidRPr="00327C8A">
        <w:rPr>
          <w:rFonts w:cs="Arial"/>
          <w:szCs w:val="22"/>
        </w:rPr>
        <w:t>l</w:t>
      </w:r>
      <w:r w:rsidR="00865B56" w:rsidRPr="00327C8A">
        <w:rPr>
          <w:rFonts w:cs="Arial"/>
          <w:szCs w:val="22"/>
        </w:rPr>
        <w:t>e italiane, indipendentemente dalla propria dimensione o localizzazione geografica.</w:t>
      </w:r>
    </w:p>
    <w:p w14:paraId="19686F1C" w14:textId="02A8E552" w:rsidR="00327C8A" w:rsidRPr="00327C8A" w:rsidRDefault="00632756" w:rsidP="002502FB">
      <w:pPr>
        <w:pStyle w:val="RSU01Testo"/>
        <w:spacing w:after="120"/>
        <w:ind w:firstLine="0"/>
        <w:rPr>
          <w:rFonts w:ascii="Arial" w:hAnsi="Arial" w:cs="Arial"/>
          <w:sz w:val="22"/>
          <w:szCs w:val="22"/>
        </w:rPr>
      </w:pPr>
      <w:r>
        <w:rPr>
          <w:rFonts w:ascii="Arial" w:hAnsi="Arial" w:cs="Arial"/>
          <w:sz w:val="22"/>
          <w:szCs w:val="22"/>
        </w:rPr>
        <w:t>Anche l</w:t>
      </w:r>
      <w:r w:rsidR="00327C8A" w:rsidRPr="00327C8A">
        <w:rPr>
          <w:rFonts w:ascii="Arial" w:hAnsi="Arial" w:cs="Arial"/>
          <w:sz w:val="22"/>
          <w:szCs w:val="22"/>
        </w:rPr>
        <w:t xml:space="preserve">a Commissione </w:t>
      </w:r>
      <w:r>
        <w:rPr>
          <w:rFonts w:ascii="Arial" w:hAnsi="Arial" w:cs="Arial"/>
          <w:sz w:val="22"/>
          <w:szCs w:val="22"/>
        </w:rPr>
        <w:t>e</w:t>
      </w:r>
      <w:r w:rsidR="00327C8A" w:rsidRPr="00327C8A">
        <w:rPr>
          <w:rFonts w:ascii="Arial" w:hAnsi="Arial" w:cs="Arial"/>
          <w:sz w:val="22"/>
          <w:szCs w:val="22"/>
        </w:rPr>
        <w:t>uropea ha adottato diversi provvedimenti per sostenere gli operatori interessati, tra cui: flessibilità nell'utilizzo degli strumenti finanziari per lo sviluppo rurale (prestiti a tassi d'interesse molto bassi o piani di pagamento convenienti); sostegni finanziari speciali per fronteggiare la pandemia, soprattutto per le piccole aziende agricole; anticipi sui pagamenti della Politica Agricola Comunitaria (PAC) e proroga della scadenza per la presentazione delle domande di pagamento; nulla osta per la possibilità di aiuti di Stato più elevati.</w:t>
      </w:r>
    </w:p>
    <w:p w14:paraId="03BBA35E" w14:textId="2739253D" w:rsidR="00C20136" w:rsidRPr="00483435" w:rsidRDefault="00C20136" w:rsidP="002502FB">
      <w:pPr>
        <w:rPr>
          <w:rFonts w:cs="Arial"/>
          <w:szCs w:val="22"/>
        </w:rPr>
      </w:pPr>
    </w:p>
    <w:p w14:paraId="56565D04" w14:textId="4A3B43B6" w:rsidR="00632756" w:rsidRPr="00483435" w:rsidRDefault="00632756" w:rsidP="002502FB">
      <w:pPr>
        <w:rPr>
          <w:rFonts w:cs="Arial"/>
          <w:szCs w:val="22"/>
        </w:rPr>
      </w:pPr>
    </w:p>
    <w:p w14:paraId="5EA16E1D" w14:textId="720A35EF" w:rsidR="00632756" w:rsidRPr="00483435" w:rsidRDefault="00632756" w:rsidP="002502FB">
      <w:pPr>
        <w:rPr>
          <w:rFonts w:cs="Arial"/>
          <w:szCs w:val="22"/>
        </w:rPr>
      </w:pPr>
    </w:p>
    <w:p w14:paraId="0CC40524" w14:textId="137193E5" w:rsidR="00632756" w:rsidRPr="00483435" w:rsidRDefault="00632756" w:rsidP="002502FB">
      <w:pPr>
        <w:rPr>
          <w:rFonts w:cs="Arial"/>
          <w:szCs w:val="22"/>
        </w:rPr>
      </w:pPr>
    </w:p>
    <w:p w14:paraId="07436D05" w14:textId="52F26B6A" w:rsidR="004145AC" w:rsidRPr="00483435" w:rsidRDefault="004145AC" w:rsidP="002502FB">
      <w:pPr>
        <w:rPr>
          <w:rFonts w:cs="Arial"/>
          <w:szCs w:val="22"/>
        </w:rPr>
      </w:pPr>
    </w:p>
    <w:p w14:paraId="390FABAF" w14:textId="025CBE8B" w:rsidR="002F03E9" w:rsidRDefault="002F03E9" w:rsidP="002502FB">
      <w:pPr>
        <w:rPr>
          <w:rFonts w:cs="Arial"/>
          <w:szCs w:val="22"/>
        </w:rPr>
      </w:pPr>
    </w:p>
    <w:p w14:paraId="3B069384" w14:textId="77777777" w:rsidR="00483435" w:rsidRPr="00483435" w:rsidRDefault="00483435" w:rsidP="002502FB">
      <w:pPr>
        <w:rPr>
          <w:rFonts w:cs="Arial"/>
          <w:sz w:val="28"/>
          <w:szCs w:val="28"/>
        </w:rPr>
      </w:pPr>
    </w:p>
    <w:p w14:paraId="668F6FBC" w14:textId="7AF09D26" w:rsidR="005F76B0" w:rsidRDefault="00C20136" w:rsidP="00931189">
      <w:pPr>
        <w:tabs>
          <w:tab w:val="left" w:pos="900"/>
        </w:tabs>
        <w:jc w:val="both"/>
        <w:rPr>
          <w:rFonts w:ascii="Arial Narrow" w:hAnsi="Arial Narrow"/>
          <w:color w:val="1F497D"/>
          <w:szCs w:val="22"/>
        </w:rPr>
      </w:pPr>
      <w:r w:rsidRPr="0029064F">
        <w:rPr>
          <w:rFonts w:ascii="Arial Black" w:hAnsi="Arial Black" w:cs="Arial"/>
          <w:iCs/>
          <w:noProof/>
          <w:color w:val="1F497D" w:themeColor="text2"/>
          <w:szCs w:val="22"/>
        </w:rPr>
        <w:t>FIGU</w:t>
      </w:r>
      <w:r w:rsidR="005F76B0">
        <w:rPr>
          <w:rFonts w:ascii="Arial Black" w:hAnsi="Arial Black" w:cs="Arial"/>
          <w:iCs/>
          <w:noProof/>
          <w:color w:val="1F497D" w:themeColor="text2"/>
          <w:szCs w:val="22"/>
        </w:rPr>
        <w:t xml:space="preserve">RA </w:t>
      </w:r>
      <w:r w:rsidR="00C87208">
        <w:rPr>
          <w:rFonts w:ascii="Arial Black" w:hAnsi="Arial Black" w:cs="Arial"/>
          <w:iCs/>
          <w:noProof/>
          <w:color w:val="1F497D" w:themeColor="text2"/>
          <w:szCs w:val="22"/>
        </w:rPr>
        <w:t>7</w:t>
      </w:r>
      <w:r w:rsidR="00F85E18">
        <w:rPr>
          <w:rFonts w:ascii="Arial Black" w:hAnsi="Arial Black" w:cs="Arial"/>
          <w:iCs/>
          <w:noProof/>
          <w:color w:val="1F497D" w:themeColor="text2"/>
          <w:szCs w:val="22"/>
        </w:rPr>
        <w:t>.</w:t>
      </w:r>
      <w:r w:rsidR="005F76B0" w:rsidRPr="005F76B0">
        <w:rPr>
          <w:sz w:val="16"/>
          <w:szCs w:val="16"/>
        </w:rPr>
        <w:t xml:space="preserve"> </w:t>
      </w:r>
      <w:r w:rsidR="001D2E3C" w:rsidRPr="00571245">
        <w:rPr>
          <w:rFonts w:ascii="Arial Narrow" w:hAnsi="Arial Narrow"/>
          <w:b/>
          <w:bCs/>
          <w:color w:val="1F497D"/>
          <w:szCs w:val="22"/>
        </w:rPr>
        <w:t>AZIENDE CHE HANNO CHIESTO E OTTENUTO ALMENO UNA FORMA DI AIUTO NEL COMPLESSO E PER CLASSI DI SAU.</w:t>
      </w:r>
      <w:r w:rsidR="001D2E3C">
        <w:rPr>
          <w:rFonts w:ascii="Arial Narrow" w:hAnsi="Arial Narrow"/>
          <w:color w:val="1F497D"/>
          <w:szCs w:val="22"/>
        </w:rPr>
        <w:t xml:space="preserve"> Ann</w:t>
      </w:r>
      <w:r w:rsidR="00C84B14">
        <w:rPr>
          <w:rFonts w:ascii="Arial Narrow" w:hAnsi="Arial Narrow"/>
          <w:color w:val="1F497D"/>
          <w:szCs w:val="22"/>
        </w:rPr>
        <w:t>ata agraria 2019-2020, q</w:t>
      </w:r>
      <w:r w:rsidR="001D2E3C">
        <w:rPr>
          <w:rFonts w:ascii="Arial Narrow" w:hAnsi="Arial Narrow"/>
          <w:color w:val="1F497D"/>
          <w:szCs w:val="22"/>
        </w:rPr>
        <w:t>uota percentuale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4145AC" w14:paraId="1DCC9698" w14:textId="77777777" w:rsidTr="00D444A6">
        <w:tc>
          <w:tcPr>
            <w:tcW w:w="5072" w:type="dxa"/>
          </w:tcPr>
          <w:p w14:paraId="2C7E6613" w14:textId="5B650D71" w:rsidR="004145AC" w:rsidRDefault="004145AC" w:rsidP="00571245">
            <w:pPr>
              <w:rPr>
                <w:sz w:val="16"/>
                <w:szCs w:val="16"/>
              </w:rPr>
            </w:pPr>
            <w:r w:rsidRPr="002220EC">
              <w:rPr>
                <w:rFonts w:ascii="Arial Narrow" w:hAnsi="Arial Narrow" w:cs="Arial"/>
                <w:b/>
                <w:bCs/>
                <w:sz w:val="18"/>
                <w:szCs w:val="40"/>
              </w:rPr>
              <w:t>Aziende che hanno richiesto e ottenuto aiuti pubblici</w:t>
            </w:r>
          </w:p>
        </w:tc>
        <w:tc>
          <w:tcPr>
            <w:tcW w:w="4840" w:type="dxa"/>
          </w:tcPr>
          <w:p w14:paraId="081EB9DA" w14:textId="5B3ECDFF" w:rsidR="004145AC" w:rsidRDefault="004145AC" w:rsidP="001D2E3C">
            <w:pPr>
              <w:tabs>
                <w:tab w:val="left" w:pos="900"/>
              </w:tabs>
              <w:spacing w:after="0"/>
              <w:jc w:val="both"/>
              <w:rPr>
                <w:sz w:val="16"/>
                <w:szCs w:val="16"/>
              </w:rPr>
            </w:pPr>
            <w:r w:rsidRPr="004F44C4">
              <w:rPr>
                <w:rFonts w:ascii="Arial Narrow" w:hAnsi="Arial Narrow" w:cs="Arial"/>
                <w:b/>
                <w:sz w:val="16"/>
                <w:szCs w:val="16"/>
              </w:rPr>
              <w:t>Azi</w:t>
            </w:r>
            <w:r w:rsidRPr="007C52AC">
              <w:rPr>
                <w:rFonts w:ascii="Arial Narrow" w:hAnsi="Arial Narrow" w:cs="Arial"/>
                <w:b/>
                <w:bCs/>
                <w:sz w:val="18"/>
                <w:szCs w:val="40"/>
              </w:rPr>
              <w:t>ende che hanno ottenuto aiuti pubblici per classi di SAU</w:t>
            </w:r>
          </w:p>
        </w:tc>
      </w:tr>
      <w:tr w:rsidR="001D2E3C" w14:paraId="6BFC9832" w14:textId="77777777" w:rsidTr="00D444A6">
        <w:tblPrEx>
          <w:tblCellMar>
            <w:left w:w="70" w:type="dxa"/>
            <w:right w:w="70" w:type="dxa"/>
          </w:tblCellMar>
        </w:tblPrEx>
        <w:tc>
          <w:tcPr>
            <w:tcW w:w="5072" w:type="dxa"/>
          </w:tcPr>
          <w:p w14:paraId="4B2FA270" w14:textId="4589CE68" w:rsidR="001D2E3C" w:rsidRDefault="00212797" w:rsidP="001D2E3C">
            <w:pPr>
              <w:tabs>
                <w:tab w:val="left" w:pos="900"/>
              </w:tabs>
              <w:spacing w:after="0"/>
              <w:jc w:val="both"/>
              <w:rPr>
                <w:sz w:val="16"/>
                <w:szCs w:val="16"/>
              </w:rPr>
            </w:pPr>
            <w:r>
              <w:rPr>
                <w:noProof/>
              </w:rPr>
              <w:drawing>
                <wp:inline distT="0" distB="0" distL="0" distR="0" wp14:anchorId="52C049AA" wp14:editId="35D6EF73">
                  <wp:extent cx="3132000" cy="2160000"/>
                  <wp:effectExtent l="0" t="0" r="0" b="0"/>
                  <wp:docPr id="15" name="Grafico 15">
                    <a:extLst xmlns:a="http://schemas.openxmlformats.org/drawingml/2006/main">
                      <a:ext uri="{FF2B5EF4-FFF2-40B4-BE49-F238E27FC236}">
                        <a16:creationId xmlns:a16="http://schemas.microsoft.com/office/drawing/2014/main" id="{00000000-0008-0000-0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40" w:type="dxa"/>
          </w:tcPr>
          <w:p w14:paraId="7D777CD3" w14:textId="6BC8DCFB" w:rsidR="001D2E3C" w:rsidRDefault="00212797" w:rsidP="001D2E3C">
            <w:pPr>
              <w:tabs>
                <w:tab w:val="left" w:pos="900"/>
              </w:tabs>
              <w:spacing w:after="0"/>
              <w:jc w:val="both"/>
              <w:rPr>
                <w:sz w:val="16"/>
                <w:szCs w:val="16"/>
              </w:rPr>
            </w:pPr>
            <w:r>
              <w:rPr>
                <w:noProof/>
              </w:rPr>
              <w:drawing>
                <wp:inline distT="0" distB="0" distL="0" distR="0" wp14:anchorId="13D28C63" wp14:editId="0F60678B">
                  <wp:extent cx="3132000" cy="2160000"/>
                  <wp:effectExtent l="0" t="0" r="0" b="0"/>
                  <wp:docPr id="16" name="Grafico 16">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5B06796B" w14:textId="470FA40A" w:rsidR="00074145" w:rsidRDefault="00074145" w:rsidP="001D2E3C">
      <w:pPr>
        <w:tabs>
          <w:tab w:val="left" w:pos="900"/>
        </w:tabs>
        <w:spacing w:after="0"/>
        <w:jc w:val="both"/>
        <w:rPr>
          <w:sz w:val="16"/>
          <w:szCs w:val="16"/>
        </w:rPr>
      </w:pPr>
    </w:p>
    <w:p w14:paraId="403BC1CA" w14:textId="7A1B6C05" w:rsidR="00C20136" w:rsidRPr="00850ABD" w:rsidRDefault="00C20136" w:rsidP="00850ABD">
      <w:pPr>
        <w:rPr>
          <w:rFonts w:ascii="Georgia" w:hAnsi="Georgia" w:cs="Arial"/>
          <w:szCs w:val="48"/>
        </w:rPr>
        <w:sectPr w:rsidR="00C20136" w:rsidRPr="00850ABD" w:rsidSect="00A731DD">
          <w:headerReference w:type="default" r:id="rId25"/>
          <w:footerReference w:type="default" r:id="rId26"/>
          <w:type w:val="continuous"/>
          <w:pgSz w:w="11906" w:h="16838" w:code="9"/>
          <w:pgMar w:top="567" w:right="992" w:bottom="680" w:left="992" w:header="0" w:footer="0" w:gutter="0"/>
          <w:cols w:space="430"/>
          <w:docGrid w:linePitch="360"/>
        </w:sectPr>
      </w:pPr>
    </w:p>
    <w:p w14:paraId="1069D37B" w14:textId="77777777" w:rsidR="008A3896" w:rsidRDefault="008A3896" w:rsidP="00A650C9">
      <w:pPr>
        <w:pStyle w:val="Titolo3"/>
        <w:spacing w:before="0" w:beforeAutospacing="0" w:after="120" w:afterAutospacing="0"/>
        <w:rPr>
          <w:rFonts w:ascii="Georgia" w:hAnsi="Georgia" w:cs="Arial"/>
          <w:b w:val="0"/>
          <w:color w:val="1F497D" w:themeColor="text2"/>
          <w:sz w:val="48"/>
          <w:szCs w:val="48"/>
        </w:rPr>
      </w:pPr>
    </w:p>
    <w:p w14:paraId="78E6D572" w14:textId="30C854CC" w:rsidR="00034F32" w:rsidRPr="00F85EE9" w:rsidRDefault="0037288B" w:rsidP="00A650C9">
      <w:pPr>
        <w:pStyle w:val="Titolo3"/>
        <w:spacing w:before="0" w:beforeAutospacing="0" w:after="120" w:afterAutospacing="0"/>
        <w:rPr>
          <w:rFonts w:ascii="Georgia" w:hAnsi="Georgia" w:cs="Arial"/>
          <w:b w:val="0"/>
          <w:color w:val="1F497D" w:themeColor="text2"/>
          <w:sz w:val="48"/>
          <w:szCs w:val="48"/>
        </w:rPr>
      </w:pPr>
      <w:r>
        <w:rPr>
          <w:rFonts w:ascii="Georgia" w:hAnsi="Georgia" w:cs="Arial"/>
          <w:b w:val="0"/>
          <w:color w:val="1F497D" w:themeColor="text2"/>
          <w:sz w:val="48"/>
          <w:szCs w:val="48"/>
        </w:rPr>
        <w:t>Glo</w:t>
      </w:r>
      <w:r w:rsidR="00034F32" w:rsidRPr="00F85EE9">
        <w:rPr>
          <w:rFonts w:ascii="Georgia" w:hAnsi="Georgia" w:cs="Arial"/>
          <w:b w:val="0"/>
          <w:color w:val="1F497D" w:themeColor="text2"/>
          <w:sz w:val="48"/>
          <w:szCs w:val="48"/>
        </w:rPr>
        <w:t>ssario</w:t>
      </w:r>
    </w:p>
    <w:p w14:paraId="75CE6D59" w14:textId="1830EF68" w:rsidR="00B63666" w:rsidRPr="00EA432F" w:rsidRDefault="00DE4907">
      <w:pPr>
        <w:jc w:val="both"/>
        <w:rPr>
          <w:rFonts w:cs="Arial"/>
          <w:sz w:val="20"/>
          <w:szCs w:val="20"/>
        </w:rPr>
      </w:pPr>
      <w:r>
        <w:rPr>
          <w:rFonts w:cs="Arial"/>
          <w:b/>
          <w:bCs/>
          <w:color w:val="1F497D" w:themeColor="text2"/>
          <w:sz w:val="20"/>
          <w:szCs w:val="20"/>
        </w:rPr>
        <w:t>A</w:t>
      </w:r>
      <w:r w:rsidRPr="00DE4907">
        <w:rPr>
          <w:rFonts w:cs="Arial"/>
          <w:b/>
          <w:bCs/>
          <w:color w:val="1F497D" w:themeColor="text2"/>
          <w:sz w:val="20"/>
          <w:szCs w:val="20"/>
        </w:rPr>
        <w:t xml:space="preserve">zienda </w:t>
      </w:r>
      <w:r>
        <w:rPr>
          <w:rFonts w:cs="Arial"/>
          <w:b/>
          <w:bCs/>
          <w:color w:val="1F497D" w:themeColor="text2"/>
          <w:sz w:val="20"/>
          <w:szCs w:val="20"/>
        </w:rPr>
        <w:t>A</w:t>
      </w:r>
      <w:r w:rsidRPr="00DE4907">
        <w:rPr>
          <w:rFonts w:cs="Arial"/>
          <w:b/>
          <w:bCs/>
          <w:color w:val="1F497D" w:themeColor="text2"/>
          <w:sz w:val="20"/>
          <w:szCs w:val="20"/>
        </w:rPr>
        <w:t>gricola</w:t>
      </w:r>
      <w:r w:rsidR="008E5DAB">
        <w:rPr>
          <w:rFonts w:cs="Arial"/>
          <w:b/>
          <w:bCs/>
          <w:color w:val="1F497D" w:themeColor="text2"/>
          <w:sz w:val="20"/>
          <w:szCs w:val="20"/>
        </w:rPr>
        <w:t xml:space="preserve"> </w:t>
      </w:r>
      <w:r w:rsidR="008E5DAB" w:rsidRPr="00EA432F">
        <w:rPr>
          <w:rFonts w:cs="Arial"/>
          <w:sz w:val="20"/>
          <w:szCs w:val="20"/>
        </w:rPr>
        <w:t>complesso di beni organizzati dall'imprenditore</w:t>
      </w:r>
      <w:r w:rsidR="0082124F">
        <w:rPr>
          <w:rFonts w:cs="Arial"/>
          <w:sz w:val="20"/>
          <w:szCs w:val="20"/>
        </w:rPr>
        <w:t xml:space="preserve"> </w:t>
      </w:r>
      <w:r w:rsidR="008E5DAB" w:rsidRPr="00EA432F">
        <w:rPr>
          <w:rFonts w:cs="Arial"/>
          <w:sz w:val="20"/>
          <w:szCs w:val="20"/>
        </w:rPr>
        <w:t>agricolo</w:t>
      </w:r>
      <w:r w:rsidR="0082124F">
        <w:rPr>
          <w:rFonts w:cs="Arial"/>
          <w:sz w:val="20"/>
          <w:szCs w:val="20"/>
        </w:rPr>
        <w:t xml:space="preserve"> </w:t>
      </w:r>
      <w:r w:rsidR="008E5DAB" w:rsidRPr="00EA432F">
        <w:rPr>
          <w:rFonts w:cs="Arial"/>
          <w:sz w:val="20"/>
          <w:szCs w:val="20"/>
        </w:rPr>
        <w:t>per l'esercizio della sua attività</w:t>
      </w:r>
      <w:r w:rsidR="00EA432F" w:rsidRPr="00EA432F">
        <w:rPr>
          <w:rFonts w:cs="Arial"/>
          <w:sz w:val="20"/>
          <w:szCs w:val="20"/>
        </w:rPr>
        <w:t xml:space="preserve"> di impresa agricola</w:t>
      </w:r>
      <w:r w:rsidR="00EA432F">
        <w:rPr>
          <w:rFonts w:cs="Arial"/>
          <w:sz w:val="20"/>
          <w:szCs w:val="20"/>
        </w:rPr>
        <w:t>.</w:t>
      </w:r>
    </w:p>
    <w:p w14:paraId="321311AA" w14:textId="234FC80E" w:rsidR="00B63666" w:rsidRDefault="00DE4907">
      <w:pPr>
        <w:jc w:val="both"/>
      </w:pPr>
      <w:r>
        <w:rPr>
          <w:rFonts w:cs="Arial"/>
          <w:b/>
          <w:bCs/>
          <w:color w:val="1F497D" w:themeColor="text2"/>
          <w:sz w:val="20"/>
          <w:szCs w:val="20"/>
        </w:rPr>
        <w:t>S</w:t>
      </w:r>
      <w:r w:rsidRPr="00DE4907">
        <w:rPr>
          <w:rFonts w:cs="Arial"/>
          <w:b/>
          <w:bCs/>
          <w:color w:val="1F497D" w:themeColor="text2"/>
          <w:sz w:val="20"/>
          <w:szCs w:val="20"/>
        </w:rPr>
        <w:t xml:space="preserve">uperficie </w:t>
      </w:r>
      <w:r>
        <w:rPr>
          <w:rFonts w:cs="Arial"/>
          <w:b/>
          <w:bCs/>
          <w:color w:val="1F497D" w:themeColor="text2"/>
          <w:sz w:val="20"/>
          <w:szCs w:val="20"/>
        </w:rPr>
        <w:t>A</w:t>
      </w:r>
      <w:r w:rsidRPr="00DE4907">
        <w:rPr>
          <w:rFonts w:cs="Arial"/>
          <w:b/>
          <w:bCs/>
          <w:color w:val="1F497D" w:themeColor="text2"/>
          <w:sz w:val="20"/>
          <w:szCs w:val="20"/>
        </w:rPr>
        <w:t xml:space="preserve">gricola </w:t>
      </w:r>
      <w:r>
        <w:rPr>
          <w:rFonts w:cs="Arial"/>
          <w:b/>
          <w:bCs/>
          <w:color w:val="1F497D" w:themeColor="text2"/>
          <w:sz w:val="20"/>
          <w:szCs w:val="20"/>
        </w:rPr>
        <w:t>U</w:t>
      </w:r>
      <w:r w:rsidRPr="00DE4907">
        <w:rPr>
          <w:rFonts w:cs="Arial"/>
          <w:b/>
          <w:bCs/>
          <w:color w:val="1F497D" w:themeColor="text2"/>
          <w:sz w:val="20"/>
          <w:szCs w:val="20"/>
        </w:rPr>
        <w:t>tilizzata</w:t>
      </w:r>
      <w:r w:rsidR="00E70ED6">
        <w:rPr>
          <w:rFonts w:cs="Arial"/>
          <w:b/>
          <w:bCs/>
          <w:color w:val="1F497D" w:themeColor="text2"/>
          <w:sz w:val="20"/>
          <w:szCs w:val="20"/>
        </w:rPr>
        <w:t xml:space="preserve"> (SAU)</w:t>
      </w:r>
      <w:r w:rsidR="002E70BC">
        <w:rPr>
          <w:rFonts w:cs="Arial"/>
          <w:b/>
          <w:color w:val="1F497D"/>
          <w:sz w:val="20"/>
          <w:szCs w:val="20"/>
        </w:rPr>
        <w:t>:</w:t>
      </w:r>
      <w:r w:rsidR="00B63666">
        <w:t xml:space="preserve"> </w:t>
      </w:r>
      <w:r w:rsidR="00B63666" w:rsidRPr="002E70BC">
        <w:rPr>
          <w:rFonts w:cs="Arial"/>
          <w:sz w:val="20"/>
          <w:szCs w:val="20"/>
        </w:rPr>
        <w:t xml:space="preserve">insieme dei terreni investiti a seminativi, coltivazioni legnose agrarie orti familiari e prati permanenti e pascoli. </w:t>
      </w:r>
      <w:r w:rsidR="0082124F">
        <w:rPr>
          <w:rFonts w:cs="Arial"/>
          <w:sz w:val="20"/>
          <w:szCs w:val="20"/>
        </w:rPr>
        <w:t>C</w:t>
      </w:r>
      <w:r w:rsidR="00B63666" w:rsidRPr="002E70BC">
        <w:rPr>
          <w:rFonts w:cs="Arial"/>
          <w:sz w:val="20"/>
          <w:szCs w:val="20"/>
        </w:rPr>
        <w:t xml:space="preserve">ostituisce la superficie investita ed effettivamente utilizzata in coltivazioni propriamente agricole. </w:t>
      </w:r>
      <w:proofErr w:type="spellStart"/>
      <w:r w:rsidR="0082124F">
        <w:rPr>
          <w:rFonts w:cs="Arial"/>
          <w:sz w:val="20"/>
          <w:szCs w:val="20"/>
        </w:rPr>
        <w:t>Escude</w:t>
      </w:r>
      <w:proofErr w:type="spellEnd"/>
      <w:r w:rsidR="0082124F">
        <w:rPr>
          <w:rFonts w:cs="Arial"/>
          <w:sz w:val="20"/>
          <w:szCs w:val="20"/>
        </w:rPr>
        <w:t xml:space="preserve"> </w:t>
      </w:r>
      <w:r w:rsidR="00B63666" w:rsidRPr="002E70BC">
        <w:rPr>
          <w:rFonts w:cs="Arial"/>
          <w:sz w:val="20"/>
          <w:szCs w:val="20"/>
        </w:rPr>
        <w:t xml:space="preserve">la superficie investita a </w:t>
      </w:r>
      <w:r w:rsidR="0093069B">
        <w:rPr>
          <w:rFonts w:cs="Arial"/>
          <w:sz w:val="20"/>
          <w:szCs w:val="20"/>
        </w:rPr>
        <w:t>funghi in grotte, sotterranei e</w:t>
      </w:r>
      <w:r w:rsidR="00B63666" w:rsidRPr="002E70BC">
        <w:rPr>
          <w:rFonts w:cs="Arial"/>
          <w:sz w:val="20"/>
          <w:szCs w:val="20"/>
        </w:rPr>
        <w:t xml:space="preserve"> appositi edifici.</w:t>
      </w:r>
      <w:r w:rsidR="00B63666">
        <w:t xml:space="preserve"> </w:t>
      </w:r>
    </w:p>
    <w:p w14:paraId="6885247C" w14:textId="46BA87F8" w:rsidR="00AC330B" w:rsidRPr="00AC330B" w:rsidRDefault="00204136">
      <w:pPr>
        <w:jc w:val="both"/>
        <w:rPr>
          <w:rFonts w:cs="Arial"/>
          <w:sz w:val="20"/>
          <w:szCs w:val="20"/>
        </w:rPr>
      </w:pPr>
      <w:hyperlink r:id="rId27" w:history="1">
        <w:r w:rsidR="00AC330B" w:rsidRPr="00AC330B">
          <w:rPr>
            <w:rFonts w:cs="Arial"/>
            <w:b/>
            <w:bCs/>
            <w:color w:val="1F497D" w:themeColor="text2"/>
            <w:sz w:val="20"/>
            <w:szCs w:val="20"/>
          </w:rPr>
          <w:t xml:space="preserve">Superficie </w:t>
        </w:r>
        <w:r w:rsidR="00E70ED6">
          <w:rPr>
            <w:rFonts w:cs="Arial"/>
            <w:b/>
            <w:bCs/>
            <w:color w:val="1F497D" w:themeColor="text2"/>
            <w:sz w:val="20"/>
            <w:szCs w:val="20"/>
          </w:rPr>
          <w:t>Agricola Totale</w:t>
        </w:r>
        <w:r w:rsidR="00AC330B" w:rsidRPr="00AC330B">
          <w:rPr>
            <w:rFonts w:cs="Arial"/>
            <w:b/>
            <w:bCs/>
            <w:color w:val="1F497D" w:themeColor="text2"/>
            <w:sz w:val="20"/>
            <w:szCs w:val="20"/>
          </w:rPr>
          <w:t xml:space="preserve"> (S</w:t>
        </w:r>
        <w:r w:rsidR="00E70ED6">
          <w:rPr>
            <w:rFonts w:cs="Arial"/>
            <w:b/>
            <w:bCs/>
            <w:color w:val="1F497D" w:themeColor="text2"/>
            <w:sz w:val="20"/>
            <w:szCs w:val="20"/>
          </w:rPr>
          <w:t>AT</w:t>
        </w:r>
        <w:r w:rsidR="00AC330B" w:rsidRPr="00AC330B">
          <w:rPr>
            <w:rFonts w:cs="Arial"/>
            <w:b/>
            <w:bCs/>
            <w:color w:val="1F497D" w:themeColor="text2"/>
            <w:sz w:val="20"/>
            <w:szCs w:val="20"/>
          </w:rPr>
          <w:t>)</w:t>
        </w:r>
      </w:hyperlink>
      <w:r w:rsidR="00AC330B" w:rsidRPr="00AC330B">
        <w:rPr>
          <w:rFonts w:cs="Arial"/>
          <w:b/>
          <w:bCs/>
          <w:color w:val="1F497D" w:themeColor="text2"/>
          <w:sz w:val="20"/>
          <w:szCs w:val="20"/>
        </w:rPr>
        <w:t>:</w:t>
      </w:r>
      <w:r w:rsidR="00AC330B">
        <w:t xml:space="preserve"> </w:t>
      </w:r>
      <w:r w:rsidR="0082124F">
        <w:rPr>
          <w:rFonts w:cs="Arial"/>
          <w:sz w:val="20"/>
          <w:szCs w:val="20"/>
        </w:rPr>
        <w:t>a</w:t>
      </w:r>
      <w:r w:rsidR="00AC330B" w:rsidRPr="00AC330B">
        <w:rPr>
          <w:rFonts w:cs="Arial"/>
          <w:sz w:val="20"/>
          <w:szCs w:val="20"/>
        </w:rPr>
        <w:t>rea complessiva dei terreni dell'azienda destinata a colture erbacee e/o legnose agrarie inclusi i boschi la superficie agraria non utilizzata nonché l'area occupata da parchi e giardini ornamentali, fabbricati, stagni, canali, ecc., situati entro il perimetro dei terreni che costituiscono l'azienda.</w:t>
      </w:r>
    </w:p>
    <w:p w14:paraId="69D7305F" w14:textId="7A13002B" w:rsidR="00DE4907" w:rsidRDefault="00DE4907">
      <w:pPr>
        <w:jc w:val="both"/>
        <w:rPr>
          <w:rFonts w:cs="Arial"/>
          <w:sz w:val="20"/>
          <w:szCs w:val="20"/>
        </w:rPr>
      </w:pPr>
      <w:r w:rsidRPr="00DE4907">
        <w:rPr>
          <w:rFonts w:cs="Arial"/>
          <w:b/>
          <w:color w:val="1F497D"/>
          <w:sz w:val="20"/>
          <w:szCs w:val="20"/>
        </w:rPr>
        <w:t>Altri seminativi</w:t>
      </w:r>
      <w:r w:rsidRPr="00DE4907">
        <w:rPr>
          <w:rFonts w:cs="Arial"/>
          <w:sz w:val="20"/>
          <w:szCs w:val="20"/>
        </w:rPr>
        <w:t xml:space="preserve">: </w:t>
      </w:r>
      <w:r w:rsidR="0082124F">
        <w:rPr>
          <w:rFonts w:cs="Arial"/>
          <w:sz w:val="20"/>
          <w:szCs w:val="20"/>
        </w:rPr>
        <w:t>s</w:t>
      </w:r>
      <w:r w:rsidRPr="00DE4907">
        <w:rPr>
          <w:rFonts w:cs="Arial"/>
          <w:sz w:val="20"/>
          <w:szCs w:val="20"/>
        </w:rPr>
        <w:t>eminativi non inclusi altrove. Questa voce comprende solo coltivazioni di scarsa importanza economica e cont</w:t>
      </w:r>
      <w:r w:rsidR="0082124F">
        <w:rPr>
          <w:rFonts w:cs="Arial"/>
          <w:sz w:val="20"/>
          <w:szCs w:val="20"/>
        </w:rPr>
        <w:t>ien</w:t>
      </w:r>
      <w:r w:rsidRPr="00DE4907">
        <w:rPr>
          <w:rFonts w:cs="Arial"/>
          <w:sz w:val="20"/>
          <w:szCs w:val="20"/>
        </w:rPr>
        <w:t xml:space="preserve">e solo le piante che non possono essere classificate in un'altra voce. Le miscele di colture devono essere inserite nelle rispettive colture. Se un prodotto non può essere registrato separatamente, </w:t>
      </w:r>
      <w:r w:rsidR="0082124F">
        <w:rPr>
          <w:rFonts w:cs="Arial"/>
          <w:sz w:val="20"/>
          <w:szCs w:val="20"/>
        </w:rPr>
        <w:t>dev’</w:t>
      </w:r>
      <w:r w:rsidRPr="00DE4907">
        <w:rPr>
          <w:rFonts w:cs="Arial"/>
          <w:sz w:val="20"/>
          <w:szCs w:val="20"/>
        </w:rPr>
        <w:t xml:space="preserve">essere raggruppato con le colture della stessa specie piuttosto che ad altre colture di una categoria diversa. Ad esempio, le piccole superfici di semi di lino non </w:t>
      </w:r>
      <w:r w:rsidR="0082124F">
        <w:rPr>
          <w:rFonts w:cs="Arial"/>
          <w:sz w:val="20"/>
          <w:szCs w:val="20"/>
        </w:rPr>
        <w:t>sono</w:t>
      </w:r>
      <w:r w:rsidRPr="00DE4907">
        <w:rPr>
          <w:rFonts w:cs="Arial"/>
          <w:sz w:val="20"/>
          <w:szCs w:val="20"/>
        </w:rPr>
        <w:t xml:space="preserve"> incluse </w:t>
      </w:r>
      <w:r w:rsidR="0082124F">
        <w:rPr>
          <w:rFonts w:cs="Arial"/>
          <w:sz w:val="20"/>
          <w:szCs w:val="20"/>
        </w:rPr>
        <w:t>in questa voce</w:t>
      </w:r>
      <w:r w:rsidRPr="00DE4907">
        <w:rPr>
          <w:rFonts w:cs="Arial"/>
          <w:sz w:val="20"/>
          <w:szCs w:val="20"/>
        </w:rPr>
        <w:t xml:space="preserve">, ma sotto "altri semi oleosi" inclusi </w:t>
      </w:r>
      <w:r w:rsidR="00B32580">
        <w:rPr>
          <w:rFonts w:cs="Arial"/>
          <w:sz w:val="20"/>
          <w:szCs w:val="20"/>
        </w:rPr>
        <w:t>nel</w:t>
      </w:r>
      <w:r w:rsidRPr="00DE4907">
        <w:rPr>
          <w:rFonts w:cs="Arial"/>
          <w:sz w:val="20"/>
          <w:szCs w:val="20"/>
        </w:rPr>
        <w:t xml:space="preserve">la voce “Coltivazioni industriali”. </w:t>
      </w:r>
    </w:p>
    <w:p w14:paraId="715C0D4C" w14:textId="45FA7A84" w:rsidR="008E5DAB" w:rsidRDefault="008E5DAB">
      <w:pPr>
        <w:jc w:val="both"/>
        <w:rPr>
          <w:rFonts w:cs="Arial"/>
          <w:sz w:val="20"/>
          <w:szCs w:val="20"/>
        </w:rPr>
      </w:pPr>
      <w:r w:rsidRPr="00DE4907">
        <w:rPr>
          <w:rFonts w:cs="Arial"/>
          <w:b/>
          <w:color w:val="1F497D"/>
          <w:sz w:val="20"/>
          <w:szCs w:val="20"/>
        </w:rPr>
        <w:t xml:space="preserve">Cereali da granella: </w:t>
      </w:r>
      <w:r w:rsidRPr="00DE4907">
        <w:rPr>
          <w:rFonts w:cs="Arial"/>
          <w:sz w:val="20"/>
          <w:szCs w:val="20"/>
        </w:rPr>
        <w:t>superfici impiegate per la produzione di granella comprese quelle destinate alla produzione di sementi. Sono escluse le superfici investite a cereali utilizzati in erba o a maturazione cerosa, da indicare nelle voci relative alle “Foraggere avvicendate”.</w:t>
      </w:r>
    </w:p>
    <w:p w14:paraId="0F025DB0" w14:textId="353AEE66" w:rsidR="00DE4907" w:rsidRDefault="00DE4907">
      <w:pPr>
        <w:jc w:val="both"/>
        <w:rPr>
          <w:rFonts w:cs="Arial"/>
          <w:sz w:val="20"/>
          <w:szCs w:val="20"/>
        </w:rPr>
      </w:pPr>
      <w:r w:rsidRPr="00DE4907">
        <w:rPr>
          <w:rFonts w:cs="Arial"/>
          <w:b/>
          <w:color w:val="1F497D"/>
          <w:sz w:val="20"/>
          <w:szCs w:val="20"/>
        </w:rPr>
        <w:t>Coltivazioni legnose agrarie</w:t>
      </w:r>
      <w:r w:rsidRPr="00DE4907">
        <w:rPr>
          <w:rFonts w:cs="Arial"/>
          <w:sz w:val="20"/>
          <w:szCs w:val="20"/>
        </w:rPr>
        <w:t xml:space="preserve">: </w:t>
      </w:r>
      <w:r w:rsidR="00B32580">
        <w:rPr>
          <w:rFonts w:cs="Arial"/>
          <w:sz w:val="20"/>
          <w:szCs w:val="20"/>
        </w:rPr>
        <w:t>c</w:t>
      </w:r>
      <w:r w:rsidRPr="00DE4907">
        <w:rPr>
          <w:rFonts w:cs="Arial"/>
          <w:sz w:val="20"/>
          <w:szCs w:val="20"/>
        </w:rPr>
        <w:t>oltivazioni fuori avvicendamento, che occupano il terreno per più di cinque annate e forniscono raccolti ripetuti.</w:t>
      </w:r>
    </w:p>
    <w:p w14:paraId="6F9CA01D" w14:textId="30D88DBB" w:rsidR="00B63666" w:rsidRDefault="00DE4907">
      <w:pPr>
        <w:jc w:val="both"/>
        <w:rPr>
          <w:rFonts w:cs="Arial"/>
          <w:sz w:val="20"/>
          <w:szCs w:val="20"/>
        </w:rPr>
      </w:pPr>
      <w:r w:rsidRPr="00DE4907">
        <w:rPr>
          <w:rFonts w:cs="Arial"/>
          <w:b/>
          <w:color w:val="1F497D"/>
          <w:sz w:val="20"/>
          <w:szCs w:val="20"/>
        </w:rPr>
        <w:t>Fruttiferi</w:t>
      </w:r>
      <w:r>
        <w:t xml:space="preserve">: </w:t>
      </w:r>
      <w:r w:rsidR="00B32580">
        <w:rPr>
          <w:rFonts w:cs="Arial"/>
          <w:sz w:val="20"/>
          <w:szCs w:val="20"/>
        </w:rPr>
        <w:t>f</w:t>
      </w:r>
      <w:r w:rsidRPr="00DE4907">
        <w:rPr>
          <w:rFonts w:cs="Arial"/>
          <w:sz w:val="20"/>
          <w:szCs w:val="20"/>
        </w:rPr>
        <w:t xml:space="preserve">rutta fresca di origine temperata: melo, pero, pesco, nettarina (pesca noce), albicocco, susino, ciliegio (ciliegia </w:t>
      </w:r>
      <w:proofErr w:type="spellStart"/>
      <w:r w:rsidRPr="00DE4907">
        <w:rPr>
          <w:rFonts w:cs="Arial"/>
          <w:sz w:val="20"/>
          <w:szCs w:val="20"/>
        </w:rPr>
        <w:t>tenerina</w:t>
      </w:r>
      <w:proofErr w:type="spellEnd"/>
      <w:r w:rsidRPr="00DE4907">
        <w:rPr>
          <w:rFonts w:cs="Arial"/>
          <w:sz w:val="20"/>
          <w:szCs w:val="20"/>
        </w:rPr>
        <w:t xml:space="preserve"> e duracina, ciliegia visciola </w:t>
      </w:r>
      <w:r w:rsidR="0093069B">
        <w:rPr>
          <w:rFonts w:cs="Arial"/>
          <w:sz w:val="20"/>
          <w:szCs w:val="20"/>
        </w:rPr>
        <w:t>e</w:t>
      </w:r>
      <w:r w:rsidRPr="00DE4907">
        <w:rPr>
          <w:rFonts w:cs="Arial"/>
          <w:sz w:val="20"/>
          <w:szCs w:val="20"/>
        </w:rPr>
        <w:t xml:space="preserve"> amarena o marasca), cotogno, fico, gelso (bacca), lampone, loto (kaki), melograno, mirtillo, mora di rovo, nespola comune, nespolo del Giappone, ribes comune, ribes nero, sorbo, uva spina. Frutta fresca di origine sub-tropicale: actinidia (kiwi), ananas, annone, avocado, babaco, banano, dattero, fico d’India, mango, maracuja, </w:t>
      </w:r>
      <w:proofErr w:type="spellStart"/>
      <w:r w:rsidRPr="00DE4907">
        <w:rPr>
          <w:rFonts w:cs="Arial"/>
          <w:sz w:val="20"/>
          <w:szCs w:val="20"/>
        </w:rPr>
        <w:t>papaja</w:t>
      </w:r>
      <w:proofErr w:type="spellEnd"/>
      <w:r w:rsidRPr="00DE4907">
        <w:rPr>
          <w:rFonts w:cs="Arial"/>
          <w:sz w:val="20"/>
          <w:szCs w:val="20"/>
        </w:rPr>
        <w:t>, passiflora. Frutta a guscio: mandorlo, nocciolo, carrubo, noce, pistacchio, castagneti da frutto.</w:t>
      </w:r>
    </w:p>
    <w:p w14:paraId="18033CB8" w14:textId="7EC20E21" w:rsidR="00DE4907" w:rsidRPr="00DE4907" w:rsidRDefault="00DE4907">
      <w:pPr>
        <w:jc w:val="both"/>
        <w:rPr>
          <w:rFonts w:cs="Arial"/>
          <w:sz w:val="20"/>
          <w:szCs w:val="20"/>
        </w:rPr>
      </w:pPr>
      <w:r w:rsidRPr="00DE4907">
        <w:rPr>
          <w:rFonts w:cs="Arial"/>
          <w:b/>
          <w:color w:val="1F497D"/>
          <w:sz w:val="20"/>
          <w:szCs w:val="20"/>
        </w:rPr>
        <w:t>Orti familiari</w:t>
      </w:r>
      <w:r>
        <w:t xml:space="preserve">: </w:t>
      </w:r>
      <w:r w:rsidR="00B32580">
        <w:rPr>
          <w:rFonts w:cs="Arial"/>
          <w:sz w:val="20"/>
          <w:szCs w:val="20"/>
        </w:rPr>
        <w:t>p</w:t>
      </w:r>
      <w:r w:rsidRPr="00DE4907">
        <w:rPr>
          <w:rFonts w:cs="Arial"/>
          <w:sz w:val="20"/>
          <w:szCs w:val="20"/>
        </w:rPr>
        <w:t xml:space="preserve">iccole superfici utilizzate prevalentemente per la coltivazione consociata di ortaggi, legumi freschi, patate, frutta, ecc. la cui produzione è destinata </w:t>
      </w:r>
      <w:r w:rsidR="0093069B">
        <w:rPr>
          <w:rFonts w:cs="Arial"/>
          <w:sz w:val="20"/>
          <w:szCs w:val="20"/>
        </w:rPr>
        <w:t>a</w:t>
      </w:r>
      <w:r w:rsidRPr="00DE4907">
        <w:rPr>
          <w:rFonts w:cs="Arial"/>
          <w:sz w:val="20"/>
          <w:szCs w:val="20"/>
        </w:rPr>
        <w:t xml:space="preserve"> essere consumata esclusivamente dal conduttore e dalla sua famiglia. Su tali superfici possono essere eventualmente presenti anche altre coltivazioni erbacee e/o qualche pianta legnosa agraria (generalmente, qualche pianta o filare di vite e/o qualche fruttifero e/o olivo).</w:t>
      </w:r>
    </w:p>
    <w:p w14:paraId="23EC5F58" w14:textId="2B144A49" w:rsidR="008E5DAB" w:rsidRDefault="008E5DAB" w:rsidP="00571245">
      <w:pPr>
        <w:jc w:val="both"/>
        <w:rPr>
          <w:rFonts w:cs="Arial"/>
          <w:sz w:val="20"/>
          <w:szCs w:val="20"/>
        </w:rPr>
      </w:pPr>
      <w:r>
        <w:rPr>
          <w:rFonts w:cs="Arial"/>
          <w:b/>
          <w:color w:val="1F497D"/>
          <w:sz w:val="20"/>
          <w:szCs w:val="20"/>
        </w:rPr>
        <w:t>S</w:t>
      </w:r>
      <w:r w:rsidRPr="002E70BC">
        <w:rPr>
          <w:rFonts w:cs="Arial"/>
          <w:b/>
          <w:color w:val="1F497D"/>
          <w:sz w:val="20"/>
          <w:szCs w:val="20"/>
        </w:rPr>
        <w:t>eminativi:</w:t>
      </w:r>
      <w:r>
        <w:t xml:space="preserve"> </w:t>
      </w:r>
      <w:r w:rsidRPr="002E70BC">
        <w:rPr>
          <w:rFonts w:cs="Arial"/>
          <w:sz w:val="20"/>
          <w:szCs w:val="20"/>
        </w:rPr>
        <w:t>colture di piante erbacee, soggette all’avvicendamento colturale che prevede una durata delle coltivazioni non superiore a cinque anni.</w:t>
      </w:r>
    </w:p>
    <w:p w14:paraId="16DA7506" w14:textId="77777777" w:rsidR="00956997" w:rsidRPr="00521526" w:rsidRDefault="00956997" w:rsidP="0082124F">
      <w:pPr>
        <w:pStyle w:val="Titolo3"/>
        <w:spacing w:before="0" w:beforeAutospacing="0" w:after="120" w:afterAutospacing="0"/>
        <w:rPr>
          <w:rFonts w:ascii="Georgia" w:hAnsi="Georgia" w:cs="Arial"/>
          <w:b w:val="0"/>
          <w:color w:val="1F497D" w:themeColor="text2"/>
          <w:sz w:val="48"/>
          <w:szCs w:val="48"/>
        </w:rPr>
      </w:pPr>
    </w:p>
    <w:p w14:paraId="5D24D840" w14:textId="0885FA28" w:rsidR="00034F32" w:rsidRDefault="00034F32" w:rsidP="00571245">
      <w:pPr>
        <w:pStyle w:val="Titolo3"/>
        <w:spacing w:before="0" w:beforeAutospacing="0" w:after="120" w:afterAutospacing="0"/>
        <w:rPr>
          <w:rFonts w:ascii="Georgia" w:hAnsi="Georgia" w:cs="Arial"/>
          <w:b w:val="0"/>
          <w:color w:val="1F497D" w:themeColor="text2"/>
          <w:sz w:val="48"/>
          <w:szCs w:val="48"/>
        </w:rPr>
      </w:pPr>
      <w:r w:rsidRPr="0007346F">
        <w:rPr>
          <w:rFonts w:ascii="Georgia" w:hAnsi="Georgia" w:cs="Arial"/>
          <w:b w:val="0"/>
          <w:color w:val="1F497D" w:themeColor="text2"/>
          <w:sz w:val="48"/>
          <w:szCs w:val="48"/>
        </w:rPr>
        <w:t>Nota metodologica</w:t>
      </w:r>
    </w:p>
    <w:p w14:paraId="6988E617" w14:textId="37564068" w:rsidR="004327FE" w:rsidRPr="002F61B7" w:rsidRDefault="00C1337B" w:rsidP="00CB0812">
      <w:pPr>
        <w:jc w:val="both"/>
        <w:rPr>
          <w:rFonts w:cs="Arial"/>
          <w:color w:val="1F497D"/>
          <w:szCs w:val="22"/>
        </w:rPr>
      </w:pPr>
      <w:r w:rsidRPr="00A650C9">
        <w:rPr>
          <w:rFonts w:cs="Arial"/>
          <w:b/>
          <w:color w:val="1F497D"/>
          <w:szCs w:val="22"/>
        </w:rPr>
        <w:t xml:space="preserve">L’indagine sulle coltivazioni </w:t>
      </w:r>
      <w:proofErr w:type="spellStart"/>
      <w:r w:rsidRPr="00A650C9">
        <w:rPr>
          <w:rFonts w:cs="Arial"/>
          <w:b/>
          <w:color w:val="1F497D"/>
          <w:szCs w:val="22"/>
        </w:rPr>
        <w:t>annuali</w:t>
      </w:r>
      <w:r w:rsidR="00B73317" w:rsidRPr="00B73317">
        <w:rPr>
          <w:rFonts w:cs="Arial"/>
          <w:color w:val="1F497D"/>
          <w:sz w:val="20"/>
          <w:szCs w:val="20"/>
          <w:vertAlign w:val="superscript"/>
        </w:rPr>
        <w:t>i</w:t>
      </w:r>
      <w:r w:rsidR="0005116B" w:rsidRPr="00571245">
        <w:rPr>
          <w:rFonts w:cs="Arial"/>
          <w:bCs/>
          <w:color w:val="1F497D"/>
          <w:sz w:val="20"/>
          <w:szCs w:val="20"/>
          <w:vertAlign w:val="superscript"/>
        </w:rPr>
        <w:t>v</w:t>
      </w:r>
      <w:proofErr w:type="spellEnd"/>
      <w:r w:rsidR="004327FE" w:rsidRPr="00A650C9">
        <w:rPr>
          <w:rFonts w:cs="Arial"/>
          <w:color w:val="1F497D"/>
          <w:szCs w:val="22"/>
        </w:rPr>
        <w:t xml:space="preserve"> </w:t>
      </w:r>
    </w:p>
    <w:p w14:paraId="65572507" w14:textId="64C6B4E8" w:rsidR="00F24033" w:rsidRPr="002E70BC" w:rsidRDefault="00F24033" w:rsidP="00A650C9">
      <w:pPr>
        <w:jc w:val="both"/>
        <w:rPr>
          <w:rFonts w:cs="Arial"/>
          <w:sz w:val="20"/>
          <w:szCs w:val="20"/>
        </w:rPr>
      </w:pPr>
      <w:r w:rsidRPr="002F61B7">
        <w:rPr>
          <w:rFonts w:cs="Arial"/>
          <w:sz w:val="20"/>
          <w:szCs w:val="20"/>
        </w:rPr>
        <w:t xml:space="preserve">L’ISTAT conduce questa indagine dagli anni ’50 grazie al supporto fornito dagli uffici di statistica delle Regioni e Province Autonome. La principale finalità dell’indagine è di monitorare, nell’arco di ogni annata agraria, i principali indicatori relativi all’uso di terreno agricolo per la coltivazione delle più rilevanti specie vegetali presenti nel territorio nazionale. Tali indicatori, disponibili su scala provinciale, sono la superficie agricola totale, la superficie agricola in produzione (entrambe le tipologie fanno riferimento alla SAU: superficie agricola utilizzata, che si differenza dalla SAT, superficie agricola </w:t>
      </w:r>
      <w:proofErr w:type="spellStart"/>
      <w:r w:rsidRPr="002F61B7">
        <w:rPr>
          <w:rFonts w:cs="Arial"/>
          <w:sz w:val="20"/>
          <w:szCs w:val="20"/>
        </w:rPr>
        <w:t>totale</w:t>
      </w:r>
      <w:r w:rsidR="0005116B" w:rsidRPr="00571245">
        <w:rPr>
          <w:rFonts w:cs="Arial"/>
          <w:sz w:val="20"/>
          <w:szCs w:val="20"/>
          <w:vertAlign w:val="superscript"/>
        </w:rPr>
        <w:t>v</w:t>
      </w:r>
      <w:proofErr w:type="spellEnd"/>
      <w:r w:rsidRPr="00A650C9">
        <w:rPr>
          <w:rFonts w:cs="Arial"/>
          <w:sz w:val="20"/>
          <w:szCs w:val="20"/>
        </w:rPr>
        <w:t>),</w:t>
      </w:r>
      <w:r w:rsidRPr="002F61B7">
        <w:rPr>
          <w:rFonts w:cs="Arial"/>
          <w:sz w:val="20"/>
          <w:szCs w:val="20"/>
        </w:rPr>
        <w:t xml:space="preserve"> la produzione totale, la produzione raccolta, la resa di produzione (normalmente ottenibile rapportando le quantità raccolte alla </w:t>
      </w:r>
      <w:proofErr w:type="spellStart"/>
      <w:r w:rsidRPr="002F61B7">
        <w:rPr>
          <w:rFonts w:cs="Arial"/>
          <w:sz w:val="20"/>
          <w:szCs w:val="20"/>
        </w:rPr>
        <w:t>superficie</w:t>
      </w:r>
      <w:r w:rsidR="0005116B" w:rsidRPr="00571245">
        <w:rPr>
          <w:rFonts w:cs="Arial"/>
          <w:sz w:val="20"/>
          <w:szCs w:val="20"/>
          <w:vertAlign w:val="superscript"/>
        </w:rPr>
        <w:t>vi</w:t>
      </w:r>
      <w:proofErr w:type="spellEnd"/>
      <w:r w:rsidRPr="00A650C9">
        <w:rPr>
          <w:rFonts w:cs="Arial"/>
          <w:sz w:val="20"/>
          <w:szCs w:val="20"/>
        </w:rPr>
        <w:t>).</w:t>
      </w:r>
      <w:r w:rsidRPr="002F61B7">
        <w:rPr>
          <w:rFonts w:cs="Arial"/>
          <w:sz w:val="20"/>
          <w:szCs w:val="20"/>
        </w:rPr>
        <w:t xml:space="preserve"> Per</w:t>
      </w:r>
      <w:r w:rsidRPr="002E70BC">
        <w:rPr>
          <w:rFonts w:cs="Arial"/>
          <w:sz w:val="20"/>
          <w:szCs w:val="20"/>
        </w:rPr>
        <w:t xml:space="preserve"> particolari tipologie di coltivazioni sono rilevati indicatori di produzione addizionali: in particolare, per l’olio di oliva </w:t>
      </w:r>
      <w:r w:rsidR="0093069B">
        <w:rPr>
          <w:rFonts w:cs="Arial"/>
          <w:sz w:val="20"/>
          <w:szCs w:val="20"/>
        </w:rPr>
        <w:t>e</w:t>
      </w:r>
      <w:r w:rsidRPr="002E70BC">
        <w:rPr>
          <w:rFonts w:cs="Arial"/>
          <w:sz w:val="20"/>
          <w:szCs w:val="20"/>
        </w:rPr>
        <w:t xml:space="preserve"> il vino si rilevano anche i litri prodotti.</w:t>
      </w:r>
      <w:r w:rsidR="00C121A6">
        <w:rPr>
          <w:rFonts w:cs="Arial"/>
          <w:sz w:val="20"/>
          <w:szCs w:val="20"/>
        </w:rPr>
        <w:t xml:space="preserve"> </w:t>
      </w:r>
    </w:p>
    <w:p w14:paraId="5EDA71E0" w14:textId="77777777" w:rsidR="00956997" w:rsidRDefault="00F24033" w:rsidP="0082124F">
      <w:pPr>
        <w:jc w:val="both"/>
        <w:rPr>
          <w:rFonts w:cs="Arial"/>
          <w:sz w:val="20"/>
          <w:szCs w:val="20"/>
        </w:rPr>
      </w:pPr>
      <w:r w:rsidRPr="002E70BC">
        <w:rPr>
          <w:rFonts w:cs="Arial"/>
          <w:sz w:val="20"/>
          <w:szCs w:val="20"/>
        </w:rPr>
        <w:t xml:space="preserve">I dati sono rilevati seguendo prevalentemente una metodologia di tipo estimativo. Le stime vengono effettuate in base a valutazioni da parte di esperti locali del settore che sono dislocati sul territorio. Le stime degli esperti possono includere i risultati di verifiche dirette, nonché le indicazioni provenienti da fonti esterne (ad esempio organismi professionali </w:t>
      </w:r>
      <w:r w:rsidR="0093069B">
        <w:rPr>
          <w:rFonts w:cs="Arial"/>
          <w:sz w:val="20"/>
          <w:szCs w:val="20"/>
        </w:rPr>
        <w:t>e</w:t>
      </w:r>
      <w:r w:rsidRPr="002E70BC">
        <w:rPr>
          <w:rFonts w:cs="Arial"/>
          <w:sz w:val="20"/>
          <w:szCs w:val="20"/>
        </w:rPr>
        <w:t xml:space="preserve"> associazioni di produttori, fonti amministrative, fonti di dati ausiliari correlate con la coltivazione oggetto di stima). </w:t>
      </w:r>
    </w:p>
    <w:p w14:paraId="6E7893FE" w14:textId="77777777" w:rsidR="00956997" w:rsidRDefault="00F24033" w:rsidP="0082124F">
      <w:pPr>
        <w:jc w:val="both"/>
        <w:rPr>
          <w:rFonts w:cs="Arial"/>
          <w:sz w:val="20"/>
          <w:szCs w:val="20"/>
        </w:rPr>
      </w:pPr>
      <w:r w:rsidRPr="002E70BC">
        <w:rPr>
          <w:rFonts w:cs="Arial"/>
          <w:sz w:val="20"/>
          <w:szCs w:val="20"/>
        </w:rPr>
        <w:lastRenderedPageBreak/>
        <w:t xml:space="preserve">In pratica, molto spesso i referenti degli uffici di statistica delle Regioni o dei relativi assessorati contattano un panel di operatori e testimoni privilegiati, rappresentativi in maniera significativa (per la maggior parte delle colture) delle superfici coltivate per ogni coltura nelle diverse province. Si tratta di imprenditori agricoli, direttori o tecnici di strutture cooperative, società agricole e commerciali, tecnici agronomi, operatori di settore, che vengono contattati in alcuni casi più volte all'anno, essendo referenti per più prodotti. </w:t>
      </w:r>
    </w:p>
    <w:p w14:paraId="67BB4BD9" w14:textId="134D9BD3" w:rsidR="00956997" w:rsidRDefault="00F24033" w:rsidP="0082124F">
      <w:pPr>
        <w:jc w:val="both"/>
        <w:rPr>
          <w:rFonts w:cs="Arial"/>
          <w:sz w:val="20"/>
          <w:szCs w:val="20"/>
        </w:rPr>
      </w:pPr>
      <w:r w:rsidRPr="002E70BC">
        <w:rPr>
          <w:rFonts w:cs="Arial"/>
          <w:sz w:val="20"/>
          <w:szCs w:val="20"/>
        </w:rPr>
        <w:t xml:space="preserve">Spesso vengono rilevate, in quanto procedura più semplice per chi risponde, le rese realizzate e di conseguenza le produzioni totali e raccolte vengono ottenute in modo indiretto. Le coltivazioni oggetto di indagine sono diverse per ogni mese e tengono conto dello stadio fenologico della coltivazione. Per questo motivo </w:t>
      </w:r>
      <w:r w:rsidR="00F3408A" w:rsidRPr="002E70BC">
        <w:rPr>
          <w:rFonts w:cs="Arial"/>
          <w:sz w:val="20"/>
          <w:szCs w:val="20"/>
        </w:rPr>
        <w:t>durante l</w:t>
      </w:r>
      <w:r w:rsidR="00956997">
        <w:rPr>
          <w:rFonts w:cs="Arial"/>
          <w:sz w:val="20"/>
          <w:szCs w:val="20"/>
        </w:rPr>
        <w:t>’</w:t>
      </w:r>
      <w:r w:rsidR="00F3408A" w:rsidRPr="002E70BC">
        <w:rPr>
          <w:rFonts w:cs="Arial"/>
          <w:sz w:val="20"/>
          <w:szCs w:val="20"/>
        </w:rPr>
        <w:t xml:space="preserve">annata agraria </w:t>
      </w:r>
      <w:r w:rsidRPr="002E70BC">
        <w:rPr>
          <w:rFonts w:cs="Arial"/>
          <w:sz w:val="20"/>
          <w:szCs w:val="20"/>
        </w:rPr>
        <w:t xml:space="preserve">più di una stima può essere determinata per ciascuna coltivazione. </w:t>
      </w:r>
    </w:p>
    <w:p w14:paraId="5B347A26" w14:textId="5A2F6825" w:rsidR="00F24033" w:rsidRPr="002E70BC" w:rsidRDefault="00F24033" w:rsidP="00CB0812">
      <w:pPr>
        <w:jc w:val="both"/>
        <w:rPr>
          <w:rFonts w:cs="Arial"/>
          <w:sz w:val="20"/>
          <w:szCs w:val="20"/>
        </w:rPr>
      </w:pPr>
      <w:r w:rsidRPr="002E70BC">
        <w:rPr>
          <w:rFonts w:cs="Arial"/>
          <w:sz w:val="20"/>
          <w:szCs w:val="20"/>
        </w:rPr>
        <w:t xml:space="preserve">Il calendario di rilevazione prevede il rilascio di stime a cadenza bimestrale in funzione della stagionalità delle diverse specie vegetali; i tempi e le modalità di diffusione sono definite in stretta osservanza di quanto richiesto dal Regolamento (CE) </w:t>
      </w:r>
      <w:r w:rsidR="00F3408A">
        <w:rPr>
          <w:rFonts w:cs="Arial"/>
          <w:sz w:val="20"/>
          <w:szCs w:val="20"/>
        </w:rPr>
        <w:t>n</w:t>
      </w:r>
      <w:r w:rsidRPr="002E70BC">
        <w:rPr>
          <w:rFonts w:cs="Arial"/>
          <w:sz w:val="20"/>
          <w:szCs w:val="20"/>
        </w:rPr>
        <w:t>.543/2009.</w:t>
      </w:r>
    </w:p>
    <w:p w14:paraId="4E7FBC2D" w14:textId="235F997D" w:rsidR="00FA1C18" w:rsidRDefault="00F24033" w:rsidP="00571245">
      <w:pPr>
        <w:jc w:val="both"/>
        <w:rPr>
          <w:rFonts w:cs="Arial"/>
          <w:sz w:val="20"/>
          <w:szCs w:val="20"/>
        </w:rPr>
      </w:pPr>
      <w:r w:rsidRPr="002E70BC">
        <w:rPr>
          <w:rFonts w:cs="Arial"/>
          <w:sz w:val="20"/>
          <w:szCs w:val="20"/>
        </w:rPr>
        <w:t xml:space="preserve">I dati di superficie prodotti con questa indagine sono di estrema importanza, non solo perché rappresentano uno degli indicatori statistici più aggiornati e tempestivi sull’attività delle aziende agricole con coltivazioni, ma anche perché tali dati devono risultare allineati con quelli ricavati dalle indagini agricole strutturali, tra cui il censimento dell’agricoltura. Sebbene sussistano alcune differenze definitorie, </w:t>
      </w:r>
      <w:r w:rsidR="00956997">
        <w:rPr>
          <w:rFonts w:cs="Arial"/>
          <w:sz w:val="20"/>
          <w:szCs w:val="20"/>
        </w:rPr>
        <w:t>Eurostat</w:t>
      </w:r>
      <w:r w:rsidRPr="002E70BC">
        <w:rPr>
          <w:rFonts w:cs="Arial"/>
          <w:sz w:val="20"/>
          <w:szCs w:val="20"/>
        </w:rPr>
        <w:t xml:space="preserve"> richiede esplicitamente che le differenze tra le due stime di superficie siano contenute e, in generale, che non siano superiori al 10%. I dati </w:t>
      </w:r>
      <w:r w:rsidR="00F3408A">
        <w:rPr>
          <w:rFonts w:cs="Arial"/>
          <w:sz w:val="20"/>
          <w:szCs w:val="20"/>
        </w:rPr>
        <w:t xml:space="preserve">sulle coltivazioni annuali </w:t>
      </w:r>
      <w:r w:rsidRPr="002E70BC">
        <w:rPr>
          <w:rFonts w:cs="Arial"/>
          <w:sz w:val="20"/>
          <w:szCs w:val="20"/>
        </w:rPr>
        <w:t>messi a disposizioni dell’ISTAT sono macro-stime aggregate per provincia e tipologia di specie vegetale, pertanto non sono disponibili dati a livello di singola azienda agricola, come nel caso delle indagini di tipo strutturale.</w:t>
      </w:r>
    </w:p>
    <w:p w14:paraId="1A6FC2B5" w14:textId="25900DDA" w:rsidR="0047334E" w:rsidRDefault="0047334E" w:rsidP="00571245">
      <w:pPr>
        <w:jc w:val="both"/>
        <w:rPr>
          <w:rFonts w:cs="Arial"/>
          <w:sz w:val="20"/>
          <w:szCs w:val="20"/>
        </w:rPr>
      </w:pPr>
      <w:r w:rsidRPr="00AC330B">
        <w:rPr>
          <w:rFonts w:cs="Arial"/>
          <w:sz w:val="20"/>
          <w:szCs w:val="20"/>
        </w:rPr>
        <w:t>Per quanto riguarda i metadati della rilevazione, in particolare il contenuto informativo e le attività di prevenzione, controllo e valutazione dell'errore, si può consultare il sistema informativo sulla qualità</w:t>
      </w:r>
      <w:r w:rsidR="00956997">
        <w:rPr>
          <w:rFonts w:cs="Arial"/>
          <w:sz w:val="20"/>
          <w:szCs w:val="20"/>
        </w:rPr>
        <w:t xml:space="preserve"> </w:t>
      </w:r>
      <w:hyperlink r:id="rId28" w:tgtFrame="_blank" w:history="1">
        <w:proofErr w:type="spellStart"/>
        <w:r w:rsidRPr="00AC330B">
          <w:rPr>
            <w:sz w:val="20"/>
            <w:szCs w:val="20"/>
          </w:rPr>
          <w:t>SIQual</w:t>
        </w:r>
        <w:proofErr w:type="spellEnd"/>
      </w:hyperlink>
      <w:r>
        <w:rPr>
          <w:rFonts w:cs="Arial"/>
          <w:sz w:val="20"/>
          <w:szCs w:val="20"/>
        </w:rPr>
        <w:t xml:space="preserve"> e il sito dell’ISTAT</w:t>
      </w:r>
    </w:p>
    <w:p w14:paraId="588A33B4" w14:textId="2CDBD1DA" w:rsidR="00923CFB" w:rsidRDefault="00204136" w:rsidP="00CB0812">
      <w:pPr>
        <w:jc w:val="both"/>
        <w:rPr>
          <w:rStyle w:val="Collegamentoipertestuale"/>
          <w:rFonts w:cs="Arial"/>
          <w:sz w:val="20"/>
          <w:szCs w:val="20"/>
        </w:rPr>
      </w:pPr>
      <w:hyperlink r:id="rId29" w:history="1">
        <w:r w:rsidR="00923CFB" w:rsidRPr="004606B6">
          <w:rPr>
            <w:rStyle w:val="Collegamentoipertestuale"/>
            <w:rFonts w:cs="Arial"/>
            <w:sz w:val="20"/>
            <w:szCs w:val="20"/>
          </w:rPr>
          <w:t>https://www.istat.it/it/archivio/254376</w:t>
        </w:r>
      </w:hyperlink>
    </w:p>
    <w:p w14:paraId="35957949" w14:textId="77777777" w:rsidR="00923CFB" w:rsidRDefault="00923CFB" w:rsidP="00A650C9">
      <w:pPr>
        <w:jc w:val="both"/>
        <w:rPr>
          <w:rStyle w:val="Collegamentoipertestuale"/>
          <w:rFonts w:cs="Arial"/>
          <w:sz w:val="20"/>
          <w:szCs w:val="20"/>
        </w:rPr>
      </w:pPr>
    </w:p>
    <w:p w14:paraId="0645C130" w14:textId="5A9F8A9C" w:rsidR="004327FE" w:rsidRDefault="00C1337B">
      <w:pPr>
        <w:jc w:val="both"/>
        <w:rPr>
          <w:rFonts w:cs="Arial"/>
          <w:b/>
          <w:color w:val="1F497D"/>
          <w:szCs w:val="22"/>
        </w:rPr>
      </w:pPr>
      <w:r>
        <w:rPr>
          <w:rFonts w:cs="Arial"/>
          <w:b/>
          <w:color w:val="1F497D"/>
          <w:szCs w:val="22"/>
        </w:rPr>
        <w:t>L’indagine sulle intenzioni di semina</w:t>
      </w:r>
    </w:p>
    <w:p w14:paraId="3EDBD5DB" w14:textId="4C3107F8" w:rsidR="00C121A6" w:rsidRPr="002E70BC" w:rsidRDefault="00DE088A" w:rsidP="00C121A6">
      <w:pPr>
        <w:jc w:val="both"/>
        <w:rPr>
          <w:rFonts w:cs="Arial"/>
          <w:sz w:val="20"/>
          <w:szCs w:val="20"/>
        </w:rPr>
      </w:pPr>
      <w:r w:rsidRPr="002E70BC">
        <w:rPr>
          <w:rFonts w:cs="Arial"/>
          <w:sz w:val="20"/>
          <w:szCs w:val="20"/>
        </w:rPr>
        <w:t>L’ISTAT, a partire dal</w:t>
      </w:r>
      <w:r w:rsidR="00F3408A">
        <w:rPr>
          <w:rFonts w:cs="Arial"/>
          <w:sz w:val="20"/>
          <w:szCs w:val="20"/>
        </w:rPr>
        <w:t xml:space="preserve">l’inizio </w:t>
      </w:r>
      <w:r w:rsidRPr="002E70BC">
        <w:rPr>
          <w:rFonts w:cs="Arial"/>
          <w:sz w:val="20"/>
          <w:szCs w:val="20"/>
        </w:rPr>
        <w:t>di novembre e fino a</w:t>
      </w:r>
      <w:r w:rsidR="00F3408A">
        <w:rPr>
          <w:rFonts w:cs="Arial"/>
          <w:sz w:val="20"/>
          <w:szCs w:val="20"/>
        </w:rPr>
        <w:t>lla prima settimana di</w:t>
      </w:r>
      <w:r w:rsidRPr="002E70BC">
        <w:rPr>
          <w:rFonts w:cs="Arial"/>
          <w:sz w:val="20"/>
          <w:szCs w:val="20"/>
        </w:rPr>
        <w:t xml:space="preserve"> gennaio, conduce l’Indagine sulle intenzioni di semina di alcune colture erbacee relativa all’annata agraria in corso</w:t>
      </w:r>
      <w:r w:rsidR="00F3408A">
        <w:rPr>
          <w:rFonts w:cs="Arial"/>
          <w:sz w:val="20"/>
          <w:szCs w:val="20"/>
        </w:rPr>
        <w:t>,</w:t>
      </w:r>
      <w:r w:rsidRPr="002E70BC">
        <w:rPr>
          <w:rFonts w:cs="Arial"/>
          <w:sz w:val="20"/>
          <w:szCs w:val="20"/>
        </w:rPr>
        <w:t xml:space="preserve"> </w:t>
      </w:r>
      <w:r w:rsidR="001F3FE0">
        <w:rPr>
          <w:rFonts w:cs="Arial"/>
          <w:sz w:val="20"/>
          <w:szCs w:val="20"/>
        </w:rPr>
        <w:t>iniziata</w:t>
      </w:r>
      <w:r w:rsidR="0054135A">
        <w:rPr>
          <w:rFonts w:cs="Arial"/>
          <w:sz w:val="20"/>
          <w:szCs w:val="20"/>
        </w:rPr>
        <w:t xml:space="preserve"> a novembre d</w:t>
      </w:r>
      <w:r w:rsidR="00F3408A">
        <w:rPr>
          <w:rFonts w:cs="Arial"/>
          <w:sz w:val="20"/>
          <w:szCs w:val="20"/>
        </w:rPr>
        <w:t>ello stesso anno</w:t>
      </w:r>
      <w:r w:rsidRPr="002E70BC">
        <w:rPr>
          <w:rFonts w:cs="Arial"/>
          <w:sz w:val="20"/>
          <w:szCs w:val="20"/>
        </w:rPr>
        <w:t xml:space="preserve">. La rilevazione è </w:t>
      </w:r>
      <w:r w:rsidR="00862027" w:rsidRPr="00A650C9">
        <w:rPr>
          <w:rFonts w:cs="Arial"/>
          <w:sz w:val="20"/>
          <w:szCs w:val="20"/>
        </w:rPr>
        <w:t xml:space="preserve">vincolata </w:t>
      </w:r>
      <w:r w:rsidR="00F3408A" w:rsidRPr="002F61B7">
        <w:rPr>
          <w:rFonts w:cs="Arial"/>
          <w:sz w:val="20"/>
          <w:szCs w:val="20"/>
        </w:rPr>
        <w:t>da</w:t>
      </w:r>
      <w:r w:rsidRPr="002F61B7">
        <w:rPr>
          <w:rFonts w:cs="Arial"/>
          <w:sz w:val="20"/>
          <w:szCs w:val="20"/>
        </w:rPr>
        <w:t xml:space="preserve">l Regolamento </w:t>
      </w:r>
      <w:r w:rsidR="00F3408A" w:rsidRPr="002F61B7">
        <w:rPr>
          <w:rFonts w:cs="Arial"/>
          <w:sz w:val="20"/>
          <w:szCs w:val="20"/>
        </w:rPr>
        <w:t xml:space="preserve">(CE) </w:t>
      </w:r>
      <w:r w:rsidRPr="002F61B7">
        <w:rPr>
          <w:rFonts w:cs="Arial"/>
          <w:sz w:val="20"/>
          <w:szCs w:val="20"/>
        </w:rPr>
        <w:t>n.543/2009 ed è inserita nel Programma statistico nazionale vigente (cod. IST-00192</w:t>
      </w:r>
      <w:r w:rsidR="0005116B" w:rsidRPr="00571245">
        <w:rPr>
          <w:rFonts w:cs="Arial"/>
          <w:sz w:val="20"/>
          <w:szCs w:val="20"/>
          <w:vertAlign w:val="superscript"/>
        </w:rPr>
        <w:t>vii</w:t>
      </w:r>
      <w:r w:rsidRPr="00A650C9">
        <w:rPr>
          <w:rFonts w:cs="Arial"/>
          <w:sz w:val="20"/>
          <w:szCs w:val="20"/>
        </w:rPr>
        <w:t>).</w:t>
      </w:r>
      <w:r w:rsidRPr="002E70BC">
        <w:rPr>
          <w:rFonts w:cs="Arial"/>
          <w:sz w:val="20"/>
          <w:szCs w:val="20"/>
        </w:rPr>
        <w:t xml:space="preserve"> </w:t>
      </w:r>
    </w:p>
    <w:p w14:paraId="62EFB0E6" w14:textId="23C55201" w:rsidR="00AC330B" w:rsidRDefault="00AC330B" w:rsidP="00571245">
      <w:pPr>
        <w:tabs>
          <w:tab w:val="left" w:pos="7860"/>
        </w:tabs>
        <w:jc w:val="both"/>
        <w:rPr>
          <w:rFonts w:cs="Arial"/>
          <w:sz w:val="20"/>
          <w:szCs w:val="20"/>
        </w:rPr>
      </w:pPr>
      <w:r w:rsidRPr="00AC330B">
        <w:rPr>
          <w:rFonts w:cs="Arial"/>
          <w:sz w:val="20"/>
          <w:szCs w:val="20"/>
        </w:rPr>
        <w:t xml:space="preserve">Le aziende agricole chiamate a partecipare sono </w:t>
      </w:r>
      <w:r w:rsidR="00F3408A">
        <w:rPr>
          <w:rFonts w:cs="Arial"/>
          <w:sz w:val="20"/>
          <w:szCs w:val="20"/>
        </w:rPr>
        <w:t xml:space="preserve">circa 12.000 e sono </w:t>
      </w:r>
      <w:r w:rsidRPr="00AC330B">
        <w:rPr>
          <w:rFonts w:cs="Arial"/>
          <w:sz w:val="20"/>
          <w:szCs w:val="20"/>
        </w:rPr>
        <w:t xml:space="preserve">selezionate </w:t>
      </w:r>
      <w:r w:rsidR="00F3408A">
        <w:rPr>
          <w:rFonts w:cs="Arial"/>
          <w:sz w:val="20"/>
          <w:szCs w:val="20"/>
        </w:rPr>
        <w:t xml:space="preserve">dal registro statistico delle aziende agricole gestito da ISTAT. Ogni anno circa due terzi delle aziende inserite nel campione hanno partecipato anche all’indagine relativa all’annata agraria </w:t>
      </w:r>
      <w:r w:rsidR="001F3FE0">
        <w:rPr>
          <w:rFonts w:cs="Arial"/>
          <w:sz w:val="20"/>
          <w:szCs w:val="20"/>
        </w:rPr>
        <w:t>precedente</w:t>
      </w:r>
      <w:r w:rsidR="00F3408A">
        <w:rPr>
          <w:rFonts w:cs="Arial"/>
          <w:sz w:val="20"/>
          <w:szCs w:val="20"/>
        </w:rPr>
        <w:t xml:space="preserve">, mentre un terzo sono </w:t>
      </w:r>
      <w:r w:rsidR="00E70ED6">
        <w:rPr>
          <w:rFonts w:cs="Arial"/>
          <w:sz w:val="20"/>
          <w:szCs w:val="20"/>
        </w:rPr>
        <w:t xml:space="preserve">aziende </w:t>
      </w:r>
      <w:r w:rsidR="00956997">
        <w:rPr>
          <w:rFonts w:cs="Arial"/>
          <w:sz w:val="20"/>
          <w:szCs w:val="20"/>
        </w:rPr>
        <w:t>“</w:t>
      </w:r>
      <w:r w:rsidR="00E70ED6">
        <w:rPr>
          <w:rFonts w:cs="Arial"/>
          <w:sz w:val="20"/>
          <w:szCs w:val="20"/>
        </w:rPr>
        <w:t>nuove</w:t>
      </w:r>
      <w:r w:rsidR="00F3408A">
        <w:rPr>
          <w:rFonts w:cs="Arial"/>
          <w:sz w:val="20"/>
          <w:szCs w:val="20"/>
        </w:rPr>
        <w:t xml:space="preserve">”, in modo da garantire una graduale rotazione delle unità intervistate. </w:t>
      </w:r>
      <w:r w:rsidRPr="00AC330B">
        <w:rPr>
          <w:rFonts w:cs="Arial"/>
          <w:sz w:val="20"/>
          <w:szCs w:val="20"/>
        </w:rPr>
        <w:t xml:space="preserve">L'indagine prevede la somministrazione del questionario </w:t>
      </w:r>
      <w:r w:rsidR="00F3408A">
        <w:rPr>
          <w:rFonts w:cs="Arial"/>
          <w:sz w:val="20"/>
          <w:szCs w:val="20"/>
        </w:rPr>
        <w:t xml:space="preserve">con le tecniche </w:t>
      </w:r>
      <w:r w:rsidRPr="00AC330B">
        <w:rPr>
          <w:rFonts w:cs="Arial"/>
          <w:sz w:val="20"/>
          <w:szCs w:val="20"/>
        </w:rPr>
        <w:t xml:space="preserve">CAWI </w:t>
      </w:r>
      <w:r w:rsidR="00F3408A">
        <w:rPr>
          <w:rFonts w:cs="Arial"/>
          <w:sz w:val="20"/>
          <w:szCs w:val="20"/>
        </w:rPr>
        <w:t>(</w:t>
      </w:r>
      <w:r w:rsidR="001F3FE0">
        <w:rPr>
          <w:rFonts w:cs="Arial"/>
          <w:sz w:val="20"/>
          <w:szCs w:val="20"/>
        </w:rPr>
        <w:t>auto compilazione</w:t>
      </w:r>
      <w:r w:rsidR="00F3408A">
        <w:rPr>
          <w:rFonts w:cs="Arial"/>
          <w:sz w:val="20"/>
          <w:szCs w:val="20"/>
        </w:rPr>
        <w:t xml:space="preserve"> di un questionario </w:t>
      </w:r>
      <w:r w:rsidR="001F3FE0">
        <w:rPr>
          <w:rFonts w:cs="Arial"/>
          <w:sz w:val="20"/>
          <w:szCs w:val="20"/>
        </w:rPr>
        <w:t>elettronico</w:t>
      </w:r>
      <w:r w:rsidR="00F3408A">
        <w:rPr>
          <w:rFonts w:cs="Arial"/>
          <w:sz w:val="20"/>
          <w:szCs w:val="20"/>
        </w:rPr>
        <w:t xml:space="preserve">) </w:t>
      </w:r>
      <w:r w:rsidRPr="00AC330B">
        <w:rPr>
          <w:rFonts w:cs="Arial"/>
          <w:sz w:val="20"/>
          <w:szCs w:val="20"/>
        </w:rPr>
        <w:t>e CATI</w:t>
      </w:r>
      <w:r w:rsidR="00F3408A">
        <w:rPr>
          <w:rFonts w:cs="Arial"/>
          <w:sz w:val="20"/>
          <w:szCs w:val="20"/>
        </w:rPr>
        <w:t xml:space="preserve"> (intervista telefonica)</w:t>
      </w:r>
      <w:r w:rsidRPr="00AC330B">
        <w:rPr>
          <w:rFonts w:cs="Arial"/>
          <w:sz w:val="20"/>
          <w:szCs w:val="20"/>
        </w:rPr>
        <w:t>, con lo</w:t>
      </w:r>
      <w:r w:rsidR="00956997">
        <w:rPr>
          <w:rFonts w:cs="Arial"/>
          <w:sz w:val="20"/>
          <w:szCs w:val="20"/>
        </w:rPr>
        <w:t xml:space="preserve"> </w:t>
      </w:r>
      <w:r w:rsidRPr="00AC330B">
        <w:rPr>
          <w:rFonts w:cs="Arial"/>
          <w:sz w:val="20"/>
          <w:szCs w:val="20"/>
        </w:rPr>
        <w:t>scopo di determinare, sulla base delle intenzioni di semina dei conduttori delle aziende agricole, una stima pre</w:t>
      </w:r>
      <w:r w:rsidR="00F3408A">
        <w:rPr>
          <w:rFonts w:cs="Arial"/>
          <w:sz w:val="20"/>
          <w:szCs w:val="20"/>
        </w:rPr>
        <w:t xml:space="preserve">liminare </w:t>
      </w:r>
      <w:r w:rsidRPr="00AC330B">
        <w:rPr>
          <w:rFonts w:cs="Arial"/>
          <w:sz w:val="20"/>
          <w:szCs w:val="20"/>
        </w:rPr>
        <w:t xml:space="preserve">delle variazioni delle superfici investite alle diverse colture </w:t>
      </w:r>
      <w:r w:rsidR="00F3408A">
        <w:rPr>
          <w:rFonts w:cs="Arial"/>
          <w:sz w:val="20"/>
          <w:szCs w:val="20"/>
        </w:rPr>
        <w:t xml:space="preserve">cerealicole </w:t>
      </w:r>
      <w:r w:rsidRPr="00AC330B">
        <w:rPr>
          <w:rFonts w:cs="Arial"/>
          <w:sz w:val="20"/>
          <w:szCs w:val="20"/>
        </w:rPr>
        <w:t xml:space="preserve">all'inizio dell'annata agraria (periodo che va dal </w:t>
      </w:r>
      <w:proofErr w:type="gramStart"/>
      <w:r w:rsidRPr="00AC330B">
        <w:rPr>
          <w:rFonts w:cs="Arial"/>
          <w:sz w:val="20"/>
          <w:szCs w:val="20"/>
        </w:rPr>
        <w:t>1 novembre</w:t>
      </w:r>
      <w:proofErr w:type="gramEnd"/>
      <w:r w:rsidRPr="00AC330B">
        <w:rPr>
          <w:rFonts w:cs="Arial"/>
          <w:sz w:val="20"/>
          <w:szCs w:val="20"/>
        </w:rPr>
        <w:t xml:space="preserve"> al 31 ottobre dell'anno successivo).</w:t>
      </w:r>
    </w:p>
    <w:p w14:paraId="38C053C3" w14:textId="7519CEB6" w:rsidR="00EE4BC8" w:rsidRPr="00AC330B" w:rsidRDefault="0054135A" w:rsidP="00571245">
      <w:pPr>
        <w:tabs>
          <w:tab w:val="left" w:pos="7860"/>
        </w:tabs>
        <w:jc w:val="both"/>
        <w:rPr>
          <w:rFonts w:cs="Arial"/>
          <w:sz w:val="20"/>
          <w:szCs w:val="20"/>
        </w:rPr>
      </w:pPr>
      <w:r>
        <w:rPr>
          <w:rFonts w:cs="Arial"/>
          <w:sz w:val="20"/>
          <w:szCs w:val="20"/>
        </w:rPr>
        <w:t xml:space="preserve">Nell’edizione 2020-2021, </w:t>
      </w:r>
      <w:r w:rsidR="00EE4BC8">
        <w:rPr>
          <w:rFonts w:cs="Arial"/>
          <w:sz w:val="20"/>
          <w:szCs w:val="20"/>
        </w:rPr>
        <w:t xml:space="preserve">una </w:t>
      </w:r>
      <w:r>
        <w:rPr>
          <w:rFonts w:cs="Arial"/>
          <w:sz w:val="20"/>
          <w:szCs w:val="20"/>
        </w:rPr>
        <w:t xml:space="preserve">breve </w:t>
      </w:r>
      <w:r w:rsidR="00EE4BC8" w:rsidRPr="00EE4BC8">
        <w:rPr>
          <w:rFonts w:cs="Arial"/>
          <w:sz w:val="20"/>
          <w:szCs w:val="20"/>
        </w:rPr>
        <w:t>sezione del questionario è stata dedicata alla valutazione dell’impatto della pandemia sulle attività delle aziende agricole con riferimento all’annata agraria appena conclusa 2019-2020 e alla successiva annata agraria 2020-2021.</w:t>
      </w:r>
    </w:p>
    <w:p w14:paraId="67873781" w14:textId="68EF4374" w:rsidR="00AC330B" w:rsidRDefault="00AC330B" w:rsidP="00CB0812">
      <w:pPr>
        <w:shd w:val="clear" w:color="auto" w:fill="FFFFFF"/>
        <w:jc w:val="both"/>
        <w:rPr>
          <w:rFonts w:cs="Arial"/>
          <w:sz w:val="20"/>
          <w:szCs w:val="20"/>
        </w:rPr>
      </w:pPr>
      <w:r w:rsidRPr="00AC330B">
        <w:rPr>
          <w:rFonts w:cs="Arial"/>
          <w:sz w:val="20"/>
          <w:szCs w:val="20"/>
        </w:rPr>
        <w:t xml:space="preserve">I dati sono consultabili su </w:t>
      </w:r>
      <w:proofErr w:type="spellStart"/>
      <w:r w:rsidRPr="00AC330B">
        <w:rPr>
          <w:rFonts w:cs="Arial"/>
          <w:sz w:val="20"/>
          <w:szCs w:val="20"/>
        </w:rPr>
        <w:t>I.Stat</w:t>
      </w:r>
      <w:proofErr w:type="spellEnd"/>
      <w:r w:rsidRPr="00AC330B">
        <w:rPr>
          <w:rFonts w:cs="Arial"/>
          <w:sz w:val="20"/>
          <w:szCs w:val="20"/>
        </w:rPr>
        <w:t xml:space="preserve">, il data </w:t>
      </w:r>
      <w:proofErr w:type="spellStart"/>
      <w:r w:rsidRPr="00AC330B">
        <w:rPr>
          <w:rFonts w:cs="Arial"/>
          <w:sz w:val="20"/>
          <w:szCs w:val="20"/>
        </w:rPr>
        <w:t>warehouse</w:t>
      </w:r>
      <w:proofErr w:type="spellEnd"/>
      <w:r w:rsidRPr="00AC330B">
        <w:rPr>
          <w:rFonts w:cs="Arial"/>
          <w:sz w:val="20"/>
          <w:szCs w:val="20"/>
        </w:rPr>
        <w:t xml:space="preserve"> dell'Istat, sull'Annuario statistico italiano</w:t>
      </w:r>
      <w:r w:rsidR="00EE4BC8">
        <w:rPr>
          <w:rFonts w:cs="Arial"/>
          <w:sz w:val="20"/>
          <w:szCs w:val="20"/>
        </w:rPr>
        <w:t>.</w:t>
      </w:r>
    </w:p>
    <w:p w14:paraId="49693491" w14:textId="63E7B419" w:rsidR="00AC330B" w:rsidRDefault="00AC330B" w:rsidP="00A650C9">
      <w:pPr>
        <w:shd w:val="clear" w:color="auto" w:fill="FFFFFF"/>
        <w:jc w:val="both"/>
        <w:rPr>
          <w:rFonts w:cs="Arial"/>
          <w:sz w:val="20"/>
          <w:szCs w:val="20"/>
        </w:rPr>
      </w:pPr>
      <w:r w:rsidRPr="00AC330B">
        <w:rPr>
          <w:rFonts w:cs="Arial"/>
          <w:sz w:val="20"/>
          <w:szCs w:val="20"/>
        </w:rPr>
        <w:t>Per quanto riguarda i metadati della rilevazione, in particolare il contenuto informativo e le attività di prevenzione, controllo e valutazione dell'errore, si può consultare il sistema informativo sulla qualità</w:t>
      </w:r>
      <w:r w:rsidR="00D6117F">
        <w:rPr>
          <w:rFonts w:cs="Arial"/>
          <w:sz w:val="20"/>
          <w:szCs w:val="20"/>
        </w:rPr>
        <w:t xml:space="preserve"> </w:t>
      </w:r>
      <w:hyperlink r:id="rId30" w:tgtFrame="_blank" w:history="1">
        <w:r w:rsidRPr="00AC330B">
          <w:rPr>
            <w:sz w:val="20"/>
            <w:szCs w:val="20"/>
          </w:rPr>
          <w:t>SIQual</w:t>
        </w:r>
      </w:hyperlink>
      <w:r w:rsidR="00DC4F3D">
        <w:rPr>
          <w:rFonts w:cs="Arial"/>
          <w:sz w:val="20"/>
          <w:szCs w:val="20"/>
        </w:rPr>
        <w:t xml:space="preserve"> e il sito dell’ISTAT</w:t>
      </w:r>
      <w:r w:rsidR="004F16E3">
        <w:rPr>
          <w:rFonts w:cs="Arial"/>
          <w:sz w:val="20"/>
          <w:szCs w:val="20"/>
        </w:rPr>
        <w:t xml:space="preserve"> </w:t>
      </w:r>
      <w:hyperlink r:id="rId31" w:history="1">
        <w:r w:rsidR="004F16E3" w:rsidRPr="00B14C0A">
          <w:rPr>
            <w:rStyle w:val="Collegamentoipertestuale"/>
            <w:rFonts w:cs="Arial"/>
            <w:sz w:val="20"/>
            <w:szCs w:val="20"/>
          </w:rPr>
          <w:t>https://www.istat.it/it/archivio/249742</w:t>
        </w:r>
      </w:hyperlink>
      <w:r w:rsidR="004F16E3">
        <w:rPr>
          <w:rFonts w:cs="Arial"/>
          <w:sz w:val="20"/>
          <w:szCs w:val="20"/>
        </w:rPr>
        <w:t>.</w:t>
      </w:r>
    </w:p>
    <w:p w14:paraId="0889B3B9" w14:textId="77777777" w:rsidR="00956997" w:rsidRDefault="00956997" w:rsidP="00CB0812">
      <w:pPr>
        <w:shd w:val="clear" w:color="auto" w:fill="FFFFFF"/>
        <w:jc w:val="both"/>
        <w:rPr>
          <w:rFonts w:cs="Arial"/>
          <w:sz w:val="20"/>
          <w:szCs w:val="20"/>
        </w:rPr>
      </w:pPr>
    </w:p>
    <w:p w14:paraId="4F9EE19E" w14:textId="77777777" w:rsidR="00B22C64" w:rsidRPr="00571245" w:rsidRDefault="00B22C64">
      <w:pPr>
        <w:jc w:val="both"/>
        <w:rPr>
          <w:rFonts w:cs="Arial"/>
          <w:b/>
          <w:color w:val="1F497D"/>
          <w:szCs w:val="22"/>
        </w:rPr>
      </w:pPr>
      <w:r w:rsidRPr="00571245">
        <w:rPr>
          <w:rFonts w:cs="Arial"/>
          <w:b/>
          <w:color w:val="1F497D"/>
          <w:szCs w:val="22"/>
        </w:rPr>
        <w:t>Riferimenti utili</w:t>
      </w:r>
    </w:p>
    <w:p w14:paraId="1CD81726" w14:textId="77777777" w:rsidR="00766712" w:rsidRPr="00571245" w:rsidRDefault="00DC4F3D">
      <w:pPr>
        <w:jc w:val="both"/>
        <w:rPr>
          <w:rFonts w:cs="Arial"/>
          <w:sz w:val="20"/>
          <w:szCs w:val="20"/>
        </w:rPr>
      </w:pPr>
      <w:r w:rsidRPr="00571245">
        <w:rPr>
          <w:rFonts w:cs="Arial"/>
          <w:sz w:val="20"/>
          <w:szCs w:val="20"/>
        </w:rPr>
        <w:t>Di seguito, una lista di riferimenti utili per eventuali approfondimenti:</w:t>
      </w:r>
    </w:p>
    <w:p w14:paraId="0BCF834D" w14:textId="77777777" w:rsidR="002B23AC" w:rsidRPr="00571245" w:rsidRDefault="00204136" w:rsidP="00521526">
      <w:pPr>
        <w:pStyle w:val="Testonotaapidipagina"/>
        <w:numPr>
          <w:ilvl w:val="0"/>
          <w:numId w:val="11"/>
        </w:numPr>
        <w:spacing w:after="0"/>
        <w:ind w:left="714" w:hanging="357"/>
        <w:rPr>
          <w:rStyle w:val="Collegamentoipertestuale"/>
          <w:rFonts w:cs="Arial"/>
          <w:color w:val="auto"/>
        </w:rPr>
      </w:pPr>
      <w:hyperlink r:id="rId32" w:history="1">
        <w:r w:rsidR="00766712" w:rsidRPr="00571245">
          <w:rPr>
            <w:rStyle w:val="Collegamentoipertestuale"/>
            <w:rFonts w:cs="Arial"/>
            <w:color w:val="auto"/>
          </w:rPr>
          <w:t>Regolamento (CE) n. 543/2009 del Parlamento europeo e del Consiglio del 18 giugno 2009 relativo alle statistiche sui prodotti vegetali e che abroga i regolamenti del Consiglio (CEE) n. 837/90 e (CEE) n. 959/93 (europa.eu)</w:t>
        </w:r>
      </w:hyperlink>
      <w:r w:rsidR="00766712" w:rsidRPr="00571245">
        <w:rPr>
          <w:rStyle w:val="Collegamentoipertestuale"/>
          <w:rFonts w:cs="Arial"/>
          <w:color w:val="auto"/>
        </w:rPr>
        <w:t xml:space="preserve"> </w:t>
      </w:r>
    </w:p>
    <w:p w14:paraId="2A95AC2B" w14:textId="0BC9D737" w:rsidR="00923CFB" w:rsidRPr="00571245" w:rsidRDefault="00204136" w:rsidP="00521526">
      <w:pPr>
        <w:pStyle w:val="Testonotaapidipagina"/>
        <w:numPr>
          <w:ilvl w:val="0"/>
          <w:numId w:val="11"/>
        </w:numPr>
        <w:spacing w:after="0"/>
        <w:ind w:left="714" w:hanging="357"/>
        <w:rPr>
          <w:rStyle w:val="Collegamentoipertestuale"/>
          <w:rFonts w:cs="Arial"/>
          <w:color w:val="auto"/>
        </w:rPr>
      </w:pPr>
      <w:hyperlink r:id="rId33" w:history="1">
        <w:r w:rsidR="00923CFB" w:rsidRPr="00571245">
          <w:rPr>
            <w:rStyle w:val="Collegamentoipertestuale"/>
            <w:rFonts w:cs="Arial"/>
            <w:color w:val="auto"/>
          </w:rPr>
          <w:t>https://www.istat.it/it/archivio/254376</w:t>
        </w:r>
      </w:hyperlink>
    </w:p>
    <w:p w14:paraId="7EA96FF4" w14:textId="31CE07BB" w:rsidR="00F15F86" w:rsidRPr="00571245" w:rsidRDefault="00204136" w:rsidP="00521526">
      <w:pPr>
        <w:pStyle w:val="Testonotaapidipagina"/>
        <w:numPr>
          <w:ilvl w:val="0"/>
          <w:numId w:val="11"/>
        </w:numPr>
        <w:spacing w:after="0"/>
        <w:ind w:left="714" w:hanging="357"/>
        <w:rPr>
          <w:rStyle w:val="Collegamentoipertestuale"/>
          <w:rFonts w:cs="Arial"/>
          <w:color w:val="auto"/>
        </w:rPr>
      </w:pPr>
      <w:hyperlink r:id="rId34" w:history="1">
        <w:r w:rsidR="00766712" w:rsidRPr="00571245">
          <w:rPr>
            <w:rStyle w:val="Collegamentoipertestuale"/>
            <w:rFonts w:cs="Arial"/>
            <w:color w:val="auto"/>
          </w:rPr>
          <w:t>https://www.istat.it/it/archivio/249742</w:t>
        </w:r>
      </w:hyperlink>
    </w:p>
    <w:p w14:paraId="02BB0510" w14:textId="5CF35632" w:rsidR="00E02152" w:rsidRPr="00571245" w:rsidRDefault="00204136" w:rsidP="00521526">
      <w:pPr>
        <w:pStyle w:val="Testonotaapidipagina"/>
        <w:numPr>
          <w:ilvl w:val="0"/>
          <w:numId w:val="11"/>
        </w:numPr>
        <w:spacing w:after="0"/>
        <w:ind w:left="714" w:hanging="357"/>
        <w:rPr>
          <w:rStyle w:val="Collegamentoipertestuale"/>
          <w:rFonts w:cs="Arial"/>
          <w:color w:val="auto"/>
        </w:rPr>
      </w:pPr>
      <w:hyperlink r:id="rId35" w:history="1">
        <w:r w:rsidR="00E02152" w:rsidRPr="00571245">
          <w:rPr>
            <w:rStyle w:val="Collegamentoipertestuale"/>
            <w:rFonts w:cs="Arial"/>
            <w:color w:val="auto"/>
          </w:rPr>
          <w:t>https://gino.istat.it/semina/front/</w:t>
        </w:r>
      </w:hyperlink>
    </w:p>
    <w:p w14:paraId="753C0B10" w14:textId="7DC8915F" w:rsidR="00AE1E4E" w:rsidRPr="00571245" w:rsidRDefault="00204136" w:rsidP="00521526">
      <w:pPr>
        <w:pStyle w:val="Testonotaapidipagina"/>
        <w:numPr>
          <w:ilvl w:val="0"/>
          <w:numId w:val="11"/>
        </w:numPr>
        <w:spacing w:after="0"/>
        <w:ind w:left="714" w:hanging="357"/>
        <w:rPr>
          <w:rStyle w:val="Collegamentoipertestuale"/>
          <w:rFonts w:cs="Arial"/>
          <w:color w:val="auto"/>
        </w:rPr>
      </w:pPr>
      <w:hyperlink r:id="rId36" w:history="1">
        <w:r w:rsidR="00E02152" w:rsidRPr="00571245">
          <w:rPr>
            <w:rStyle w:val="Collegamentoipertestuale"/>
            <w:rFonts w:cs="Arial"/>
            <w:color w:val="auto"/>
          </w:rPr>
          <w:t>https://gino.istat.it/sag/front/</w:t>
        </w:r>
      </w:hyperlink>
    </w:p>
    <w:p w14:paraId="127DE79F" w14:textId="2278A309" w:rsidR="00597E71" w:rsidRPr="008B5E65" w:rsidRDefault="00597E71" w:rsidP="00597E71">
      <w:pPr>
        <w:pStyle w:val="Testonotaapidipagina"/>
        <w:rPr>
          <w:rStyle w:val="Collegamentoipertestuale"/>
          <w:rFonts w:cs="Arial"/>
          <w:color w:val="auto"/>
        </w:rPr>
      </w:pPr>
    </w:p>
    <w:p w14:paraId="78A82899" w14:textId="77777777" w:rsidR="00521526" w:rsidRPr="00521526" w:rsidRDefault="00521526" w:rsidP="00597E71">
      <w:pPr>
        <w:pStyle w:val="Testonotaapidipagina"/>
        <w:rPr>
          <w:rFonts w:cs="Arial"/>
          <w:bCs/>
          <w:color w:val="1F497D" w:themeColor="text2"/>
        </w:rPr>
      </w:pPr>
    </w:p>
    <w:p w14:paraId="09134699" w14:textId="7F2CE708" w:rsidR="00956997" w:rsidRPr="00571245" w:rsidRDefault="00956997" w:rsidP="00597E71">
      <w:pPr>
        <w:pStyle w:val="Testonotaapidipagina"/>
        <w:rPr>
          <w:rFonts w:ascii="Georgia" w:hAnsi="Georgia"/>
          <w:bCs/>
          <w:color w:val="1F497D" w:themeColor="text2"/>
          <w:sz w:val="48"/>
          <w:szCs w:val="48"/>
        </w:rPr>
      </w:pPr>
      <w:r w:rsidRPr="00571245">
        <w:rPr>
          <w:rFonts w:ascii="Georgia" w:hAnsi="Georgia"/>
          <w:bCs/>
          <w:color w:val="1F497D" w:themeColor="text2"/>
          <w:sz w:val="48"/>
          <w:szCs w:val="48"/>
        </w:rPr>
        <w:lastRenderedPageBreak/>
        <w:t>Note</w:t>
      </w:r>
    </w:p>
    <w:p w14:paraId="7EC73951" w14:textId="1496C3A2" w:rsidR="00F02274" w:rsidRDefault="00F02274" w:rsidP="00571245">
      <w:pPr>
        <w:pStyle w:val="Testonotaapidipagina"/>
        <w:spacing w:after="0"/>
        <w:rPr>
          <w:rStyle w:val="Collegamentoipertestuale"/>
          <w:rFonts w:cs="Arial"/>
          <w:color w:val="auto"/>
          <w:sz w:val="16"/>
          <w:szCs w:val="16"/>
          <w:u w:val="none"/>
        </w:rPr>
      </w:pPr>
      <w:r w:rsidRPr="00571245">
        <w:rPr>
          <w:rStyle w:val="Collegamentoipertestuale"/>
          <w:rFonts w:cs="Arial"/>
          <w:color w:val="auto"/>
          <w:sz w:val="16"/>
          <w:szCs w:val="16"/>
          <w:u w:val="none"/>
          <w:vertAlign w:val="superscript"/>
        </w:rPr>
        <w:t>i)</w:t>
      </w:r>
      <w:r w:rsidRPr="00571245">
        <w:rPr>
          <w:rStyle w:val="Collegamentoipertestuale"/>
          <w:rFonts w:cs="Arial"/>
          <w:color w:val="auto"/>
          <w:sz w:val="16"/>
          <w:szCs w:val="16"/>
          <w:u w:val="none"/>
        </w:rPr>
        <w:t xml:space="preserve"> Nelle statistiche agricole, l’anno 2010 indica l’annata agraria 2009-2010; analogamente, l’anno 2019 indica l’annata agraria 2018-2019.</w:t>
      </w:r>
    </w:p>
    <w:p w14:paraId="0B937511" w14:textId="23C589AD" w:rsidR="00F02274" w:rsidRDefault="00F02274" w:rsidP="00571245">
      <w:pPr>
        <w:pStyle w:val="Testonotaapidipagina"/>
        <w:spacing w:after="0"/>
        <w:rPr>
          <w:rStyle w:val="Collegamentoipertestuale"/>
          <w:rFonts w:cs="Arial"/>
          <w:color w:val="auto"/>
          <w:sz w:val="16"/>
          <w:szCs w:val="16"/>
          <w:u w:val="none"/>
        </w:rPr>
      </w:pPr>
      <w:r w:rsidRPr="00571245">
        <w:rPr>
          <w:rStyle w:val="Collegamentoipertestuale"/>
          <w:rFonts w:cs="Arial"/>
          <w:color w:val="auto"/>
          <w:sz w:val="16"/>
          <w:szCs w:val="16"/>
          <w:u w:val="none"/>
          <w:vertAlign w:val="superscript"/>
        </w:rPr>
        <w:t>ii)</w:t>
      </w:r>
      <w:r w:rsidRPr="00571245">
        <w:rPr>
          <w:rStyle w:val="Collegamentoipertestuale"/>
          <w:rFonts w:cs="Arial"/>
          <w:color w:val="auto"/>
          <w:sz w:val="16"/>
          <w:szCs w:val="16"/>
          <w:u w:val="none"/>
        </w:rPr>
        <w:t xml:space="preserve"> Dalla SAU sono stati esclusi gli orti familiari, che hanno un’incidenza sul totale inferiore allo 0,2%.</w:t>
      </w:r>
    </w:p>
    <w:p w14:paraId="1A57899E" w14:textId="3ED97581" w:rsidR="00B73317" w:rsidRPr="00571245" w:rsidRDefault="00B73317" w:rsidP="00B73317">
      <w:pPr>
        <w:pStyle w:val="Testonotaapidipagina"/>
        <w:spacing w:after="0"/>
        <w:rPr>
          <w:rStyle w:val="Collegamentoipertestuale"/>
          <w:rFonts w:cs="Arial"/>
          <w:color w:val="auto"/>
          <w:sz w:val="16"/>
          <w:szCs w:val="16"/>
          <w:u w:val="none"/>
        </w:rPr>
      </w:pPr>
      <w:r w:rsidRPr="00B73317">
        <w:rPr>
          <w:rStyle w:val="Collegamentoipertestuale"/>
          <w:rFonts w:cs="Arial"/>
          <w:color w:val="auto"/>
          <w:sz w:val="16"/>
          <w:szCs w:val="16"/>
          <w:u w:val="none"/>
          <w:vertAlign w:val="superscript"/>
        </w:rPr>
        <w:t>i</w:t>
      </w:r>
      <w:r>
        <w:rPr>
          <w:rStyle w:val="Collegamentoipertestuale"/>
          <w:rFonts w:cs="Arial"/>
          <w:color w:val="auto"/>
          <w:sz w:val="16"/>
          <w:szCs w:val="16"/>
          <w:u w:val="none"/>
          <w:vertAlign w:val="superscript"/>
        </w:rPr>
        <w:t>i</w:t>
      </w:r>
      <w:r w:rsidRPr="00B73317">
        <w:rPr>
          <w:rStyle w:val="Collegamentoipertestuale"/>
          <w:rFonts w:cs="Arial"/>
          <w:color w:val="auto"/>
          <w:sz w:val="16"/>
          <w:szCs w:val="16"/>
          <w:u w:val="none"/>
          <w:vertAlign w:val="superscript"/>
        </w:rPr>
        <w:t>i)</w:t>
      </w:r>
      <w:r>
        <w:rPr>
          <w:rStyle w:val="Collegamentoipertestuale"/>
          <w:rFonts w:cs="Arial"/>
          <w:color w:val="auto"/>
          <w:sz w:val="16"/>
          <w:szCs w:val="16"/>
          <w:u w:val="none"/>
        </w:rPr>
        <w:t xml:space="preserve"> </w:t>
      </w:r>
      <w:r w:rsidRPr="00571245">
        <w:rPr>
          <w:rStyle w:val="Collegamentoipertestuale"/>
          <w:rFonts w:cs="Arial"/>
          <w:color w:val="auto"/>
          <w:sz w:val="16"/>
          <w:szCs w:val="16"/>
          <w:u w:val="none"/>
        </w:rPr>
        <w:t xml:space="preserve">Le principali caratteristiche dell’indagine </w:t>
      </w:r>
      <w:r>
        <w:rPr>
          <w:rStyle w:val="Collegamentoipertestuale"/>
          <w:rFonts w:cs="Arial"/>
          <w:color w:val="auto"/>
          <w:sz w:val="16"/>
          <w:szCs w:val="16"/>
          <w:u w:val="none"/>
        </w:rPr>
        <w:t xml:space="preserve">sulle coltivazioni annuali </w:t>
      </w:r>
      <w:r w:rsidRPr="00571245">
        <w:rPr>
          <w:rStyle w:val="Collegamentoipertestuale"/>
          <w:rFonts w:cs="Arial"/>
          <w:color w:val="auto"/>
          <w:sz w:val="16"/>
          <w:szCs w:val="16"/>
          <w:u w:val="none"/>
        </w:rPr>
        <w:t>sono riportate nella nota metodologica.</w:t>
      </w:r>
    </w:p>
    <w:p w14:paraId="18200DEA" w14:textId="2186E671" w:rsidR="00D6117F" w:rsidRPr="00571245" w:rsidRDefault="00B73317" w:rsidP="00571245">
      <w:pPr>
        <w:pStyle w:val="Testonotaapidipagina"/>
        <w:spacing w:after="0"/>
        <w:rPr>
          <w:rStyle w:val="Collegamentoipertestuale"/>
          <w:rFonts w:cs="Arial"/>
          <w:color w:val="auto"/>
          <w:sz w:val="16"/>
          <w:szCs w:val="16"/>
          <w:u w:val="none"/>
        </w:rPr>
      </w:pPr>
      <w:r>
        <w:rPr>
          <w:rStyle w:val="Collegamentoipertestuale"/>
          <w:rFonts w:cs="Arial"/>
          <w:color w:val="auto"/>
          <w:sz w:val="16"/>
          <w:szCs w:val="16"/>
          <w:u w:val="none"/>
          <w:vertAlign w:val="superscript"/>
        </w:rPr>
        <w:t>i</w:t>
      </w:r>
      <w:r w:rsidR="00F02274" w:rsidRPr="00571245">
        <w:rPr>
          <w:rStyle w:val="Collegamentoipertestuale"/>
          <w:rFonts w:cs="Arial"/>
          <w:color w:val="auto"/>
          <w:sz w:val="16"/>
          <w:szCs w:val="16"/>
          <w:u w:val="none"/>
          <w:vertAlign w:val="superscript"/>
        </w:rPr>
        <w:t>v)</w:t>
      </w:r>
      <w:r w:rsidR="00D6117F" w:rsidRPr="00571245">
        <w:rPr>
          <w:rStyle w:val="Collegamentoipertestuale"/>
          <w:rFonts w:cs="Arial"/>
          <w:color w:val="auto"/>
          <w:sz w:val="16"/>
          <w:szCs w:val="16"/>
          <w:u w:val="none"/>
        </w:rPr>
        <w:t xml:space="preserve"> La relativa scheda PSN (IST-02049) riporta la denominazione: Stima delle superfici e produzioni delle coltivazioni agrarie, floricole e delle piante intere da vaso. L’acronimo internazionale ACS deriva dalla terminologia Inglese </w:t>
      </w:r>
      <w:proofErr w:type="spellStart"/>
      <w:r w:rsidR="00D6117F" w:rsidRPr="00571245">
        <w:rPr>
          <w:rStyle w:val="Collegamentoipertestuale"/>
          <w:rFonts w:cs="Arial"/>
          <w:color w:val="auto"/>
          <w:sz w:val="16"/>
          <w:szCs w:val="16"/>
          <w:u w:val="none"/>
        </w:rPr>
        <w:t>Annual</w:t>
      </w:r>
      <w:proofErr w:type="spellEnd"/>
      <w:r w:rsidR="00D6117F" w:rsidRPr="00571245">
        <w:rPr>
          <w:rStyle w:val="Collegamentoipertestuale"/>
          <w:rFonts w:cs="Arial"/>
          <w:color w:val="auto"/>
          <w:sz w:val="16"/>
          <w:szCs w:val="16"/>
          <w:u w:val="none"/>
        </w:rPr>
        <w:t xml:space="preserve"> </w:t>
      </w:r>
      <w:proofErr w:type="spellStart"/>
      <w:r w:rsidR="00D6117F" w:rsidRPr="00571245">
        <w:rPr>
          <w:rStyle w:val="Collegamentoipertestuale"/>
          <w:rFonts w:cs="Arial"/>
          <w:color w:val="auto"/>
          <w:sz w:val="16"/>
          <w:szCs w:val="16"/>
          <w:u w:val="none"/>
        </w:rPr>
        <w:t>Crop</w:t>
      </w:r>
      <w:proofErr w:type="spellEnd"/>
      <w:r w:rsidR="00D6117F" w:rsidRPr="00571245">
        <w:rPr>
          <w:rStyle w:val="Collegamentoipertestuale"/>
          <w:rFonts w:cs="Arial"/>
          <w:color w:val="auto"/>
          <w:sz w:val="16"/>
          <w:szCs w:val="16"/>
          <w:u w:val="none"/>
        </w:rPr>
        <w:t xml:space="preserve"> </w:t>
      </w:r>
      <w:proofErr w:type="spellStart"/>
      <w:r w:rsidR="00D6117F" w:rsidRPr="00571245">
        <w:rPr>
          <w:rStyle w:val="Collegamentoipertestuale"/>
          <w:rFonts w:cs="Arial"/>
          <w:color w:val="auto"/>
          <w:sz w:val="16"/>
          <w:szCs w:val="16"/>
          <w:u w:val="none"/>
        </w:rPr>
        <w:t>Statistics</w:t>
      </w:r>
      <w:proofErr w:type="spellEnd"/>
      <w:r w:rsidR="00D6117F" w:rsidRPr="00571245">
        <w:rPr>
          <w:rStyle w:val="Collegamentoipertestuale"/>
          <w:rFonts w:cs="Arial"/>
          <w:color w:val="auto"/>
          <w:sz w:val="16"/>
          <w:szCs w:val="16"/>
          <w:u w:val="none"/>
        </w:rPr>
        <w:t>.</w:t>
      </w:r>
    </w:p>
    <w:p w14:paraId="4CC6CA87" w14:textId="3C1DB12B" w:rsidR="00D6117F" w:rsidRPr="00571245" w:rsidRDefault="00F02274" w:rsidP="00571245">
      <w:pPr>
        <w:pStyle w:val="Testonotaapidipagina"/>
        <w:spacing w:after="0"/>
        <w:rPr>
          <w:rStyle w:val="Collegamentoipertestuale"/>
          <w:rFonts w:cs="Arial"/>
          <w:color w:val="auto"/>
          <w:sz w:val="16"/>
          <w:szCs w:val="16"/>
          <w:u w:val="none"/>
        </w:rPr>
      </w:pPr>
      <w:r w:rsidRPr="00571245">
        <w:rPr>
          <w:rStyle w:val="Collegamentoipertestuale"/>
          <w:rFonts w:cs="Arial"/>
          <w:color w:val="auto"/>
          <w:sz w:val="16"/>
          <w:szCs w:val="16"/>
          <w:u w:val="none"/>
          <w:vertAlign w:val="superscript"/>
        </w:rPr>
        <w:t>v)</w:t>
      </w:r>
      <w:r w:rsidR="00D6117F" w:rsidRPr="00571245">
        <w:rPr>
          <w:rStyle w:val="Collegamentoipertestuale"/>
          <w:rFonts w:cs="Arial"/>
          <w:color w:val="auto"/>
          <w:sz w:val="16"/>
          <w:szCs w:val="16"/>
          <w:u w:val="none"/>
        </w:rPr>
        <w:t xml:space="preserve"> La SAT include le superfici dell’azienda agricola non utilizzabili a fini agricoli.</w:t>
      </w:r>
    </w:p>
    <w:p w14:paraId="11DCD7CF" w14:textId="5A22947D" w:rsidR="00D6117F" w:rsidRPr="00571245" w:rsidRDefault="00F02274" w:rsidP="00571245">
      <w:pPr>
        <w:pStyle w:val="Testonotaapidipagina"/>
        <w:spacing w:after="0"/>
        <w:rPr>
          <w:rStyle w:val="Collegamentoipertestuale"/>
          <w:rFonts w:cs="Arial"/>
          <w:color w:val="auto"/>
          <w:sz w:val="16"/>
          <w:szCs w:val="16"/>
          <w:u w:val="none"/>
        </w:rPr>
      </w:pPr>
      <w:r w:rsidRPr="00571245">
        <w:rPr>
          <w:rStyle w:val="Collegamentoipertestuale"/>
          <w:rFonts w:cs="Arial"/>
          <w:color w:val="auto"/>
          <w:sz w:val="16"/>
          <w:szCs w:val="16"/>
          <w:u w:val="none"/>
          <w:vertAlign w:val="superscript"/>
        </w:rPr>
        <w:t>vi)</w:t>
      </w:r>
      <w:r w:rsidR="00D6117F" w:rsidRPr="00571245">
        <w:rPr>
          <w:rStyle w:val="Collegamentoipertestuale"/>
          <w:rFonts w:cs="Arial"/>
          <w:color w:val="auto"/>
          <w:sz w:val="16"/>
          <w:szCs w:val="16"/>
          <w:u w:val="none"/>
        </w:rPr>
        <w:t xml:space="preserve"> In molti casi, si dispone di stime del dato di resa, da cui si deriva successivamente la stima della produzione.</w:t>
      </w:r>
    </w:p>
    <w:p w14:paraId="2D69CA62" w14:textId="7BA75F64" w:rsidR="00D6117F" w:rsidRPr="00571245" w:rsidRDefault="00F02274" w:rsidP="00571245">
      <w:pPr>
        <w:pStyle w:val="Testonotaapidipagina"/>
        <w:spacing w:after="0"/>
        <w:rPr>
          <w:rStyle w:val="Collegamentoipertestuale"/>
          <w:rFonts w:cs="Arial"/>
          <w:color w:val="auto"/>
          <w:sz w:val="16"/>
          <w:szCs w:val="16"/>
          <w:u w:val="none"/>
        </w:rPr>
      </w:pPr>
      <w:r w:rsidRPr="00571245">
        <w:rPr>
          <w:rStyle w:val="Collegamentoipertestuale"/>
          <w:rFonts w:cs="Arial"/>
          <w:color w:val="auto"/>
          <w:sz w:val="16"/>
          <w:szCs w:val="16"/>
          <w:u w:val="none"/>
          <w:vertAlign w:val="superscript"/>
        </w:rPr>
        <w:t>vii)</w:t>
      </w:r>
      <w:r w:rsidR="00D6117F" w:rsidRPr="00571245">
        <w:rPr>
          <w:rStyle w:val="Collegamentoipertestuale"/>
          <w:rFonts w:cs="Arial"/>
          <w:color w:val="auto"/>
          <w:sz w:val="16"/>
          <w:szCs w:val="16"/>
          <w:u w:val="none"/>
        </w:rPr>
        <w:t xml:space="preserve"> La presente rilevazione, compresa tra le rilevazioni statistiche di interesse pubblico, è inserita nel Programma statistico nazionale 2017- 2019 – Aggiornamento 2019, attualmente in vigore.</w:t>
      </w:r>
    </w:p>
    <w:p w14:paraId="52A83292" w14:textId="4E85CB39" w:rsidR="00F02274" w:rsidRPr="00571245" w:rsidRDefault="00F02274" w:rsidP="00571245">
      <w:pPr>
        <w:pStyle w:val="Testonotaapidipagina"/>
        <w:spacing w:after="0"/>
        <w:rPr>
          <w:rStyle w:val="Collegamentoipertestuale"/>
          <w:rFonts w:cs="Arial"/>
          <w:color w:val="auto"/>
          <w:sz w:val="16"/>
          <w:szCs w:val="16"/>
          <w:u w:val="none"/>
        </w:rPr>
      </w:pPr>
    </w:p>
    <w:p w14:paraId="2A49D053" w14:textId="389FCDF5" w:rsidR="00F02274" w:rsidRDefault="00F02274" w:rsidP="00597E71">
      <w:pPr>
        <w:pStyle w:val="Testonotaapidipagina"/>
        <w:rPr>
          <w:rStyle w:val="Collegamentoipertestuale"/>
          <w:rFonts w:cs="Arial"/>
          <w:color w:val="auto"/>
        </w:rPr>
      </w:pPr>
    </w:p>
    <w:p w14:paraId="04906EA8" w14:textId="33F1DF46" w:rsidR="00956997" w:rsidRPr="00571245" w:rsidRDefault="00956997" w:rsidP="00597E71">
      <w:pPr>
        <w:pStyle w:val="Testonotaapidipagina"/>
        <w:rPr>
          <w:rStyle w:val="Collegamentoipertestuale"/>
          <w:rFonts w:cs="Arial"/>
          <w:color w:val="auto"/>
        </w:rPr>
      </w:pPr>
    </w:p>
    <w:p w14:paraId="610F5BC4" w14:textId="25405827" w:rsidR="00956997" w:rsidRPr="00571245" w:rsidRDefault="00956997" w:rsidP="00597E71">
      <w:pPr>
        <w:pStyle w:val="Testonotaapidipagina"/>
        <w:rPr>
          <w:rStyle w:val="Collegamentoipertestuale"/>
          <w:rFonts w:cs="Arial"/>
          <w:color w:val="auto"/>
        </w:rPr>
      </w:pPr>
    </w:p>
    <w:p w14:paraId="3082A3DD" w14:textId="77777777" w:rsidR="00956997" w:rsidRPr="00571245" w:rsidRDefault="00956997" w:rsidP="00597E71">
      <w:pPr>
        <w:pStyle w:val="Testonotaapidipagina"/>
        <w:rPr>
          <w:rStyle w:val="Collegamentoipertestuale"/>
          <w:rFonts w:cs="Arial"/>
          <w:color w:val="auto"/>
        </w:rPr>
      </w:pPr>
    </w:p>
    <w:p w14:paraId="3315737E" w14:textId="3B8D6B84" w:rsidR="00597E71" w:rsidRDefault="00597E71" w:rsidP="00597E71">
      <w:pPr>
        <w:pStyle w:val="Testonotaapidipagina"/>
        <w:rPr>
          <w:rFonts w:ascii="Georgia" w:hAnsi="Georgia"/>
          <w:bCs/>
          <w:color w:val="1F497D" w:themeColor="text2"/>
          <w:sz w:val="36"/>
          <w:szCs w:val="36"/>
        </w:rPr>
      </w:pPr>
      <w:r w:rsidRPr="00571245">
        <w:rPr>
          <w:rFonts w:ascii="Georgia" w:hAnsi="Georgia"/>
          <w:bCs/>
          <w:color w:val="1F497D" w:themeColor="text2"/>
          <w:sz w:val="36"/>
          <w:szCs w:val="36"/>
        </w:rPr>
        <w:t>Per chiarimenti tecnici e m</w:t>
      </w:r>
      <w:r>
        <w:rPr>
          <w:rFonts w:ascii="Georgia" w:hAnsi="Georgia"/>
          <w:bCs/>
          <w:color w:val="1F497D" w:themeColor="text2"/>
          <w:sz w:val="36"/>
          <w:szCs w:val="36"/>
        </w:rPr>
        <w:t>e</w:t>
      </w:r>
      <w:r w:rsidRPr="00571245">
        <w:rPr>
          <w:rFonts w:ascii="Georgia" w:hAnsi="Georgia"/>
          <w:bCs/>
          <w:color w:val="1F497D" w:themeColor="text2"/>
          <w:sz w:val="36"/>
          <w:szCs w:val="36"/>
        </w:rPr>
        <w:t>todologici</w:t>
      </w:r>
    </w:p>
    <w:tbl>
      <w:tblPr>
        <w:tblStyle w:val="Grigliatabella"/>
        <w:tblW w:w="0" w:type="auto"/>
        <w:tblBorders>
          <w:top w:val="dotted" w:sz="4"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597E71" w14:paraId="187742CB" w14:textId="77777777" w:rsidTr="00571245">
        <w:tc>
          <w:tcPr>
            <w:tcW w:w="4956" w:type="dxa"/>
          </w:tcPr>
          <w:p w14:paraId="61B18746" w14:textId="77777777" w:rsidR="00A112DF" w:rsidRPr="00C121A6" w:rsidRDefault="00A112DF" w:rsidP="00A650C9">
            <w:pPr>
              <w:pStyle w:val="NormaleWeb"/>
              <w:spacing w:before="0" w:beforeAutospacing="0" w:after="0" w:afterAutospacing="0"/>
              <w:rPr>
                <w:rFonts w:cs="Arial"/>
                <w:b/>
                <w:bCs/>
                <w:color w:val="1F497D"/>
                <w:szCs w:val="22"/>
              </w:rPr>
            </w:pPr>
          </w:p>
          <w:p w14:paraId="5B420669" w14:textId="45DA45B8" w:rsidR="00597E71" w:rsidRPr="00C121A6" w:rsidRDefault="00597E71">
            <w:pPr>
              <w:pStyle w:val="NormaleWeb"/>
              <w:spacing w:before="0" w:beforeAutospacing="0" w:after="0" w:afterAutospacing="0"/>
              <w:rPr>
                <w:rFonts w:cs="Arial"/>
                <w:b/>
                <w:bCs/>
                <w:color w:val="1F497D"/>
                <w:szCs w:val="22"/>
              </w:rPr>
            </w:pPr>
            <w:r w:rsidRPr="00C121A6">
              <w:rPr>
                <w:rFonts w:cs="Arial"/>
                <w:b/>
                <w:bCs/>
                <w:color w:val="1F497D"/>
                <w:szCs w:val="22"/>
              </w:rPr>
              <w:t>Roberto Gismondi</w:t>
            </w:r>
          </w:p>
          <w:p w14:paraId="6C7B6D5E" w14:textId="0EFCC782" w:rsidR="00597E71" w:rsidRPr="00C121A6" w:rsidRDefault="00204136" w:rsidP="00571245">
            <w:pPr>
              <w:pStyle w:val="Testonotaapidipagina"/>
              <w:spacing w:after="0"/>
              <w:rPr>
                <w:rFonts w:ascii="Georgia" w:hAnsi="Georgia"/>
                <w:bCs/>
                <w:color w:val="1F497D" w:themeColor="text2"/>
                <w:sz w:val="36"/>
                <w:szCs w:val="36"/>
              </w:rPr>
            </w:pPr>
            <w:hyperlink r:id="rId37" w:history="1">
              <w:r w:rsidR="00597E71" w:rsidRPr="00C121A6">
                <w:rPr>
                  <w:rStyle w:val="Collegamentoipertestuale"/>
                  <w:rFonts w:cs="Arial"/>
                  <w:szCs w:val="22"/>
                </w:rPr>
                <w:t>gismondi@istat.it</w:t>
              </w:r>
            </w:hyperlink>
          </w:p>
        </w:tc>
        <w:tc>
          <w:tcPr>
            <w:tcW w:w="4956" w:type="dxa"/>
          </w:tcPr>
          <w:p w14:paraId="67C06047" w14:textId="77777777" w:rsidR="00A112DF" w:rsidRPr="0094113D" w:rsidRDefault="00A112DF" w:rsidP="002F03E9">
            <w:pPr>
              <w:autoSpaceDE w:val="0"/>
              <w:autoSpaceDN w:val="0"/>
              <w:adjustRightInd w:val="0"/>
              <w:spacing w:after="0"/>
              <w:jc w:val="both"/>
              <w:rPr>
                <w:rFonts w:cs="Arial"/>
                <w:b/>
                <w:bCs/>
                <w:color w:val="1F497D"/>
                <w:szCs w:val="22"/>
                <w:highlight w:val="red"/>
              </w:rPr>
            </w:pPr>
          </w:p>
          <w:p w14:paraId="5F9CC12E" w14:textId="729F63B1" w:rsidR="00597E71" w:rsidRPr="00C121A6" w:rsidRDefault="00597E71" w:rsidP="002F03E9">
            <w:pPr>
              <w:autoSpaceDE w:val="0"/>
              <w:autoSpaceDN w:val="0"/>
              <w:adjustRightInd w:val="0"/>
              <w:spacing w:after="0"/>
              <w:jc w:val="both"/>
              <w:rPr>
                <w:rFonts w:cs="Arial"/>
                <w:b/>
                <w:bCs/>
                <w:color w:val="1F497D"/>
                <w:szCs w:val="22"/>
              </w:rPr>
            </w:pPr>
            <w:r w:rsidRPr="00C121A6">
              <w:rPr>
                <w:rFonts w:cs="Arial"/>
                <w:b/>
                <w:bCs/>
                <w:color w:val="1F497D"/>
                <w:szCs w:val="22"/>
              </w:rPr>
              <w:t>Emanuela Fidale</w:t>
            </w:r>
          </w:p>
          <w:p w14:paraId="1BABEC56" w14:textId="614DFCE4" w:rsidR="00597E71" w:rsidRPr="00C121A6" w:rsidRDefault="00204136" w:rsidP="002F03E9">
            <w:pPr>
              <w:autoSpaceDE w:val="0"/>
              <w:autoSpaceDN w:val="0"/>
              <w:adjustRightInd w:val="0"/>
              <w:spacing w:after="0"/>
              <w:jc w:val="both"/>
              <w:rPr>
                <w:rStyle w:val="Collegamentoipertestuale"/>
                <w:rFonts w:cs="Arial"/>
                <w:szCs w:val="22"/>
              </w:rPr>
            </w:pPr>
            <w:hyperlink r:id="rId38" w:history="1">
              <w:r w:rsidR="00597E71" w:rsidRPr="00C121A6">
                <w:rPr>
                  <w:rStyle w:val="Collegamentoipertestuale"/>
                  <w:rFonts w:cs="Arial"/>
                  <w:szCs w:val="22"/>
                </w:rPr>
                <w:t>fidale@istat.it</w:t>
              </w:r>
            </w:hyperlink>
          </w:p>
          <w:p w14:paraId="07EBA5E0" w14:textId="77777777" w:rsidR="000B492C" w:rsidRPr="0094113D" w:rsidRDefault="000B492C" w:rsidP="002F03E9">
            <w:pPr>
              <w:autoSpaceDE w:val="0"/>
              <w:autoSpaceDN w:val="0"/>
              <w:adjustRightInd w:val="0"/>
              <w:spacing w:after="0"/>
              <w:jc w:val="both"/>
              <w:rPr>
                <w:rFonts w:cs="Arial"/>
                <w:color w:val="1F497D"/>
                <w:szCs w:val="22"/>
                <w:highlight w:val="red"/>
              </w:rPr>
            </w:pPr>
          </w:p>
          <w:p w14:paraId="561FAE87" w14:textId="4DB6DFED" w:rsidR="00597E71" w:rsidRPr="0094113D" w:rsidRDefault="00597E71" w:rsidP="007C52AC">
            <w:pPr>
              <w:pStyle w:val="Testonotaapidipagina"/>
              <w:spacing w:after="0"/>
              <w:jc w:val="both"/>
              <w:rPr>
                <w:rFonts w:ascii="Georgia" w:hAnsi="Georgia"/>
                <w:bCs/>
                <w:color w:val="1F497D" w:themeColor="text2"/>
                <w:sz w:val="36"/>
                <w:szCs w:val="36"/>
                <w:highlight w:val="red"/>
              </w:rPr>
            </w:pPr>
          </w:p>
        </w:tc>
      </w:tr>
    </w:tbl>
    <w:p w14:paraId="3B626B4A" w14:textId="77777777" w:rsidR="00597E71" w:rsidRPr="007C52AC" w:rsidRDefault="00597E71" w:rsidP="00597E71">
      <w:pPr>
        <w:pStyle w:val="Testonotaapidipagina"/>
        <w:rPr>
          <w:rFonts w:ascii="Georgia" w:hAnsi="Georgia"/>
          <w:bCs/>
          <w:color w:val="1F497D" w:themeColor="text2"/>
          <w:sz w:val="36"/>
          <w:szCs w:val="36"/>
        </w:rPr>
      </w:pPr>
    </w:p>
    <w:p w14:paraId="663D96F9" w14:textId="69FA8302" w:rsidR="00597E71" w:rsidRPr="002B23AC" w:rsidRDefault="00597E71" w:rsidP="002F03E9">
      <w:pPr>
        <w:pStyle w:val="Testonotaapidipagina"/>
        <w:rPr>
          <w:rStyle w:val="Collegamentoipertestuale"/>
          <w:rFonts w:cs="Arial"/>
          <w:sz w:val="16"/>
          <w:szCs w:val="16"/>
        </w:rPr>
      </w:pPr>
    </w:p>
    <w:p w14:paraId="3952CD94" w14:textId="77777777" w:rsidR="005B784A" w:rsidRDefault="005B784A" w:rsidP="007C52AC">
      <w:pPr>
        <w:pStyle w:val="NormaleWeb"/>
        <w:spacing w:before="120" w:beforeAutospacing="0" w:after="120" w:afterAutospacing="0"/>
        <w:rPr>
          <w:rFonts w:cs="Arial"/>
          <w:b/>
          <w:bCs/>
          <w:sz w:val="20"/>
          <w:szCs w:val="20"/>
        </w:rPr>
      </w:pPr>
    </w:p>
    <w:sectPr w:rsidR="005B784A" w:rsidSect="00A731DD">
      <w:footerReference w:type="default" r:id="rId39"/>
      <w:pgSz w:w="11906" w:h="16838" w:code="9"/>
      <w:pgMar w:top="567" w:right="992" w:bottom="714" w:left="992" w:header="0" w:footer="0" w:gutter="0"/>
      <w:cols w:space="4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DA794" w14:textId="77777777" w:rsidR="00204136" w:rsidRDefault="00204136">
      <w:r>
        <w:separator/>
      </w:r>
    </w:p>
  </w:endnote>
  <w:endnote w:type="continuationSeparator" w:id="0">
    <w:p w14:paraId="05D83DB0" w14:textId="77777777" w:rsidR="00204136" w:rsidRDefault="00204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4"/>
        <w:highlight w:val="lightGray"/>
      </w:rPr>
      <w:id w:val="-1323272918"/>
      <w:docPartObj>
        <w:docPartGallery w:val="Page Numbers (Bottom of Page)"/>
        <w:docPartUnique/>
      </w:docPartObj>
    </w:sdtPr>
    <w:sdtEndPr>
      <w:rPr>
        <w:sz w:val="28"/>
      </w:rPr>
    </w:sdtEndPr>
    <w:sdtContent>
      <w:p w14:paraId="1D725AB2" w14:textId="77777777" w:rsidR="008B5E65" w:rsidRDefault="008B5E65" w:rsidP="005010A1">
        <w:pPr>
          <w:pStyle w:val="Pidipagina"/>
          <w:ind w:left="-992"/>
          <w:rPr>
            <w:rFonts w:asciiTheme="majorHAnsi" w:eastAsiaTheme="majorEastAsia" w:hAnsiTheme="majorHAnsi" w:cstheme="majorBidi"/>
          </w:rPr>
        </w:pPr>
        <w:r>
          <w:rPr>
            <w:noProof/>
            <w:szCs w:val="28"/>
          </w:rPr>
          <mc:AlternateContent>
            <mc:Choice Requires="wps">
              <w:drawing>
                <wp:anchor distT="4294967295" distB="4294967295" distL="114300" distR="114300" simplePos="0" relativeHeight="251688448" behindDoc="0" locked="0" layoutInCell="1" allowOverlap="1" wp14:anchorId="22A3EB70" wp14:editId="058BF28B">
                  <wp:simplePos x="0" y="0"/>
                  <wp:positionH relativeFrom="column">
                    <wp:posOffset>-10160</wp:posOffset>
                  </wp:positionH>
                  <wp:positionV relativeFrom="paragraph">
                    <wp:posOffset>-2532381</wp:posOffset>
                  </wp:positionV>
                  <wp:extent cx="6299835" cy="0"/>
                  <wp:effectExtent l="0" t="0" r="0" b="0"/>
                  <wp:wrapNone/>
                  <wp:docPr id="33"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9556DF" id="Connettore 1 12"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6ToEme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Cs w:val="28"/>
          </w:rPr>
          <mc:AlternateContent>
            <mc:Choice Requires="wps">
              <w:drawing>
                <wp:anchor distT="4294967295" distB="4294967295" distL="114300" distR="114300" simplePos="0" relativeHeight="251687424" behindDoc="0" locked="0" layoutInCell="1" allowOverlap="1" wp14:anchorId="64E48394" wp14:editId="2D98B0BD">
                  <wp:simplePos x="0" y="0"/>
                  <wp:positionH relativeFrom="column">
                    <wp:posOffset>-10160</wp:posOffset>
                  </wp:positionH>
                  <wp:positionV relativeFrom="paragraph">
                    <wp:posOffset>-127636</wp:posOffset>
                  </wp:positionV>
                  <wp:extent cx="6299835" cy="0"/>
                  <wp:effectExtent l="0" t="0" r="0" b="0"/>
                  <wp:wrapNone/>
                  <wp:docPr id="34"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A2E869" id="Connettore 1 28"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" strokecolor="white [3212]" strokeweight="1.25pt">
                  <o:lock v:ext="edit" shapetype="f"/>
                </v:line>
              </w:pict>
            </mc:Fallback>
          </mc:AlternateContent>
        </w:r>
        <w:sdt>
          <w:sdtPr>
            <w:rPr>
              <w:rFonts w:asciiTheme="majorHAnsi" w:eastAsiaTheme="majorEastAsia" w:hAnsiTheme="majorHAnsi" w:cstheme="majorBidi"/>
              <w:highlight w:val="lightGray"/>
            </w:rPr>
            <w:id w:val="822855933"/>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86400" behindDoc="0" locked="0" layoutInCell="0" allowOverlap="1" wp14:anchorId="55C112AF" wp14:editId="6AF69D1C">
                      <wp:simplePos x="0" y="0"/>
                      <wp:positionH relativeFrom="rightMargin">
                        <wp:posOffset>179070</wp:posOffset>
                      </wp:positionH>
                      <wp:positionV relativeFrom="margin">
                        <wp:posOffset>9758045</wp:posOffset>
                      </wp:positionV>
                      <wp:extent cx="398780" cy="329565"/>
                      <wp:effectExtent l="0" t="0" r="0" b="0"/>
                      <wp:wrapNone/>
                      <wp:docPr id="3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 cy="329565"/>
                              </a:xfrm>
                              <a:prstGeom prst="rect">
                                <a:avLst/>
                              </a:prstGeom>
                              <a:noFill/>
                            </wps:spPr>
                            <wps:txbx>
                              <w:txbxContent>
                                <w:p w14:paraId="37DD0337" w14:textId="12003BB1" w:rsidR="008B5E65" w:rsidRPr="001B745D" w:rsidRDefault="008B5E65" w:rsidP="00CA469E">
                                  <w:pPr>
                                    <w:jc w:val="right"/>
                                    <w:rPr>
                                      <w:rFonts w:cs="Arial"/>
                                      <w:b/>
                                      <w:color w:val="244061" w:themeColor="accent1" w:themeShade="80"/>
                                      <w:sz w:val="20"/>
                                      <w:szCs w:val="20"/>
                                    </w:rPr>
                                  </w:pPr>
                                  <w:r w:rsidRPr="00CA469E">
                                    <w:rPr>
                                      <w:rFonts w:cs="Arial"/>
                                      <w:b/>
                                      <w:color w:val="244061" w:themeColor="accent1" w:themeShade="80"/>
                                      <w:sz w:val="20"/>
                                      <w:szCs w:val="20"/>
                                    </w:rPr>
                                    <w:fldChar w:fldCharType="begin"/>
                                  </w:r>
                                  <w:r w:rsidRPr="00CA469E">
                                    <w:rPr>
                                      <w:rFonts w:cs="Arial"/>
                                      <w:b/>
                                      <w:color w:val="244061" w:themeColor="accent1" w:themeShade="80"/>
                                      <w:sz w:val="20"/>
                                      <w:szCs w:val="20"/>
                                    </w:rPr>
                                    <w:instrText>PAGE   \* MERGEFORMAT</w:instrText>
                                  </w:r>
                                  <w:r w:rsidRPr="00CA469E">
                                    <w:rPr>
                                      <w:rFonts w:cs="Arial"/>
                                      <w:b/>
                                      <w:color w:val="244061" w:themeColor="accent1" w:themeShade="80"/>
                                      <w:sz w:val="20"/>
                                      <w:szCs w:val="20"/>
                                    </w:rPr>
                                    <w:fldChar w:fldCharType="separate"/>
                                  </w:r>
                                  <w:r w:rsidR="00740925">
                                    <w:rPr>
                                      <w:rFonts w:cs="Arial"/>
                                      <w:b/>
                                      <w:noProof/>
                                      <w:color w:val="244061" w:themeColor="accent1" w:themeShade="80"/>
                                      <w:sz w:val="20"/>
                                      <w:szCs w:val="20"/>
                                    </w:rPr>
                                    <w:t>1</w:t>
                                  </w:r>
                                  <w:r w:rsidRPr="00CA469E">
                                    <w:rPr>
                                      <w:rFonts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5C112AF" id="Rettangolo 4" o:spid="_x0000_s1027" style="position:absolute;left:0;text-align:left;margin-left:14.1pt;margin-top:768.35pt;width:31.4pt;height:25.95pt;z-index:251686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" o:allowincell="f" filled="f" stroked="f">
                      <v:textbox>
                        <w:txbxContent>
                          <w:p w14:paraId="37DD0337" w14:textId="12003BB1" w:rsidR="008B5E65" w:rsidRPr="001B745D" w:rsidRDefault="008B5E65" w:rsidP="00CA469E">
                            <w:pPr>
                              <w:jc w:val="right"/>
                              <w:rPr>
                                <w:rFonts w:cs="Arial"/>
                                <w:b/>
                                <w:color w:val="244061" w:themeColor="accent1" w:themeShade="80"/>
                                <w:sz w:val="20"/>
                                <w:szCs w:val="20"/>
                              </w:rPr>
                            </w:pPr>
                            <w:r w:rsidRPr="00CA469E">
                              <w:rPr>
                                <w:rFonts w:cs="Arial"/>
                                <w:b/>
                                <w:color w:val="244061" w:themeColor="accent1" w:themeShade="80"/>
                                <w:sz w:val="20"/>
                                <w:szCs w:val="20"/>
                              </w:rPr>
                              <w:fldChar w:fldCharType="begin"/>
                            </w:r>
                            <w:r w:rsidRPr="00CA469E">
                              <w:rPr>
                                <w:rFonts w:cs="Arial"/>
                                <w:b/>
                                <w:color w:val="244061" w:themeColor="accent1" w:themeShade="80"/>
                                <w:sz w:val="20"/>
                                <w:szCs w:val="20"/>
                              </w:rPr>
                              <w:instrText>PAGE   \* MERGEFORMAT</w:instrText>
                            </w:r>
                            <w:r w:rsidRPr="00CA469E">
                              <w:rPr>
                                <w:rFonts w:cs="Arial"/>
                                <w:b/>
                                <w:color w:val="244061" w:themeColor="accent1" w:themeShade="80"/>
                                <w:sz w:val="20"/>
                                <w:szCs w:val="20"/>
                              </w:rPr>
                              <w:fldChar w:fldCharType="separate"/>
                            </w:r>
                            <w:r w:rsidR="00740925">
                              <w:rPr>
                                <w:rFonts w:cs="Arial"/>
                                <w:b/>
                                <w:noProof/>
                                <w:color w:val="244061" w:themeColor="accent1" w:themeShade="80"/>
                                <w:sz w:val="20"/>
                                <w:szCs w:val="20"/>
                              </w:rPr>
                              <w:t>1</w:t>
                            </w:r>
                            <w:r w:rsidRPr="00CA469E">
                              <w:rPr>
                                <w:rFonts w:cs="Arial"/>
                                <w:b/>
                                <w:color w:val="244061" w:themeColor="accent1" w:themeShade="80"/>
                                <w:sz w:val="20"/>
                                <w:szCs w:val="20"/>
                              </w:rPr>
                              <w:fldChar w:fldCharType="end"/>
                            </w:r>
                          </w:p>
                        </w:txbxContent>
                      </v:textbox>
                      <w10:wrap anchorx="margin" anchory="margin"/>
                    </v:rect>
                  </w:pict>
                </mc:Fallback>
              </mc:AlternateContent>
            </w:r>
          </w:sdtContent>
        </w:sdt>
        <w:r>
          <w:rPr>
            <w:noProof/>
            <w:sz w:val="18"/>
          </w:rPr>
          <w:drawing>
            <wp:inline distT="0" distB="0" distL="0" distR="0" wp14:anchorId="11F63DB3" wp14:editId="2EA9BFB0">
              <wp:extent cx="7588800" cy="1648800"/>
              <wp:effectExtent l="0" t="0" r="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1"/>
                      <a:stretch>
                        <a:fillRect/>
                      </a:stretch>
                    </pic:blipFill>
                    <pic:spPr>
                      <a:xfrm>
                        <a:off x="0" y="0"/>
                        <a:ext cx="7588800" cy="1648800"/>
                      </a:xfrm>
                      <a:prstGeom prst="rect">
                        <a:avLst/>
                      </a:prstGeom>
                    </pic:spPr>
                  </pic:pic>
                </a:graphicData>
              </a:graphic>
            </wp:inline>
          </w:drawing>
        </w:r>
        <w:r>
          <w:rPr>
            <w:noProof/>
            <w:sz w:val="18"/>
          </w:rPr>
          <mc:AlternateContent>
            <mc:Choice Requires="wps">
              <w:drawing>
                <wp:anchor distT="0" distB="0" distL="114300" distR="114300" simplePos="0" relativeHeight="251689472" behindDoc="0" locked="0" layoutInCell="1" allowOverlap="1" wp14:anchorId="412B9D9A" wp14:editId="4149EE8B">
                  <wp:simplePos x="0" y="0"/>
                  <wp:positionH relativeFrom="column">
                    <wp:posOffset>-26035</wp:posOffset>
                  </wp:positionH>
                  <wp:positionV relativeFrom="paragraph">
                    <wp:posOffset>655320</wp:posOffset>
                  </wp:positionV>
                  <wp:extent cx="3648883" cy="762000"/>
                  <wp:effectExtent l="0" t="0" r="8890" b="0"/>
                  <wp:wrapNone/>
                  <wp:docPr id="36" name="Casella di testo 36"/>
                  <wp:cNvGraphicFramePr/>
                  <a:graphic xmlns:a="http://schemas.openxmlformats.org/drawingml/2006/main">
                    <a:graphicData uri="http://schemas.microsoft.com/office/word/2010/wordprocessingShape">
                      <wps:wsp>
                        <wps:cNvSpPr txBox="1"/>
                        <wps:spPr>
                          <a:xfrm>
                            <a:off x="0" y="0"/>
                            <a:ext cx="3648883" cy="762000"/>
                          </a:xfrm>
                          <a:prstGeom prst="rect">
                            <a:avLst/>
                          </a:prstGeom>
                          <a:no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8B5E65" w:rsidRPr="006618C3" w14:paraId="1D302974" w14:textId="77777777" w:rsidTr="00E47B77">
                                <w:trPr>
                                  <w:trHeight w:val="1195"/>
                                </w:trPr>
                                <w:tc>
                                  <w:tcPr>
                                    <w:tcW w:w="3544" w:type="dxa"/>
                                  </w:tcPr>
                                  <w:p w14:paraId="5911F38B" w14:textId="77777777" w:rsidR="008B5E65" w:rsidRPr="004649F8" w:rsidRDefault="008B5E65" w:rsidP="003B2127">
                                    <w:pPr>
                                      <w:spacing w:after="0"/>
                                      <w:rPr>
                                        <w:rFonts w:ascii="Arial Narrow" w:hAnsi="Arial Narrow"/>
                                        <w:b/>
                                        <w:bCs/>
                                        <w:color w:val="1F497D"/>
                                      </w:rPr>
                                    </w:pPr>
                                    <w:r w:rsidRPr="004649F8">
                                      <w:rPr>
                                        <w:rFonts w:ascii="Arial Narrow" w:hAnsi="Arial Narrow"/>
                                        <w:b/>
                                        <w:bCs/>
                                        <w:color w:val="1F497D"/>
                                      </w:rPr>
                                      <w:t>UFFICIO STAMPA</w:t>
                                    </w:r>
                                  </w:p>
                                  <w:p w14:paraId="20B90F43" w14:textId="77777777" w:rsidR="008B5E65" w:rsidRPr="004649F8" w:rsidRDefault="008B5E65" w:rsidP="003B2127">
                                    <w:pPr>
                                      <w:spacing w:after="0"/>
                                      <w:rPr>
                                        <w:rFonts w:ascii="Arial Narrow" w:hAnsi="Arial Narrow"/>
                                        <w:color w:val="1F497D"/>
                                      </w:rPr>
                                    </w:pPr>
                                    <w:r w:rsidRPr="004649F8">
                                      <w:rPr>
                                        <w:rFonts w:ascii="Arial Narrow" w:hAnsi="Arial Narrow"/>
                                        <w:color w:val="1F497D"/>
                                      </w:rPr>
                                      <w:t>tel. +39 06 4673.2243/44</w:t>
                                    </w:r>
                                  </w:p>
                                  <w:p w14:paraId="768B492A" w14:textId="77777777" w:rsidR="008B5E65" w:rsidRPr="004649F8" w:rsidRDefault="00204136" w:rsidP="003B2127">
                                    <w:pPr>
                                      <w:spacing w:after="0"/>
                                      <w:rPr>
                                        <w:rFonts w:ascii="Arial Narrow" w:hAnsi="Arial Narrow"/>
                                        <w:color w:val="1F497D"/>
                                      </w:rPr>
                                    </w:pPr>
                                    <w:hyperlink r:id="rId2" w:history="1">
                                      <w:r w:rsidR="008B5E65" w:rsidRPr="002E68C4">
                                        <w:rPr>
                                          <w:rStyle w:val="Collegamentoipertestuale"/>
                                          <w:rFonts w:ascii="Arial Narrow" w:hAnsi="Arial Narrow"/>
                                          <w:color w:val="023859"/>
                                        </w:rPr>
                                        <w:t>ufficiostampa@istat.it</w:t>
                                      </w:r>
                                    </w:hyperlink>
                                  </w:p>
                                </w:tc>
                                <w:tc>
                                  <w:tcPr>
                                    <w:tcW w:w="2126" w:type="dxa"/>
                                  </w:tcPr>
                                  <w:p w14:paraId="5882C991" w14:textId="77777777" w:rsidR="008B5E65" w:rsidRPr="002E68C4" w:rsidRDefault="008B5E65" w:rsidP="00E47B77">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t>tel. +39 06 4673.3102</w:t>
                                    </w:r>
                                    <w:r w:rsidRPr="002E68C4">
                                      <w:rPr>
                                        <w:rFonts w:ascii="Arial Narrow" w:hAnsi="Arial Narrow"/>
                                        <w:color w:val="1F497D"/>
                                        <w:lang w:val="en-US"/>
                                      </w:rPr>
                                      <w:br/>
                                    </w:r>
                                    <w:hyperlink r:id="rId3" w:history="1">
                                      <w:r w:rsidRPr="002E68C4">
                                        <w:rPr>
                                          <w:rStyle w:val="Collegamentoipertestuale"/>
                                          <w:rFonts w:ascii="Arial Narrow" w:hAnsi="Arial Narrow"/>
                                          <w:color w:val="023859"/>
                                          <w:lang w:val="en-US"/>
                                        </w:rPr>
                                        <w:t>contact.istat.it</w:t>
                                      </w:r>
                                    </w:hyperlink>
                                  </w:p>
                                  <w:p w14:paraId="2C7B9C83" w14:textId="77777777" w:rsidR="008B5E65" w:rsidRPr="002E68C4" w:rsidRDefault="008B5E65" w:rsidP="00E47B77">
                                    <w:pPr>
                                      <w:rPr>
                                        <w:rFonts w:ascii="Arial Narrow" w:hAnsi="Arial Narrow"/>
                                        <w:color w:val="1F497D"/>
                                        <w:lang w:val="en-US"/>
                                      </w:rPr>
                                    </w:pPr>
                                  </w:p>
                                </w:tc>
                              </w:tr>
                            </w:tbl>
                            <w:p w14:paraId="5BB31524" w14:textId="77777777" w:rsidR="008B5E65" w:rsidRPr="004649F8" w:rsidRDefault="008B5E65" w:rsidP="00A731DD">
                              <w:pPr>
                                <w:rPr>
                                  <w:rFonts w:ascii="Arial Narrow" w:hAnsi="Arial Narrow"/>
                                  <w:color w:val="1F497D"/>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B9D9A" id="_x0000_t202" coordsize="21600,21600" o:spt="202" path="m,l,21600r21600,l21600,xe">
                  <v:stroke joinstyle="miter"/>
                  <v:path gradientshapeok="t" o:connecttype="rect"/>
                </v:shapetype>
                <v:shape id="Casella di testo 36" o:spid="_x0000_s1028" type="#_x0000_t202" style="position:absolute;left:0;text-align:left;margin-left:-2.05pt;margin-top:51.6pt;width:287.3pt;height:6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" filled="f" stroked="f" strokeweight=".5p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8B5E65" w:rsidRPr="006618C3" w14:paraId="1D302974" w14:textId="77777777" w:rsidTr="00E47B77">
                          <w:trPr>
                            <w:trHeight w:val="1195"/>
                          </w:trPr>
                          <w:tc>
                            <w:tcPr>
                              <w:tcW w:w="3544" w:type="dxa"/>
                            </w:tcPr>
                            <w:p w14:paraId="5911F38B" w14:textId="77777777" w:rsidR="008B5E65" w:rsidRPr="004649F8" w:rsidRDefault="008B5E65" w:rsidP="003B2127">
                              <w:pPr>
                                <w:spacing w:after="0"/>
                                <w:rPr>
                                  <w:rFonts w:ascii="Arial Narrow" w:hAnsi="Arial Narrow"/>
                                  <w:b/>
                                  <w:bCs/>
                                  <w:color w:val="1F497D"/>
                                </w:rPr>
                              </w:pPr>
                              <w:r w:rsidRPr="004649F8">
                                <w:rPr>
                                  <w:rFonts w:ascii="Arial Narrow" w:hAnsi="Arial Narrow"/>
                                  <w:b/>
                                  <w:bCs/>
                                  <w:color w:val="1F497D"/>
                                </w:rPr>
                                <w:t>UFFICIO STAMPA</w:t>
                              </w:r>
                            </w:p>
                            <w:p w14:paraId="20B90F43" w14:textId="77777777" w:rsidR="008B5E65" w:rsidRPr="004649F8" w:rsidRDefault="008B5E65" w:rsidP="003B2127">
                              <w:pPr>
                                <w:spacing w:after="0"/>
                                <w:rPr>
                                  <w:rFonts w:ascii="Arial Narrow" w:hAnsi="Arial Narrow"/>
                                  <w:color w:val="1F497D"/>
                                </w:rPr>
                              </w:pPr>
                              <w:r w:rsidRPr="004649F8">
                                <w:rPr>
                                  <w:rFonts w:ascii="Arial Narrow" w:hAnsi="Arial Narrow"/>
                                  <w:color w:val="1F497D"/>
                                </w:rPr>
                                <w:t>tel. +39 06 4673.2243/44</w:t>
                              </w:r>
                            </w:p>
                            <w:p w14:paraId="768B492A" w14:textId="77777777" w:rsidR="008B5E65" w:rsidRPr="004649F8" w:rsidRDefault="00204136" w:rsidP="003B2127">
                              <w:pPr>
                                <w:spacing w:after="0"/>
                                <w:rPr>
                                  <w:rFonts w:ascii="Arial Narrow" w:hAnsi="Arial Narrow"/>
                                  <w:color w:val="1F497D"/>
                                </w:rPr>
                              </w:pPr>
                              <w:hyperlink r:id="rId4" w:history="1">
                                <w:r w:rsidR="008B5E65" w:rsidRPr="002E68C4">
                                  <w:rPr>
                                    <w:rStyle w:val="Collegamentoipertestuale"/>
                                    <w:rFonts w:ascii="Arial Narrow" w:hAnsi="Arial Narrow"/>
                                    <w:color w:val="023859"/>
                                  </w:rPr>
                                  <w:t>ufficiostampa@istat.it</w:t>
                                </w:r>
                              </w:hyperlink>
                            </w:p>
                          </w:tc>
                          <w:tc>
                            <w:tcPr>
                              <w:tcW w:w="2126" w:type="dxa"/>
                            </w:tcPr>
                            <w:p w14:paraId="5882C991" w14:textId="77777777" w:rsidR="008B5E65" w:rsidRPr="002E68C4" w:rsidRDefault="008B5E65" w:rsidP="00E47B77">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t>tel. +39 06 4673.3102</w:t>
                              </w:r>
                              <w:r w:rsidRPr="002E68C4">
                                <w:rPr>
                                  <w:rFonts w:ascii="Arial Narrow" w:hAnsi="Arial Narrow"/>
                                  <w:color w:val="1F497D"/>
                                  <w:lang w:val="en-US"/>
                                </w:rPr>
                                <w:br/>
                              </w:r>
                              <w:hyperlink r:id="rId5" w:history="1">
                                <w:r w:rsidRPr="002E68C4">
                                  <w:rPr>
                                    <w:rStyle w:val="Collegamentoipertestuale"/>
                                    <w:rFonts w:ascii="Arial Narrow" w:hAnsi="Arial Narrow"/>
                                    <w:color w:val="023859"/>
                                    <w:lang w:val="en-US"/>
                                  </w:rPr>
                                  <w:t>contact.istat.it</w:t>
                                </w:r>
                              </w:hyperlink>
                            </w:p>
                            <w:p w14:paraId="2C7B9C83" w14:textId="77777777" w:rsidR="008B5E65" w:rsidRPr="002E68C4" w:rsidRDefault="008B5E65" w:rsidP="00E47B77">
                              <w:pPr>
                                <w:rPr>
                                  <w:rFonts w:ascii="Arial Narrow" w:hAnsi="Arial Narrow"/>
                                  <w:color w:val="1F497D"/>
                                  <w:lang w:val="en-US"/>
                                </w:rPr>
                              </w:pPr>
                            </w:p>
                          </w:tc>
                        </w:tr>
                      </w:tbl>
                      <w:p w14:paraId="5BB31524" w14:textId="77777777" w:rsidR="008B5E65" w:rsidRPr="004649F8" w:rsidRDefault="008B5E65" w:rsidP="00A731DD">
                        <w:pPr>
                          <w:rPr>
                            <w:rFonts w:ascii="Arial Narrow" w:hAnsi="Arial Narrow"/>
                            <w:color w:val="1F497D"/>
                            <w:lang w:val="en-US"/>
                          </w:rPr>
                        </w:pPr>
                      </w:p>
                    </w:txbxContent>
                  </v:textbox>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highlight w:val="lightGray"/>
      </w:rPr>
      <w:id w:val="122277140"/>
      <w:docPartObj>
        <w:docPartGallery w:val="Page Numbers (Bottom of Page)"/>
        <w:docPartUnique/>
      </w:docPartObj>
    </w:sdtPr>
    <w:sdtEndPr/>
    <w:sdtContent>
      <w:p w14:paraId="6C8A80B5" w14:textId="59609F35" w:rsidR="008B5E65" w:rsidRDefault="008B5E65">
        <w:pPr>
          <w:rPr>
            <w:rFonts w:asciiTheme="majorHAnsi" w:eastAsiaTheme="majorEastAsia" w:hAnsiTheme="majorHAnsi" w:cstheme="majorBidi"/>
          </w:rPr>
        </w:pPr>
        <w:r w:rsidRPr="00A17739">
          <w:rPr>
            <w:rFonts w:cs="Arial"/>
            <w:noProof/>
            <w:szCs w:val="22"/>
          </w:rPr>
          <w:drawing>
            <wp:anchor distT="0" distB="0" distL="114300" distR="114300" simplePos="0" relativeHeight="251657216" behindDoc="0" locked="0" layoutInCell="1" allowOverlap="1" wp14:anchorId="1C65EDA0" wp14:editId="6C01B993">
              <wp:simplePos x="0" y="0"/>
              <wp:positionH relativeFrom="column">
                <wp:posOffset>-545465</wp:posOffset>
              </wp:positionH>
              <wp:positionV relativeFrom="paragraph">
                <wp:posOffset>-3192780</wp:posOffset>
              </wp:positionV>
              <wp:extent cx="466725" cy="483235"/>
              <wp:effectExtent l="0" t="0" r="9525" b="0"/>
              <wp:wrapNone/>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50048" behindDoc="0" locked="0" layoutInCell="1" allowOverlap="1" wp14:anchorId="63E88AFE" wp14:editId="5C500D6D">
                  <wp:simplePos x="0" y="0"/>
                  <wp:positionH relativeFrom="column">
                    <wp:posOffset>-693420</wp:posOffset>
                  </wp:positionH>
                  <wp:positionV relativeFrom="paragraph">
                    <wp:posOffset>-2935605</wp:posOffset>
                  </wp:positionV>
                  <wp:extent cx="7627620" cy="3476625"/>
                  <wp:effectExtent l="0" t="0" r="0" b="9525"/>
                  <wp:wrapNone/>
                  <wp:docPr id="14"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7620"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EC28D" id="Rettangolo 10" o:spid="_x0000_s1026" style="position:absolute;margin-left:-54.6pt;margin-top:-231.15pt;width:600.6pt;height:27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" fillcolor="#d8d8d8 [2732]" stroked="f" strokeweight="2pt"/>
              </w:pict>
            </mc:Fallback>
          </mc:AlternateContent>
        </w:r>
        <w:r>
          <w:rPr>
            <w:noProof/>
            <w:sz w:val="28"/>
            <w:szCs w:val="28"/>
          </w:rPr>
          <mc:AlternateContent>
            <mc:Choice Requires="wps">
              <w:drawing>
                <wp:anchor distT="4294967295" distB="4294967295" distL="114300" distR="114300" simplePos="0" relativeHeight="251661312" behindDoc="0" locked="0" layoutInCell="1" allowOverlap="1" wp14:anchorId="2224164D" wp14:editId="5D785945">
                  <wp:simplePos x="0" y="0"/>
                  <wp:positionH relativeFrom="column">
                    <wp:posOffset>-10160</wp:posOffset>
                  </wp:positionH>
                  <wp:positionV relativeFrom="paragraph">
                    <wp:posOffset>-2532381</wp:posOffset>
                  </wp:positionV>
                  <wp:extent cx="6299835" cy="0"/>
                  <wp:effectExtent l="0" t="0" r="0" b="0"/>
                  <wp:wrapNone/>
                  <wp:docPr id="20"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5C4788" id="Connettore 1 1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" strokecolor="white [3212]" strokeweight="1.25pt">
                  <o:lock v:ext="edit" shapetype="f"/>
                </v:line>
              </w:pict>
            </mc:Fallback>
          </mc:AlternateContent>
        </w:r>
        <w:r>
          <w:rPr>
            <w:noProof/>
            <w:sz w:val="28"/>
            <w:szCs w:val="28"/>
          </w:rPr>
          <mc:AlternateContent>
            <mc:Choice Requires="wps">
              <w:drawing>
                <wp:anchor distT="4294967295" distB="4294967295" distL="114300" distR="114300" simplePos="0" relativeHeight="251659264" behindDoc="0" locked="0" layoutInCell="1" allowOverlap="1" wp14:anchorId="6D0588FA" wp14:editId="6AC8A53E">
                  <wp:simplePos x="0" y="0"/>
                  <wp:positionH relativeFrom="column">
                    <wp:posOffset>-10160</wp:posOffset>
                  </wp:positionH>
                  <wp:positionV relativeFrom="paragraph">
                    <wp:posOffset>-127636</wp:posOffset>
                  </wp:positionV>
                  <wp:extent cx="6299835" cy="0"/>
                  <wp:effectExtent l="0" t="0" r="0" b="0"/>
                  <wp:wrapNone/>
                  <wp:docPr id="22"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5009FC" id="Connettore 1 2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" strokecolor="white [3212]" strokeweight="1.25pt">
                  <o:lock v:ext="edit" shapetype="f"/>
                </v:line>
              </w:pict>
            </mc:Fallback>
          </mc:AlternateContent>
        </w:r>
        <w:sdt>
          <w:sdtPr>
            <w:rPr>
              <w:rFonts w:asciiTheme="majorHAnsi" w:eastAsiaTheme="majorEastAsia" w:hAnsiTheme="majorHAnsi" w:cstheme="majorBidi"/>
              <w:highlight w:val="lightGray"/>
            </w:rPr>
            <w:id w:val="-337004847"/>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55168" behindDoc="0" locked="0" layoutInCell="0" allowOverlap="1" wp14:anchorId="49BFE120" wp14:editId="612C5427">
                      <wp:simplePos x="0" y="0"/>
                      <wp:positionH relativeFrom="rightMargin">
                        <wp:posOffset>179070</wp:posOffset>
                      </wp:positionH>
                      <wp:positionV relativeFrom="margin">
                        <wp:posOffset>9758045</wp:posOffset>
                      </wp:positionV>
                      <wp:extent cx="398780" cy="329565"/>
                      <wp:effectExtent l="0" t="0" r="0" b="0"/>
                      <wp:wrapNone/>
                      <wp:docPr id="23"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 cy="329565"/>
                              </a:xfrm>
                              <a:prstGeom prst="rect">
                                <a:avLst/>
                              </a:prstGeom>
                              <a:noFill/>
                            </wps:spPr>
                            <wps:txbx>
                              <w:txbxContent>
                                <w:p w14:paraId="6514026D" w14:textId="0F2C4C1A" w:rsidR="008B5E65" w:rsidRPr="001B745D" w:rsidRDefault="008B5E65" w:rsidP="00CA469E">
                                  <w:pPr>
                                    <w:jc w:val="right"/>
                                    <w:rPr>
                                      <w:rFonts w:cs="Arial"/>
                                      <w:b/>
                                      <w:color w:val="244061" w:themeColor="accent1" w:themeShade="80"/>
                                      <w:sz w:val="20"/>
                                      <w:szCs w:val="20"/>
                                    </w:rPr>
                                  </w:pPr>
                                  <w:r w:rsidRPr="00CA469E">
                                    <w:rPr>
                                      <w:rFonts w:cs="Arial"/>
                                      <w:b/>
                                      <w:color w:val="244061" w:themeColor="accent1" w:themeShade="80"/>
                                      <w:sz w:val="20"/>
                                      <w:szCs w:val="20"/>
                                    </w:rPr>
                                    <w:fldChar w:fldCharType="begin"/>
                                  </w:r>
                                  <w:r w:rsidRPr="00CA469E">
                                    <w:rPr>
                                      <w:rFonts w:cs="Arial"/>
                                      <w:b/>
                                      <w:color w:val="244061" w:themeColor="accent1" w:themeShade="80"/>
                                      <w:sz w:val="20"/>
                                      <w:szCs w:val="20"/>
                                    </w:rPr>
                                    <w:instrText>PAGE   \* MERGEFORMAT</w:instrText>
                                  </w:r>
                                  <w:r w:rsidRPr="00CA469E">
                                    <w:rPr>
                                      <w:rFonts w:cs="Arial"/>
                                      <w:b/>
                                      <w:color w:val="244061" w:themeColor="accent1" w:themeShade="80"/>
                                      <w:sz w:val="20"/>
                                      <w:szCs w:val="20"/>
                                    </w:rPr>
                                    <w:fldChar w:fldCharType="separate"/>
                                  </w:r>
                                  <w:r w:rsidR="00740925">
                                    <w:rPr>
                                      <w:rFonts w:cs="Arial"/>
                                      <w:b/>
                                      <w:noProof/>
                                      <w:color w:val="244061" w:themeColor="accent1" w:themeShade="80"/>
                                      <w:sz w:val="20"/>
                                      <w:szCs w:val="20"/>
                                    </w:rPr>
                                    <w:t>9</w:t>
                                  </w:r>
                                  <w:r w:rsidRPr="00CA469E">
                                    <w:rPr>
                                      <w:rFonts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49BFE120" id="_x0000_s1029" style="position:absolute;margin-left:14.1pt;margin-top:768.35pt;width:31.4pt;height:25.95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" o:allowincell="f" filled="f" stroked="f">
                      <v:textbox>
                        <w:txbxContent>
                          <w:p w14:paraId="6514026D" w14:textId="0F2C4C1A" w:rsidR="008B5E65" w:rsidRPr="001B745D" w:rsidRDefault="008B5E65" w:rsidP="00CA469E">
                            <w:pPr>
                              <w:jc w:val="right"/>
                              <w:rPr>
                                <w:rFonts w:cs="Arial"/>
                                <w:b/>
                                <w:color w:val="244061" w:themeColor="accent1" w:themeShade="80"/>
                                <w:sz w:val="20"/>
                                <w:szCs w:val="20"/>
                              </w:rPr>
                            </w:pPr>
                            <w:r w:rsidRPr="00CA469E">
                              <w:rPr>
                                <w:rFonts w:cs="Arial"/>
                                <w:b/>
                                <w:color w:val="244061" w:themeColor="accent1" w:themeShade="80"/>
                                <w:sz w:val="20"/>
                                <w:szCs w:val="20"/>
                              </w:rPr>
                              <w:fldChar w:fldCharType="begin"/>
                            </w:r>
                            <w:r w:rsidRPr="00CA469E">
                              <w:rPr>
                                <w:rFonts w:cs="Arial"/>
                                <w:b/>
                                <w:color w:val="244061" w:themeColor="accent1" w:themeShade="80"/>
                                <w:sz w:val="20"/>
                                <w:szCs w:val="20"/>
                              </w:rPr>
                              <w:instrText>PAGE   \* MERGEFORMAT</w:instrText>
                            </w:r>
                            <w:r w:rsidRPr="00CA469E">
                              <w:rPr>
                                <w:rFonts w:cs="Arial"/>
                                <w:b/>
                                <w:color w:val="244061" w:themeColor="accent1" w:themeShade="80"/>
                                <w:sz w:val="20"/>
                                <w:szCs w:val="20"/>
                              </w:rPr>
                              <w:fldChar w:fldCharType="separate"/>
                            </w:r>
                            <w:r w:rsidR="00740925">
                              <w:rPr>
                                <w:rFonts w:cs="Arial"/>
                                <w:b/>
                                <w:noProof/>
                                <w:color w:val="244061" w:themeColor="accent1" w:themeShade="80"/>
                                <w:sz w:val="20"/>
                                <w:szCs w:val="20"/>
                              </w:rPr>
                              <w:t>9</w:t>
                            </w:r>
                            <w:r w:rsidRPr="00CA469E">
                              <w:rPr>
                                <w:rFonts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53120" behindDoc="0" locked="0" layoutInCell="1" allowOverlap="1" wp14:anchorId="7CA5399A" wp14:editId="699FB630">
                  <wp:simplePos x="0" y="0"/>
                  <wp:positionH relativeFrom="column">
                    <wp:posOffset>5678170</wp:posOffset>
                  </wp:positionH>
                  <wp:positionV relativeFrom="paragraph">
                    <wp:posOffset>-263525</wp:posOffset>
                  </wp:positionV>
                  <wp:extent cx="1256030" cy="788035"/>
                  <wp:effectExtent l="0" t="0" r="127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sdtContent>
        </w:sdt>
      </w:p>
    </w:sdtContent>
  </w:sdt>
  <w:p w14:paraId="18788DE7" w14:textId="77777777" w:rsidR="008B5E65" w:rsidRDefault="008B5E65" w:rsidP="00842757">
    <w:pPr>
      <w:pStyle w:val="Pidipagina"/>
      <w:tabs>
        <w:tab w:val="clear" w:pos="4819"/>
        <w:tab w:val="clear" w:pos="9638"/>
        <w:tab w:val="left" w:pos="777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E5C5B" w14:textId="77777777" w:rsidR="008B5E65" w:rsidRDefault="008B5E65">
    <w:pPr>
      <w:rPr>
        <w:rFonts w:asciiTheme="majorHAnsi" w:eastAsiaTheme="majorEastAsia" w:hAnsiTheme="majorHAnsi" w:cstheme="majorBidi"/>
      </w:rPr>
    </w:pPr>
    <w:r>
      <w:rPr>
        <w:rFonts w:ascii="Arial Narrow" w:hAnsi="Arial Narrow"/>
        <w:noProof/>
        <w:color w:val="FFFFFF" w:themeColor="background1"/>
      </w:rPr>
      <mc:AlternateContent>
        <mc:Choice Requires="wps">
          <w:drawing>
            <wp:anchor distT="0" distB="0" distL="114300" distR="114300" simplePos="0" relativeHeight="251683328" behindDoc="0" locked="0" layoutInCell="0" allowOverlap="1" wp14:anchorId="76B6AF8D" wp14:editId="5979BB8B">
              <wp:simplePos x="0" y="0"/>
              <wp:positionH relativeFrom="rightMargin">
                <wp:posOffset>236220</wp:posOffset>
              </wp:positionH>
              <wp:positionV relativeFrom="margin">
                <wp:posOffset>9816465</wp:posOffset>
              </wp:positionV>
              <wp:extent cx="398780" cy="329565"/>
              <wp:effectExtent l="0" t="0" r="0" b="0"/>
              <wp:wrapNone/>
              <wp:docPr id="5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 cy="329565"/>
                      </a:xfrm>
                      <a:prstGeom prst="rect">
                        <a:avLst/>
                      </a:prstGeom>
                      <a:noFill/>
                    </wps:spPr>
                    <wps:txbx>
                      <w:txbxContent>
                        <w:p w14:paraId="63B3922B" w14:textId="0BA42B45" w:rsidR="008B5E65" w:rsidRPr="001B745D" w:rsidRDefault="008B5E65" w:rsidP="00ED45A5">
                          <w:pPr>
                            <w:jc w:val="right"/>
                            <w:rPr>
                              <w:rFonts w:cs="Arial"/>
                              <w:b/>
                              <w:color w:val="244061" w:themeColor="accent1" w:themeShade="80"/>
                              <w:sz w:val="20"/>
                              <w:szCs w:val="20"/>
                            </w:rPr>
                          </w:pPr>
                          <w:r w:rsidRPr="00CA469E">
                            <w:rPr>
                              <w:rFonts w:cs="Arial"/>
                              <w:b/>
                              <w:color w:val="244061" w:themeColor="accent1" w:themeShade="80"/>
                              <w:sz w:val="20"/>
                              <w:szCs w:val="20"/>
                            </w:rPr>
                            <w:fldChar w:fldCharType="begin"/>
                          </w:r>
                          <w:r w:rsidRPr="00CA469E">
                            <w:rPr>
                              <w:rFonts w:cs="Arial"/>
                              <w:b/>
                              <w:color w:val="244061" w:themeColor="accent1" w:themeShade="80"/>
                              <w:sz w:val="20"/>
                              <w:szCs w:val="20"/>
                            </w:rPr>
                            <w:instrText>PAGE   \* MERGEFORMAT</w:instrText>
                          </w:r>
                          <w:r w:rsidRPr="00CA469E">
                            <w:rPr>
                              <w:rFonts w:cs="Arial"/>
                              <w:b/>
                              <w:color w:val="244061" w:themeColor="accent1" w:themeShade="80"/>
                              <w:sz w:val="20"/>
                              <w:szCs w:val="20"/>
                            </w:rPr>
                            <w:fldChar w:fldCharType="separate"/>
                          </w:r>
                          <w:r w:rsidR="00740925">
                            <w:rPr>
                              <w:rFonts w:cs="Arial"/>
                              <w:b/>
                              <w:noProof/>
                              <w:color w:val="244061" w:themeColor="accent1" w:themeShade="80"/>
                              <w:sz w:val="20"/>
                              <w:szCs w:val="20"/>
                            </w:rPr>
                            <w:t>12</w:t>
                          </w:r>
                          <w:r w:rsidRPr="00CA469E">
                            <w:rPr>
                              <w:rFonts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6B6AF8D" id="_x0000_s1030" style="position:absolute;margin-left:18.6pt;margin-top:772.95pt;width:31.4pt;height:25.95pt;z-index:251683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" o:allowincell="f" filled="f" stroked="f">
              <v:textbox>
                <w:txbxContent>
                  <w:p w14:paraId="63B3922B" w14:textId="0BA42B45" w:rsidR="008B5E65" w:rsidRPr="001B745D" w:rsidRDefault="008B5E65" w:rsidP="00ED45A5">
                    <w:pPr>
                      <w:jc w:val="right"/>
                      <w:rPr>
                        <w:rFonts w:cs="Arial"/>
                        <w:b/>
                        <w:color w:val="244061" w:themeColor="accent1" w:themeShade="80"/>
                        <w:sz w:val="20"/>
                        <w:szCs w:val="20"/>
                      </w:rPr>
                    </w:pPr>
                    <w:r w:rsidRPr="00CA469E">
                      <w:rPr>
                        <w:rFonts w:cs="Arial"/>
                        <w:b/>
                        <w:color w:val="244061" w:themeColor="accent1" w:themeShade="80"/>
                        <w:sz w:val="20"/>
                        <w:szCs w:val="20"/>
                      </w:rPr>
                      <w:fldChar w:fldCharType="begin"/>
                    </w:r>
                    <w:r w:rsidRPr="00CA469E">
                      <w:rPr>
                        <w:rFonts w:cs="Arial"/>
                        <w:b/>
                        <w:color w:val="244061" w:themeColor="accent1" w:themeShade="80"/>
                        <w:sz w:val="20"/>
                        <w:szCs w:val="20"/>
                      </w:rPr>
                      <w:instrText>PAGE   \* MERGEFORMAT</w:instrText>
                    </w:r>
                    <w:r w:rsidRPr="00CA469E">
                      <w:rPr>
                        <w:rFonts w:cs="Arial"/>
                        <w:b/>
                        <w:color w:val="244061" w:themeColor="accent1" w:themeShade="80"/>
                        <w:sz w:val="20"/>
                        <w:szCs w:val="20"/>
                      </w:rPr>
                      <w:fldChar w:fldCharType="separate"/>
                    </w:r>
                    <w:r w:rsidR="00740925">
                      <w:rPr>
                        <w:rFonts w:cs="Arial"/>
                        <w:b/>
                        <w:noProof/>
                        <w:color w:val="244061" w:themeColor="accent1" w:themeShade="80"/>
                        <w:sz w:val="20"/>
                        <w:szCs w:val="20"/>
                      </w:rPr>
                      <w:t>12</w:t>
                    </w:r>
                    <w:r w:rsidRPr="00CA469E">
                      <w:rPr>
                        <w:rFonts w:cs="Arial"/>
                        <w:b/>
                        <w:color w:val="244061" w:themeColor="accent1" w:themeShade="80"/>
                        <w:sz w:val="20"/>
                        <w:szCs w:val="20"/>
                      </w:rPr>
                      <w:fldChar w:fldCharType="end"/>
                    </w:r>
                  </w:p>
                </w:txbxContent>
              </v:textbox>
              <w10:wrap anchorx="margin" anchory="margin"/>
            </v:rect>
          </w:pict>
        </mc:Fallback>
      </mc:AlternateContent>
    </w:r>
    <w:sdt>
      <w:sdtPr>
        <w:rPr>
          <w:rFonts w:asciiTheme="majorHAnsi" w:eastAsiaTheme="majorEastAsia" w:hAnsiTheme="majorHAnsi" w:cstheme="majorBidi"/>
          <w:highlight w:val="lightGray"/>
        </w:rPr>
        <w:id w:val="-293366158"/>
        <w:docPartObj>
          <w:docPartGallery w:val="Page Numbers (Bottom of Page)"/>
          <w:docPartUnique/>
        </w:docPartObj>
      </w:sdtPr>
      <w:sdtEndPr/>
      <w:sdtContent>
        <w:r>
          <w:rPr>
            <w:noProof/>
            <w:sz w:val="28"/>
            <w:szCs w:val="28"/>
          </w:rPr>
          <mc:AlternateContent>
            <mc:Choice Requires="wps">
              <w:drawing>
                <wp:anchor distT="4294967295" distB="4294967295" distL="114300" distR="114300" simplePos="0" relativeHeight="251653632" behindDoc="0" locked="0" layoutInCell="1" allowOverlap="1" wp14:anchorId="2E1C9F23" wp14:editId="1B11BAD0">
                  <wp:simplePos x="0" y="0"/>
                  <wp:positionH relativeFrom="column">
                    <wp:posOffset>13335</wp:posOffset>
                  </wp:positionH>
                  <wp:positionV relativeFrom="paragraph">
                    <wp:posOffset>-71756</wp:posOffset>
                  </wp:positionV>
                  <wp:extent cx="6299835" cy="0"/>
                  <wp:effectExtent l="0" t="0" r="0" b="0"/>
                  <wp:wrapNone/>
                  <wp:docPr id="45" name="Connettore 1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7641EF" id="Connettore 1 4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5.65pt" to="49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" strokecolor="white [3212]" strokeweight="1.25pt">
                  <o:lock v:ext="edit" shapetype="f"/>
                </v:line>
              </w:pict>
            </mc:Fallback>
          </mc:AlternateContent>
        </w:r>
        <w:r>
          <w:rPr>
            <w:noProof/>
            <w:sz w:val="28"/>
            <w:szCs w:val="28"/>
          </w:rPr>
          <mc:AlternateContent>
            <mc:Choice Requires="wps">
              <w:drawing>
                <wp:anchor distT="4294967295" distB="4294967295" distL="114300" distR="114300" simplePos="0" relativeHeight="251652608" behindDoc="0" locked="0" layoutInCell="1" allowOverlap="1" wp14:anchorId="123880C7" wp14:editId="1CB10326">
                  <wp:simplePos x="0" y="0"/>
                  <wp:positionH relativeFrom="column">
                    <wp:posOffset>13970</wp:posOffset>
                  </wp:positionH>
                  <wp:positionV relativeFrom="paragraph">
                    <wp:posOffset>-2493646</wp:posOffset>
                  </wp:positionV>
                  <wp:extent cx="6299835" cy="0"/>
                  <wp:effectExtent l="0" t="0" r="0" b="0"/>
                  <wp:wrapNone/>
                  <wp:docPr id="46" name="Connettore 1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68A882" id="Connettore 1 46"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pt,-196.35pt" to="497.15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" strokecolor="white [3212]" strokeweight="1.25pt">
                  <o:lock v:ext="edit" shapetype="f"/>
                </v:line>
              </w:pict>
            </mc:Fallback>
          </mc:AlternateContent>
        </w:r>
        <w:sdt>
          <w:sdtPr>
            <w:rPr>
              <w:rFonts w:asciiTheme="majorHAnsi" w:eastAsiaTheme="majorEastAsia" w:hAnsiTheme="majorHAnsi" w:cstheme="majorBidi"/>
              <w:highlight w:val="lightGray"/>
            </w:rPr>
            <w:id w:val="-106426946"/>
            <w:docPartObj>
              <w:docPartGallery w:val="Page Numbers (Margins)"/>
              <w:docPartUnique/>
            </w:docPartObj>
          </w:sdtPr>
          <w:sdtEndPr/>
          <w:sdtContent>
            <w:r>
              <w:rPr>
                <w:noProof/>
              </w:rPr>
              <w:drawing>
                <wp:anchor distT="0" distB="0" distL="114300" distR="114300" simplePos="0" relativeHeight="251651584" behindDoc="0" locked="0" layoutInCell="1" allowOverlap="1" wp14:anchorId="4DD28CC4" wp14:editId="216F0B61">
                  <wp:simplePos x="0" y="0"/>
                  <wp:positionH relativeFrom="column">
                    <wp:posOffset>5678170</wp:posOffset>
                  </wp:positionH>
                  <wp:positionV relativeFrom="paragraph">
                    <wp:posOffset>-263525</wp:posOffset>
                  </wp:positionV>
                  <wp:extent cx="1256030" cy="788035"/>
                  <wp:effectExtent l="0" t="0" r="1270"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sdtContent>
        </w:sdt>
      </w:sdtContent>
    </w:sdt>
  </w:p>
  <w:p w14:paraId="00EA0886" w14:textId="77777777" w:rsidR="008B5E65" w:rsidRDefault="008B5E65" w:rsidP="00842757">
    <w:pPr>
      <w:pStyle w:val="Pidipagina"/>
      <w:tabs>
        <w:tab w:val="clear" w:pos="4819"/>
        <w:tab w:val="clear" w:pos="9638"/>
        <w:tab w:val="left" w:pos="777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E69B7" w14:textId="77777777" w:rsidR="00204136" w:rsidRDefault="00204136">
      <w:r>
        <w:separator/>
      </w:r>
    </w:p>
  </w:footnote>
  <w:footnote w:type="continuationSeparator" w:id="0">
    <w:p w14:paraId="2A2790E0" w14:textId="77777777" w:rsidR="00204136" w:rsidRDefault="00204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2663A" w14:textId="77777777" w:rsidR="008B5E65" w:rsidRPr="007D0BF5" w:rsidRDefault="008B5E65" w:rsidP="00E71BA0">
    <w:pPr>
      <w:pStyle w:val="Intestazione"/>
      <w:tabs>
        <w:tab w:val="clear" w:pos="4819"/>
        <w:tab w:val="clear" w:pos="9638"/>
        <w:tab w:val="left" w:pos="5959"/>
      </w:tabs>
    </w:pPr>
    <w:r>
      <w:rPr>
        <w:noProof/>
      </w:rPr>
      <mc:AlternateContent>
        <mc:Choice Requires="wps">
          <w:drawing>
            <wp:anchor distT="0" distB="0" distL="114300" distR="114300" simplePos="0" relativeHeight="251690496" behindDoc="0" locked="0" layoutInCell="1" allowOverlap="1" wp14:anchorId="01BE020C" wp14:editId="71613C3B">
              <wp:simplePos x="0" y="0"/>
              <wp:positionH relativeFrom="page">
                <wp:posOffset>5934710</wp:posOffset>
              </wp:positionH>
              <wp:positionV relativeFrom="paragraph">
                <wp:posOffset>0</wp:posOffset>
              </wp:positionV>
              <wp:extent cx="1625600" cy="396240"/>
              <wp:effectExtent l="0" t="0" r="0" b="381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5600" cy="396240"/>
                      </a:xfrm>
                      <a:prstGeom prst="rect">
                        <a:avLst/>
                      </a:prstGeom>
                      <a:solidFill>
                        <a:schemeClr val="tx2"/>
                      </a:solidFill>
                      <a:ln>
                        <a:noFill/>
                      </a:ln>
                    </wps:spPr>
                    <wps:txbx>
                      <w:txbxContent>
                        <w:p w14:paraId="3289D60C" w14:textId="760EC139" w:rsidR="008B5E65" w:rsidRPr="00690C34" w:rsidRDefault="008B5E65" w:rsidP="002502FB">
                          <w:pPr>
                            <w:autoSpaceDE w:val="0"/>
                            <w:autoSpaceDN w:val="0"/>
                            <w:adjustRightInd w:val="0"/>
                            <w:spacing w:before="60"/>
                            <w:jc w:val="center"/>
                            <w:rPr>
                              <w:rFonts w:ascii="Arial Narrow" w:hAnsi="Arial Narrow" w:cs="Arial"/>
                              <w:b/>
                              <w:bCs/>
                              <w:color w:val="FFFFFF" w:themeColor="background1"/>
                              <w:sz w:val="26"/>
                              <w:szCs w:val="26"/>
                            </w:rPr>
                          </w:pPr>
                          <w:r w:rsidRPr="002C54CF">
                            <w:rPr>
                              <w:rFonts w:ascii="Arial Narrow" w:hAnsi="Arial Narrow" w:cs="Arial"/>
                              <w:b/>
                              <w:bCs/>
                              <w:color w:val="FFFFFF" w:themeColor="background1"/>
                              <w:sz w:val="26"/>
                              <w:szCs w:val="26"/>
                            </w:rPr>
                            <w:t>6</w:t>
                          </w:r>
                          <w:r>
                            <w:rPr>
                              <w:rFonts w:ascii="Arial Narrow" w:hAnsi="Arial Narrow" w:cs="Arial"/>
                              <w:b/>
                              <w:bCs/>
                              <w:color w:val="FFFFFF" w:themeColor="background1"/>
                              <w:sz w:val="26"/>
                              <w:szCs w:val="26"/>
                            </w:rPr>
                            <w:t xml:space="preserve"> aprile</w:t>
                          </w:r>
                          <w:r w:rsidRPr="00123E17">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21</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020C" id="_x0000_t202" coordsize="21600,21600" o:spt="202" path="m,l,21600r21600,l21600,xe">
              <v:stroke joinstyle="miter"/>
              <v:path gradientshapeok="t" o:connecttype="rect"/>
            </v:shapetype>
            <v:shape id="Text Box 2" o:spid="_x0000_s1026" type="#_x0000_t202" style="position:absolute;left:0;text-align:left;margin-left:467.3pt;margin-top:0;width:128pt;height:31.2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" fillcolor="#1f497d [3215]" stroked="f">
              <v:textbox inset="1.5mm,,1.5mm">
                <w:txbxContent>
                  <w:p w14:paraId="3289D60C" w14:textId="760EC139" w:rsidR="008B5E65" w:rsidRPr="00690C34" w:rsidRDefault="008B5E65" w:rsidP="002502FB">
                    <w:pPr>
                      <w:autoSpaceDE w:val="0"/>
                      <w:autoSpaceDN w:val="0"/>
                      <w:adjustRightInd w:val="0"/>
                      <w:spacing w:before="60"/>
                      <w:jc w:val="center"/>
                      <w:rPr>
                        <w:rFonts w:ascii="Arial Narrow" w:hAnsi="Arial Narrow" w:cs="Arial"/>
                        <w:b/>
                        <w:bCs/>
                        <w:color w:val="FFFFFF" w:themeColor="background1"/>
                        <w:sz w:val="26"/>
                        <w:szCs w:val="26"/>
                      </w:rPr>
                    </w:pPr>
                    <w:r w:rsidRPr="002C54CF">
                      <w:rPr>
                        <w:rFonts w:ascii="Arial Narrow" w:hAnsi="Arial Narrow" w:cs="Arial"/>
                        <w:b/>
                        <w:bCs/>
                        <w:color w:val="FFFFFF" w:themeColor="background1"/>
                        <w:sz w:val="26"/>
                        <w:szCs w:val="26"/>
                      </w:rPr>
                      <w:t>6</w:t>
                    </w:r>
                    <w:r>
                      <w:rPr>
                        <w:rFonts w:ascii="Arial Narrow" w:hAnsi="Arial Narrow" w:cs="Arial"/>
                        <w:b/>
                        <w:bCs/>
                        <w:color w:val="FFFFFF" w:themeColor="background1"/>
                        <w:sz w:val="26"/>
                        <w:szCs w:val="26"/>
                      </w:rPr>
                      <w:t xml:space="preserve"> aprile</w:t>
                    </w:r>
                    <w:r w:rsidRPr="00123E17">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21</w:t>
                    </w:r>
                  </w:p>
                </w:txbxContent>
              </v:textbox>
              <w10:wrap anchorx="page"/>
            </v:shape>
          </w:pict>
        </mc:Fallback>
      </mc:AlternateContent>
    </w:r>
    <w:r>
      <w:rPr>
        <w:noProof/>
      </w:rPr>
      <w:drawing>
        <wp:anchor distT="0" distB="0" distL="114300" distR="114300" simplePos="0" relativeHeight="251685376" behindDoc="0" locked="0" layoutInCell="1" allowOverlap="1" wp14:anchorId="3A509447" wp14:editId="4055477A">
          <wp:simplePos x="0" y="0"/>
          <wp:positionH relativeFrom="page">
            <wp:posOffset>0</wp:posOffset>
          </wp:positionH>
          <wp:positionV relativeFrom="paragraph">
            <wp:posOffset>19050</wp:posOffset>
          </wp:positionV>
          <wp:extent cx="7561580" cy="1644650"/>
          <wp:effectExtent l="0" t="0" r="127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6446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8B5E65" w:rsidRPr="00DD6CCE" w14:paraId="7D6DC405" w14:textId="77777777" w:rsidTr="001226C7">
      <w:trPr>
        <w:trHeight w:hRule="exact" w:val="567"/>
      </w:trPr>
      <w:tc>
        <w:tcPr>
          <w:tcW w:w="9323" w:type="dxa"/>
          <w:shd w:val="clear" w:color="auto" w:fill="1F497D" w:themeFill="text2"/>
          <w:vAlign w:val="center"/>
        </w:tcPr>
        <w:p w14:paraId="409D6031" w14:textId="77777777" w:rsidR="008B5E65" w:rsidRPr="00D10E92" w:rsidRDefault="008B5E65" w:rsidP="0084284D">
          <w:pPr>
            <w:pStyle w:val="Intestazione"/>
            <w:spacing w:before="120"/>
            <w:ind w:left="567"/>
            <w:jc w:val="left"/>
            <w:rPr>
              <w:rFonts w:ascii="Arial Narrow" w:hAnsi="Arial Narrow"/>
              <w:color w:val="FFFFFF" w:themeColor="background1"/>
              <w:sz w:val="24"/>
            </w:rPr>
          </w:pPr>
          <w:r>
            <w:rPr>
              <w:rFonts w:ascii="Arial Narrow" w:hAnsi="Arial Narrow"/>
              <w:color w:val="FFFFFF" w:themeColor="background1"/>
              <w:sz w:val="24"/>
            </w:rPr>
            <w:t>COLTIVAZIONI AGRICOLE</w:t>
          </w:r>
        </w:p>
      </w:tc>
      <w:tc>
        <w:tcPr>
          <w:tcW w:w="3016" w:type="dxa"/>
          <w:shd w:val="clear" w:color="auto" w:fill="1F497D" w:themeFill="text2"/>
          <w:vAlign w:val="center"/>
        </w:tcPr>
        <w:p w14:paraId="708019E1" w14:textId="77777777" w:rsidR="008B5E65" w:rsidRPr="00DD6CCE" w:rsidRDefault="008B5E65" w:rsidP="0084284D">
          <w:pPr>
            <w:pStyle w:val="Intestazione"/>
            <w:tabs>
              <w:tab w:val="left" w:pos="2160"/>
            </w:tabs>
            <w:ind w:left="284" w:hanging="100"/>
            <w:jc w:val="left"/>
            <w:rPr>
              <w:color w:val="FFFFFF" w:themeColor="background1"/>
            </w:rPr>
          </w:pPr>
          <w:r w:rsidRPr="007C52AC">
            <w:rPr>
              <w:noProof/>
              <w:color w:val="FFFFFF" w:themeColor="background1"/>
            </w:rPr>
            <w:drawing>
              <wp:anchor distT="0" distB="0" distL="114300" distR="114300" simplePos="0" relativeHeight="251692544" behindDoc="0" locked="0" layoutInCell="1" allowOverlap="1" wp14:anchorId="7705FA9C" wp14:editId="3B6C2A2F">
                <wp:simplePos x="0" y="0"/>
                <wp:positionH relativeFrom="column">
                  <wp:posOffset>598805</wp:posOffset>
                </wp:positionH>
                <wp:positionV relativeFrom="paragraph">
                  <wp:posOffset>-1905</wp:posOffset>
                </wp:positionV>
                <wp:extent cx="695325" cy="198120"/>
                <wp:effectExtent l="0" t="0" r="952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14:paraId="522B00E4" w14:textId="6C1D71A3" w:rsidR="008B5E65" w:rsidRPr="0084284D" w:rsidRDefault="008B5E65" w:rsidP="0084284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149CA"/>
    <w:multiLevelType w:val="hybridMultilevel"/>
    <w:tmpl w:val="15C45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FC5026"/>
    <w:multiLevelType w:val="hybridMultilevel"/>
    <w:tmpl w:val="4434F592"/>
    <w:lvl w:ilvl="0" w:tplc="94562E1A">
      <w:start w:val="1"/>
      <w:numFmt w:val="bullet"/>
      <w:lvlText w:val="-"/>
      <w:lvlJc w:val="left"/>
      <w:pPr>
        <w:ind w:left="958" w:hanging="360"/>
      </w:pPr>
      <w:rPr>
        <w:rFonts w:ascii="Times New Roman" w:hAnsi="Times New Roman" w:hint="default"/>
      </w:rPr>
    </w:lvl>
    <w:lvl w:ilvl="1" w:tplc="930C9AFE">
      <w:numFmt w:val="bullet"/>
      <w:lvlText w:val=""/>
      <w:lvlJc w:val="left"/>
      <w:pPr>
        <w:ind w:left="1678" w:hanging="360"/>
      </w:pPr>
      <w:rPr>
        <w:rFonts w:ascii="Wingdings" w:eastAsia="Times New Roman" w:hAnsi="Wingdings" w:cs="Arial"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 w15:restartNumberingAfterBreak="0">
    <w:nsid w:val="207D0310"/>
    <w:multiLevelType w:val="hybridMultilevel"/>
    <w:tmpl w:val="6BBEF3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6365DB"/>
    <w:multiLevelType w:val="hybridMultilevel"/>
    <w:tmpl w:val="D834F9B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0E6FB4"/>
    <w:multiLevelType w:val="hybridMultilevel"/>
    <w:tmpl w:val="404068B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FE916C4"/>
    <w:multiLevelType w:val="hybridMultilevel"/>
    <w:tmpl w:val="9C06F7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7A46E7F"/>
    <w:multiLevelType w:val="hybridMultilevel"/>
    <w:tmpl w:val="F99EC68E"/>
    <w:lvl w:ilvl="0" w:tplc="60065FE2">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57F92177"/>
    <w:multiLevelType w:val="hybridMultilevel"/>
    <w:tmpl w:val="F9ACC3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75A21C1"/>
    <w:multiLevelType w:val="hybridMultilevel"/>
    <w:tmpl w:val="3BBAD1D2"/>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0443C43"/>
    <w:multiLevelType w:val="hybridMultilevel"/>
    <w:tmpl w:val="164837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568712C"/>
    <w:multiLevelType w:val="hybridMultilevel"/>
    <w:tmpl w:val="776AB312"/>
    <w:lvl w:ilvl="0" w:tplc="C668FF8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A82201E"/>
    <w:multiLevelType w:val="hybridMultilevel"/>
    <w:tmpl w:val="D2D4B82C"/>
    <w:lvl w:ilvl="0" w:tplc="11F427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E4021B8"/>
    <w:multiLevelType w:val="hybridMultilevel"/>
    <w:tmpl w:val="AEE40A7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1"/>
  </w:num>
  <w:num w:numId="3">
    <w:abstractNumId w:val="11"/>
  </w:num>
  <w:num w:numId="4">
    <w:abstractNumId w:val="0"/>
  </w:num>
  <w:num w:numId="5">
    <w:abstractNumId w:val="10"/>
  </w:num>
  <w:num w:numId="6">
    <w:abstractNumId w:val="7"/>
  </w:num>
  <w:num w:numId="7">
    <w:abstractNumId w:val="8"/>
  </w:num>
  <w:num w:numId="8">
    <w:abstractNumId w:val="4"/>
  </w:num>
  <w:num w:numId="9">
    <w:abstractNumId w:val="2"/>
  </w:num>
  <w:num w:numId="10">
    <w:abstractNumId w:val="9"/>
  </w:num>
  <w:num w:numId="11">
    <w:abstractNumId w:val="1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FF"/>
    <w:rsid w:val="00000DE6"/>
    <w:rsid w:val="00001461"/>
    <w:rsid w:val="00001763"/>
    <w:rsid w:val="000020C7"/>
    <w:rsid w:val="00002177"/>
    <w:rsid w:val="0000396F"/>
    <w:rsid w:val="000042EB"/>
    <w:rsid w:val="00006D10"/>
    <w:rsid w:val="00007066"/>
    <w:rsid w:val="000075FC"/>
    <w:rsid w:val="0000784B"/>
    <w:rsid w:val="00007F49"/>
    <w:rsid w:val="00010170"/>
    <w:rsid w:val="00011037"/>
    <w:rsid w:val="0001212E"/>
    <w:rsid w:val="0001231E"/>
    <w:rsid w:val="00014F90"/>
    <w:rsid w:val="00015425"/>
    <w:rsid w:val="0001542B"/>
    <w:rsid w:val="0001544F"/>
    <w:rsid w:val="00016F4D"/>
    <w:rsid w:val="0001738B"/>
    <w:rsid w:val="00020171"/>
    <w:rsid w:val="00020A45"/>
    <w:rsid w:val="00022348"/>
    <w:rsid w:val="0002322A"/>
    <w:rsid w:val="00023B4F"/>
    <w:rsid w:val="0002428F"/>
    <w:rsid w:val="00024C2C"/>
    <w:rsid w:val="0002505D"/>
    <w:rsid w:val="000251CB"/>
    <w:rsid w:val="000253FE"/>
    <w:rsid w:val="00030A6A"/>
    <w:rsid w:val="00030C28"/>
    <w:rsid w:val="00030D17"/>
    <w:rsid w:val="00031099"/>
    <w:rsid w:val="00031115"/>
    <w:rsid w:val="00031473"/>
    <w:rsid w:val="0003264F"/>
    <w:rsid w:val="0003298F"/>
    <w:rsid w:val="00033345"/>
    <w:rsid w:val="000337D1"/>
    <w:rsid w:val="00033D99"/>
    <w:rsid w:val="00033F2B"/>
    <w:rsid w:val="000343A2"/>
    <w:rsid w:val="00034801"/>
    <w:rsid w:val="00034C4F"/>
    <w:rsid w:val="00034F0E"/>
    <w:rsid w:val="00034F32"/>
    <w:rsid w:val="00035516"/>
    <w:rsid w:val="00036154"/>
    <w:rsid w:val="00036D6E"/>
    <w:rsid w:val="00040935"/>
    <w:rsid w:val="0004131D"/>
    <w:rsid w:val="00041DC5"/>
    <w:rsid w:val="000425AA"/>
    <w:rsid w:val="000426E7"/>
    <w:rsid w:val="0004294A"/>
    <w:rsid w:val="00043696"/>
    <w:rsid w:val="000444BF"/>
    <w:rsid w:val="00044BA7"/>
    <w:rsid w:val="0004526F"/>
    <w:rsid w:val="00045472"/>
    <w:rsid w:val="000463B5"/>
    <w:rsid w:val="000467F2"/>
    <w:rsid w:val="00047479"/>
    <w:rsid w:val="0004769F"/>
    <w:rsid w:val="000476DC"/>
    <w:rsid w:val="00047A1F"/>
    <w:rsid w:val="000507CF"/>
    <w:rsid w:val="0005116B"/>
    <w:rsid w:val="0005356B"/>
    <w:rsid w:val="000541C4"/>
    <w:rsid w:val="000541EC"/>
    <w:rsid w:val="0005451A"/>
    <w:rsid w:val="00054AE7"/>
    <w:rsid w:val="00055029"/>
    <w:rsid w:val="00055DF8"/>
    <w:rsid w:val="0005680D"/>
    <w:rsid w:val="00057EFB"/>
    <w:rsid w:val="0006002C"/>
    <w:rsid w:val="00061C03"/>
    <w:rsid w:val="000621F9"/>
    <w:rsid w:val="00062A73"/>
    <w:rsid w:val="0006300D"/>
    <w:rsid w:val="00063871"/>
    <w:rsid w:val="00064102"/>
    <w:rsid w:val="00064802"/>
    <w:rsid w:val="000665DC"/>
    <w:rsid w:val="00066764"/>
    <w:rsid w:val="00066F5C"/>
    <w:rsid w:val="000679B2"/>
    <w:rsid w:val="0007093C"/>
    <w:rsid w:val="00070FF7"/>
    <w:rsid w:val="000717CD"/>
    <w:rsid w:val="0007183B"/>
    <w:rsid w:val="000718B8"/>
    <w:rsid w:val="00071F99"/>
    <w:rsid w:val="0007220C"/>
    <w:rsid w:val="00072EE8"/>
    <w:rsid w:val="0007346F"/>
    <w:rsid w:val="000737C5"/>
    <w:rsid w:val="00074145"/>
    <w:rsid w:val="00074A2D"/>
    <w:rsid w:val="00075049"/>
    <w:rsid w:val="00076B04"/>
    <w:rsid w:val="00077332"/>
    <w:rsid w:val="00077880"/>
    <w:rsid w:val="00077F75"/>
    <w:rsid w:val="00080193"/>
    <w:rsid w:val="00081681"/>
    <w:rsid w:val="000824CF"/>
    <w:rsid w:val="00082F25"/>
    <w:rsid w:val="00082F7D"/>
    <w:rsid w:val="00082F91"/>
    <w:rsid w:val="00083EA8"/>
    <w:rsid w:val="0008427D"/>
    <w:rsid w:val="000843B1"/>
    <w:rsid w:val="00084B71"/>
    <w:rsid w:val="00084EC5"/>
    <w:rsid w:val="0008573D"/>
    <w:rsid w:val="00085D39"/>
    <w:rsid w:val="000860AB"/>
    <w:rsid w:val="000861C4"/>
    <w:rsid w:val="0008701E"/>
    <w:rsid w:val="00087F2B"/>
    <w:rsid w:val="000925B5"/>
    <w:rsid w:val="00092BB0"/>
    <w:rsid w:val="00093D34"/>
    <w:rsid w:val="000940FB"/>
    <w:rsid w:val="0009519B"/>
    <w:rsid w:val="00095707"/>
    <w:rsid w:val="00095BE3"/>
    <w:rsid w:val="00096098"/>
    <w:rsid w:val="00097334"/>
    <w:rsid w:val="000A0304"/>
    <w:rsid w:val="000A1A44"/>
    <w:rsid w:val="000A2B36"/>
    <w:rsid w:val="000A2CE3"/>
    <w:rsid w:val="000A35DD"/>
    <w:rsid w:val="000A3DA6"/>
    <w:rsid w:val="000A4F3E"/>
    <w:rsid w:val="000A5962"/>
    <w:rsid w:val="000A5AF7"/>
    <w:rsid w:val="000A729E"/>
    <w:rsid w:val="000B0188"/>
    <w:rsid w:val="000B24E0"/>
    <w:rsid w:val="000B2771"/>
    <w:rsid w:val="000B2834"/>
    <w:rsid w:val="000B33BB"/>
    <w:rsid w:val="000B4257"/>
    <w:rsid w:val="000B4826"/>
    <w:rsid w:val="000B492C"/>
    <w:rsid w:val="000B5435"/>
    <w:rsid w:val="000B54EA"/>
    <w:rsid w:val="000B5CF0"/>
    <w:rsid w:val="000B5CFA"/>
    <w:rsid w:val="000B5F30"/>
    <w:rsid w:val="000B5F37"/>
    <w:rsid w:val="000B6060"/>
    <w:rsid w:val="000B616D"/>
    <w:rsid w:val="000B68CB"/>
    <w:rsid w:val="000B6E6E"/>
    <w:rsid w:val="000B78AF"/>
    <w:rsid w:val="000C0E96"/>
    <w:rsid w:val="000C23C8"/>
    <w:rsid w:val="000C24A9"/>
    <w:rsid w:val="000C2AF7"/>
    <w:rsid w:val="000C397D"/>
    <w:rsid w:val="000C3ACA"/>
    <w:rsid w:val="000C5D95"/>
    <w:rsid w:val="000C5DC0"/>
    <w:rsid w:val="000C606D"/>
    <w:rsid w:val="000C683D"/>
    <w:rsid w:val="000C6D3F"/>
    <w:rsid w:val="000C6FA6"/>
    <w:rsid w:val="000C759B"/>
    <w:rsid w:val="000C7AF6"/>
    <w:rsid w:val="000C7E7F"/>
    <w:rsid w:val="000D0051"/>
    <w:rsid w:val="000D01FA"/>
    <w:rsid w:val="000D1FF1"/>
    <w:rsid w:val="000D20C3"/>
    <w:rsid w:val="000D28B3"/>
    <w:rsid w:val="000D31ED"/>
    <w:rsid w:val="000D3343"/>
    <w:rsid w:val="000D3BE3"/>
    <w:rsid w:val="000D4700"/>
    <w:rsid w:val="000D49B6"/>
    <w:rsid w:val="000D5E76"/>
    <w:rsid w:val="000D61A6"/>
    <w:rsid w:val="000D758D"/>
    <w:rsid w:val="000E01E0"/>
    <w:rsid w:val="000E0F08"/>
    <w:rsid w:val="000E146B"/>
    <w:rsid w:val="000E1928"/>
    <w:rsid w:val="000E1A07"/>
    <w:rsid w:val="000E2017"/>
    <w:rsid w:val="000E2097"/>
    <w:rsid w:val="000E2126"/>
    <w:rsid w:val="000E28C7"/>
    <w:rsid w:val="000E2C69"/>
    <w:rsid w:val="000E2C96"/>
    <w:rsid w:val="000E3177"/>
    <w:rsid w:val="000E4C5D"/>
    <w:rsid w:val="000E5E13"/>
    <w:rsid w:val="000E64D7"/>
    <w:rsid w:val="000E71E4"/>
    <w:rsid w:val="000F080C"/>
    <w:rsid w:val="000F0DE8"/>
    <w:rsid w:val="000F2103"/>
    <w:rsid w:val="000F3635"/>
    <w:rsid w:val="000F3EE9"/>
    <w:rsid w:val="000F440B"/>
    <w:rsid w:val="000F56AC"/>
    <w:rsid w:val="000F56B4"/>
    <w:rsid w:val="000F5E14"/>
    <w:rsid w:val="000F5F7E"/>
    <w:rsid w:val="000F61BC"/>
    <w:rsid w:val="000F6BD7"/>
    <w:rsid w:val="000F6D28"/>
    <w:rsid w:val="000F73C6"/>
    <w:rsid w:val="000F7425"/>
    <w:rsid w:val="00100BB8"/>
    <w:rsid w:val="00101859"/>
    <w:rsid w:val="00101A70"/>
    <w:rsid w:val="00101EBD"/>
    <w:rsid w:val="00102064"/>
    <w:rsid w:val="00102103"/>
    <w:rsid w:val="00102185"/>
    <w:rsid w:val="00102284"/>
    <w:rsid w:val="001035E3"/>
    <w:rsid w:val="001038B2"/>
    <w:rsid w:val="001042B2"/>
    <w:rsid w:val="00104474"/>
    <w:rsid w:val="00104E17"/>
    <w:rsid w:val="001051FB"/>
    <w:rsid w:val="001057D5"/>
    <w:rsid w:val="00105931"/>
    <w:rsid w:val="001059FA"/>
    <w:rsid w:val="00105BE6"/>
    <w:rsid w:val="00110B07"/>
    <w:rsid w:val="00111A23"/>
    <w:rsid w:val="00111DB1"/>
    <w:rsid w:val="00112B06"/>
    <w:rsid w:val="00112BC7"/>
    <w:rsid w:val="00112D0D"/>
    <w:rsid w:val="00112D4E"/>
    <w:rsid w:val="00112DB1"/>
    <w:rsid w:val="00113587"/>
    <w:rsid w:val="00114E2F"/>
    <w:rsid w:val="00116D8B"/>
    <w:rsid w:val="001178D5"/>
    <w:rsid w:val="00117C9A"/>
    <w:rsid w:val="00117FE2"/>
    <w:rsid w:val="001226C7"/>
    <w:rsid w:val="0012282C"/>
    <w:rsid w:val="00123033"/>
    <w:rsid w:val="0012394C"/>
    <w:rsid w:val="00123E17"/>
    <w:rsid w:val="00124010"/>
    <w:rsid w:val="00125D7B"/>
    <w:rsid w:val="001266B6"/>
    <w:rsid w:val="001268E9"/>
    <w:rsid w:val="001269E4"/>
    <w:rsid w:val="001270B9"/>
    <w:rsid w:val="00127A7C"/>
    <w:rsid w:val="001300A4"/>
    <w:rsid w:val="00131166"/>
    <w:rsid w:val="001319EC"/>
    <w:rsid w:val="00131B50"/>
    <w:rsid w:val="00133310"/>
    <w:rsid w:val="001346FD"/>
    <w:rsid w:val="001349F8"/>
    <w:rsid w:val="00134F6A"/>
    <w:rsid w:val="001350C3"/>
    <w:rsid w:val="00135378"/>
    <w:rsid w:val="00135B50"/>
    <w:rsid w:val="00136280"/>
    <w:rsid w:val="001365DB"/>
    <w:rsid w:val="001365F6"/>
    <w:rsid w:val="00136A09"/>
    <w:rsid w:val="0013761F"/>
    <w:rsid w:val="00137C1A"/>
    <w:rsid w:val="001401AD"/>
    <w:rsid w:val="00140E78"/>
    <w:rsid w:val="00142AC2"/>
    <w:rsid w:val="0014327D"/>
    <w:rsid w:val="0014340B"/>
    <w:rsid w:val="00147026"/>
    <w:rsid w:val="001471E6"/>
    <w:rsid w:val="00147FF3"/>
    <w:rsid w:val="001512E9"/>
    <w:rsid w:val="001517D8"/>
    <w:rsid w:val="00151933"/>
    <w:rsid w:val="00151F4F"/>
    <w:rsid w:val="001523E8"/>
    <w:rsid w:val="00152578"/>
    <w:rsid w:val="00152C53"/>
    <w:rsid w:val="00153311"/>
    <w:rsid w:val="0015441B"/>
    <w:rsid w:val="001546EA"/>
    <w:rsid w:val="00154931"/>
    <w:rsid w:val="00156870"/>
    <w:rsid w:val="001569C5"/>
    <w:rsid w:val="00157219"/>
    <w:rsid w:val="001579AE"/>
    <w:rsid w:val="00157F5E"/>
    <w:rsid w:val="00161868"/>
    <w:rsid w:val="00161A02"/>
    <w:rsid w:val="0016219D"/>
    <w:rsid w:val="0016359C"/>
    <w:rsid w:val="00163CE2"/>
    <w:rsid w:val="001661BE"/>
    <w:rsid w:val="001663CB"/>
    <w:rsid w:val="00166566"/>
    <w:rsid w:val="00167170"/>
    <w:rsid w:val="00167D58"/>
    <w:rsid w:val="001704C1"/>
    <w:rsid w:val="00170C4A"/>
    <w:rsid w:val="00171120"/>
    <w:rsid w:val="00171303"/>
    <w:rsid w:val="00171977"/>
    <w:rsid w:val="001727AF"/>
    <w:rsid w:val="00173008"/>
    <w:rsid w:val="0017335E"/>
    <w:rsid w:val="00173CD3"/>
    <w:rsid w:val="0017434D"/>
    <w:rsid w:val="00174ED8"/>
    <w:rsid w:val="00174FE1"/>
    <w:rsid w:val="001754E7"/>
    <w:rsid w:val="001757D8"/>
    <w:rsid w:val="00176BA1"/>
    <w:rsid w:val="00176D20"/>
    <w:rsid w:val="0018019C"/>
    <w:rsid w:val="00180E98"/>
    <w:rsid w:val="00181074"/>
    <w:rsid w:val="00181263"/>
    <w:rsid w:val="001815CC"/>
    <w:rsid w:val="00181C60"/>
    <w:rsid w:val="001826FE"/>
    <w:rsid w:val="00182894"/>
    <w:rsid w:val="00187341"/>
    <w:rsid w:val="00190006"/>
    <w:rsid w:val="00190158"/>
    <w:rsid w:val="00190B3C"/>
    <w:rsid w:val="00191477"/>
    <w:rsid w:val="001917F1"/>
    <w:rsid w:val="00191EA1"/>
    <w:rsid w:val="00192A8C"/>
    <w:rsid w:val="00193A8D"/>
    <w:rsid w:val="00194F41"/>
    <w:rsid w:val="00195299"/>
    <w:rsid w:val="00195481"/>
    <w:rsid w:val="0019565F"/>
    <w:rsid w:val="001958B2"/>
    <w:rsid w:val="0019616E"/>
    <w:rsid w:val="0019745C"/>
    <w:rsid w:val="00197D76"/>
    <w:rsid w:val="001A0217"/>
    <w:rsid w:val="001A10C1"/>
    <w:rsid w:val="001A1346"/>
    <w:rsid w:val="001A29C8"/>
    <w:rsid w:val="001A46E9"/>
    <w:rsid w:val="001A4C6D"/>
    <w:rsid w:val="001A4FD8"/>
    <w:rsid w:val="001A56D8"/>
    <w:rsid w:val="001A611B"/>
    <w:rsid w:val="001A6218"/>
    <w:rsid w:val="001A62B0"/>
    <w:rsid w:val="001A62B5"/>
    <w:rsid w:val="001A7CAF"/>
    <w:rsid w:val="001A7F1A"/>
    <w:rsid w:val="001B1937"/>
    <w:rsid w:val="001B41C2"/>
    <w:rsid w:val="001B4D79"/>
    <w:rsid w:val="001B64E1"/>
    <w:rsid w:val="001B743D"/>
    <w:rsid w:val="001B745D"/>
    <w:rsid w:val="001B76E6"/>
    <w:rsid w:val="001C0092"/>
    <w:rsid w:val="001C0BF3"/>
    <w:rsid w:val="001C333E"/>
    <w:rsid w:val="001C3445"/>
    <w:rsid w:val="001C3E12"/>
    <w:rsid w:val="001C453C"/>
    <w:rsid w:val="001C4D08"/>
    <w:rsid w:val="001C6222"/>
    <w:rsid w:val="001C628C"/>
    <w:rsid w:val="001C635F"/>
    <w:rsid w:val="001C6D75"/>
    <w:rsid w:val="001C77B0"/>
    <w:rsid w:val="001D0137"/>
    <w:rsid w:val="001D0EB7"/>
    <w:rsid w:val="001D19D6"/>
    <w:rsid w:val="001D2043"/>
    <w:rsid w:val="001D2E3C"/>
    <w:rsid w:val="001D3DA7"/>
    <w:rsid w:val="001D410C"/>
    <w:rsid w:val="001D475E"/>
    <w:rsid w:val="001D5186"/>
    <w:rsid w:val="001D5578"/>
    <w:rsid w:val="001D6301"/>
    <w:rsid w:val="001D64EE"/>
    <w:rsid w:val="001D6BC4"/>
    <w:rsid w:val="001D6D00"/>
    <w:rsid w:val="001D6FBA"/>
    <w:rsid w:val="001D7102"/>
    <w:rsid w:val="001D75A9"/>
    <w:rsid w:val="001D7A31"/>
    <w:rsid w:val="001D7A7B"/>
    <w:rsid w:val="001D7ED4"/>
    <w:rsid w:val="001E02B1"/>
    <w:rsid w:val="001E11A6"/>
    <w:rsid w:val="001E1BA2"/>
    <w:rsid w:val="001E42F3"/>
    <w:rsid w:val="001E4CDA"/>
    <w:rsid w:val="001E6D2C"/>
    <w:rsid w:val="001E6D4F"/>
    <w:rsid w:val="001F1697"/>
    <w:rsid w:val="001F2DCA"/>
    <w:rsid w:val="001F2F18"/>
    <w:rsid w:val="001F3390"/>
    <w:rsid w:val="001F3FE0"/>
    <w:rsid w:val="001F486C"/>
    <w:rsid w:val="001F58C7"/>
    <w:rsid w:val="001F5D7B"/>
    <w:rsid w:val="001F609C"/>
    <w:rsid w:val="001F61BA"/>
    <w:rsid w:val="001F6677"/>
    <w:rsid w:val="002000AC"/>
    <w:rsid w:val="002005E1"/>
    <w:rsid w:val="0020087D"/>
    <w:rsid w:val="00202C51"/>
    <w:rsid w:val="00202E3D"/>
    <w:rsid w:val="00202E62"/>
    <w:rsid w:val="00203F9E"/>
    <w:rsid w:val="00204136"/>
    <w:rsid w:val="00205104"/>
    <w:rsid w:val="0020556C"/>
    <w:rsid w:val="002056F7"/>
    <w:rsid w:val="00205ADF"/>
    <w:rsid w:val="00205D0A"/>
    <w:rsid w:val="00206DEE"/>
    <w:rsid w:val="002072B2"/>
    <w:rsid w:val="002103C3"/>
    <w:rsid w:val="00210DA8"/>
    <w:rsid w:val="00210DE0"/>
    <w:rsid w:val="0021197E"/>
    <w:rsid w:val="00211B4E"/>
    <w:rsid w:val="00212529"/>
    <w:rsid w:val="00212797"/>
    <w:rsid w:val="0021285C"/>
    <w:rsid w:val="002137BA"/>
    <w:rsid w:val="00214722"/>
    <w:rsid w:val="00214B49"/>
    <w:rsid w:val="00215FD0"/>
    <w:rsid w:val="00217F16"/>
    <w:rsid w:val="00220D5E"/>
    <w:rsid w:val="00221079"/>
    <w:rsid w:val="00221403"/>
    <w:rsid w:val="002222D4"/>
    <w:rsid w:val="00222966"/>
    <w:rsid w:val="002236A5"/>
    <w:rsid w:val="00223EF4"/>
    <w:rsid w:val="00223F0D"/>
    <w:rsid w:val="00224936"/>
    <w:rsid w:val="00224C7B"/>
    <w:rsid w:val="00225405"/>
    <w:rsid w:val="00225A82"/>
    <w:rsid w:val="00225B32"/>
    <w:rsid w:val="00226116"/>
    <w:rsid w:val="002268E7"/>
    <w:rsid w:val="00226943"/>
    <w:rsid w:val="00226C04"/>
    <w:rsid w:val="00230239"/>
    <w:rsid w:val="00230982"/>
    <w:rsid w:val="00230AF5"/>
    <w:rsid w:val="002323B9"/>
    <w:rsid w:val="002330DF"/>
    <w:rsid w:val="002402C9"/>
    <w:rsid w:val="00240909"/>
    <w:rsid w:val="00240FF5"/>
    <w:rsid w:val="00243F15"/>
    <w:rsid w:val="00244329"/>
    <w:rsid w:val="00246065"/>
    <w:rsid w:val="0024697E"/>
    <w:rsid w:val="00246EA8"/>
    <w:rsid w:val="0024708F"/>
    <w:rsid w:val="00247E13"/>
    <w:rsid w:val="002502FB"/>
    <w:rsid w:val="00250448"/>
    <w:rsid w:val="00250A8D"/>
    <w:rsid w:val="00251CA6"/>
    <w:rsid w:val="002521EC"/>
    <w:rsid w:val="0025287B"/>
    <w:rsid w:val="002533A7"/>
    <w:rsid w:val="0025341A"/>
    <w:rsid w:val="002542DD"/>
    <w:rsid w:val="00254523"/>
    <w:rsid w:val="00254851"/>
    <w:rsid w:val="00255A74"/>
    <w:rsid w:val="00255D3D"/>
    <w:rsid w:val="002568ED"/>
    <w:rsid w:val="002573E5"/>
    <w:rsid w:val="002604A1"/>
    <w:rsid w:val="002614BA"/>
    <w:rsid w:val="002617CA"/>
    <w:rsid w:val="002617E8"/>
    <w:rsid w:val="00261BED"/>
    <w:rsid w:val="00261E46"/>
    <w:rsid w:val="0026334D"/>
    <w:rsid w:val="00263991"/>
    <w:rsid w:val="00264BF7"/>
    <w:rsid w:val="00264DC5"/>
    <w:rsid w:val="002655FE"/>
    <w:rsid w:val="002665A8"/>
    <w:rsid w:val="00266C71"/>
    <w:rsid w:val="00266EBC"/>
    <w:rsid w:val="002674BB"/>
    <w:rsid w:val="002700BA"/>
    <w:rsid w:val="00270E8B"/>
    <w:rsid w:val="00271B23"/>
    <w:rsid w:val="00271F56"/>
    <w:rsid w:val="0027204B"/>
    <w:rsid w:val="002722DA"/>
    <w:rsid w:val="00272675"/>
    <w:rsid w:val="0027272E"/>
    <w:rsid w:val="0027290A"/>
    <w:rsid w:val="00272E9E"/>
    <w:rsid w:val="002730A7"/>
    <w:rsid w:val="0027327E"/>
    <w:rsid w:val="002734A4"/>
    <w:rsid w:val="00273608"/>
    <w:rsid w:val="00273A74"/>
    <w:rsid w:val="00274C09"/>
    <w:rsid w:val="002756D5"/>
    <w:rsid w:val="00275E9E"/>
    <w:rsid w:val="00275F5F"/>
    <w:rsid w:val="00276B1B"/>
    <w:rsid w:val="00277EAA"/>
    <w:rsid w:val="0028087D"/>
    <w:rsid w:val="00280C4D"/>
    <w:rsid w:val="002822D3"/>
    <w:rsid w:val="0028289B"/>
    <w:rsid w:val="00282971"/>
    <w:rsid w:val="00282CCB"/>
    <w:rsid w:val="00285170"/>
    <w:rsid w:val="0028627A"/>
    <w:rsid w:val="00286634"/>
    <w:rsid w:val="00287928"/>
    <w:rsid w:val="0029064F"/>
    <w:rsid w:val="00291A83"/>
    <w:rsid w:val="00291BC0"/>
    <w:rsid w:val="002920E0"/>
    <w:rsid w:val="00292FCD"/>
    <w:rsid w:val="002933BE"/>
    <w:rsid w:val="0029358B"/>
    <w:rsid w:val="002940AA"/>
    <w:rsid w:val="002940B7"/>
    <w:rsid w:val="002941AB"/>
    <w:rsid w:val="00294DC2"/>
    <w:rsid w:val="00295F01"/>
    <w:rsid w:val="002A07C4"/>
    <w:rsid w:val="002A0CA0"/>
    <w:rsid w:val="002A0D85"/>
    <w:rsid w:val="002A18E8"/>
    <w:rsid w:val="002A1EED"/>
    <w:rsid w:val="002A22B1"/>
    <w:rsid w:val="002A2D78"/>
    <w:rsid w:val="002A2EA8"/>
    <w:rsid w:val="002A3521"/>
    <w:rsid w:val="002A43E8"/>
    <w:rsid w:val="002A4BA6"/>
    <w:rsid w:val="002A5097"/>
    <w:rsid w:val="002A5447"/>
    <w:rsid w:val="002A58E1"/>
    <w:rsid w:val="002A5F61"/>
    <w:rsid w:val="002A6126"/>
    <w:rsid w:val="002A6BD1"/>
    <w:rsid w:val="002B23AC"/>
    <w:rsid w:val="002B4A54"/>
    <w:rsid w:val="002B7D33"/>
    <w:rsid w:val="002C1AD7"/>
    <w:rsid w:val="002C24B2"/>
    <w:rsid w:val="002C2874"/>
    <w:rsid w:val="002C4572"/>
    <w:rsid w:val="002C54CF"/>
    <w:rsid w:val="002C5912"/>
    <w:rsid w:val="002C6EE8"/>
    <w:rsid w:val="002C79A8"/>
    <w:rsid w:val="002C7B51"/>
    <w:rsid w:val="002D0F4D"/>
    <w:rsid w:val="002D1385"/>
    <w:rsid w:val="002D13F0"/>
    <w:rsid w:val="002D18E7"/>
    <w:rsid w:val="002D1983"/>
    <w:rsid w:val="002D2882"/>
    <w:rsid w:val="002D2A78"/>
    <w:rsid w:val="002D3C11"/>
    <w:rsid w:val="002D5AFB"/>
    <w:rsid w:val="002D5ECA"/>
    <w:rsid w:val="002D6C8C"/>
    <w:rsid w:val="002D72B5"/>
    <w:rsid w:val="002D749C"/>
    <w:rsid w:val="002D7EAD"/>
    <w:rsid w:val="002E0233"/>
    <w:rsid w:val="002E036F"/>
    <w:rsid w:val="002E0444"/>
    <w:rsid w:val="002E11AD"/>
    <w:rsid w:val="002E15A7"/>
    <w:rsid w:val="002E2D2D"/>
    <w:rsid w:val="002E33E4"/>
    <w:rsid w:val="002E45C4"/>
    <w:rsid w:val="002E47FC"/>
    <w:rsid w:val="002E5123"/>
    <w:rsid w:val="002E5718"/>
    <w:rsid w:val="002E59E0"/>
    <w:rsid w:val="002E70BC"/>
    <w:rsid w:val="002E7582"/>
    <w:rsid w:val="002F00AA"/>
    <w:rsid w:val="002F03E9"/>
    <w:rsid w:val="002F0454"/>
    <w:rsid w:val="002F10BE"/>
    <w:rsid w:val="002F2084"/>
    <w:rsid w:val="002F21DF"/>
    <w:rsid w:val="002F43FC"/>
    <w:rsid w:val="002F61B7"/>
    <w:rsid w:val="002F65BF"/>
    <w:rsid w:val="002F68D2"/>
    <w:rsid w:val="002F78F5"/>
    <w:rsid w:val="00300653"/>
    <w:rsid w:val="003011B8"/>
    <w:rsid w:val="003032B0"/>
    <w:rsid w:val="00304BC7"/>
    <w:rsid w:val="00304C63"/>
    <w:rsid w:val="00305A32"/>
    <w:rsid w:val="00306D13"/>
    <w:rsid w:val="0030745A"/>
    <w:rsid w:val="0030749A"/>
    <w:rsid w:val="0030756B"/>
    <w:rsid w:val="003105F9"/>
    <w:rsid w:val="00311597"/>
    <w:rsid w:val="0031188E"/>
    <w:rsid w:val="00311F7E"/>
    <w:rsid w:val="003122DE"/>
    <w:rsid w:val="003134DF"/>
    <w:rsid w:val="003138E9"/>
    <w:rsid w:val="00313C50"/>
    <w:rsid w:val="00313C90"/>
    <w:rsid w:val="003152CD"/>
    <w:rsid w:val="003154E9"/>
    <w:rsid w:val="003158F5"/>
    <w:rsid w:val="00315A68"/>
    <w:rsid w:val="0031685A"/>
    <w:rsid w:val="003172DF"/>
    <w:rsid w:val="00317B3E"/>
    <w:rsid w:val="00320C67"/>
    <w:rsid w:val="003210C0"/>
    <w:rsid w:val="003215E2"/>
    <w:rsid w:val="0032369B"/>
    <w:rsid w:val="00323E06"/>
    <w:rsid w:val="003243EA"/>
    <w:rsid w:val="003247E0"/>
    <w:rsid w:val="003251A1"/>
    <w:rsid w:val="003264C5"/>
    <w:rsid w:val="00326A76"/>
    <w:rsid w:val="00326DE2"/>
    <w:rsid w:val="00327940"/>
    <w:rsid w:val="00327C8A"/>
    <w:rsid w:val="00330AEC"/>
    <w:rsid w:val="003311A0"/>
    <w:rsid w:val="00332547"/>
    <w:rsid w:val="003342E0"/>
    <w:rsid w:val="00334605"/>
    <w:rsid w:val="00334AF5"/>
    <w:rsid w:val="00334BE0"/>
    <w:rsid w:val="0033604B"/>
    <w:rsid w:val="003360F7"/>
    <w:rsid w:val="003363F4"/>
    <w:rsid w:val="0033682C"/>
    <w:rsid w:val="003373DE"/>
    <w:rsid w:val="003379EA"/>
    <w:rsid w:val="00340275"/>
    <w:rsid w:val="003406B4"/>
    <w:rsid w:val="00340A11"/>
    <w:rsid w:val="00340EC1"/>
    <w:rsid w:val="00341069"/>
    <w:rsid w:val="00342438"/>
    <w:rsid w:val="00343312"/>
    <w:rsid w:val="00343B70"/>
    <w:rsid w:val="00343EFB"/>
    <w:rsid w:val="0034404A"/>
    <w:rsid w:val="003448E7"/>
    <w:rsid w:val="003463DA"/>
    <w:rsid w:val="003468CB"/>
    <w:rsid w:val="00350415"/>
    <w:rsid w:val="0035093A"/>
    <w:rsid w:val="00350ECC"/>
    <w:rsid w:val="003510C4"/>
    <w:rsid w:val="00351D51"/>
    <w:rsid w:val="003523C0"/>
    <w:rsid w:val="003534B2"/>
    <w:rsid w:val="00353F2A"/>
    <w:rsid w:val="0035431B"/>
    <w:rsid w:val="003558F7"/>
    <w:rsid w:val="00355A15"/>
    <w:rsid w:val="00356C2F"/>
    <w:rsid w:val="00356C84"/>
    <w:rsid w:val="00356FFD"/>
    <w:rsid w:val="003600B1"/>
    <w:rsid w:val="00360674"/>
    <w:rsid w:val="003617DE"/>
    <w:rsid w:val="003629F7"/>
    <w:rsid w:val="00363685"/>
    <w:rsid w:val="00363B41"/>
    <w:rsid w:val="00364030"/>
    <w:rsid w:val="0036488D"/>
    <w:rsid w:val="0036519B"/>
    <w:rsid w:val="00365AA3"/>
    <w:rsid w:val="00365D0A"/>
    <w:rsid w:val="003669F9"/>
    <w:rsid w:val="00366EDD"/>
    <w:rsid w:val="00366EEA"/>
    <w:rsid w:val="0036799C"/>
    <w:rsid w:val="00367A0C"/>
    <w:rsid w:val="003705AB"/>
    <w:rsid w:val="0037067D"/>
    <w:rsid w:val="00370FD4"/>
    <w:rsid w:val="0037288B"/>
    <w:rsid w:val="00372D41"/>
    <w:rsid w:val="00373868"/>
    <w:rsid w:val="00374141"/>
    <w:rsid w:val="00375770"/>
    <w:rsid w:val="003757CD"/>
    <w:rsid w:val="00376040"/>
    <w:rsid w:val="00376C25"/>
    <w:rsid w:val="00377640"/>
    <w:rsid w:val="0038021E"/>
    <w:rsid w:val="00381013"/>
    <w:rsid w:val="00381463"/>
    <w:rsid w:val="00381981"/>
    <w:rsid w:val="00381A59"/>
    <w:rsid w:val="00382A55"/>
    <w:rsid w:val="00382D7E"/>
    <w:rsid w:val="00383153"/>
    <w:rsid w:val="0038412A"/>
    <w:rsid w:val="00384667"/>
    <w:rsid w:val="00384ABB"/>
    <w:rsid w:val="00384B0B"/>
    <w:rsid w:val="00385126"/>
    <w:rsid w:val="003859A1"/>
    <w:rsid w:val="00385F96"/>
    <w:rsid w:val="00387084"/>
    <w:rsid w:val="00391190"/>
    <w:rsid w:val="003916E5"/>
    <w:rsid w:val="003918CB"/>
    <w:rsid w:val="00391CED"/>
    <w:rsid w:val="00391E06"/>
    <w:rsid w:val="00391F2A"/>
    <w:rsid w:val="00392EA3"/>
    <w:rsid w:val="00395195"/>
    <w:rsid w:val="00395E53"/>
    <w:rsid w:val="00397766"/>
    <w:rsid w:val="00397D8D"/>
    <w:rsid w:val="00397EAE"/>
    <w:rsid w:val="003A06E6"/>
    <w:rsid w:val="003A1257"/>
    <w:rsid w:val="003A154B"/>
    <w:rsid w:val="003A1C4A"/>
    <w:rsid w:val="003A2998"/>
    <w:rsid w:val="003A2D6A"/>
    <w:rsid w:val="003A460A"/>
    <w:rsid w:val="003A5196"/>
    <w:rsid w:val="003A6E09"/>
    <w:rsid w:val="003A71C5"/>
    <w:rsid w:val="003B035E"/>
    <w:rsid w:val="003B0D8F"/>
    <w:rsid w:val="003B0F79"/>
    <w:rsid w:val="003B2127"/>
    <w:rsid w:val="003B3908"/>
    <w:rsid w:val="003B4168"/>
    <w:rsid w:val="003B5DA1"/>
    <w:rsid w:val="003B5E1A"/>
    <w:rsid w:val="003B636D"/>
    <w:rsid w:val="003B6B0E"/>
    <w:rsid w:val="003B6D15"/>
    <w:rsid w:val="003B6E67"/>
    <w:rsid w:val="003B71C7"/>
    <w:rsid w:val="003B7660"/>
    <w:rsid w:val="003B76A2"/>
    <w:rsid w:val="003B78D6"/>
    <w:rsid w:val="003C00C6"/>
    <w:rsid w:val="003C0B2F"/>
    <w:rsid w:val="003C1650"/>
    <w:rsid w:val="003C1656"/>
    <w:rsid w:val="003C1F9F"/>
    <w:rsid w:val="003C31EA"/>
    <w:rsid w:val="003C4213"/>
    <w:rsid w:val="003C45F2"/>
    <w:rsid w:val="003C4BED"/>
    <w:rsid w:val="003C6140"/>
    <w:rsid w:val="003C6562"/>
    <w:rsid w:val="003C6BB6"/>
    <w:rsid w:val="003C6E2F"/>
    <w:rsid w:val="003C702A"/>
    <w:rsid w:val="003C74F3"/>
    <w:rsid w:val="003C792E"/>
    <w:rsid w:val="003D0B5C"/>
    <w:rsid w:val="003D10B4"/>
    <w:rsid w:val="003D22DC"/>
    <w:rsid w:val="003D3F32"/>
    <w:rsid w:val="003D4189"/>
    <w:rsid w:val="003D4B09"/>
    <w:rsid w:val="003D5353"/>
    <w:rsid w:val="003D543A"/>
    <w:rsid w:val="003D5A13"/>
    <w:rsid w:val="003D678C"/>
    <w:rsid w:val="003D6A81"/>
    <w:rsid w:val="003D72B6"/>
    <w:rsid w:val="003D79D0"/>
    <w:rsid w:val="003E0906"/>
    <w:rsid w:val="003E0BF3"/>
    <w:rsid w:val="003E19C3"/>
    <w:rsid w:val="003E1FE4"/>
    <w:rsid w:val="003E28CD"/>
    <w:rsid w:val="003E382C"/>
    <w:rsid w:val="003E458F"/>
    <w:rsid w:val="003E62B2"/>
    <w:rsid w:val="003E637D"/>
    <w:rsid w:val="003E67A1"/>
    <w:rsid w:val="003E6A65"/>
    <w:rsid w:val="003E6CF5"/>
    <w:rsid w:val="003F1181"/>
    <w:rsid w:val="003F20FF"/>
    <w:rsid w:val="003F2150"/>
    <w:rsid w:val="003F28F3"/>
    <w:rsid w:val="003F2B51"/>
    <w:rsid w:val="003F30C3"/>
    <w:rsid w:val="003F3426"/>
    <w:rsid w:val="003F36CB"/>
    <w:rsid w:val="003F43F8"/>
    <w:rsid w:val="003F5A7E"/>
    <w:rsid w:val="003F65F1"/>
    <w:rsid w:val="003F65F8"/>
    <w:rsid w:val="003F6617"/>
    <w:rsid w:val="003F7B71"/>
    <w:rsid w:val="004002AF"/>
    <w:rsid w:val="004009A3"/>
    <w:rsid w:val="0040125C"/>
    <w:rsid w:val="00402A07"/>
    <w:rsid w:val="0040426C"/>
    <w:rsid w:val="00404CA4"/>
    <w:rsid w:val="00405D71"/>
    <w:rsid w:val="00406A4D"/>
    <w:rsid w:val="00407053"/>
    <w:rsid w:val="00407BB7"/>
    <w:rsid w:val="00407C3F"/>
    <w:rsid w:val="00407DEA"/>
    <w:rsid w:val="00410321"/>
    <w:rsid w:val="004107FB"/>
    <w:rsid w:val="00411D86"/>
    <w:rsid w:val="0041284B"/>
    <w:rsid w:val="004131B7"/>
    <w:rsid w:val="004145AC"/>
    <w:rsid w:val="00414778"/>
    <w:rsid w:val="0041479B"/>
    <w:rsid w:val="00414F8A"/>
    <w:rsid w:val="004159AF"/>
    <w:rsid w:val="004160A0"/>
    <w:rsid w:val="00416B4D"/>
    <w:rsid w:val="00417D17"/>
    <w:rsid w:val="00420036"/>
    <w:rsid w:val="004201A8"/>
    <w:rsid w:val="0042196D"/>
    <w:rsid w:val="00421B66"/>
    <w:rsid w:val="00421BBB"/>
    <w:rsid w:val="0042234B"/>
    <w:rsid w:val="0042246F"/>
    <w:rsid w:val="00424072"/>
    <w:rsid w:val="004240D5"/>
    <w:rsid w:val="0042497B"/>
    <w:rsid w:val="00424B45"/>
    <w:rsid w:val="00424CB9"/>
    <w:rsid w:val="0042526F"/>
    <w:rsid w:val="0042529E"/>
    <w:rsid w:val="004252F4"/>
    <w:rsid w:val="0042561D"/>
    <w:rsid w:val="0042762B"/>
    <w:rsid w:val="004309DA"/>
    <w:rsid w:val="004310F8"/>
    <w:rsid w:val="0043134B"/>
    <w:rsid w:val="004327FE"/>
    <w:rsid w:val="00432820"/>
    <w:rsid w:val="0043340D"/>
    <w:rsid w:val="00433444"/>
    <w:rsid w:val="00433AE7"/>
    <w:rsid w:val="0043442A"/>
    <w:rsid w:val="00434505"/>
    <w:rsid w:val="00434900"/>
    <w:rsid w:val="00435B50"/>
    <w:rsid w:val="00436186"/>
    <w:rsid w:val="00436340"/>
    <w:rsid w:val="004365AD"/>
    <w:rsid w:val="0043767A"/>
    <w:rsid w:val="00437806"/>
    <w:rsid w:val="004407DC"/>
    <w:rsid w:val="00440A6A"/>
    <w:rsid w:val="00440F7C"/>
    <w:rsid w:val="0044115C"/>
    <w:rsid w:val="0044170B"/>
    <w:rsid w:val="004431DD"/>
    <w:rsid w:val="00444ABF"/>
    <w:rsid w:val="00445DAA"/>
    <w:rsid w:val="004460A6"/>
    <w:rsid w:val="004466D1"/>
    <w:rsid w:val="004468F6"/>
    <w:rsid w:val="00446D62"/>
    <w:rsid w:val="00447C72"/>
    <w:rsid w:val="00450209"/>
    <w:rsid w:val="00450258"/>
    <w:rsid w:val="0045090C"/>
    <w:rsid w:val="004517DC"/>
    <w:rsid w:val="004520DD"/>
    <w:rsid w:val="004528BC"/>
    <w:rsid w:val="00452B04"/>
    <w:rsid w:val="00452C22"/>
    <w:rsid w:val="00453B63"/>
    <w:rsid w:val="00460328"/>
    <w:rsid w:val="00461DA5"/>
    <w:rsid w:val="00462036"/>
    <w:rsid w:val="00462069"/>
    <w:rsid w:val="0046229C"/>
    <w:rsid w:val="00462387"/>
    <w:rsid w:val="004633F7"/>
    <w:rsid w:val="00463467"/>
    <w:rsid w:val="0046402A"/>
    <w:rsid w:val="004646A1"/>
    <w:rsid w:val="00464B15"/>
    <w:rsid w:val="0046539E"/>
    <w:rsid w:val="0046555F"/>
    <w:rsid w:val="00466259"/>
    <w:rsid w:val="004673D5"/>
    <w:rsid w:val="00470A8B"/>
    <w:rsid w:val="004712B9"/>
    <w:rsid w:val="00471918"/>
    <w:rsid w:val="00473134"/>
    <w:rsid w:val="0047334E"/>
    <w:rsid w:val="00473605"/>
    <w:rsid w:val="004746EF"/>
    <w:rsid w:val="0047471D"/>
    <w:rsid w:val="00474882"/>
    <w:rsid w:val="00475309"/>
    <w:rsid w:val="00475AE6"/>
    <w:rsid w:val="00475D73"/>
    <w:rsid w:val="00476107"/>
    <w:rsid w:val="0047695F"/>
    <w:rsid w:val="00476E7D"/>
    <w:rsid w:val="0047746A"/>
    <w:rsid w:val="004819E7"/>
    <w:rsid w:val="004819F7"/>
    <w:rsid w:val="0048249E"/>
    <w:rsid w:val="00482990"/>
    <w:rsid w:val="00483435"/>
    <w:rsid w:val="00483C8E"/>
    <w:rsid w:val="00483FB3"/>
    <w:rsid w:val="00484475"/>
    <w:rsid w:val="00484846"/>
    <w:rsid w:val="00484FD0"/>
    <w:rsid w:val="0048614C"/>
    <w:rsid w:val="00486C02"/>
    <w:rsid w:val="004875BE"/>
    <w:rsid w:val="0048761E"/>
    <w:rsid w:val="00487FAD"/>
    <w:rsid w:val="004900BC"/>
    <w:rsid w:val="00490A81"/>
    <w:rsid w:val="00490C49"/>
    <w:rsid w:val="00490E77"/>
    <w:rsid w:val="00491348"/>
    <w:rsid w:val="00491389"/>
    <w:rsid w:val="004913C7"/>
    <w:rsid w:val="004926B4"/>
    <w:rsid w:val="00492BCA"/>
    <w:rsid w:val="00492F4E"/>
    <w:rsid w:val="00493137"/>
    <w:rsid w:val="00493668"/>
    <w:rsid w:val="0049424F"/>
    <w:rsid w:val="00494737"/>
    <w:rsid w:val="004948D6"/>
    <w:rsid w:val="00494B0C"/>
    <w:rsid w:val="00497063"/>
    <w:rsid w:val="00497272"/>
    <w:rsid w:val="00497B7F"/>
    <w:rsid w:val="004A0030"/>
    <w:rsid w:val="004A01F0"/>
    <w:rsid w:val="004A0F73"/>
    <w:rsid w:val="004A1640"/>
    <w:rsid w:val="004A1760"/>
    <w:rsid w:val="004A1C0C"/>
    <w:rsid w:val="004A29C9"/>
    <w:rsid w:val="004A3256"/>
    <w:rsid w:val="004A3736"/>
    <w:rsid w:val="004A42D3"/>
    <w:rsid w:val="004A68C3"/>
    <w:rsid w:val="004A6A86"/>
    <w:rsid w:val="004A7607"/>
    <w:rsid w:val="004A78D8"/>
    <w:rsid w:val="004B1068"/>
    <w:rsid w:val="004B1382"/>
    <w:rsid w:val="004B34C7"/>
    <w:rsid w:val="004B3D2D"/>
    <w:rsid w:val="004B4107"/>
    <w:rsid w:val="004B43FE"/>
    <w:rsid w:val="004B48BE"/>
    <w:rsid w:val="004B49F3"/>
    <w:rsid w:val="004B69E8"/>
    <w:rsid w:val="004B6ACB"/>
    <w:rsid w:val="004B6AEC"/>
    <w:rsid w:val="004B70D4"/>
    <w:rsid w:val="004B743E"/>
    <w:rsid w:val="004B77D3"/>
    <w:rsid w:val="004B781A"/>
    <w:rsid w:val="004C16B6"/>
    <w:rsid w:val="004C16F4"/>
    <w:rsid w:val="004C17A2"/>
    <w:rsid w:val="004C1CB1"/>
    <w:rsid w:val="004C514A"/>
    <w:rsid w:val="004C56C4"/>
    <w:rsid w:val="004C726D"/>
    <w:rsid w:val="004C770D"/>
    <w:rsid w:val="004D00FE"/>
    <w:rsid w:val="004D03E5"/>
    <w:rsid w:val="004D04C9"/>
    <w:rsid w:val="004D1952"/>
    <w:rsid w:val="004D19B5"/>
    <w:rsid w:val="004D2B01"/>
    <w:rsid w:val="004D3935"/>
    <w:rsid w:val="004D3DD3"/>
    <w:rsid w:val="004D57EA"/>
    <w:rsid w:val="004D7FE0"/>
    <w:rsid w:val="004E086A"/>
    <w:rsid w:val="004E2410"/>
    <w:rsid w:val="004E3652"/>
    <w:rsid w:val="004E4FA0"/>
    <w:rsid w:val="004E5585"/>
    <w:rsid w:val="004E5DAF"/>
    <w:rsid w:val="004E66C5"/>
    <w:rsid w:val="004E69FF"/>
    <w:rsid w:val="004E754F"/>
    <w:rsid w:val="004F0F77"/>
    <w:rsid w:val="004F16E3"/>
    <w:rsid w:val="004F203D"/>
    <w:rsid w:val="004F23C6"/>
    <w:rsid w:val="004F25BD"/>
    <w:rsid w:val="004F2E7A"/>
    <w:rsid w:val="004F3699"/>
    <w:rsid w:val="004F3FFC"/>
    <w:rsid w:val="004F429A"/>
    <w:rsid w:val="004F44C4"/>
    <w:rsid w:val="004F477D"/>
    <w:rsid w:val="004F4793"/>
    <w:rsid w:val="004F4C18"/>
    <w:rsid w:val="004F4D96"/>
    <w:rsid w:val="004F728C"/>
    <w:rsid w:val="004F7AFD"/>
    <w:rsid w:val="004F7CE8"/>
    <w:rsid w:val="005003CF"/>
    <w:rsid w:val="005010A1"/>
    <w:rsid w:val="005013D6"/>
    <w:rsid w:val="0050195C"/>
    <w:rsid w:val="00502CFA"/>
    <w:rsid w:val="00502E67"/>
    <w:rsid w:val="005031E4"/>
    <w:rsid w:val="00506C45"/>
    <w:rsid w:val="00506EB6"/>
    <w:rsid w:val="00514827"/>
    <w:rsid w:val="00514D7B"/>
    <w:rsid w:val="005160A0"/>
    <w:rsid w:val="005169BA"/>
    <w:rsid w:val="0051707A"/>
    <w:rsid w:val="00517186"/>
    <w:rsid w:val="0051720F"/>
    <w:rsid w:val="00517980"/>
    <w:rsid w:val="005205E2"/>
    <w:rsid w:val="00521526"/>
    <w:rsid w:val="005222E6"/>
    <w:rsid w:val="00523E0A"/>
    <w:rsid w:val="005252BC"/>
    <w:rsid w:val="005263CF"/>
    <w:rsid w:val="005272CA"/>
    <w:rsid w:val="00530807"/>
    <w:rsid w:val="00530B85"/>
    <w:rsid w:val="00530D2D"/>
    <w:rsid w:val="005311B1"/>
    <w:rsid w:val="0053147C"/>
    <w:rsid w:val="0053149C"/>
    <w:rsid w:val="00532CEB"/>
    <w:rsid w:val="005338E6"/>
    <w:rsid w:val="005338F2"/>
    <w:rsid w:val="005373F7"/>
    <w:rsid w:val="00537880"/>
    <w:rsid w:val="00540184"/>
    <w:rsid w:val="005406F2"/>
    <w:rsid w:val="005409AE"/>
    <w:rsid w:val="0054135A"/>
    <w:rsid w:val="00542566"/>
    <w:rsid w:val="005425DD"/>
    <w:rsid w:val="005428D7"/>
    <w:rsid w:val="00542A17"/>
    <w:rsid w:val="005434B2"/>
    <w:rsid w:val="005451A8"/>
    <w:rsid w:val="00545631"/>
    <w:rsid w:val="00545AC4"/>
    <w:rsid w:val="00545CD6"/>
    <w:rsid w:val="00546CEB"/>
    <w:rsid w:val="00546EAC"/>
    <w:rsid w:val="0055204B"/>
    <w:rsid w:val="0055209F"/>
    <w:rsid w:val="00552588"/>
    <w:rsid w:val="00552789"/>
    <w:rsid w:val="00552F65"/>
    <w:rsid w:val="00552F83"/>
    <w:rsid w:val="005553A1"/>
    <w:rsid w:val="00555E34"/>
    <w:rsid w:val="0055625D"/>
    <w:rsid w:val="005616E7"/>
    <w:rsid w:val="00563604"/>
    <w:rsid w:val="005637B0"/>
    <w:rsid w:val="0056389B"/>
    <w:rsid w:val="00563C3D"/>
    <w:rsid w:val="00564F55"/>
    <w:rsid w:val="005660BA"/>
    <w:rsid w:val="005675EC"/>
    <w:rsid w:val="0056789E"/>
    <w:rsid w:val="00567AF6"/>
    <w:rsid w:val="00567F52"/>
    <w:rsid w:val="005702FA"/>
    <w:rsid w:val="00571245"/>
    <w:rsid w:val="00572E41"/>
    <w:rsid w:val="0057306D"/>
    <w:rsid w:val="00573290"/>
    <w:rsid w:val="005738AE"/>
    <w:rsid w:val="00574428"/>
    <w:rsid w:val="00574B65"/>
    <w:rsid w:val="00575739"/>
    <w:rsid w:val="00576121"/>
    <w:rsid w:val="0058002A"/>
    <w:rsid w:val="00580FF4"/>
    <w:rsid w:val="005812F1"/>
    <w:rsid w:val="00581762"/>
    <w:rsid w:val="00581849"/>
    <w:rsid w:val="00581A20"/>
    <w:rsid w:val="00581A95"/>
    <w:rsid w:val="005836C4"/>
    <w:rsid w:val="00584A0E"/>
    <w:rsid w:val="0058702E"/>
    <w:rsid w:val="00587489"/>
    <w:rsid w:val="00590576"/>
    <w:rsid w:val="0059207A"/>
    <w:rsid w:val="00592E28"/>
    <w:rsid w:val="00593085"/>
    <w:rsid w:val="005935C8"/>
    <w:rsid w:val="00593F67"/>
    <w:rsid w:val="00594322"/>
    <w:rsid w:val="00594B98"/>
    <w:rsid w:val="00597D09"/>
    <w:rsid w:val="00597E71"/>
    <w:rsid w:val="005A0D49"/>
    <w:rsid w:val="005A0E05"/>
    <w:rsid w:val="005A18C5"/>
    <w:rsid w:val="005A1C5A"/>
    <w:rsid w:val="005A2AF9"/>
    <w:rsid w:val="005A3044"/>
    <w:rsid w:val="005A38AE"/>
    <w:rsid w:val="005A5415"/>
    <w:rsid w:val="005A6299"/>
    <w:rsid w:val="005A6AC4"/>
    <w:rsid w:val="005A738C"/>
    <w:rsid w:val="005B05CE"/>
    <w:rsid w:val="005B1ADD"/>
    <w:rsid w:val="005B28F8"/>
    <w:rsid w:val="005B4039"/>
    <w:rsid w:val="005B4C3B"/>
    <w:rsid w:val="005B4FB8"/>
    <w:rsid w:val="005B52A3"/>
    <w:rsid w:val="005B5503"/>
    <w:rsid w:val="005B6354"/>
    <w:rsid w:val="005B6E0B"/>
    <w:rsid w:val="005B784A"/>
    <w:rsid w:val="005C0052"/>
    <w:rsid w:val="005C05FE"/>
    <w:rsid w:val="005C0AE9"/>
    <w:rsid w:val="005C2A1B"/>
    <w:rsid w:val="005C3547"/>
    <w:rsid w:val="005C3828"/>
    <w:rsid w:val="005C4AE1"/>
    <w:rsid w:val="005C51C2"/>
    <w:rsid w:val="005C5352"/>
    <w:rsid w:val="005C557A"/>
    <w:rsid w:val="005C573F"/>
    <w:rsid w:val="005C5B84"/>
    <w:rsid w:val="005C673B"/>
    <w:rsid w:val="005C724C"/>
    <w:rsid w:val="005C76E1"/>
    <w:rsid w:val="005C7A4D"/>
    <w:rsid w:val="005C7D62"/>
    <w:rsid w:val="005D02DA"/>
    <w:rsid w:val="005D1DC8"/>
    <w:rsid w:val="005D291B"/>
    <w:rsid w:val="005D341F"/>
    <w:rsid w:val="005D3F96"/>
    <w:rsid w:val="005D5059"/>
    <w:rsid w:val="005D5640"/>
    <w:rsid w:val="005D5E20"/>
    <w:rsid w:val="005D63E7"/>
    <w:rsid w:val="005D6783"/>
    <w:rsid w:val="005D6A70"/>
    <w:rsid w:val="005D750F"/>
    <w:rsid w:val="005D7D5B"/>
    <w:rsid w:val="005E0157"/>
    <w:rsid w:val="005E0395"/>
    <w:rsid w:val="005E03A5"/>
    <w:rsid w:val="005E0F9A"/>
    <w:rsid w:val="005E0FE0"/>
    <w:rsid w:val="005E1230"/>
    <w:rsid w:val="005E33A2"/>
    <w:rsid w:val="005E366E"/>
    <w:rsid w:val="005E3AB5"/>
    <w:rsid w:val="005E3CAD"/>
    <w:rsid w:val="005E4E9A"/>
    <w:rsid w:val="005E5122"/>
    <w:rsid w:val="005E5A24"/>
    <w:rsid w:val="005E7157"/>
    <w:rsid w:val="005E7A6A"/>
    <w:rsid w:val="005E7AD8"/>
    <w:rsid w:val="005E7B1C"/>
    <w:rsid w:val="005F007E"/>
    <w:rsid w:val="005F07E1"/>
    <w:rsid w:val="005F0980"/>
    <w:rsid w:val="005F1B5E"/>
    <w:rsid w:val="005F205E"/>
    <w:rsid w:val="005F259D"/>
    <w:rsid w:val="005F2B0C"/>
    <w:rsid w:val="005F3056"/>
    <w:rsid w:val="005F3397"/>
    <w:rsid w:val="005F4458"/>
    <w:rsid w:val="005F5CAC"/>
    <w:rsid w:val="005F63E1"/>
    <w:rsid w:val="005F6D04"/>
    <w:rsid w:val="005F76B0"/>
    <w:rsid w:val="005F7AE7"/>
    <w:rsid w:val="005F7D99"/>
    <w:rsid w:val="005F7F8E"/>
    <w:rsid w:val="00600116"/>
    <w:rsid w:val="00601862"/>
    <w:rsid w:val="00602ED4"/>
    <w:rsid w:val="006040BF"/>
    <w:rsid w:val="00604D49"/>
    <w:rsid w:val="00604E5A"/>
    <w:rsid w:val="00604F1A"/>
    <w:rsid w:val="0060521F"/>
    <w:rsid w:val="006056FC"/>
    <w:rsid w:val="00606323"/>
    <w:rsid w:val="006066C0"/>
    <w:rsid w:val="00606CBF"/>
    <w:rsid w:val="00607DD6"/>
    <w:rsid w:val="006109AA"/>
    <w:rsid w:val="00610C4C"/>
    <w:rsid w:val="00611B6C"/>
    <w:rsid w:val="00612001"/>
    <w:rsid w:val="00613886"/>
    <w:rsid w:val="006147C6"/>
    <w:rsid w:val="00614886"/>
    <w:rsid w:val="00614BA1"/>
    <w:rsid w:val="00614DEF"/>
    <w:rsid w:val="00614E97"/>
    <w:rsid w:val="006151B0"/>
    <w:rsid w:val="0061545C"/>
    <w:rsid w:val="00615DBB"/>
    <w:rsid w:val="00617D8A"/>
    <w:rsid w:val="00617F1D"/>
    <w:rsid w:val="00620FE8"/>
    <w:rsid w:val="00621363"/>
    <w:rsid w:val="006220F6"/>
    <w:rsid w:val="00622726"/>
    <w:rsid w:val="00622925"/>
    <w:rsid w:val="00622BD9"/>
    <w:rsid w:val="006239EA"/>
    <w:rsid w:val="00624461"/>
    <w:rsid w:val="00625181"/>
    <w:rsid w:val="00625B74"/>
    <w:rsid w:val="00626288"/>
    <w:rsid w:val="00627A6C"/>
    <w:rsid w:val="00627D87"/>
    <w:rsid w:val="00630854"/>
    <w:rsid w:val="00630CA2"/>
    <w:rsid w:val="00632756"/>
    <w:rsid w:val="0063417F"/>
    <w:rsid w:val="00640037"/>
    <w:rsid w:val="006409F0"/>
    <w:rsid w:val="00642951"/>
    <w:rsid w:val="00643C4B"/>
    <w:rsid w:val="00643DB9"/>
    <w:rsid w:val="00644292"/>
    <w:rsid w:val="00644524"/>
    <w:rsid w:val="00644BC1"/>
    <w:rsid w:val="0064502D"/>
    <w:rsid w:val="0064661D"/>
    <w:rsid w:val="00646E35"/>
    <w:rsid w:val="00646E5A"/>
    <w:rsid w:val="0064705D"/>
    <w:rsid w:val="00650314"/>
    <w:rsid w:val="0065099D"/>
    <w:rsid w:val="00650B43"/>
    <w:rsid w:val="00650DA8"/>
    <w:rsid w:val="006529F1"/>
    <w:rsid w:val="00652F23"/>
    <w:rsid w:val="0065386F"/>
    <w:rsid w:val="00653938"/>
    <w:rsid w:val="00653A80"/>
    <w:rsid w:val="0065402F"/>
    <w:rsid w:val="00654800"/>
    <w:rsid w:val="00654C27"/>
    <w:rsid w:val="00654DCC"/>
    <w:rsid w:val="00654EF1"/>
    <w:rsid w:val="00655C0C"/>
    <w:rsid w:val="00655C24"/>
    <w:rsid w:val="00656777"/>
    <w:rsid w:val="00657661"/>
    <w:rsid w:val="0066004B"/>
    <w:rsid w:val="006607C5"/>
    <w:rsid w:val="00661677"/>
    <w:rsid w:val="006618C3"/>
    <w:rsid w:val="006618F3"/>
    <w:rsid w:val="006646A8"/>
    <w:rsid w:val="006646C0"/>
    <w:rsid w:val="0066507D"/>
    <w:rsid w:val="00665380"/>
    <w:rsid w:val="00665BF8"/>
    <w:rsid w:val="00665DE0"/>
    <w:rsid w:val="00665F6C"/>
    <w:rsid w:val="0066616A"/>
    <w:rsid w:val="0066665F"/>
    <w:rsid w:val="00666728"/>
    <w:rsid w:val="00667115"/>
    <w:rsid w:val="006713A5"/>
    <w:rsid w:val="0067162D"/>
    <w:rsid w:val="0067178E"/>
    <w:rsid w:val="0067240A"/>
    <w:rsid w:val="006724EB"/>
    <w:rsid w:val="0067259C"/>
    <w:rsid w:val="00673039"/>
    <w:rsid w:val="0067318A"/>
    <w:rsid w:val="00674A47"/>
    <w:rsid w:val="00674D02"/>
    <w:rsid w:val="00675B02"/>
    <w:rsid w:val="00675EAB"/>
    <w:rsid w:val="00677293"/>
    <w:rsid w:val="006776CE"/>
    <w:rsid w:val="006802BF"/>
    <w:rsid w:val="00685D04"/>
    <w:rsid w:val="00686213"/>
    <w:rsid w:val="00686B7F"/>
    <w:rsid w:val="00687894"/>
    <w:rsid w:val="00687DC4"/>
    <w:rsid w:val="00690C34"/>
    <w:rsid w:val="00691BE0"/>
    <w:rsid w:val="006928DA"/>
    <w:rsid w:val="0069345C"/>
    <w:rsid w:val="00694392"/>
    <w:rsid w:val="0069459B"/>
    <w:rsid w:val="00694AE5"/>
    <w:rsid w:val="006950AD"/>
    <w:rsid w:val="00695C6D"/>
    <w:rsid w:val="00695F6B"/>
    <w:rsid w:val="00697885"/>
    <w:rsid w:val="00697C6D"/>
    <w:rsid w:val="006A036B"/>
    <w:rsid w:val="006A153D"/>
    <w:rsid w:val="006A1E9D"/>
    <w:rsid w:val="006A2844"/>
    <w:rsid w:val="006A30D9"/>
    <w:rsid w:val="006A3672"/>
    <w:rsid w:val="006A3D5F"/>
    <w:rsid w:val="006A411C"/>
    <w:rsid w:val="006A4BDE"/>
    <w:rsid w:val="006A4D90"/>
    <w:rsid w:val="006A53D2"/>
    <w:rsid w:val="006A6B73"/>
    <w:rsid w:val="006A70AA"/>
    <w:rsid w:val="006A79BD"/>
    <w:rsid w:val="006A7A93"/>
    <w:rsid w:val="006B0735"/>
    <w:rsid w:val="006B2CA5"/>
    <w:rsid w:val="006B31EB"/>
    <w:rsid w:val="006B4982"/>
    <w:rsid w:val="006B49B3"/>
    <w:rsid w:val="006B6346"/>
    <w:rsid w:val="006B7069"/>
    <w:rsid w:val="006B70B8"/>
    <w:rsid w:val="006B7DDA"/>
    <w:rsid w:val="006C003D"/>
    <w:rsid w:val="006C02F8"/>
    <w:rsid w:val="006C3343"/>
    <w:rsid w:val="006C47E8"/>
    <w:rsid w:val="006C4808"/>
    <w:rsid w:val="006C4C38"/>
    <w:rsid w:val="006C5C86"/>
    <w:rsid w:val="006C7274"/>
    <w:rsid w:val="006D030A"/>
    <w:rsid w:val="006D07E6"/>
    <w:rsid w:val="006D0B55"/>
    <w:rsid w:val="006D10ED"/>
    <w:rsid w:val="006D18E6"/>
    <w:rsid w:val="006D1BC2"/>
    <w:rsid w:val="006D1C37"/>
    <w:rsid w:val="006D1D22"/>
    <w:rsid w:val="006D3F5F"/>
    <w:rsid w:val="006D4525"/>
    <w:rsid w:val="006D48DD"/>
    <w:rsid w:val="006D509F"/>
    <w:rsid w:val="006D5584"/>
    <w:rsid w:val="006D5651"/>
    <w:rsid w:val="006D5CDC"/>
    <w:rsid w:val="006D64FD"/>
    <w:rsid w:val="006D66BF"/>
    <w:rsid w:val="006D6F77"/>
    <w:rsid w:val="006D7005"/>
    <w:rsid w:val="006D70DC"/>
    <w:rsid w:val="006D7651"/>
    <w:rsid w:val="006D7BA7"/>
    <w:rsid w:val="006D7ED7"/>
    <w:rsid w:val="006E00CF"/>
    <w:rsid w:val="006E0545"/>
    <w:rsid w:val="006E06AE"/>
    <w:rsid w:val="006E1270"/>
    <w:rsid w:val="006E1950"/>
    <w:rsid w:val="006E1967"/>
    <w:rsid w:val="006E2AE6"/>
    <w:rsid w:val="006E2E81"/>
    <w:rsid w:val="006E3543"/>
    <w:rsid w:val="006E48CF"/>
    <w:rsid w:val="006E5733"/>
    <w:rsid w:val="006E5D45"/>
    <w:rsid w:val="006E6CDA"/>
    <w:rsid w:val="006F05A9"/>
    <w:rsid w:val="006F0679"/>
    <w:rsid w:val="006F0846"/>
    <w:rsid w:val="006F0943"/>
    <w:rsid w:val="006F0DD9"/>
    <w:rsid w:val="006F26B5"/>
    <w:rsid w:val="006F3253"/>
    <w:rsid w:val="006F4395"/>
    <w:rsid w:val="006F4B18"/>
    <w:rsid w:val="006F65A2"/>
    <w:rsid w:val="006F6A41"/>
    <w:rsid w:val="006F76CE"/>
    <w:rsid w:val="006F7FB6"/>
    <w:rsid w:val="007000E1"/>
    <w:rsid w:val="007003EC"/>
    <w:rsid w:val="007014AB"/>
    <w:rsid w:val="007017C6"/>
    <w:rsid w:val="00701DD6"/>
    <w:rsid w:val="00701EDA"/>
    <w:rsid w:val="00702733"/>
    <w:rsid w:val="00703028"/>
    <w:rsid w:val="0070417A"/>
    <w:rsid w:val="00704805"/>
    <w:rsid w:val="00704C0D"/>
    <w:rsid w:val="00704FD9"/>
    <w:rsid w:val="00706187"/>
    <w:rsid w:val="00706B69"/>
    <w:rsid w:val="00707F42"/>
    <w:rsid w:val="0071063F"/>
    <w:rsid w:val="00711002"/>
    <w:rsid w:val="00711E55"/>
    <w:rsid w:val="007120D0"/>
    <w:rsid w:val="00712EA1"/>
    <w:rsid w:val="00713606"/>
    <w:rsid w:val="00714318"/>
    <w:rsid w:val="00715C32"/>
    <w:rsid w:val="007165FF"/>
    <w:rsid w:val="00717135"/>
    <w:rsid w:val="00717666"/>
    <w:rsid w:val="0071790D"/>
    <w:rsid w:val="00720468"/>
    <w:rsid w:val="00720816"/>
    <w:rsid w:val="00721597"/>
    <w:rsid w:val="00723DFF"/>
    <w:rsid w:val="00723E14"/>
    <w:rsid w:val="00723E4D"/>
    <w:rsid w:val="0072421B"/>
    <w:rsid w:val="00725048"/>
    <w:rsid w:val="007250D0"/>
    <w:rsid w:val="0072590A"/>
    <w:rsid w:val="00725A5F"/>
    <w:rsid w:val="0072712E"/>
    <w:rsid w:val="00727856"/>
    <w:rsid w:val="007325E5"/>
    <w:rsid w:val="00732E05"/>
    <w:rsid w:val="00733850"/>
    <w:rsid w:val="00734944"/>
    <w:rsid w:val="00734995"/>
    <w:rsid w:val="00734B77"/>
    <w:rsid w:val="007357EA"/>
    <w:rsid w:val="00735ABC"/>
    <w:rsid w:val="00735FDB"/>
    <w:rsid w:val="0073689F"/>
    <w:rsid w:val="00736ECE"/>
    <w:rsid w:val="00737109"/>
    <w:rsid w:val="00740925"/>
    <w:rsid w:val="007416B1"/>
    <w:rsid w:val="00741AF9"/>
    <w:rsid w:val="00741C58"/>
    <w:rsid w:val="007421DA"/>
    <w:rsid w:val="0074248E"/>
    <w:rsid w:val="00743AAE"/>
    <w:rsid w:val="00743C37"/>
    <w:rsid w:val="00744E3C"/>
    <w:rsid w:val="00744E83"/>
    <w:rsid w:val="00746B38"/>
    <w:rsid w:val="00746DE3"/>
    <w:rsid w:val="00746EDB"/>
    <w:rsid w:val="00747715"/>
    <w:rsid w:val="007515CA"/>
    <w:rsid w:val="007518D6"/>
    <w:rsid w:val="00751F39"/>
    <w:rsid w:val="007520F6"/>
    <w:rsid w:val="0075228C"/>
    <w:rsid w:val="00753299"/>
    <w:rsid w:val="00753807"/>
    <w:rsid w:val="007539EA"/>
    <w:rsid w:val="00755D7C"/>
    <w:rsid w:val="00755F6B"/>
    <w:rsid w:val="00755FCD"/>
    <w:rsid w:val="00756D63"/>
    <w:rsid w:val="00756E11"/>
    <w:rsid w:val="00757A6A"/>
    <w:rsid w:val="00757AD9"/>
    <w:rsid w:val="007603FF"/>
    <w:rsid w:val="00762E1F"/>
    <w:rsid w:val="00762FD8"/>
    <w:rsid w:val="00763A34"/>
    <w:rsid w:val="00763FA1"/>
    <w:rsid w:val="00764A6D"/>
    <w:rsid w:val="00765D90"/>
    <w:rsid w:val="00766712"/>
    <w:rsid w:val="00766E62"/>
    <w:rsid w:val="00766E9F"/>
    <w:rsid w:val="007676FE"/>
    <w:rsid w:val="00770564"/>
    <w:rsid w:val="00770569"/>
    <w:rsid w:val="00770618"/>
    <w:rsid w:val="00770EF0"/>
    <w:rsid w:val="00770F4A"/>
    <w:rsid w:val="00771894"/>
    <w:rsid w:val="00772A8C"/>
    <w:rsid w:val="0077327E"/>
    <w:rsid w:val="00773F0E"/>
    <w:rsid w:val="007753F7"/>
    <w:rsid w:val="00776144"/>
    <w:rsid w:val="00776BAC"/>
    <w:rsid w:val="007773DA"/>
    <w:rsid w:val="00777783"/>
    <w:rsid w:val="00777905"/>
    <w:rsid w:val="00777B40"/>
    <w:rsid w:val="00777FFD"/>
    <w:rsid w:val="007802C5"/>
    <w:rsid w:val="00782A0B"/>
    <w:rsid w:val="007843FE"/>
    <w:rsid w:val="00784A6D"/>
    <w:rsid w:val="00784BC9"/>
    <w:rsid w:val="00785BAF"/>
    <w:rsid w:val="007866AF"/>
    <w:rsid w:val="00786FCF"/>
    <w:rsid w:val="0078778B"/>
    <w:rsid w:val="0079038A"/>
    <w:rsid w:val="00790924"/>
    <w:rsid w:val="00793356"/>
    <w:rsid w:val="0079390F"/>
    <w:rsid w:val="00793F70"/>
    <w:rsid w:val="007954B7"/>
    <w:rsid w:val="007955CC"/>
    <w:rsid w:val="0079585F"/>
    <w:rsid w:val="007971F5"/>
    <w:rsid w:val="0079747C"/>
    <w:rsid w:val="007979DE"/>
    <w:rsid w:val="00797E78"/>
    <w:rsid w:val="00797FEC"/>
    <w:rsid w:val="007A0ED4"/>
    <w:rsid w:val="007A15DC"/>
    <w:rsid w:val="007A381D"/>
    <w:rsid w:val="007A390A"/>
    <w:rsid w:val="007A441D"/>
    <w:rsid w:val="007A4F40"/>
    <w:rsid w:val="007A5955"/>
    <w:rsid w:val="007A59B7"/>
    <w:rsid w:val="007A6C88"/>
    <w:rsid w:val="007A72F9"/>
    <w:rsid w:val="007A775C"/>
    <w:rsid w:val="007B0741"/>
    <w:rsid w:val="007B0B6B"/>
    <w:rsid w:val="007B29BA"/>
    <w:rsid w:val="007B3C1F"/>
    <w:rsid w:val="007B405F"/>
    <w:rsid w:val="007B5A1C"/>
    <w:rsid w:val="007B63AA"/>
    <w:rsid w:val="007B71CE"/>
    <w:rsid w:val="007B72BF"/>
    <w:rsid w:val="007B7518"/>
    <w:rsid w:val="007B77AC"/>
    <w:rsid w:val="007B77BC"/>
    <w:rsid w:val="007B7A96"/>
    <w:rsid w:val="007C0451"/>
    <w:rsid w:val="007C17B4"/>
    <w:rsid w:val="007C38B5"/>
    <w:rsid w:val="007C3E99"/>
    <w:rsid w:val="007C4CA9"/>
    <w:rsid w:val="007C50BA"/>
    <w:rsid w:val="007C52AC"/>
    <w:rsid w:val="007C5A19"/>
    <w:rsid w:val="007C5CF3"/>
    <w:rsid w:val="007C61A9"/>
    <w:rsid w:val="007C771B"/>
    <w:rsid w:val="007C7A28"/>
    <w:rsid w:val="007D0BF5"/>
    <w:rsid w:val="007D198C"/>
    <w:rsid w:val="007D21AA"/>
    <w:rsid w:val="007D6E59"/>
    <w:rsid w:val="007D7876"/>
    <w:rsid w:val="007E041E"/>
    <w:rsid w:val="007E0A9C"/>
    <w:rsid w:val="007E1CEE"/>
    <w:rsid w:val="007E2A8C"/>
    <w:rsid w:val="007E2C47"/>
    <w:rsid w:val="007E2F58"/>
    <w:rsid w:val="007E329F"/>
    <w:rsid w:val="007E32FD"/>
    <w:rsid w:val="007E40E1"/>
    <w:rsid w:val="007E5434"/>
    <w:rsid w:val="007E5645"/>
    <w:rsid w:val="007E6EAA"/>
    <w:rsid w:val="007E7C49"/>
    <w:rsid w:val="007E7D3F"/>
    <w:rsid w:val="007F03C2"/>
    <w:rsid w:val="007F0F18"/>
    <w:rsid w:val="007F1765"/>
    <w:rsid w:val="007F2708"/>
    <w:rsid w:val="007F32E6"/>
    <w:rsid w:val="007F3386"/>
    <w:rsid w:val="007F3428"/>
    <w:rsid w:val="007F4507"/>
    <w:rsid w:val="007F4FCF"/>
    <w:rsid w:val="007F6C31"/>
    <w:rsid w:val="007F75BA"/>
    <w:rsid w:val="0080099F"/>
    <w:rsid w:val="00802373"/>
    <w:rsid w:val="00802CAA"/>
    <w:rsid w:val="00802D58"/>
    <w:rsid w:val="008046FD"/>
    <w:rsid w:val="008048D7"/>
    <w:rsid w:val="00810F71"/>
    <w:rsid w:val="00811331"/>
    <w:rsid w:val="00811516"/>
    <w:rsid w:val="00811A32"/>
    <w:rsid w:val="00811BD3"/>
    <w:rsid w:val="00813E0B"/>
    <w:rsid w:val="00814C9D"/>
    <w:rsid w:val="008159D7"/>
    <w:rsid w:val="00815CF2"/>
    <w:rsid w:val="00815FE8"/>
    <w:rsid w:val="0081600D"/>
    <w:rsid w:val="008164AE"/>
    <w:rsid w:val="008169C3"/>
    <w:rsid w:val="00817CCA"/>
    <w:rsid w:val="00817D27"/>
    <w:rsid w:val="008208F0"/>
    <w:rsid w:val="0082124F"/>
    <w:rsid w:val="00821622"/>
    <w:rsid w:val="00821D3F"/>
    <w:rsid w:val="00821FC9"/>
    <w:rsid w:val="00822E27"/>
    <w:rsid w:val="00822F6D"/>
    <w:rsid w:val="00823346"/>
    <w:rsid w:val="00823914"/>
    <w:rsid w:val="0082443B"/>
    <w:rsid w:val="00824879"/>
    <w:rsid w:val="00824B9D"/>
    <w:rsid w:val="00825318"/>
    <w:rsid w:val="008263D1"/>
    <w:rsid w:val="008266C1"/>
    <w:rsid w:val="00826B0F"/>
    <w:rsid w:val="00826BBA"/>
    <w:rsid w:val="00826BBD"/>
    <w:rsid w:val="008275E0"/>
    <w:rsid w:val="0083033A"/>
    <w:rsid w:val="0083114D"/>
    <w:rsid w:val="00831943"/>
    <w:rsid w:val="00833D48"/>
    <w:rsid w:val="008341E9"/>
    <w:rsid w:val="00834513"/>
    <w:rsid w:val="0083552C"/>
    <w:rsid w:val="00840325"/>
    <w:rsid w:val="0084259C"/>
    <w:rsid w:val="00842757"/>
    <w:rsid w:val="0084284D"/>
    <w:rsid w:val="0084363D"/>
    <w:rsid w:val="00843980"/>
    <w:rsid w:val="00844266"/>
    <w:rsid w:val="00844532"/>
    <w:rsid w:val="008461DA"/>
    <w:rsid w:val="008464BB"/>
    <w:rsid w:val="00846E3E"/>
    <w:rsid w:val="008470FD"/>
    <w:rsid w:val="00847379"/>
    <w:rsid w:val="00847F76"/>
    <w:rsid w:val="00850ABD"/>
    <w:rsid w:val="0085176B"/>
    <w:rsid w:val="00852035"/>
    <w:rsid w:val="00852768"/>
    <w:rsid w:val="00852929"/>
    <w:rsid w:val="008560F7"/>
    <w:rsid w:val="008571E3"/>
    <w:rsid w:val="00860701"/>
    <w:rsid w:val="00860FFF"/>
    <w:rsid w:val="00861243"/>
    <w:rsid w:val="008616FE"/>
    <w:rsid w:val="00862027"/>
    <w:rsid w:val="00862305"/>
    <w:rsid w:val="00862729"/>
    <w:rsid w:val="00863055"/>
    <w:rsid w:val="008639E5"/>
    <w:rsid w:val="008643CB"/>
    <w:rsid w:val="00864880"/>
    <w:rsid w:val="00865082"/>
    <w:rsid w:val="008657A9"/>
    <w:rsid w:val="00865B56"/>
    <w:rsid w:val="00866530"/>
    <w:rsid w:val="00866E2C"/>
    <w:rsid w:val="008706C0"/>
    <w:rsid w:val="00870E99"/>
    <w:rsid w:val="00871988"/>
    <w:rsid w:val="00871BFB"/>
    <w:rsid w:val="00872088"/>
    <w:rsid w:val="008730B1"/>
    <w:rsid w:val="00873322"/>
    <w:rsid w:val="008736B0"/>
    <w:rsid w:val="00875046"/>
    <w:rsid w:val="0087563E"/>
    <w:rsid w:val="00875D86"/>
    <w:rsid w:val="008768F4"/>
    <w:rsid w:val="00876ACA"/>
    <w:rsid w:val="00876FA8"/>
    <w:rsid w:val="00880829"/>
    <w:rsid w:val="00882169"/>
    <w:rsid w:val="0088271B"/>
    <w:rsid w:val="0088296A"/>
    <w:rsid w:val="00882CB6"/>
    <w:rsid w:val="00882E37"/>
    <w:rsid w:val="00883930"/>
    <w:rsid w:val="00884824"/>
    <w:rsid w:val="00884C53"/>
    <w:rsid w:val="0088532A"/>
    <w:rsid w:val="008855DE"/>
    <w:rsid w:val="008856BD"/>
    <w:rsid w:val="00885AD6"/>
    <w:rsid w:val="00886215"/>
    <w:rsid w:val="00886A55"/>
    <w:rsid w:val="0088767D"/>
    <w:rsid w:val="008912C8"/>
    <w:rsid w:val="00891A2A"/>
    <w:rsid w:val="0089259E"/>
    <w:rsid w:val="00892AD8"/>
    <w:rsid w:val="008932E1"/>
    <w:rsid w:val="00893B2B"/>
    <w:rsid w:val="00893BA7"/>
    <w:rsid w:val="00894DF4"/>
    <w:rsid w:val="00895C43"/>
    <w:rsid w:val="00895DDD"/>
    <w:rsid w:val="00896640"/>
    <w:rsid w:val="00896E8F"/>
    <w:rsid w:val="008972C7"/>
    <w:rsid w:val="0089762E"/>
    <w:rsid w:val="00897C43"/>
    <w:rsid w:val="008A096C"/>
    <w:rsid w:val="008A0CCE"/>
    <w:rsid w:val="008A27A9"/>
    <w:rsid w:val="008A2858"/>
    <w:rsid w:val="008A2EFD"/>
    <w:rsid w:val="008A3896"/>
    <w:rsid w:val="008A59E6"/>
    <w:rsid w:val="008A59E9"/>
    <w:rsid w:val="008A60B8"/>
    <w:rsid w:val="008A6115"/>
    <w:rsid w:val="008A69B3"/>
    <w:rsid w:val="008A6B56"/>
    <w:rsid w:val="008A796E"/>
    <w:rsid w:val="008A79F0"/>
    <w:rsid w:val="008B0890"/>
    <w:rsid w:val="008B2CDB"/>
    <w:rsid w:val="008B38B9"/>
    <w:rsid w:val="008B3D53"/>
    <w:rsid w:val="008B50BD"/>
    <w:rsid w:val="008B50D1"/>
    <w:rsid w:val="008B5503"/>
    <w:rsid w:val="008B56C1"/>
    <w:rsid w:val="008B5E65"/>
    <w:rsid w:val="008B696D"/>
    <w:rsid w:val="008B6F55"/>
    <w:rsid w:val="008B7585"/>
    <w:rsid w:val="008B75C0"/>
    <w:rsid w:val="008B7ACF"/>
    <w:rsid w:val="008C05AC"/>
    <w:rsid w:val="008C1277"/>
    <w:rsid w:val="008C31BD"/>
    <w:rsid w:val="008C3F5C"/>
    <w:rsid w:val="008C5312"/>
    <w:rsid w:val="008C69D8"/>
    <w:rsid w:val="008C6BB6"/>
    <w:rsid w:val="008C6D2A"/>
    <w:rsid w:val="008C7ACB"/>
    <w:rsid w:val="008D0861"/>
    <w:rsid w:val="008D0CC9"/>
    <w:rsid w:val="008D0D4E"/>
    <w:rsid w:val="008D0EF5"/>
    <w:rsid w:val="008D1E1E"/>
    <w:rsid w:val="008D31FE"/>
    <w:rsid w:val="008D356B"/>
    <w:rsid w:val="008D56D6"/>
    <w:rsid w:val="008D5F2F"/>
    <w:rsid w:val="008D67E9"/>
    <w:rsid w:val="008D67F1"/>
    <w:rsid w:val="008D6A83"/>
    <w:rsid w:val="008D7733"/>
    <w:rsid w:val="008D7EA4"/>
    <w:rsid w:val="008D7F06"/>
    <w:rsid w:val="008E02DC"/>
    <w:rsid w:val="008E0438"/>
    <w:rsid w:val="008E0BE6"/>
    <w:rsid w:val="008E14E6"/>
    <w:rsid w:val="008E234A"/>
    <w:rsid w:val="008E49CE"/>
    <w:rsid w:val="008E5DAB"/>
    <w:rsid w:val="008E6245"/>
    <w:rsid w:val="008E62BA"/>
    <w:rsid w:val="008E62E8"/>
    <w:rsid w:val="008E63D1"/>
    <w:rsid w:val="008E63DD"/>
    <w:rsid w:val="008E778A"/>
    <w:rsid w:val="008F08A4"/>
    <w:rsid w:val="008F09E6"/>
    <w:rsid w:val="008F231F"/>
    <w:rsid w:val="008F3AC5"/>
    <w:rsid w:val="008F40CF"/>
    <w:rsid w:val="008F53C6"/>
    <w:rsid w:val="008F6E86"/>
    <w:rsid w:val="008F7D23"/>
    <w:rsid w:val="008F7ED5"/>
    <w:rsid w:val="00900A6F"/>
    <w:rsid w:val="009012B3"/>
    <w:rsid w:val="00901537"/>
    <w:rsid w:val="00901667"/>
    <w:rsid w:val="00901A3F"/>
    <w:rsid w:val="00902CFC"/>
    <w:rsid w:val="00902ED6"/>
    <w:rsid w:val="009043A6"/>
    <w:rsid w:val="00904811"/>
    <w:rsid w:val="009054DE"/>
    <w:rsid w:val="00905973"/>
    <w:rsid w:val="00910B17"/>
    <w:rsid w:val="00910B37"/>
    <w:rsid w:val="00912736"/>
    <w:rsid w:val="00913157"/>
    <w:rsid w:val="009131DC"/>
    <w:rsid w:val="00913414"/>
    <w:rsid w:val="0091397D"/>
    <w:rsid w:val="00913B30"/>
    <w:rsid w:val="00913E0B"/>
    <w:rsid w:val="00913E8C"/>
    <w:rsid w:val="0091519C"/>
    <w:rsid w:val="00915B9F"/>
    <w:rsid w:val="00915D0B"/>
    <w:rsid w:val="0091735E"/>
    <w:rsid w:val="00917549"/>
    <w:rsid w:val="0091786E"/>
    <w:rsid w:val="009221B6"/>
    <w:rsid w:val="00922792"/>
    <w:rsid w:val="00922BBD"/>
    <w:rsid w:val="00923493"/>
    <w:rsid w:val="009236C1"/>
    <w:rsid w:val="00923CFB"/>
    <w:rsid w:val="00923DA4"/>
    <w:rsid w:val="00924C83"/>
    <w:rsid w:val="00925D86"/>
    <w:rsid w:val="00926004"/>
    <w:rsid w:val="00926B12"/>
    <w:rsid w:val="00926B76"/>
    <w:rsid w:val="00927E96"/>
    <w:rsid w:val="0093069B"/>
    <w:rsid w:val="00930F48"/>
    <w:rsid w:val="0093107D"/>
    <w:rsid w:val="00931189"/>
    <w:rsid w:val="00931A47"/>
    <w:rsid w:val="00931EAC"/>
    <w:rsid w:val="00931F53"/>
    <w:rsid w:val="0093209D"/>
    <w:rsid w:val="009320AF"/>
    <w:rsid w:val="00932E01"/>
    <w:rsid w:val="00932F48"/>
    <w:rsid w:val="00933FEE"/>
    <w:rsid w:val="009358AC"/>
    <w:rsid w:val="00936C69"/>
    <w:rsid w:val="00937E13"/>
    <w:rsid w:val="00940237"/>
    <w:rsid w:val="00940665"/>
    <w:rsid w:val="00940840"/>
    <w:rsid w:val="0094113D"/>
    <w:rsid w:val="009414F8"/>
    <w:rsid w:val="00941F73"/>
    <w:rsid w:val="00942C85"/>
    <w:rsid w:val="0094358E"/>
    <w:rsid w:val="00943C93"/>
    <w:rsid w:val="009444F4"/>
    <w:rsid w:val="0094507D"/>
    <w:rsid w:val="009450A9"/>
    <w:rsid w:val="009450C0"/>
    <w:rsid w:val="009451B3"/>
    <w:rsid w:val="009455BD"/>
    <w:rsid w:val="00946CA4"/>
    <w:rsid w:val="0094758C"/>
    <w:rsid w:val="00947D91"/>
    <w:rsid w:val="009500BE"/>
    <w:rsid w:val="0095032B"/>
    <w:rsid w:val="00951800"/>
    <w:rsid w:val="00951BF9"/>
    <w:rsid w:val="00951E52"/>
    <w:rsid w:val="00951FE1"/>
    <w:rsid w:val="009521C9"/>
    <w:rsid w:val="0095280F"/>
    <w:rsid w:val="00952D8A"/>
    <w:rsid w:val="00953998"/>
    <w:rsid w:val="00953D18"/>
    <w:rsid w:val="00953DA4"/>
    <w:rsid w:val="009550A2"/>
    <w:rsid w:val="0095582D"/>
    <w:rsid w:val="00956008"/>
    <w:rsid w:val="00956997"/>
    <w:rsid w:val="009604D5"/>
    <w:rsid w:val="00960567"/>
    <w:rsid w:val="0096094D"/>
    <w:rsid w:val="00960C44"/>
    <w:rsid w:val="00960D03"/>
    <w:rsid w:val="00962AEB"/>
    <w:rsid w:val="0096326C"/>
    <w:rsid w:val="00966BB3"/>
    <w:rsid w:val="00967A56"/>
    <w:rsid w:val="0097132C"/>
    <w:rsid w:val="00971727"/>
    <w:rsid w:val="009717EF"/>
    <w:rsid w:val="00971995"/>
    <w:rsid w:val="00971D88"/>
    <w:rsid w:val="00971FF6"/>
    <w:rsid w:val="00972013"/>
    <w:rsid w:val="00973F5B"/>
    <w:rsid w:val="009742BD"/>
    <w:rsid w:val="0097598B"/>
    <w:rsid w:val="00975B07"/>
    <w:rsid w:val="00976301"/>
    <w:rsid w:val="00976CBC"/>
    <w:rsid w:val="00977540"/>
    <w:rsid w:val="00980362"/>
    <w:rsid w:val="00980A36"/>
    <w:rsid w:val="00980E7E"/>
    <w:rsid w:val="009821AF"/>
    <w:rsid w:val="0098241D"/>
    <w:rsid w:val="00982A4B"/>
    <w:rsid w:val="009831E4"/>
    <w:rsid w:val="00983445"/>
    <w:rsid w:val="009839AF"/>
    <w:rsid w:val="0098499D"/>
    <w:rsid w:val="009867D2"/>
    <w:rsid w:val="0098711F"/>
    <w:rsid w:val="00987771"/>
    <w:rsid w:val="00987AB9"/>
    <w:rsid w:val="009901CB"/>
    <w:rsid w:val="00990C57"/>
    <w:rsid w:val="009926B8"/>
    <w:rsid w:val="00992D5F"/>
    <w:rsid w:val="009930B0"/>
    <w:rsid w:val="0099383C"/>
    <w:rsid w:val="00993AA1"/>
    <w:rsid w:val="009952A1"/>
    <w:rsid w:val="009955F3"/>
    <w:rsid w:val="00996BB7"/>
    <w:rsid w:val="00997A93"/>
    <w:rsid w:val="00997F60"/>
    <w:rsid w:val="009A1BAF"/>
    <w:rsid w:val="009A3F5A"/>
    <w:rsid w:val="009A48D5"/>
    <w:rsid w:val="009A4AC7"/>
    <w:rsid w:val="009A4C79"/>
    <w:rsid w:val="009A5618"/>
    <w:rsid w:val="009A63E7"/>
    <w:rsid w:val="009A66CE"/>
    <w:rsid w:val="009A6A41"/>
    <w:rsid w:val="009A77F3"/>
    <w:rsid w:val="009B08CA"/>
    <w:rsid w:val="009B0D80"/>
    <w:rsid w:val="009B11D6"/>
    <w:rsid w:val="009B26D3"/>
    <w:rsid w:val="009B3A19"/>
    <w:rsid w:val="009B3D44"/>
    <w:rsid w:val="009B3E12"/>
    <w:rsid w:val="009B40B4"/>
    <w:rsid w:val="009B72AB"/>
    <w:rsid w:val="009C005D"/>
    <w:rsid w:val="009C1246"/>
    <w:rsid w:val="009C159B"/>
    <w:rsid w:val="009C1E4A"/>
    <w:rsid w:val="009C4027"/>
    <w:rsid w:val="009C48EE"/>
    <w:rsid w:val="009C4DFF"/>
    <w:rsid w:val="009C5033"/>
    <w:rsid w:val="009C5276"/>
    <w:rsid w:val="009C5343"/>
    <w:rsid w:val="009C5AE9"/>
    <w:rsid w:val="009C7168"/>
    <w:rsid w:val="009C72C1"/>
    <w:rsid w:val="009C7CFC"/>
    <w:rsid w:val="009D02D8"/>
    <w:rsid w:val="009D0FCA"/>
    <w:rsid w:val="009D1E32"/>
    <w:rsid w:val="009D2F7B"/>
    <w:rsid w:val="009D2FD1"/>
    <w:rsid w:val="009D325E"/>
    <w:rsid w:val="009D343E"/>
    <w:rsid w:val="009D4779"/>
    <w:rsid w:val="009D5FF0"/>
    <w:rsid w:val="009D6235"/>
    <w:rsid w:val="009D69B5"/>
    <w:rsid w:val="009D731A"/>
    <w:rsid w:val="009D7340"/>
    <w:rsid w:val="009D74D8"/>
    <w:rsid w:val="009D7B36"/>
    <w:rsid w:val="009E0241"/>
    <w:rsid w:val="009E29D9"/>
    <w:rsid w:val="009E2E8F"/>
    <w:rsid w:val="009E3259"/>
    <w:rsid w:val="009E44CE"/>
    <w:rsid w:val="009E528D"/>
    <w:rsid w:val="009E594C"/>
    <w:rsid w:val="009E74CF"/>
    <w:rsid w:val="009F10FC"/>
    <w:rsid w:val="009F149E"/>
    <w:rsid w:val="009F1993"/>
    <w:rsid w:val="009F2211"/>
    <w:rsid w:val="009F3165"/>
    <w:rsid w:val="009F3830"/>
    <w:rsid w:val="009F3E74"/>
    <w:rsid w:val="009F5D8D"/>
    <w:rsid w:val="009F61D8"/>
    <w:rsid w:val="009F6564"/>
    <w:rsid w:val="009F71DB"/>
    <w:rsid w:val="009F7A25"/>
    <w:rsid w:val="00A006FA"/>
    <w:rsid w:val="00A00E87"/>
    <w:rsid w:val="00A00FB1"/>
    <w:rsid w:val="00A014CE"/>
    <w:rsid w:val="00A01662"/>
    <w:rsid w:val="00A025E9"/>
    <w:rsid w:val="00A02A21"/>
    <w:rsid w:val="00A02C87"/>
    <w:rsid w:val="00A07C5C"/>
    <w:rsid w:val="00A07EC7"/>
    <w:rsid w:val="00A105D0"/>
    <w:rsid w:val="00A112DF"/>
    <w:rsid w:val="00A138BE"/>
    <w:rsid w:val="00A13930"/>
    <w:rsid w:val="00A13D2B"/>
    <w:rsid w:val="00A148EE"/>
    <w:rsid w:val="00A14964"/>
    <w:rsid w:val="00A14CC6"/>
    <w:rsid w:val="00A14DDB"/>
    <w:rsid w:val="00A155DC"/>
    <w:rsid w:val="00A17739"/>
    <w:rsid w:val="00A17D4A"/>
    <w:rsid w:val="00A17FA1"/>
    <w:rsid w:val="00A20892"/>
    <w:rsid w:val="00A20A66"/>
    <w:rsid w:val="00A215C7"/>
    <w:rsid w:val="00A22021"/>
    <w:rsid w:val="00A22DA4"/>
    <w:rsid w:val="00A233E0"/>
    <w:rsid w:val="00A237A0"/>
    <w:rsid w:val="00A24858"/>
    <w:rsid w:val="00A24B9F"/>
    <w:rsid w:val="00A24C62"/>
    <w:rsid w:val="00A24F8D"/>
    <w:rsid w:val="00A2532B"/>
    <w:rsid w:val="00A253EE"/>
    <w:rsid w:val="00A26D20"/>
    <w:rsid w:val="00A278CF"/>
    <w:rsid w:val="00A30131"/>
    <w:rsid w:val="00A3067B"/>
    <w:rsid w:val="00A3067F"/>
    <w:rsid w:val="00A30902"/>
    <w:rsid w:val="00A3143E"/>
    <w:rsid w:val="00A31C04"/>
    <w:rsid w:val="00A31E90"/>
    <w:rsid w:val="00A323F0"/>
    <w:rsid w:val="00A3267A"/>
    <w:rsid w:val="00A33254"/>
    <w:rsid w:val="00A354FE"/>
    <w:rsid w:val="00A36B6E"/>
    <w:rsid w:val="00A40216"/>
    <w:rsid w:val="00A4090D"/>
    <w:rsid w:val="00A426A4"/>
    <w:rsid w:val="00A43B63"/>
    <w:rsid w:val="00A43B91"/>
    <w:rsid w:val="00A44FF5"/>
    <w:rsid w:val="00A4657F"/>
    <w:rsid w:val="00A4695A"/>
    <w:rsid w:val="00A51A81"/>
    <w:rsid w:val="00A51C86"/>
    <w:rsid w:val="00A523DF"/>
    <w:rsid w:val="00A535F2"/>
    <w:rsid w:val="00A53692"/>
    <w:rsid w:val="00A53FD3"/>
    <w:rsid w:val="00A54630"/>
    <w:rsid w:val="00A5590F"/>
    <w:rsid w:val="00A56532"/>
    <w:rsid w:val="00A56C2E"/>
    <w:rsid w:val="00A56FEB"/>
    <w:rsid w:val="00A57CB7"/>
    <w:rsid w:val="00A606B6"/>
    <w:rsid w:val="00A63190"/>
    <w:rsid w:val="00A63EBE"/>
    <w:rsid w:val="00A6484E"/>
    <w:rsid w:val="00A6490D"/>
    <w:rsid w:val="00A650C9"/>
    <w:rsid w:val="00A66B0B"/>
    <w:rsid w:val="00A67177"/>
    <w:rsid w:val="00A674B2"/>
    <w:rsid w:val="00A67F35"/>
    <w:rsid w:val="00A7071C"/>
    <w:rsid w:val="00A71F79"/>
    <w:rsid w:val="00A720D9"/>
    <w:rsid w:val="00A72926"/>
    <w:rsid w:val="00A72E4C"/>
    <w:rsid w:val="00A731DD"/>
    <w:rsid w:val="00A73247"/>
    <w:rsid w:val="00A73A16"/>
    <w:rsid w:val="00A73BF7"/>
    <w:rsid w:val="00A73DB2"/>
    <w:rsid w:val="00A740D1"/>
    <w:rsid w:val="00A74414"/>
    <w:rsid w:val="00A747AE"/>
    <w:rsid w:val="00A7510F"/>
    <w:rsid w:val="00A75752"/>
    <w:rsid w:val="00A76482"/>
    <w:rsid w:val="00A76C19"/>
    <w:rsid w:val="00A804E3"/>
    <w:rsid w:val="00A8075D"/>
    <w:rsid w:val="00A80DCE"/>
    <w:rsid w:val="00A81CF6"/>
    <w:rsid w:val="00A81D85"/>
    <w:rsid w:val="00A82102"/>
    <w:rsid w:val="00A8221D"/>
    <w:rsid w:val="00A82FD7"/>
    <w:rsid w:val="00A8311C"/>
    <w:rsid w:val="00A832EC"/>
    <w:rsid w:val="00A84E62"/>
    <w:rsid w:val="00A851CE"/>
    <w:rsid w:val="00A859C9"/>
    <w:rsid w:val="00A8671B"/>
    <w:rsid w:val="00A90342"/>
    <w:rsid w:val="00A90E4C"/>
    <w:rsid w:val="00A90FFA"/>
    <w:rsid w:val="00A917F3"/>
    <w:rsid w:val="00A920A1"/>
    <w:rsid w:val="00A92142"/>
    <w:rsid w:val="00A92BC2"/>
    <w:rsid w:val="00A93096"/>
    <w:rsid w:val="00A93E68"/>
    <w:rsid w:val="00A95467"/>
    <w:rsid w:val="00AA126F"/>
    <w:rsid w:val="00AA3803"/>
    <w:rsid w:val="00AA39B1"/>
    <w:rsid w:val="00AA4998"/>
    <w:rsid w:val="00AA4B4C"/>
    <w:rsid w:val="00AA7A45"/>
    <w:rsid w:val="00AA7CCA"/>
    <w:rsid w:val="00AB0A10"/>
    <w:rsid w:val="00AB190B"/>
    <w:rsid w:val="00AB1BDF"/>
    <w:rsid w:val="00AB298C"/>
    <w:rsid w:val="00AB3945"/>
    <w:rsid w:val="00AB44D7"/>
    <w:rsid w:val="00AB47ED"/>
    <w:rsid w:val="00AB5C19"/>
    <w:rsid w:val="00AB7077"/>
    <w:rsid w:val="00AB7339"/>
    <w:rsid w:val="00AC0376"/>
    <w:rsid w:val="00AC0B23"/>
    <w:rsid w:val="00AC0E32"/>
    <w:rsid w:val="00AC174E"/>
    <w:rsid w:val="00AC1A00"/>
    <w:rsid w:val="00AC1E0F"/>
    <w:rsid w:val="00AC27DA"/>
    <w:rsid w:val="00AC28E1"/>
    <w:rsid w:val="00AC2EE8"/>
    <w:rsid w:val="00AC31C8"/>
    <w:rsid w:val="00AC32F0"/>
    <w:rsid w:val="00AC330B"/>
    <w:rsid w:val="00AC37DF"/>
    <w:rsid w:val="00AC44E1"/>
    <w:rsid w:val="00AC473E"/>
    <w:rsid w:val="00AC67DF"/>
    <w:rsid w:val="00AC6A41"/>
    <w:rsid w:val="00AC6EF3"/>
    <w:rsid w:val="00AC6F3E"/>
    <w:rsid w:val="00AC6FB1"/>
    <w:rsid w:val="00AC7739"/>
    <w:rsid w:val="00AC7876"/>
    <w:rsid w:val="00AC7AA3"/>
    <w:rsid w:val="00AC7BD8"/>
    <w:rsid w:val="00AD1FCE"/>
    <w:rsid w:val="00AD250B"/>
    <w:rsid w:val="00AD2583"/>
    <w:rsid w:val="00AD2EDD"/>
    <w:rsid w:val="00AD30E7"/>
    <w:rsid w:val="00AD31F0"/>
    <w:rsid w:val="00AD34A3"/>
    <w:rsid w:val="00AD5D57"/>
    <w:rsid w:val="00AD624D"/>
    <w:rsid w:val="00AD6544"/>
    <w:rsid w:val="00AD6F1D"/>
    <w:rsid w:val="00AE03EF"/>
    <w:rsid w:val="00AE0F30"/>
    <w:rsid w:val="00AE0FB8"/>
    <w:rsid w:val="00AE19AF"/>
    <w:rsid w:val="00AE1DF2"/>
    <w:rsid w:val="00AE1E4E"/>
    <w:rsid w:val="00AE1E72"/>
    <w:rsid w:val="00AE22EC"/>
    <w:rsid w:val="00AE2895"/>
    <w:rsid w:val="00AE4AAE"/>
    <w:rsid w:val="00AE609A"/>
    <w:rsid w:val="00AE6241"/>
    <w:rsid w:val="00AE6955"/>
    <w:rsid w:val="00AE72B6"/>
    <w:rsid w:val="00AE74A1"/>
    <w:rsid w:val="00AE752C"/>
    <w:rsid w:val="00AE776E"/>
    <w:rsid w:val="00AE7A0C"/>
    <w:rsid w:val="00AE7D70"/>
    <w:rsid w:val="00AF1C56"/>
    <w:rsid w:val="00AF1F30"/>
    <w:rsid w:val="00AF2FF8"/>
    <w:rsid w:val="00AF32FA"/>
    <w:rsid w:val="00AF40C8"/>
    <w:rsid w:val="00AF5D33"/>
    <w:rsid w:val="00AF6543"/>
    <w:rsid w:val="00B00264"/>
    <w:rsid w:val="00B0059A"/>
    <w:rsid w:val="00B007C7"/>
    <w:rsid w:val="00B0118F"/>
    <w:rsid w:val="00B01311"/>
    <w:rsid w:val="00B029E2"/>
    <w:rsid w:val="00B02B8C"/>
    <w:rsid w:val="00B03631"/>
    <w:rsid w:val="00B038B0"/>
    <w:rsid w:val="00B05F9B"/>
    <w:rsid w:val="00B06226"/>
    <w:rsid w:val="00B068CF"/>
    <w:rsid w:val="00B06A2D"/>
    <w:rsid w:val="00B06FD5"/>
    <w:rsid w:val="00B07652"/>
    <w:rsid w:val="00B076FF"/>
    <w:rsid w:val="00B07BDE"/>
    <w:rsid w:val="00B07D04"/>
    <w:rsid w:val="00B10551"/>
    <w:rsid w:val="00B108D0"/>
    <w:rsid w:val="00B11118"/>
    <w:rsid w:val="00B11CEA"/>
    <w:rsid w:val="00B1297B"/>
    <w:rsid w:val="00B12D9D"/>
    <w:rsid w:val="00B12E10"/>
    <w:rsid w:val="00B13234"/>
    <w:rsid w:val="00B148C5"/>
    <w:rsid w:val="00B15087"/>
    <w:rsid w:val="00B151D6"/>
    <w:rsid w:val="00B16040"/>
    <w:rsid w:val="00B168B1"/>
    <w:rsid w:val="00B1751A"/>
    <w:rsid w:val="00B17990"/>
    <w:rsid w:val="00B203C0"/>
    <w:rsid w:val="00B20A7A"/>
    <w:rsid w:val="00B21218"/>
    <w:rsid w:val="00B21974"/>
    <w:rsid w:val="00B21D25"/>
    <w:rsid w:val="00B21DE3"/>
    <w:rsid w:val="00B22AC9"/>
    <w:rsid w:val="00B22C64"/>
    <w:rsid w:val="00B22EF8"/>
    <w:rsid w:val="00B23840"/>
    <w:rsid w:val="00B244C6"/>
    <w:rsid w:val="00B24734"/>
    <w:rsid w:val="00B260FA"/>
    <w:rsid w:val="00B27668"/>
    <w:rsid w:val="00B27955"/>
    <w:rsid w:val="00B30926"/>
    <w:rsid w:val="00B316F7"/>
    <w:rsid w:val="00B320DC"/>
    <w:rsid w:val="00B32580"/>
    <w:rsid w:val="00B328F3"/>
    <w:rsid w:val="00B32E9B"/>
    <w:rsid w:val="00B336C3"/>
    <w:rsid w:val="00B3376E"/>
    <w:rsid w:val="00B33872"/>
    <w:rsid w:val="00B340F5"/>
    <w:rsid w:val="00B34DB2"/>
    <w:rsid w:val="00B3684B"/>
    <w:rsid w:val="00B36B20"/>
    <w:rsid w:val="00B37092"/>
    <w:rsid w:val="00B410C3"/>
    <w:rsid w:val="00B42968"/>
    <w:rsid w:val="00B440E7"/>
    <w:rsid w:val="00B4566C"/>
    <w:rsid w:val="00B45744"/>
    <w:rsid w:val="00B46F4F"/>
    <w:rsid w:val="00B47379"/>
    <w:rsid w:val="00B47382"/>
    <w:rsid w:val="00B473E1"/>
    <w:rsid w:val="00B47507"/>
    <w:rsid w:val="00B47DDC"/>
    <w:rsid w:val="00B500FA"/>
    <w:rsid w:val="00B506F1"/>
    <w:rsid w:val="00B50B89"/>
    <w:rsid w:val="00B52AD9"/>
    <w:rsid w:val="00B5312B"/>
    <w:rsid w:val="00B54143"/>
    <w:rsid w:val="00B5435C"/>
    <w:rsid w:val="00B5537B"/>
    <w:rsid w:val="00B5538A"/>
    <w:rsid w:val="00B56882"/>
    <w:rsid w:val="00B56E6A"/>
    <w:rsid w:val="00B56F08"/>
    <w:rsid w:val="00B570CE"/>
    <w:rsid w:val="00B579B6"/>
    <w:rsid w:val="00B57B0E"/>
    <w:rsid w:val="00B626C1"/>
    <w:rsid w:val="00B627EC"/>
    <w:rsid w:val="00B63566"/>
    <w:rsid w:val="00B63666"/>
    <w:rsid w:val="00B64049"/>
    <w:rsid w:val="00B644DE"/>
    <w:rsid w:val="00B64A3C"/>
    <w:rsid w:val="00B653FF"/>
    <w:rsid w:val="00B657C0"/>
    <w:rsid w:val="00B66091"/>
    <w:rsid w:val="00B66747"/>
    <w:rsid w:val="00B66B15"/>
    <w:rsid w:val="00B670B3"/>
    <w:rsid w:val="00B67EBB"/>
    <w:rsid w:val="00B7043D"/>
    <w:rsid w:val="00B70BB6"/>
    <w:rsid w:val="00B71B4C"/>
    <w:rsid w:val="00B73198"/>
    <w:rsid w:val="00B73243"/>
    <w:rsid w:val="00B73317"/>
    <w:rsid w:val="00B73B05"/>
    <w:rsid w:val="00B73B61"/>
    <w:rsid w:val="00B74F90"/>
    <w:rsid w:val="00B77246"/>
    <w:rsid w:val="00B77C5B"/>
    <w:rsid w:val="00B804A7"/>
    <w:rsid w:val="00B808C6"/>
    <w:rsid w:val="00B80A06"/>
    <w:rsid w:val="00B80BA0"/>
    <w:rsid w:val="00B81BC5"/>
    <w:rsid w:val="00B81F3B"/>
    <w:rsid w:val="00B82883"/>
    <w:rsid w:val="00B83105"/>
    <w:rsid w:val="00B83487"/>
    <w:rsid w:val="00B839B9"/>
    <w:rsid w:val="00B85EB6"/>
    <w:rsid w:val="00B86124"/>
    <w:rsid w:val="00B8620D"/>
    <w:rsid w:val="00B8788F"/>
    <w:rsid w:val="00B87EEB"/>
    <w:rsid w:val="00B9047A"/>
    <w:rsid w:val="00B91ABE"/>
    <w:rsid w:val="00B91FF9"/>
    <w:rsid w:val="00B92212"/>
    <w:rsid w:val="00B9274A"/>
    <w:rsid w:val="00B93723"/>
    <w:rsid w:val="00B947E4"/>
    <w:rsid w:val="00B96170"/>
    <w:rsid w:val="00B962E2"/>
    <w:rsid w:val="00BA0861"/>
    <w:rsid w:val="00BA0981"/>
    <w:rsid w:val="00BA0F54"/>
    <w:rsid w:val="00BA0FCA"/>
    <w:rsid w:val="00BA147C"/>
    <w:rsid w:val="00BA16D5"/>
    <w:rsid w:val="00BA1B72"/>
    <w:rsid w:val="00BA2173"/>
    <w:rsid w:val="00BA2626"/>
    <w:rsid w:val="00BA3289"/>
    <w:rsid w:val="00BA3B31"/>
    <w:rsid w:val="00BA52AA"/>
    <w:rsid w:val="00BA603F"/>
    <w:rsid w:val="00BA7715"/>
    <w:rsid w:val="00BB27C0"/>
    <w:rsid w:val="00BB5287"/>
    <w:rsid w:val="00BB5F5B"/>
    <w:rsid w:val="00BB6682"/>
    <w:rsid w:val="00BB7730"/>
    <w:rsid w:val="00BC044C"/>
    <w:rsid w:val="00BC06D7"/>
    <w:rsid w:val="00BC1CB9"/>
    <w:rsid w:val="00BC260C"/>
    <w:rsid w:val="00BC2EC8"/>
    <w:rsid w:val="00BC4670"/>
    <w:rsid w:val="00BC6EE0"/>
    <w:rsid w:val="00BC76CD"/>
    <w:rsid w:val="00BC7CE3"/>
    <w:rsid w:val="00BD04E6"/>
    <w:rsid w:val="00BD1173"/>
    <w:rsid w:val="00BD19AF"/>
    <w:rsid w:val="00BD1CFE"/>
    <w:rsid w:val="00BD295B"/>
    <w:rsid w:val="00BD2A55"/>
    <w:rsid w:val="00BD3A4C"/>
    <w:rsid w:val="00BD6169"/>
    <w:rsid w:val="00BD6465"/>
    <w:rsid w:val="00BD6BE3"/>
    <w:rsid w:val="00BD7B8C"/>
    <w:rsid w:val="00BE0123"/>
    <w:rsid w:val="00BE0E59"/>
    <w:rsid w:val="00BE14A9"/>
    <w:rsid w:val="00BE19EA"/>
    <w:rsid w:val="00BE3884"/>
    <w:rsid w:val="00BE3DBD"/>
    <w:rsid w:val="00BE58E9"/>
    <w:rsid w:val="00BE608E"/>
    <w:rsid w:val="00BE649A"/>
    <w:rsid w:val="00BE7301"/>
    <w:rsid w:val="00BF0D8F"/>
    <w:rsid w:val="00BF2BD5"/>
    <w:rsid w:val="00BF301D"/>
    <w:rsid w:val="00BF4516"/>
    <w:rsid w:val="00BF4864"/>
    <w:rsid w:val="00BF586D"/>
    <w:rsid w:val="00BF621A"/>
    <w:rsid w:val="00BF6CD7"/>
    <w:rsid w:val="00BF70EB"/>
    <w:rsid w:val="00C0039A"/>
    <w:rsid w:val="00C01BDB"/>
    <w:rsid w:val="00C0405B"/>
    <w:rsid w:val="00C0474C"/>
    <w:rsid w:val="00C04B7B"/>
    <w:rsid w:val="00C04F09"/>
    <w:rsid w:val="00C05925"/>
    <w:rsid w:val="00C1106E"/>
    <w:rsid w:val="00C1157C"/>
    <w:rsid w:val="00C120CF"/>
    <w:rsid w:val="00C121A6"/>
    <w:rsid w:val="00C12D5E"/>
    <w:rsid w:val="00C1337B"/>
    <w:rsid w:val="00C143CA"/>
    <w:rsid w:val="00C14501"/>
    <w:rsid w:val="00C14C10"/>
    <w:rsid w:val="00C1509A"/>
    <w:rsid w:val="00C157B1"/>
    <w:rsid w:val="00C161F8"/>
    <w:rsid w:val="00C171BB"/>
    <w:rsid w:val="00C17920"/>
    <w:rsid w:val="00C1793C"/>
    <w:rsid w:val="00C17FC1"/>
    <w:rsid w:val="00C20136"/>
    <w:rsid w:val="00C21AC0"/>
    <w:rsid w:val="00C21EE1"/>
    <w:rsid w:val="00C22AB1"/>
    <w:rsid w:val="00C22C46"/>
    <w:rsid w:val="00C2519E"/>
    <w:rsid w:val="00C26774"/>
    <w:rsid w:val="00C268BA"/>
    <w:rsid w:val="00C26FCB"/>
    <w:rsid w:val="00C2768A"/>
    <w:rsid w:val="00C309B1"/>
    <w:rsid w:val="00C312B1"/>
    <w:rsid w:val="00C3170E"/>
    <w:rsid w:val="00C31969"/>
    <w:rsid w:val="00C32543"/>
    <w:rsid w:val="00C330A4"/>
    <w:rsid w:val="00C332FB"/>
    <w:rsid w:val="00C33CDB"/>
    <w:rsid w:val="00C34558"/>
    <w:rsid w:val="00C34B65"/>
    <w:rsid w:val="00C3502D"/>
    <w:rsid w:val="00C37784"/>
    <w:rsid w:val="00C4036D"/>
    <w:rsid w:val="00C405E6"/>
    <w:rsid w:val="00C413FB"/>
    <w:rsid w:val="00C421E4"/>
    <w:rsid w:val="00C4281F"/>
    <w:rsid w:val="00C42C19"/>
    <w:rsid w:val="00C42C82"/>
    <w:rsid w:val="00C44FCF"/>
    <w:rsid w:val="00C45165"/>
    <w:rsid w:val="00C45214"/>
    <w:rsid w:val="00C469C4"/>
    <w:rsid w:val="00C470D9"/>
    <w:rsid w:val="00C47A89"/>
    <w:rsid w:val="00C47BAA"/>
    <w:rsid w:val="00C47EB1"/>
    <w:rsid w:val="00C507E7"/>
    <w:rsid w:val="00C51D28"/>
    <w:rsid w:val="00C51EF4"/>
    <w:rsid w:val="00C51FE1"/>
    <w:rsid w:val="00C5269A"/>
    <w:rsid w:val="00C53C7D"/>
    <w:rsid w:val="00C55BD3"/>
    <w:rsid w:val="00C56FA3"/>
    <w:rsid w:val="00C57B0E"/>
    <w:rsid w:val="00C608A2"/>
    <w:rsid w:val="00C61D8C"/>
    <w:rsid w:val="00C61E78"/>
    <w:rsid w:val="00C61F51"/>
    <w:rsid w:val="00C6278D"/>
    <w:rsid w:val="00C62A1F"/>
    <w:rsid w:val="00C6403F"/>
    <w:rsid w:val="00C64C6E"/>
    <w:rsid w:val="00C650AE"/>
    <w:rsid w:val="00C65721"/>
    <w:rsid w:val="00C65989"/>
    <w:rsid w:val="00C671CB"/>
    <w:rsid w:val="00C677D4"/>
    <w:rsid w:val="00C67A5B"/>
    <w:rsid w:val="00C67C7E"/>
    <w:rsid w:val="00C67F69"/>
    <w:rsid w:val="00C70244"/>
    <w:rsid w:val="00C70307"/>
    <w:rsid w:val="00C70D83"/>
    <w:rsid w:val="00C70E39"/>
    <w:rsid w:val="00C7135E"/>
    <w:rsid w:val="00C718BC"/>
    <w:rsid w:val="00C72A90"/>
    <w:rsid w:val="00C7353F"/>
    <w:rsid w:val="00C73735"/>
    <w:rsid w:val="00C7409D"/>
    <w:rsid w:val="00C74D8D"/>
    <w:rsid w:val="00C75734"/>
    <w:rsid w:val="00C7684A"/>
    <w:rsid w:val="00C774E6"/>
    <w:rsid w:val="00C77543"/>
    <w:rsid w:val="00C778CD"/>
    <w:rsid w:val="00C806F7"/>
    <w:rsid w:val="00C80896"/>
    <w:rsid w:val="00C80D03"/>
    <w:rsid w:val="00C8218C"/>
    <w:rsid w:val="00C821E5"/>
    <w:rsid w:val="00C841C8"/>
    <w:rsid w:val="00C842CB"/>
    <w:rsid w:val="00C84A98"/>
    <w:rsid w:val="00C84B14"/>
    <w:rsid w:val="00C84E73"/>
    <w:rsid w:val="00C856CC"/>
    <w:rsid w:val="00C86242"/>
    <w:rsid w:val="00C86887"/>
    <w:rsid w:val="00C87208"/>
    <w:rsid w:val="00C87595"/>
    <w:rsid w:val="00C913F7"/>
    <w:rsid w:val="00C91EBC"/>
    <w:rsid w:val="00C920D4"/>
    <w:rsid w:val="00C922A7"/>
    <w:rsid w:val="00C92777"/>
    <w:rsid w:val="00C936C8"/>
    <w:rsid w:val="00C93E85"/>
    <w:rsid w:val="00C94A71"/>
    <w:rsid w:val="00C95BFB"/>
    <w:rsid w:val="00C96323"/>
    <w:rsid w:val="00C96D78"/>
    <w:rsid w:val="00C971B8"/>
    <w:rsid w:val="00CA14FD"/>
    <w:rsid w:val="00CA1618"/>
    <w:rsid w:val="00CA1933"/>
    <w:rsid w:val="00CA2CE1"/>
    <w:rsid w:val="00CA35CD"/>
    <w:rsid w:val="00CA3618"/>
    <w:rsid w:val="00CA3B4E"/>
    <w:rsid w:val="00CA41EB"/>
    <w:rsid w:val="00CA469E"/>
    <w:rsid w:val="00CA4B91"/>
    <w:rsid w:val="00CA5D9A"/>
    <w:rsid w:val="00CA5E57"/>
    <w:rsid w:val="00CA6819"/>
    <w:rsid w:val="00CA68A3"/>
    <w:rsid w:val="00CA6EA5"/>
    <w:rsid w:val="00CA7BB0"/>
    <w:rsid w:val="00CB0161"/>
    <w:rsid w:val="00CB0812"/>
    <w:rsid w:val="00CB13E7"/>
    <w:rsid w:val="00CB1800"/>
    <w:rsid w:val="00CB1F7B"/>
    <w:rsid w:val="00CB3428"/>
    <w:rsid w:val="00CB4535"/>
    <w:rsid w:val="00CB520B"/>
    <w:rsid w:val="00CB531C"/>
    <w:rsid w:val="00CB5E9D"/>
    <w:rsid w:val="00CB60E2"/>
    <w:rsid w:val="00CB6578"/>
    <w:rsid w:val="00CB6E33"/>
    <w:rsid w:val="00CB76A4"/>
    <w:rsid w:val="00CC1605"/>
    <w:rsid w:val="00CC1D48"/>
    <w:rsid w:val="00CC2514"/>
    <w:rsid w:val="00CC25E3"/>
    <w:rsid w:val="00CC2D05"/>
    <w:rsid w:val="00CC35C5"/>
    <w:rsid w:val="00CC37A8"/>
    <w:rsid w:val="00CC5A1F"/>
    <w:rsid w:val="00CC5AE9"/>
    <w:rsid w:val="00CD1168"/>
    <w:rsid w:val="00CD1F47"/>
    <w:rsid w:val="00CD2012"/>
    <w:rsid w:val="00CD2869"/>
    <w:rsid w:val="00CD2EED"/>
    <w:rsid w:val="00CD3187"/>
    <w:rsid w:val="00CD3935"/>
    <w:rsid w:val="00CD452F"/>
    <w:rsid w:val="00CD4611"/>
    <w:rsid w:val="00CD4D6D"/>
    <w:rsid w:val="00CD5060"/>
    <w:rsid w:val="00CD5525"/>
    <w:rsid w:val="00CD5542"/>
    <w:rsid w:val="00CD5746"/>
    <w:rsid w:val="00CD5984"/>
    <w:rsid w:val="00CD5EDB"/>
    <w:rsid w:val="00CD647F"/>
    <w:rsid w:val="00CD6E22"/>
    <w:rsid w:val="00CD7723"/>
    <w:rsid w:val="00CE03E9"/>
    <w:rsid w:val="00CE080F"/>
    <w:rsid w:val="00CE0D8D"/>
    <w:rsid w:val="00CE1D72"/>
    <w:rsid w:val="00CE1D93"/>
    <w:rsid w:val="00CE376C"/>
    <w:rsid w:val="00CE3B0F"/>
    <w:rsid w:val="00CE4083"/>
    <w:rsid w:val="00CE42DA"/>
    <w:rsid w:val="00CE4570"/>
    <w:rsid w:val="00CE4C73"/>
    <w:rsid w:val="00CE4C86"/>
    <w:rsid w:val="00CE4F46"/>
    <w:rsid w:val="00CE6781"/>
    <w:rsid w:val="00CE6B44"/>
    <w:rsid w:val="00CE6C14"/>
    <w:rsid w:val="00CE71A3"/>
    <w:rsid w:val="00CE764B"/>
    <w:rsid w:val="00CF099B"/>
    <w:rsid w:val="00CF3244"/>
    <w:rsid w:val="00CF39E9"/>
    <w:rsid w:val="00CF4B55"/>
    <w:rsid w:val="00CF4B5A"/>
    <w:rsid w:val="00CF5824"/>
    <w:rsid w:val="00CF58D3"/>
    <w:rsid w:val="00CF5E2E"/>
    <w:rsid w:val="00CF66EE"/>
    <w:rsid w:val="00CF7B90"/>
    <w:rsid w:val="00CF7BB9"/>
    <w:rsid w:val="00D00357"/>
    <w:rsid w:val="00D017E7"/>
    <w:rsid w:val="00D0203B"/>
    <w:rsid w:val="00D021A6"/>
    <w:rsid w:val="00D027B1"/>
    <w:rsid w:val="00D03981"/>
    <w:rsid w:val="00D03C40"/>
    <w:rsid w:val="00D041A3"/>
    <w:rsid w:val="00D042A3"/>
    <w:rsid w:val="00D04C6D"/>
    <w:rsid w:val="00D04EDE"/>
    <w:rsid w:val="00D0569F"/>
    <w:rsid w:val="00D06BC7"/>
    <w:rsid w:val="00D06F18"/>
    <w:rsid w:val="00D07013"/>
    <w:rsid w:val="00D0767F"/>
    <w:rsid w:val="00D07771"/>
    <w:rsid w:val="00D10E92"/>
    <w:rsid w:val="00D13129"/>
    <w:rsid w:val="00D1316F"/>
    <w:rsid w:val="00D13A70"/>
    <w:rsid w:val="00D13AAF"/>
    <w:rsid w:val="00D144D9"/>
    <w:rsid w:val="00D14A72"/>
    <w:rsid w:val="00D15690"/>
    <w:rsid w:val="00D15C8D"/>
    <w:rsid w:val="00D170A7"/>
    <w:rsid w:val="00D17479"/>
    <w:rsid w:val="00D20A01"/>
    <w:rsid w:val="00D21330"/>
    <w:rsid w:val="00D2212A"/>
    <w:rsid w:val="00D24B77"/>
    <w:rsid w:val="00D24D7B"/>
    <w:rsid w:val="00D27883"/>
    <w:rsid w:val="00D303BB"/>
    <w:rsid w:val="00D3050C"/>
    <w:rsid w:val="00D30C07"/>
    <w:rsid w:val="00D319DE"/>
    <w:rsid w:val="00D31CDB"/>
    <w:rsid w:val="00D3319A"/>
    <w:rsid w:val="00D333C2"/>
    <w:rsid w:val="00D33F84"/>
    <w:rsid w:val="00D35127"/>
    <w:rsid w:val="00D351E1"/>
    <w:rsid w:val="00D36F3C"/>
    <w:rsid w:val="00D377CD"/>
    <w:rsid w:val="00D37804"/>
    <w:rsid w:val="00D40763"/>
    <w:rsid w:val="00D4126F"/>
    <w:rsid w:val="00D41499"/>
    <w:rsid w:val="00D41871"/>
    <w:rsid w:val="00D419A6"/>
    <w:rsid w:val="00D41AC7"/>
    <w:rsid w:val="00D4227A"/>
    <w:rsid w:val="00D43A17"/>
    <w:rsid w:val="00D43C20"/>
    <w:rsid w:val="00D44242"/>
    <w:rsid w:val="00D444A6"/>
    <w:rsid w:val="00D44D39"/>
    <w:rsid w:val="00D45EA5"/>
    <w:rsid w:val="00D465C3"/>
    <w:rsid w:val="00D468BC"/>
    <w:rsid w:val="00D4740B"/>
    <w:rsid w:val="00D47951"/>
    <w:rsid w:val="00D47A06"/>
    <w:rsid w:val="00D47FA2"/>
    <w:rsid w:val="00D5011E"/>
    <w:rsid w:val="00D5056C"/>
    <w:rsid w:val="00D51306"/>
    <w:rsid w:val="00D52089"/>
    <w:rsid w:val="00D532AF"/>
    <w:rsid w:val="00D53746"/>
    <w:rsid w:val="00D53B7F"/>
    <w:rsid w:val="00D53E80"/>
    <w:rsid w:val="00D56329"/>
    <w:rsid w:val="00D5642D"/>
    <w:rsid w:val="00D56D86"/>
    <w:rsid w:val="00D56E21"/>
    <w:rsid w:val="00D575C5"/>
    <w:rsid w:val="00D577B0"/>
    <w:rsid w:val="00D600A7"/>
    <w:rsid w:val="00D60808"/>
    <w:rsid w:val="00D60D4C"/>
    <w:rsid w:val="00D6117F"/>
    <w:rsid w:val="00D61245"/>
    <w:rsid w:val="00D617A2"/>
    <w:rsid w:val="00D629D5"/>
    <w:rsid w:val="00D6322D"/>
    <w:rsid w:val="00D66E8E"/>
    <w:rsid w:val="00D675EC"/>
    <w:rsid w:val="00D67813"/>
    <w:rsid w:val="00D67CA7"/>
    <w:rsid w:val="00D7023A"/>
    <w:rsid w:val="00D70A44"/>
    <w:rsid w:val="00D70DEF"/>
    <w:rsid w:val="00D739A2"/>
    <w:rsid w:val="00D7426E"/>
    <w:rsid w:val="00D7473F"/>
    <w:rsid w:val="00D74F32"/>
    <w:rsid w:val="00D75041"/>
    <w:rsid w:val="00D75D9D"/>
    <w:rsid w:val="00D75E0E"/>
    <w:rsid w:val="00D7641E"/>
    <w:rsid w:val="00D76D0D"/>
    <w:rsid w:val="00D800AC"/>
    <w:rsid w:val="00D806F2"/>
    <w:rsid w:val="00D81122"/>
    <w:rsid w:val="00D8152D"/>
    <w:rsid w:val="00D819C0"/>
    <w:rsid w:val="00D81D3A"/>
    <w:rsid w:val="00D825C1"/>
    <w:rsid w:val="00D8279E"/>
    <w:rsid w:val="00D82D80"/>
    <w:rsid w:val="00D836AB"/>
    <w:rsid w:val="00D83D08"/>
    <w:rsid w:val="00D84A3D"/>
    <w:rsid w:val="00D84D26"/>
    <w:rsid w:val="00D85207"/>
    <w:rsid w:val="00D8720A"/>
    <w:rsid w:val="00D8743A"/>
    <w:rsid w:val="00D87A0D"/>
    <w:rsid w:val="00D87F07"/>
    <w:rsid w:val="00D90433"/>
    <w:rsid w:val="00D90C34"/>
    <w:rsid w:val="00D91256"/>
    <w:rsid w:val="00D912BA"/>
    <w:rsid w:val="00D917CE"/>
    <w:rsid w:val="00D92610"/>
    <w:rsid w:val="00D93C2B"/>
    <w:rsid w:val="00D94430"/>
    <w:rsid w:val="00D94C21"/>
    <w:rsid w:val="00D94D39"/>
    <w:rsid w:val="00D9557C"/>
    <w:rsid w:val="00D95581"/>
    <w:rsid w:val="00D96160"/>
    <w:rsid w:val="00D965CB"/>
    <w:rsid w:val="00D96A46"/>
    <w:rsid w:val="00D96DD3"/>
    <w:rsid w:val="00D97687"/>
    <w:rsid w:val="00D9779E"/>
    <w:rsid w:val="00DA2686"/>
    <w:rsid w:val="00DA3A08"/>
    <w:rsid w:val="00DA416C"/>
    <w:rsid w:val="00DA4716"/>
    <w:rsid w:val="00DA5902"/>
    <w:rsid w:val="00DA6148"/>
    <w:rsid w:val="00DA6BFD"/>
    <w:rsid w:val="00DA7044"/>
    <w:rsid w:val="00DA7A7D"/>
    <w:rsid w:val="00DB0737"/>
    <w:rsid w:val="00DB0BAF"/>
    <w:rsid w:val="00DB0FCF"/>
    <w:rsid w:val="00DB117E"/>
    <w:rsid w:val="00DB11F7"/>
    <w:rsid w:val="00DB2635"/>
    <w:rsid w:val="00DB3303"/>
    <w:rsid w:val="00DB34F2"/>
    <w:rsid w:val="00DB570E"/>
    <w:rsid w:val="00DB7D64"/>
    <w:rsid w:val="00DC09AF"/>
    <w:rsid w:val="00DC0D11"/>
    <w:rsid w:val="00DC0F51"/>
    <w:rsid w:val="00DC16D2"/>
    <w:rsid w:val="00DC1AEA"/>
    <w:rsid w:val="00DC29E1"/>
    <w:rsid w:val="00DC344C"/>
    <w:rsid w:val="00DC37B1"/>
    <w:rsid w:val="00DC3FE5"/>
    <w:rsid w:val="00DC420B"/>
    <w:rsid w:val="00DC4329"/>
    <w:rsid w:val="00DC4F3D"/>
    <w:rsid w:val="00DC6D19"/>
    <w:rsid w:val="00DC73DA"/>
    <w:rsid w:val="00DD0EAC"/>
    <w:rsid w:val="00DD1259"/>
    <w:rsid w:val="00DD16DF"/>
    <w:rsid w:val="00DD17BA"/>
    <w:rsid w:val="00DD1994"/>
    <w:rsid w:val="00DD1DD1"/>
    <w:rsid w:val="00DD2455"/>
    <w:rsid w:val="00DD2C1A"/>
    <w:rsid w:val="00DD2C38"/>
    <w:rsid w:val="00DD348F"/>
    <w:rsid w:val="00DD379E"/>
    <w:rsid w:val="00DD3A55"/>
    <w:rsid w:val="00DD3D54"/>
    <w:rsid w:val="00DD4292"/>
    <w:rsid w:val="00DD4648"/>
    <w:rsid w:val="00DD481F"/>
    <w:rsid w:val="00DD6CCE"/>
    <w:rsid w:val="00DD6E50"/>
    <w:rsid w:val="00DD781D"/>
    <w:rsid w:val="00DE002D"/>
    <w:rsid w:val="00DE088A"/>
    <w:rsid w:val="00DE2149"/>
    <w:rsid w:val="00DE30F6"/>
    <w:rsid w:val="00DE389F"/>
    <w:rsid w:val="00DE434F"/>
    <w:rsid w:val="00DE43E9"/>
    <w:rsid w:val="00DE44FC"/>
    <w:rsid w:val="00DE4907"/>
    <w:rsid w:val="00DE49DB"/>
    <w:rsid w:val="00DE4BC9"/>
    <w:rsid w:val="00DE5A1D"/>
    <w:rsid w:val="00DE5B8A"/>
    <w:rsid w:val="00DE607F"/>
    <w:rsid w:val="00DE6EA0"/>
    <w:rsid w:val="00DE7C13"/>
    <w:rsid w:val="00DE7C3C"/>
    <w:rsid w:val="00DE7E40"/>
    <w:rsid w:val="00DF1834"/>
    <w:rsid w:val="00DF273A"/>
    <w:rsid w:val="00DF2F05"/>
    <w:rsid w:val="00DF2FE2"/>
    <w:rsid w:val="00DF3831"/>
    <w:rsid w:val="00DF42CC"/>
    <w:rsid w:val="00DF4ACE"/>
    <w:rsid w:val="00DF4FC5"/>
    <w:rsid w:val="00DF67CF"/>
    <w:rsid w:val="00DF6F3F"/>
    <w:rsid w:val="00DF71D7"/>
    <w:rsid w:val="00DF7ED6"/>
    <w:rsid w:val="00E003CE"/>
    <w:rsid w:val="00E013D6"/>
    <w:rsid w:val="00E02152"/>
    <w:rsid w:val="00E03720"/>
    <w:rsid w:val="00E03FB9"/>
    <w:rsid w:val="00E03FE7"/>
    <w:rsid w:val="00E05599"/>
    <w:rsid w:val="00E05C5D"/>
    <w:rsid w:val="00E06964"/>
    <w:rsid w:val="00E0761B"/>
    <w:rsid w:val="00E10732"/>
    <w:rsid w:val="00E10A62"/>
    <w:rsid w:val="00E10D09"/>
    <w:rsid w:val="00E10D6E"/>
    <w:rsid w:val="00E10EF6"/>
    <w:rsid w:val="00E11036"/>
    <w:rsid w:val="00E11493"/>
    <w:rsid w:val="00E11BD2"/>
    <w:rsid w:val="00E11EE7"/>
    <w:rsid w:val="00E1245E"/>
    <w:rsid w:val="00E12948"/>
    <w:rsid w:val="00E12CFC"/>
    <w:rsid w:val="00E144BA"/>
    <w:rsid w:val="00E16679"/>
    <w:rsid w:val="00E16C16"/>
    <w:rsid w:val="00E17E0B"/>
    <w:rsid w:val="00E2031A"/>
    <w:rsid w:val="00E20611"/>
    <w:rsid w:val="00E20DB6"/>
    <w:rsid w:val="00E224CB"/>
    <w:rsid w:val="00E22F9A"/>
    <w:rsid w:val="00E2366F"/>
    <w:rsid w:val="00E23838"/>
    <w:rsid w:val="00E2394B"/>
    <w:rsid w:val="00E251B8"/>
    <w:rsid w:val="00E25C02"/>
    <w:rsid w:val="00E25C58"/>
    <w:rsid w:val="00E26A6A"/>
    <w:rsid w:val="00E2711C"/>
    <w:rsid w:val="00E27ED2"/>
    <w:rsid w:val="00E30755"/>
    <w:rsid w:val="00E30F92"/>
    <w:rsid w:val="00E312CF"/>
    <w:rsid w:val="00E31349"/>
    <w:rsid w:val="00E314CB"/>
    <w:rsid w:val="00E31998"/>
    <w:rsid w:val="00E31E10"/>
    <w:rsid w:val="00E3297C"/>
    <w:rsid w:val="00E329E7"/>
    <w:rsid w:val="00E32BF2"/>
    <w:rsid w:val="00E331C7"/>
    <w:rsid w:val="00E339B0"/>
    <w:rsid w:val="00E354DD"/>
    <w:rsid w:val="00E3659D"/>
    <w:rsid w:val="00E367B3"/>
    <w:rsid w:val="00E3696E"/>
    <w:rsid w:val="00E36BA7"/>
    <w:rsid w:val="00E37427"/>
    <w:rsid w:val="00E374E3"/>
    <w:rsid w:val="00E3777B"/>
    <w:rsid w:val="00E378AB"/>
    <w:rsid w:val="00E379A3"/>
    <w:rsid w:val="00E37DA2"/>
    <w:rsid w:val="00E40424"/>
    <w:rsid w:val="00E40AA1"/>
    <w:rsid w:val="00E40AFB"/>
    <w:rsid w:val="00E414A0"/>
    <w:rsid w:val="00E443FE"/>
    <w:rsid w:val="00E44FFA"/>
    <w:rsid w:val="00E459BB"/>
    <w:rsid w:val="00E45A22"/>
    <w:rsid w:val="00E463FC"/>
    <w:rsid w:val="00E4699C"/>
    <w:rsid w:val="00E46BA8"/>
    <w:rsid w:val="00E470AE"/>
    <w:rsid w:val="00E478AB"/>
    <w:rsid w:val="00E47936"/>
    <w:rsid w:val="00E47B77"/>
    <w:rsid w:val="00E47D18"/>
    <w:rsid w:val="00E50A41"/>
    <w:rsid w:val="00E52FEE"/>
    <w:rsid w:val="00E5326B"/>
    <w:rsid w:val="00E53940"/>
    <w:rsid w:val="00E5567D"/>
    <w:rsid w:val="00E55B7A"/>
    <w:rsid w:val="00E56429"/>
    <w:rsid w:val="00E564B1"/>
    <w:rsid w:val="00E565EE"/>
    <w:rsid w:val="00E56BB2"/>
    <w:rsid w:val="00E601BA"/>
    <w:rsid w:val="00E60493"/>
    <w:rsid w:val="00E61233"/>
    <w:rsid w:val="00E62895"/>
    <w:rsid w:val="00E633D5"/>
    <w:rsid w:val="00E6418D"/>
    <w:rsid w:val="00E6448D"/>
    <w:rsid w:val="00E64CEB"/>
    <w:rsid w:val="00E66A4A"/>
    <w:rsid w:val="00E66B63"/>
    <w:rsid w:val="00E67AB8"/>
    <w:rsid w:val="00E67B68"/>
    <w:rsid w:val="00E70B33"/>
    <w:rsid w:val="00E70D27"/>
    <w:rsid w:val="00E70ED6"/>
    <w:rsid w:val="00E7104E"/>
    <w:rsid w:val="00E71797"/>
    <w:rsid w:val="00E71BA0"/>
    <w:rsid w:val="00E71C7F"/>
    <w:rsid w:val="00E721BA"/>
    <w:rsid w:val="00E73CDF"/>
    <w:rsid w:val="00E752FE"/>
    <w:rsid w:val="00E753D8"/>
    <w:rsid w:val="00E76DF0"/>
    <w:rsid w:val="00E76F93"/>
    <w:rsid w:val="00E80716"/>
    <w:rsid w:val="00E80B57"/>
    <w:rsid w:val="00E810C9"/>
    <w:rsid w:val="00E813B7"/>
    <w:rsid w:val="00E81762"/>
    <w:rsid w:val="00E8253A"/>
    <w:rsid w:val="00E82CB5"/>
    <w:rsid w:val="00E83E58"/>
    <w:rsid w:val="00E84071"/>
    <w:rsid w:val="00E84682"/>
    <w:rsid w:val="00E86807"/>
    <w:rsid w:val="00E869C6"/>
    <w:rsid w:val="00E87306"/>
    <w:rsid w:val="00E91F85"/>
    <w:rsid w:val="00E93853"/>
    <w:rsid w:val="00E93A9A"/>
    <w:rsid w:val="00E940D6"/>
    <w:rsid w:val="00E9424B"/>
    <w:rsid w:val="00E949C2"/>
    <w:rsid w:val="00E95063"/>
    <w:rsid w:val="00E9635B"/>
    <w:rsid w:val="00EA004D"/>
    <w:rsid w:val="00EA0139"/>
    <w:rsid w:val="00EA031C"/>
    <w:rsid w:val="00EA11C4"/>
    <w:rsid w:val="00EA1207"/>
    <w:rsid w:val="00EA1A23"/>
    <w:rsid w:val="00EA1E2A"/>
    <w:rsid w:val="00EA20E2"/>
    <w:rsid w:val="00EA26EA"/>
    <w:rsid w:val="00EA27FB"/>
    <w:rsid w:val="00EA2A72"/>
    <w:rsid w:val="00EA2F32"/>
    <w:rsid w:val="00EA2F52"/>
    <w:rsid w:val="00EA30D2"/>
    <w:rsid w:val="00EA3589"/>
    <w:rsid w:val="00EA3C6E"/>
    <w:rsid w:val="00EA432F"/>
    <w:rsid w:val="00EA494B"/>
    <w:rsid w:val="00EA533B"/>
    <w:rsid w:val="00EA6FED"/>
    <w:rsid w:val="00EB141F"/>
    <w:rsid w:val="00EB24F0"/>
    <w:rsid w:val="00EB31F0"/>
    <w:rsid w:val="00EB56CF"/>
    <w:rsid w:val="00EB58A6"/>
    <w:rsid w:val="00EB5DBC"/>
    <w:rsid w:val="00EB6738"/>
    <w:rsid w:val="00EB6A3E"/>
    <w:rsid w:val="00EB7A20"/>
    <w:rsid w:val="00EC005D"/>
    <w:rsid w:val="00EC05F4"/>
    <w:rsid w:val="00EC1774"/>
    <w:rsid w:val="00EC1AF3"/>
    <w:rsid w:val="00EC1F27"/>
    <w:rsid w:val="00EC2DA7"/>
    <w:rsid w:val="00EC3428"/>
    <w:rsid w:val="00EC37B2"/>
    <w:rsid w:val="00EC4CC1"/>
    <w:rsid w:val="00EC556D"/>
    <w:rsid w:val="00EC569F"/>
    <w:rsid w:val="00EC6FAB"/>
    <w:rsid w:val="00EC7646"/>
    <w:rsid w:val="00EC799E"/>
    <w:rsid w:val="00EC7FC6"/>
    <w:rsid w:val="00ED1080"/>
    <w:rsid w:val="00ED13E5"/>
    <w:rsid w:val="00ED1B87"/>
    <w:rsid w:val="00ED27B6"/>
    <w:rsid w:val="00ED2FDF"/>
    <w:rsid w:val="00ED45A5"/>
    <w:rsid w:val="00ED4BC8"/>
    <w:rsid w:val="00ED5106"/>
    <w:rsid w:val="00ED6D34"/>
    <w:rsid w:val="00ED73AB"/>
    <w:rsid w:val="00ED7C3F"/>
    <w:rsid w:val="00EE025F"/>
    <w:rsid w:val="00EE1632"/>
    <w:rsid w:val="00EE1652"/>
    <w:rsid w:val="00EE36C1"/>
    <w:rsid w:val="00EE3BB6"/>
    <w:rsid w:val="00EE419B"/>
    <w:rsid w:val="00EE43FC"/>
    <w:rsid w:val="00EE4BC8"/>
    <w:rsid w:val="00EE5667"/>
    <w:rsid w:val="00EE598F"/>
    <w:rsid w:val="00EE5D37"/>
    <w:rsid w:val="00EE7644"/>
    <w:rsid w:val="00EE797B"/>
    <w:rsid w:val="00EF05AC"/>
    <w:rsid w:val="00EF0D97"/>
    <w:rsid w:val="00EF1D84"/>
    <w:rsid w:val="00EF273D"/>
    <w:rsid w:val="00EF3236"/>
    <w:rsid w:val="00EF36D6"/>
    <w:rsid w:val="00EF3E7C"/>
    <w:rsid w:val="00EF41BB"/>
    <w:rsid w:val="00EF4D53"/>
    <w:rsid w:val="00EF6059"/>
    <w:rsid w:val="00EF665E"/>
    <w:rsid w:val="00EF66D1"/>
    <w:rsid w:val="00EF6D0F"/>
    <w:rsid w:val="00EF6EFE"/>
    <w:rsid w:val="00EF7161"/>
    <w:rsid w:val="00EF78BC"/>
    <w:rsid w:val="00F009A9"/>
    <w:rsid w:val="00F009BD"/>
    <w:rsid w:val="00F01FCF"/>
    <w:rsid w:val="00F02274"/>
    <w:rsid w:val="00F0353B"/>
    <w:rsid w:val="00F037E1"/>
    <w:rsid w:val="00F03AA1"/>
    <w:rsid w:val="00F03D97"/>
    <w:rsid w:val="00F056E6"/>
    <w:rsid w:val="00F060E3"/>
    <w:rsid w:val="00F063CB"/>
    <w:rsid w:val="00F06533"/>
    <w:rsid w:val="00F07E3A"/>
    <w:rsid w:val="00F113B7"/>
    <w:rsid w:val="00F117A8"/>
    <w:rsid w:val="00F12DA8"/>
    <w:rsid w:val="00F15356"/>
    <w:rsid w:val="00F153B8"/>
    <w:rsid w:val="00F15F86"/>
    <w:rsid w:val="00F17306"/>
    <w:rsid w:val="00F174B5"/>
    <w:rsid w:val="00F20540"/>
    <w:rsid w:val="00F208DC"/>
    <w:rsid w:val="00F21EAF"/>
    <w:rsid w:val="00F22362"/>
    <w:rsid w:val="00F22ECA"/>
    <w:rsid w:val="00F232B1"/>
    <w:rsid w:val="00F23B3A"/>
    <w:rsid w:val="00F24033"/>
    <w:rsid w:val="00F24986"/>
    <w:rsid w:val="00F26AA3"/>
    <w:rsid w:val="00F26E46"/>
    <w:rsid w:val="00F27409"/>
    <w:rsid w:val="00F31B06"/>
    <w:rsid w:val="00F32608"/>
    <w:rsid w:val="00F3408A"/>
    <w:rsid w:val="00F34A3C"/>
    <w:rsid w:val="00F3599C"/>
    <w:rsid w:val="00F36FF0"/>
    <w:rsid w:val="00F3706A"/>
    <w:rsid w:val="00F37CD5"/>
    <w:rsid w:val="00F41128"/>
    <w:rsid w:val="00F41910"/>
    <w:rsid w:val="00F4297D"/>
    <w:rsid w:val="00F43D2F"/>
    <w:rsid w:val="00F43E79"/>
    <w:rsid w:val="00F44651"/>
    <w:rsid w:val="00F44962"/>
    <w:rsid w:val="00F45648"/>
    <w:rsid w:val="00F45DE8"/>
    <w:rsid w:val="00F460F5"/>
    <w:rsid w:val="00F465A6"/>
    <w:rsid w:val="00F472B3"/>
    <w:rsid w:val="00F47384"/>
    <w:rsid w:val="00F474FF"/>
    <w:rsid w:val="00F508F1"/>
    <w:rsid w:val="00F5100B"/>
    <w:rsid w:val="00F53247"/>
    <w:rsid w:val="00F541B0"/>
    <w:rsid w:val="00F54962"/>
    <w:rsid w:val="00F551E1"/>
    <w:rsid w:val="00F551F5"/>
    <w:rsid w:val="00F5557A"/>
    <w:rsid w:val="00F55A82"/>
    <w:rsid w:val="00F55E87"/>
    <w:rsid w:val="00F55F21"/>
    <w:rsid w:val="00F562D5"/>
    <w:rsid w:val="00F60318"/>
    <w:rsid w:val="00F60515"/>
    <w:rsid w:val="00F60F8B"/>
    <w:rsid w:val="00F6164A"/>
    <w:rsid w:val="00F62112"/>
    <w:rsid w:val="00F62688"/>
    <w:rsid w:val="00F62BDA"/>
    <w:rsid w:val="00F63466"/>
    <w:rsid w:val="00F64598"/>
    <w:rsid w:val="00F656EC"/>
    <w:rsid w:val="00F65E77"/>
    <w:rsid w:val="00F6674D"/>
    <w:rsid w:val="00F700AB"/>
    <w:rsid w:val="00F703CB"/>
    <w:rsid w:val="00F70701"/>
    <w:rsid w:val="00F70C78"/>
    <w:rsid w:val="00F71181"/>
    <w:rsid w:val="00F7226E"/>
    <w:rsid w:val="00F7279F"/>
    <w:rsid w:val="00F728E3"/>
    <w:rsid w:val="00F72FF9"/>
    <w:rsid w:val="00F734F2"/>
    <w:rsid w:val="00F73C61"/>
    <w:rsid w:val="00F74570"/>
    <w:rsid w:val="00F74EB9"/>
    <w:rsid w:val="00F751C9"/>
    <w:rsid w:val="00F757A0"/>
    <w:rsid w:val="00F75F11"/>
    <w:rsid w:val="00F75F79"/>
    <w:rsid w:val="00F815AC"/>
    <w:rsid w:val="00F81DA6"/>
    <w:rsid w:val="00F8264F"/>
    <w:rsid w:val="00F8278B"/>
    <w:rsid w:val="00F82B43"/>
    <w:rsid w:val="00F82C98"/>
    <w:rsid w:val="00F82D46"/>
    <w:rsid w:val="00F84FC9"/>
    <w:rsid w:val="00F85E18"/>
    <w:rsid w:val="00F85E1E"/>
    <w:rsid w:val="00F86469"/>
    <w:rsid w:val="00F912FA"/>
    <w:rsid w:val="00F9130C"/>
    <w:rsid w:val="00F9192C"/>
    <w:rsid w:val="00F91BC9"/>
    <w:rsid w:val="00F92516"/>
    <w:rsid w:val="00F929CE"/>
    <w:rsid w:val="00F929EF"/>
    <w:rsid w:val="00F92B3D"/>
    <w:rsid w:val="00F92BD7"/>
    <w:rsid w:val="00F932F9"/>
    <w:rsid w:val="00F943AB"/>
    <w:rsid w:val="00F95FDE"/>
    <w:rsid w:val="00F965E8"/>
    <w:rsid w:val="00F96DEE"/>
    <w:rsid w:val="00F97511"/>
    <w:rsid w:val="00F97A68"/>
    <w:rsid w:val="00FA03B8"/>
    <w:rsid w:val="00FA0E89"/>
    <w:rsid w:val="00FA110C"/>
    <w:rsid w:val="00FA1955"/>
    <w:rsid w:val="00FA1C18"/>
    <w:rsid w:val="00FA1DB6"/>
    <w:rsid w:val="00FA25B7"/>
    <w:rsid w:val="00FA5359"/>
    <w:rsid w:val="00FA5706"/>
    <w:rsid w:val="00FA5E55"/>
    <w:rsid w:val="00FA5E6A"/>
    <w:rsid w:val="00FB06D3"/>
    <w:rsid w:val="00FB0C74"/>
    <w:rsid w:val="00FB13C4"/>
    <w:rsid w:val="00FB191B"/>
    <w:rsid w:val="00FB2586"/>
    <w:rsid w:val="00FB26D3"/>
    <w:rsid w:val="00FB2FC9"/>
    <w:rsid w:val="00FB34FF"/>
    <w:rsid w:val="00FB390E"/>
    <w:rsid w:val="00FB46CC"/>
    <w:rsid w:val="00FB4E8C"/>
    <w:rsid w:val="00FB53D0"/>
    <w:rsid w:val="00FB58BE"/>
    <w:rsid w:val="00FB6FFA"/>
    <w:rsid w:val="00FC0222"/>
    <w:rsid w:val="00FC1DEB"/>
    <w:rsid w:val="00FC20B0"/>
    <w:rsid w:val="00FC2F12"/>
    <w:rsid w:val="00FC2F15"/>
    <w:rsid w:val="00FC37DF"/>
    <w:rsid w:val="00FC3946"/>
    <w:rsid w:val="00FC3DE3"/>
    <w:rsid w:val="00FC4087"/>
    <w:rsid w:val="00FC4695"/>
    <w:rsid w:val="00FC5802"/>
    <w:rsid w:val="00FC5DE4"/>
    <w:rsid w:val="00FC6A26"/>
    <w:rsid w:val="00FC76AB"/>
    <w:rsid w:val="00FC7CAA"/>
    <w:rsid w:val="00FC7F3F"/>
    <w:rsid w:val="00FD18BE"/>
    <w:rsid w:val="00FD2B26"/>
    <w:rsid w:val="00FD2F0A"/>
    <w:rsid w:val="00FD307C"/>
    <w:rsid w:val="00FD31F3"/>
    <w:rsid w:val="00FD371A"/>
    <w:rsid w:val="00FD3762"/>
    <w:rsid w:val="00FD429F"/>
    <w:rsid w:val="00FD4331"/>
    <w:rsid w:val="00FD53D3"/>
    <w:rsid w:val="00FD5707"/>
    <w:rsid w:val="00FD595C"/>
    <w:rsid w:val="00FD60E0"/>
    <w:rsid w:val="00FD6131"/>
    <w:rsid w:val="00FD6189"/>
    <w:rsid w:val="00FD6540"/>
    <w:rsid w:val="00FE2CB6"/>
    <w:rsid w:val="00FE3899"/>
    <w:rsid w:val="00FE3B31"/>
    <w:rsid w:val="00FE42F7"/>
    <w:rsid w:val="00FE44C5"/>
    <w:rsid w:val="00FE4896"/>
    <w:rsid w:val="00FE4907"/>
    <w:rsid w:val="00FE493D"/>
    <w:rsid w:val="00FE5183"/>
    <w:rsid w:val="00FE5644"/>
    <w:rsid w:val="00FE56E3"/>
    <w:rsid w:val="00FE7198"/>
    <w:rsid w:val="00FE76EC"/>
    <w:rsid w:val="00FE77A8"/>
    <w:rsid w:val="00FF0D20"/>
    <w:rsid w:val="00FF0DA6"/>
    <w:rsid w:val="00FF120C"/>
    <w:rsid w:val="00FF1B80"/>
    <w:rsid w:val="00FF243F"/>
    <w:rsid w:val="00FF2EF0"/>
    <w:rsid w:val="00FF306F"/>
    <w:rsid w:val="00FF3A1B"/>
    <w:rsid w:val="00FF4074"/>
    <w:rsid w:val="00FF4261"/>
    <w:rsid w:val="00FF4747"/>
    <w:rsid w:val="00FF5D82"/>
    <w:rsid w:val="00FF7C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21D6A6"/>
  <w15:docId w15:val="{D913C553-844B-4214-B6EA-DC251C3E3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D19B5"/>
    <w:pPr>
      <w:spacing w:after="120"/>
    </w:pPr>
    <w:rPr>
      <w:rFonts w:ascii="Arial" w:hAnsi="Arial"/>
      <w:sz w:val="22"/>
      <w:szCs w:val="24"/>
    </w:rPr>
  </w:style>
  <w:style w:type="paragraph" w:styleId="Titolo1">
    <w:name w:val="heading 1"/>
    <w:basedOn w:val="Normale"/>
    <w:next w:val="Normale"/>
    <w:link w:val="Titolo1Carattere"/>
    <w:uiPriority w:val="99"/>
    <w:qFormat/>
    <w:rsid w:val="00FB34FF"/>
    <w:pPr>
      <w:keepNext/>
      <w:jc w:val="both"/>
      <w:outlineLvl w:val="0"/>
    </w:pPr>
    <w:rPr>
      <w:rFonts w:ascii="Verdana" w:hAnsi="Verdana"/>
      <w:b/>
      <w:bCs/>
    </w:rPr>
  </w:style>
  <w:style w:type="paragraph" w:styleId="Titolo2">
    <w:name w:val="heading 2"/>
    <w:basedOn w:val="Normale"/>
    <w:link w:val="Titolo2Carattere"/>
    <w:uiPriority w:val="99"/>
    <w:qFormat/>
    <w:rsid w:val="00FB34FF"/>
    <w:pPr>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aliases w:val="A Footnote,Footnote,Footnote1,Footnote2,Footnote3,Footnote4,Footnote5,Footnote6,Footnote7,Footnote8,Footnote9,Footnote10,Footnote11,Footnote21,Footnote31,Footnote41,Footnote51,Footnote61,Footnote71,Footnote81,Footnote91"/>
    <w:basedOn w:val="Normale"/>
    <w:link w:val="TestonotaapidipaginaCarattere"/>
    <w:rsid w:val="00FB34FF"/>
    <w:rPr>
      <w:sz w:val="20"/>
      <w:szCs w:val="20"/>
    </w:rPr>
  </w:style>
  <w:style w:type="character" w:styleId="Rimandonotaapidipagina">
    <w:name w:val="footnote reference"/>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rsid w:val="00FB34FF"/>
    <w:rPr>
      <w:color w:val="0000FF"/>
      <w:u w:val="single"/>
    </w:rPr>
  </w:style>
  <w:style w:type="paragraph" w:styleId="Rientrocorpodeltesto">
    <w:name w:val="Body Text Indent"/>
    <w:basedOn w:val="Normale"/>
    <w:link w:val="RientrocorpodeltestoCarattere"/>
    <w:uiPriority w:val="99"/>
    <w:rsid w:val="00FB34FF"/>
    <w:pPr>
      <w:ind w:left="283"/>
      <w:jc w:val="both"/>
    </w:pPr>
    <w:rPr>
      <w:rFonts w:ascii="Verdana" w:hAnsi="Verdana"/>
    </w:rPr>
  </w:style>
  <w:style w:type="paragraph" w:styleId="Corpotesto">
    <w:name w:val="Body Text"/>
    <w:basedOn w:val="Normale"/>
    <w:link w:val="CorpotestoCarattere"/>
    <w:uiPriority w:val="99"/>
    <w:rsid w:val="00FB34FF"/>
    <w:pPr>
      <w:spacing w:line="360" w:lineRule="auto"/>
    </w:pPr>
    <w:rPr>
      <w:rFonts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ind w:left="360"/>
      <w:jc w:val="both"/>
    </w:pPr>
    <w:rPr>
      <w:rFonts w:cs="Arial"/>
      <w:sz w:val="23"/>
      <w:szCs w:val="23"/>
    </w:rPr>
  </w:style>
  <w:style w:type="paragraph" w:styleId="Rientrocorpodeltesto3">
    <w:name w:val="Body Text Indent 3"/>
    <w:basedOn w:val="Normale"/>
    <w:rsid w:val="00FB34FF"/>
    <w:pPr>
      <w:ind w:left="540"/>
      <w:jc w:val="both"/>
    </w:pPr>
    <w:rPr>
      <w:rFonts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34"/>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3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aliases w:val="A Footnote Carattere,Footnote Carattere,Footnote1 Carattere,Footnote2 Carattere,Footnote3 Carattere,Footnote4 Carattere,Footnote5 Carattere,Footnote6 Carattere,Footnote7 Carattere,Footnote8 Carattere"/>
    <w:basedOn w:val="Carpredefinitoparagrafo"/>
    <w:link w:val="Testonotaapidipagina"/>
    <w:uiPriority w:val="99"/>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table" w:customStyle="1" w:styleId="Elencochiaro-Colore11">
    <w:name w:val="Elenco chiaro - Colore 11"/>
    <w:basedOn w:val="Tabellanormale"/>
    <w:uiPriority w:val="61"/>
    <w:rsid w:val="0001542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aelenco1chiara-colore31">
    <w:name w:val="Tabella elenco 1 chiara - colore 31"/>
    <w:basedOn w:val="Tabellanormale"/>
    <w:uiPriority w:val="46"/>
    <w:rsid w:val="00F62688"/>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itolo">
    <w:name w:val="Title"/>
    <w:basedOn w:val="Normale"/>
    <w:next w:val="Normale"/>
    <w:link w:val="TitoloCarattere"/>
    <w:qFormat/>
    <w:rsid w:val="00D75E0E"/>
    <w:pPr>
      <w:spacing w:after="100" w:afterAutospacing="1"/>
      <w:contextualSpacing/>
    </w:pPr>
    <w:rPr>
      <w:rFonts w:eastAsiaTheme="majorEastAsia" w:cstheme="majorBidi"/>
      <w:b/>
      <w:color w:val="1F497D"/>
      <w:spacing w:val="-10"/>
      <w:kern w:val="28"/>
      <w:sz w:val="26"/>
      <w:szCs w:val="56"/>
    </w:rPr>
  </w:style>
  <w:style w:type="character" w:customStyle="1" w:styleId="TitoloCarattere">
    <w:name w:val="Titolo Carattere"/>
    <w:basedOn w:val="Carpredefinitoparagrafo"/>
    <w:link w:val="Titolo"/>
    <w:rsid w:val="00D75E0E"/>
    <w:rPr>
      <w:rFonts w:ascii="Arial" w:eastAsiaTheme="majorEastAsia" w:hAnsi="Arial" w:cstheme="majorBidi"/>
      <w:b/>
      <w:color w:val="1F497D"/>
      <w:spacing w:val="-10"/>
      <w:kern w:val="28"/>
      <w:sz w:val="26"/>
      <w:szCs w:val="56"/>
    </w:rPr>
  </w:style>
  <w:style w:type="character" w:customStyle="1" w:styleId="RSU01TestoCarattereCarattere">
    <w:name w:val="RSU_01_Testo Carattere Carattere"/>
    <w:link w:val="RSU01Testo"/>
    <w:rsid w:val="00CE3B0F"/>
  </w:style>
  <w:style w:type="paragraph" w:customStyle="1" w:styleId="RSU01Testo">
    <w:name w:val="RSU_01_Testo"/>
    <w:link w:val="RSU01TestoCarattereCarattere"/>
    <w:rsid w:val="00CE3B0F"/>
    <w:pPr>
      <w:widowControl w:val="0"/>
      <w:ind w:firstLine="284"/>
      <w:jc w:val="both"/>
    </w:pPr>
  </w:style>
  <w:style w:type="paragraph" w:styleId="PreformattatoHTML">
    <w:name w:val="HTML Preformatted"/>
    <w:basedOn w:val="Normale"/>
    <w:link w:val="PreformattatoHTMLCarattere"/>
    <w:uiPriority w:val="99"/>
    <w:semiHidden/>
    <w:unhideWhenUsed/>
    <w:rsid w:val="00E56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E56429"/>
    <w:rPr>
      <w:rFonts w:ascii="Courier New" w:hAnsi="Courier New" w:cs="Courier New"/>
    </w:rPr>
  </w:style>
  <w:style w:type="character" w:customStyle="1" w:styleId="Menzionenonrisolta1">
    <w:name w:val="Menzione non risolta1"/>
    <w:basedOn w:val="Carpredefinitoparagrafo"/>
    <w:uiPriority w:val="99"/>
    <w:semiHidden/>
    <w:unhideWhenUsed/>
    <w:rsid w:val="00D40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792256">
      <w:bodyDiv w:val="1"/>
      <w:marLeft w:val="0"/>
      <w:marRight w:val="0"/>
      <w:marTop w:val="0"/>
      <w:marBottom w:val="0"/>
      <w:divBdr>
        <w:top w:val="none" w:sz="0" w:space="0" w:color="auto"/>
        <w:left w:val="none" w:sz="0" w:space="0" w:color="auto"/>
        <w:bottom w:val="none" w:sz="0" w:space="0" w:color="auto"/>
        <w:right w:val="none" w:sz="0" w:space="0" w:color="auto"/>
      </w:divBdr>
    </w:div>
    <w:div w:id="208226876">
      <w:bodyDiv w:val="1"/>
      <w:marLeft w:val="0"/>
      <w:marRight w:val="0"/>
      <w:marTop w:val="0"/>
      <w:marBottom w:val="0"/>
      <w:divBdr>
        <w:top w:val="none" w:sz="0" w:space="0" w:color="auto"/>
        <w:left w:val="none" w:sz="0" w:space="0" w:color="auto"/>
        <w:bottom w:val="none" w:sz="0" w:space="0" w:color="auto"/>
        <w:right w:val="none" w:sz="0" w:space="0" w:color="auto"/>
      </w:divBdr>
    </w:div>
    <w:div w:id="280502905">
      <w:bodyDiv w:val="1"/>
      <w:marLeft w:val="0"/>
      <w:marRight w:val="0"/>
      <w:marTop w:val="0"/>
      <w:marBottom w:val="0"/>
      <w:divBdr>
        <w:top w:val="none" w:sz="0" w:space="0" w:color="auto"/>
        <w:left w:val="none" w:sz="0" w:space="0" w:color="auto"/>
        <w:bottom w:val="none" w:sz="0" w:space="0" w:color="auto"/>
        <w:right w:val="none" w:sz="0" w:space="0" w:color="auto"/>
      </w:divBdr>
    </w:div>
    <w:div w:id="393165680">
      <w:bodyDiv w:val="1"/>
      <w:marLeft w:val="0"/>
      <w:marRight w:val="0"/>
      <w:marTop w:val="0"/>
      <w:marBottom w:val="0"/>
      <w:divBdr>
        <w:top w:val="none" w:sz="0" w:space="0" w:color="auto"/>
        <w:left w:val="none" w:sz="0" w:space="0" w:color="auto"/>
        <w:bottom w:val="none" w:sz="0" w:space="0" w:color="auto"/>
        <w:right w:val="none" w:sz="0" w:space="0" w:color="auto"/>
      </w:divBdr>
      <w:divsChild>
        <w:div w:id="35280862">
          <w:marLeft w:val="0"/>
          <w:marRight w:val="0"/>
          <w:marTop w:val="0"/>
          <w:marBottom w:val="0"/>
          <w:divBdr>
            <w:top w:val="none" w:sz="0" w:space="0" w:color="auto"/>
            <w:left w:val="none" w:sz="0" w:space="0" w:color="auto"/>
            <w:bottom w:val="none" w:sz="0" w:space="0" w:color="auto"/>
            <w:right w:val="none" w:sz="0" w:space="0" w:color="auto"/>
          </w:divBdr>
        </w:div>
        <w:div w:id="568002481">
          <w:marLeft w:val="0"/>
          <w:marRight w:val="0"/>
          <w:marTop w:val="0"/>
          <w:marBottom w:val="0"/>
          <w:divBdr>
            <w:top w:val="none" w:sz="0" w:space="0" w:color="auto"/>
            <w:left w:val="none" w:sz="0" w:space="0" w:color="auto"/>
            <w:bottom w:val="none" w:sz="0" w:space="0" w:color="auto"/>
            <w:right w:val="none" w:sz="0" w:space="0" w:color="auto"/>
          </w:divBdr>
          <w:divsChild>
            <w:div w:id="569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9463">
      <w:bodyDiv w:val="1"/>
      <w:marLeft w:val="0"/>
      <w:marRight w:val="0"/>
      <w:marTop w:val="0"/>
      <w:marBottom w:val="0"/>
      <w:divBdr>
        <w:top w:val="none" w:sz="0" w:space="0" w:color="auto"/>
        <w:left w:val="none" w:sz="0" w:space="0" w:color="auto"/>
        <w:bottom w:val="none" w:sz="0" w:space="0" w:color="auto"/>
        <w:right w:val="none" w:sz="0" w:space="0" w:color="auto"/>
      </w:divBdr>
      <w:divsChild>
        <w:div w:id="2137679551">
          <w:marLeft w:val="0"/>
          <w:marRight w:val="0"/>
          <w:marTop w:val="0"/>
          <w:marBottom w:val="0"/>
          <w:divBdr>
            <w:top w:val="none" w:sz="0" w:space="0" w:color="auto"/>
            <w:left w:val="none" w:sz="0" w:space="0" w:color="auto"/>
            <w:bottom w:val="none" w:sz="0" w:space="0" w:color="auto"/>
            <w:right w:val="none" w:sz="0" w:space="0" w:color="auto"/>
          </w:divBdr>
        </w:div>
        <w:div w:id="1400713111">
          <w:marLeft w:val="0"/>
          <w:marRight w:val="0"/>
          <w:marTop w:val="0"/>
          <w:marBottom w:val="0"/>
          <w:divBdr>
            <w:top w:val="none" w:sz="0" w:space="0" w:color="auto"/>
            <w:left w:val="none" w:sz="0" w:space="0" w:color="auto"/>
            <w:bottom w:val="none" w:sz="0" w:space="0" w:color="auto"/>
            <w:right w:val="none" w:sz="0" w:space="0" w:color="auto"/>
          </w:divBdr>
        </w:div>
      </w:divsChild>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669871876">
      <w:bodyDiv w:val="1"/>
      <w:marLeft w:val="0"/>
      <w:marRight w:val="0"/>
      <w:marTop w:val="0"/>
      <w:marBottom w:val="0"/>
      <w:divBdr>
        <w:top w:val="none" w:sz="0" w:space="0" w:color="auto"/>
        <w:left w:val="none" w:sz="0" w:space="0" w:color="auto"/>
        <w:bottom w:val="none" w:sz="0" w:space="0" w:color="auto"/>
        <w:right w:val="none" w:sz="0" w:space="0" w:color="auto"/>
      </w:divBdr>
    </w:div>
    <w:div w:id="799687377">
      <w:bodyDiv w:val="1"/>
      <w:marLeft w:val="0"/>
      <w:marRight w:val="0"/>
      <w:marTop w:val="0"/>
      <w:marBottom w:val="0"/>
      <w:divBdr>
        <w:top w:val="none" w:sz="0" w:space="0" w:color="auto"/>
        <w:left w:val="none" w:sz="0" w:space="0" w:color="auto"/>
        <w:bottom w:val="none" w:sz="0" w:space="0" w:color="auto"/>
        <w:right w:val="none" w:sz="0" w:space="0" w:color="auto"/>
      </w:divBdr>
    </w:div>
    <w:div w:id="960578361">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279025421">
      <w:bodyDiv w:val="1"/>
      <w:marLeft w:val="0"/>
      <w:marRight w:val="0"/>
      <w:marTop w:val="0"/>
      <w:marBottom w:val="0"/>
      <w:divBdr>
        <w:top w:val="none" w:sz="0" w:space="0" w:color="auto"/>
        <w:left w:val="none" w:sz="0" w:space="0" w:color="auto"/>
        <w:bottom w:val="none" w:sz="0" w:space="0" w:color="auto"/>
        <w:right w:val="none" w:sz="0" w:space="0" w:color="auto"/>
      </w:divBdr>
    </w:div>
    <w:div w:id="1280649387">
      <w:bodyDiv w:val="1"/>
      <w:marLeft w:val="0"/>
      <w:marRight w:val="0"/>
      <w:marTop w:val="0"/>
      <w:marBottom w:val="0"/>
      <w:divBdr>
        <w:top w:val="none" w:sz="0" w:space="0" w:color="auto"/>
        <w:left w:val="none" w:sz="0" w:space="0" w:color="auto"/>
        <w:bottom w:val="none" w:sz="0" w:space="0" w:color="auto"/>
        <w:right w:val="none" w:sz="0" w:space="0" w:color="auto"/>
      </w:divBdr>
    </w:div>
    <w:div w:id="1403790067">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200503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footer" Target="footer2.xml"/><Relationship Id="rId39" Type="http://schemas.openxmlformats.org/officeDocument/2006/relationships/footer" Target="footer3.xml"/><Relationship Id="rId21" Type="http://schemas.openxmlformats.org/officeDocument/2006/relationships/chart" Target="charts/chart6.xml"/><Relationship Id="rId34" Type="http://schemas.openxmlformats.org/officeDocument/2006/relationships/hyperlink" Target="https://www.istat.it/it/archivio/249742"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www.istat.it/it/archivio/25437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9.xml"/><Relationship Id="rId32" Type="http://schemas.openxmlformats.org/officeDocument/2006/relationships/hyperlink" Target="https://eur-lex.europa.eu/LexUriServ/LexUriServ.do?uri=OJ:L:2009:167:0001:0011:IT:PDF" TargetMode="External"/><Relationship Id="rId37" Type="http://schemas.openxmlformats.org/officeDocument/2006/relationships/hyperlink" Target="mailto:gismondi@istat.it"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dati.istat.it/Index.aspx" TargetMode="External"/><Relationship Id="rId23" Type="http://schemas.openxmlformats.org/officeDocument/2006/relationships/chart" Target="charts/chart8.xml"/><Relationship Id="rId28" Type="http://schemas.openxmlformats.org/officeDocument/2006/relationships/hyperlink" Target="http://siqual.istat.it/SIQual/visualizza.do?id=5000029&amp;refresh=true&amp;language=IT" TargetMode="External"/><Relationship Id="rId36" Type="http://schemas.openxmlformats.org/officeDocument/2006/relationships/hyperlink" Target="https://gino.istat.it/sag/front/" TargetMode="External"/><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hyperlink" Target="https://www.istat.it/it/archivio/24974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c.europa.eu/eurostat/web/main/data/database" TargetMode="External"/><Relationship Id="rId22" Type="http://schemas.openxmlformats.org/officeDocument/2006/relationships/chart" Target="charts/chart7.xml"/><Relationship Id="rId27" Type="http://schemas.openxmlformats.org/officeDocument/2006/relationships/hyperlink" Target="https://agriregionieuropa.univpm.it/it/glossario-pac/superficie-totale-aziendale-sat" TargetMode="External"/><Relationship Id="rId30" Type="http://schemas.openxmlformats.org/officeDocument/2006/relationships/hyperlink" Target="http://siqual.istat.it/SIQual/visualizza.do?id=5000029&amp;refresh=true&amp;language=IT" TargetMode="External"/><Relationship Id="rId35" Type="http://schemas.openxmlformats.org/officeDocument/2006/relationships/hyperlink" Target="https://gino.istat.it/semina/front/"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header" Target="header2.xml"/><Relationship Id="rId33" Type="http://schemas.openxmlformats.org/officeDocument/2006/relationships/hyperlink" Target="https://www.istat.it/it/archivio/254376" TargetMode="External"/><Relationship Id="rId38" Type="http://schemas.openxmlformats.org/officeDocument/2006/relationships/hyperlink" Target="mailto:fidale@istat.i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ontact.istat.it/" TargetMode="External"/><Relationship Id="rId2" Type="http://schemas.openxmlformats.org/officeDocument/2006/relationships/hyperlink" Target="mailto:ufficiostampa@istat.it" TargetMode="External"/><Relationship Id="rId1" Type="http://schemas.openxmlformats.org/officeDocument/2006/relationships/image" Target="media/image2.jpg"/><Relationship Id="rId5" Type="http://schemas.openxmlformats.org/officeDocument/2006/relationships/hyperlink" Target="https://contact.istat.it/" TargetMode="External"/><Relationship Id="rId4" Type="http://schemas.openxmlformats.org/officeDocument/2006/relationships/hyperlink" Target="mailto:ufficiostampa@istat.i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TENTE\Desktop\Smart%20working\Editing%20Report\Report%20COLTIVAZIONI%20AGRICOLE%20_%20ANNATA%20AGRARIA%202019-2020%20E%20PREVISIONI%202020-2021\Report%20coltivazioni%20invio%20cacioli\Copia%20di%20Tavole%20Report_29032021_S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TENTE\Desktop\Smart%20working\Editing%20Report\Report%20COLTIVAZIONI%20AGRICOLE%20_%20ANNATA%20AGRARIA%202019-2020%20E%20PREVISIONI%202020-2021\Report%20coltivazioni%20invio%20cacioli\Copia%20di%20Tavole%20Report_29032021_S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TENTE\Desktop\Smart%20working\Editing%20Report\Report%20COLTIVAZIONI%20AGRICOLE%20_%20ANNATA%20AGRARIA%202019-2020%20E%20PREVISIONI%202020-2021\Report%20coltivazioni%20invio%20cacioli\Copia%20di%20Tavole%20Report_29032021_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TENTE\Desktop\Smart%20working\Editing%20Report\Report%20COLTIVAZIONI%20AGRICOLE%20_%20ANNATA%20AGRARIA%202019-2020%20E%20PREVISIONI%202020-2021\Report%20coltivazioni%20invio%20cacioli\Copia%20di%20Tavole%20Report_29032021_S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TENTE\Desktop\Smart%20working\Editing%20Report\Report%20COLTIVAZIONI%20AGRICOLE%20_%20ANNATA%20AGRARIA%202019-2020%20E%20PREVISIONI%202020-2021\Report%20coltivazioni%20invio%20cacioli\Copia%20di%20Tavole%20Report_29032021_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TENTE\Desktop\Smart%20working\Editing%20Report\Report%20COLTIVAZIONI%20AGRICOLE%20_%20ANNATA%20AGRARIA%202019-2020%20E%20PREVISIONI%202020-2021\Report%20coltivazioni%20invio%20cacioli\Copia%20di%20Tavole%20Report_29032021_S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TENTE\Desktop\Smart%20working\Editing%20Report\Report%20COLTIVAZIONI%20AGRICOLE%20_%20ANNATA%20AGRARIA%202019-2020%20E%20PREVISIONI%202020-2021\Report%20coltivazioni%20invio%20cacioli\Copia%20di%20Tavole%20Report_29032021_S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TENTE\Desktop\Smart%20working\Editing%20Report\Report%20COLTIVAZIONI%20AGRICOLE%20_%20ANNATA%20AGRARIA%202019-2020%20E%20PREVISIONI%202020-2021\Report%20coltivazioni%20invio%20cacioli\Copia%20di%20Tavole%20Report_29032021_S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TENTE\Desktop\Smart%20working\Editing%20Report\Report%20COLTIVAZIONI%20AGRICOLE%20_%20ANNATA%20AGRARIA%202019-2020%20E%20PREVISIONI%202020-2021\Report%20coltivazioni%20invio%20cacioli\Copia%20di%20Tavole%20Report_29032021_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'Figura 1'!$C$4</c:f>
              <c:strCache>
                <c:ptCount val="1"/>
                <c:pt idx="0">
                  <c:v>2010</c:v>
                </c:pt>
              </c:strCache>
            </c:strRef>
          </c:tx>
          <c:spPr>
            <a:solidFill>
              <a:srgbClr val="E42618"/>
            </a:solidFill>
            <a:ln>
              <a:noFill/>
            </a:ln>
            <a:effectLst/>
          </c:spPr>
          <c:invertIfNegative val="0"/>
          <c:dLbls>
            <c:spPr>
              <a:noFill/>
              <a:ln>
                <a:noFill/>
              </a:ln>
              <a:effectLst/>
            </c:spPr>
            <c:txPr>
              <a:bodyPr rot="0" vert="horz"/>
              <a:lstStyle/>
              <a:p>
                <a:pPr>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1'!$A$5:$A$10</c:f>
              <c:strCache>
                <c:ptCount val="6"/>
                <c:pt idx="0">
                  <c:v>Italia</c:v>
                </c:pt>
                <c:pt idx="1">
                  <c:v>Nord ovest</c:v>
                </c:pt>
                <c:pt idx="2">
                  <c:v>Nord est</c:v>
                </c:pt>
                <c:pt idx="3">
                  <c:v>Centro</c:v>
                </c:pt>
                <c:pt idx="4">
                  <c:v>Sud</c:v>
                </c:pt>
                <c:pt idx="5">
                  <c:v>Isole</c:v>
                </c:pt>
              </c:strCache>
            </c:strRef>
          </c:cat>
          <c:val>
            <c:numRef>
              <c:f>'Figura 1'!$C$5:$C$10</c:f>
              <c:numCache>
                <c:formatCode>#,##0.0</c:formatCode>
                <c:ptCount val="6"/>
                <c:pt idx="0" formatCode="0.0">
                  <c:v>51.85174575106447</c:v>
                </c:pt>
                <c:pt idx="1">
                  <c:v>29.9354100027128</c:v>
                </c:pt>
                <c:pt idx="2">
                  <c:v>42.084689572000997</c:v>
                </c:pt>
                <c:pt idx="3">
                  <c:v>44.977158072565359</c:v>
                </c:pt>
                <c:pt idx="4" formatCode="0.0">
                  <c:v>50.597056970121884</c:v>
                </c:pt>
                <c:pt idx="5" formatCode="0.0">
                  <c:v>54.379737149557513</c:v>
                </c:pt>
              </c:numCache>
            </c:numRef>
          </c:val>
          <c:extLst>
            <c:ext xmlns:c16="http://schemas.microsoft.com/office/drawing/2014/chart" uri="{C3380CC4-5D6E-409C-BE32-E72D297353CC}">
              <c16:uniqueId val="{00000000-4FCB-481D-9E90-D71A61414D72}"/>
            </c:ext>
          </c:extLst>
        </c:ser>
        <c:ser>
          <c:idx val="0"/>
          <c:order val="1"/>
          <c:tx>
            <c:strRef>
              <c:f>'Figura 1'!$B$4</c:f>
              <c:strCache>
                <c:ptCount val="1"/>
                <c:pt idx="0">
                  <c:v>2019</c:v>
                </c:pt>
              </c:strCache>
            </c:strRef>
          </c:tx>
          <c:spPr>
            <a:solidFill>
              <a:srgbClr val="1F497D"/>
            </a:solidFill>
            <a:ln>
              <a:noFill/>
            </a:ln>
            <a:effectLst/>
          </c:spPr>
          <c:invertIfNegative val="0"/>
          <c:dLbls>
            <c:spPr>
              <a:noFill/>
              <a:ln>
                <a:noFill/>
              </a:ln>
              <a:effectLst/>
            </c:spPr>
            <c:txPr>
              <a:bodyPr rot="0" vert="horz"/>
              <a:lstStyle/>
              <a:p>
                <a:pPr>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1'!$A$5:$A$10</c:f>
              <c:strCache>
                <c:ptCount val="6"/>
                <c:pt idx="0">
                  <c:v>Italia</c:v>
                </c:pt>
                <c:pt idx="1">
                  <c:v>Nord ovest</c:v>
                </c:pt>
                <c:pt idx="2">
                  <c:v>Nord est</c:v>
                </c:pt>
                <c:pt idx="3">
                  <c:v>Centro</c:v>
                </c:pt>
                <c:pt idx="4">
                  <c:v>Sud</c:v>
                </c:pt>
                <c:pt idx="5">
                  <c:v>Isole</c:v>
                </c:pt>
              </c:strCache>
            </c:strRef>
          </c:cat>
          <c:val>
            <c:numRef>
              <c:f>'Figura 1'!$B$5:$B$10</c:f>
              <c:numCache>
                <c:formatCode>#,##0.0</c:formatCode>
                <c:ptCount val="6"/>
                <c:pt idx="0" formatCode="0.0">
                  <c:v>45.909106258199351</c:v>
                </c:pt>
                <c:pt idx="1">
                  <c:v>24.203771082731645</c:v>
                </c:pt>
                <c:pt idx="2">
                  <c:v>33.314103000355168</c:v>
                </c:pt>
                <c:pt idx="3">
                  <c:v>42.409014670995951</c:v>
                </c:pt>
                <c:pt idx="4" formatCode="0.0">
                  <c:v>49.826222304646585</c:v>
                </c:pt>
                <c:pt idx="5" formatCode="0.0">
                  <c:v>50.303472724493652</c:v>
                </c:pt>
              </c:numCache>
            </c:numRef>
          </c:val>
          <c:extLst>
            <c:ext xmlns:c16="http://schemas.microsoft.com/office/drawing/2014/chart" uri="{C3380CC4-5D6E-409C-BE32-E72D297353CC}">
              <c16:uniqueId val="{00000001-4FCB-481D-9E90-D71A61414D72}"/>
            </c:ext>
          </c:extLst>
        </c:ser>
        <c:dLbls>
          <c:showLegendKey val="0"/>
          <c:showVal val="0"/>
          <c:showCatName val="0"/>
          <c:showSerName val="0"/>
          <c:showPercent val="0"/>
          <c:showBubbleSize val="0"/>
        </c:dLbls>
        <c:gapWidth val="219"/>
        <c:overlap val="-27"/>
        <c:axId val="167194624"/>
        <c:axId val="167196160"/>
      </c:barChart>
      <c:catAx>
        <c:axId val="167194624"/>
        <c:scaling>
          <c:orientation val="minMax"/>
        </c:scaling>
        <c:delete val="0"/>
        <c:axPos val="b"/>
        <c:majorGridlines>
          <c:spPr>
            <a:ln>
              <a:solidFill>
                <a:schemeClr val="bg1"/>
              </a:solidFill>
            </a:ln>
          </c:spPr>
        </c:majorGridlines>
        <c:numFmt formatCode="General" sourceLinked="1"/>
        <c:majorTickMark val="none"/>
        <c:minorTickMark val="none"/>
        <c:tickLblPos val="nextTo"/>
        <c:spPr>
          <a:noFill/>
          <a:ln w="9525" cap="flat" cmpd="sng" algn="ctr">
            <a:solidFill>
              <a:schemeClr val="bg1"/>
            </a:solidFill>
            <a:round/>
          </a:ln>
          <a:effectLst/>
        </c:spPr>
        <c:txPr>
          <a:bodyPr rot="-60000000" vert="horz"/>
          <a:lstStyle/>
          <a:p>
            <a:pPr>
              <a:defRPr b="1"/>
            </a:pPr>
            <a:endParaRPr lang="it-IT"/>
          </a:p>
        </c:txPr>
        <c:crossAx val="167196160"/>
        <c:crosses val="autoZero"/>
        <c:auto val="1"/>
        <c:lblAlgn val="ctr"/>
        <c:lblOffset val="100"/>
        <c:noMultiLvlLbl val="0"/>
      </c:catAx>
      <c:valAx>
        <c:axId val="167196160"/>
        <c:scaling>
          <c:orientation val="minMax"/>
          <c:min val="20"/>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vert="horz"/>
          <a:lstStyle/>
          <a:p>
            <a:pPr>
              <a:defRPr/>
            </a:pPr>
            <a:endParaRPr lang="it-IT"/>
          </a:p>
        </c:txPr>
        <c:crossAx val="167194624"/>
        <c:crosses val="autoZero"/>
        <c:crossBetween val="between"/>
      </c:valAx>
      <c:spPr>
        <a:noFill/>
        <a:ln>
          <a:noFill/>
        </a:ln>
        <a:effectLst/>
      </c:spPr>
    </c:plotArea>
    <c:legend>
      <c:legendPos val="t"/>
      <c:overlay val="0"/>
      <c:spPr>
        <a:noFill/>
        <a:ln>
          <a:noFill/>
        </a:ln>
        <a:effectLst/>
      </c:spPr>
      <c:txPr>
        <a:bodyPr rot="0" vert="horz"/>
        <a:lstStyle/>
        <a:p>
          <a:pPr>
            <a:defRPr/>
          </a:pPr>
          <a:endParaRPr lang="it-IT"/>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'Figura 2'!$B$4</c:f>
              <c:strCache>
                <c:ptCount val="1"/>
                <c:pt idx="0">
                  <c:v>2010</c:v>
                </c:pt>
              </c:strCache>
            </c:strRef>
          </c:tx>
          <c:spPr>
            <a:solidFill>
              <a:srgbClr val="1F497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2'!$A$6:$A$10</c:f>
              <c:strCache>
                <c:ptCount val="5"/>
                <c:pt idx="0">
                  <c:v>Nord ovest</c:v>
                </c:pt>
                <c:pt idx="1">
                  <c:v>Nord est</c:v>
                </c:pt>
                <c:pt idx="2">
                  <c:v>  Centro</c:v>
                </c:pt>
                <c:pt idx="3">
                  <c:v>Sud</c:v>
                </c:pt>
                <c:pt idx="4">
                  <c:v>Isole</c:v>
                </c:pt>
              </c:strCache>
            </c:strRef>
          </c:cat>
          <c:val>
            <c:numRef>
              <c:f>'Figura 2'!$B$6:$B$10</c:f>
              <c:numCache>
                <c:formatCode>_-* #,##0.0_-;\-* #,##0.0_-;_-* "-"??_-;_-@_-</c:formatCode>
                <c:ptCount val="5"/>
                <c:pt idx="0">
                  <c:v>24.870113999130012</c:v>
                </c:pt>
                <c:pt idx="1">
                  <c:v>23.963481356497237</c:v>
                </c:pt>
                <c:pt idx="2">
                  <c:v>15.546505766457672</c:v>
                </c:pt>
                <c:pt idx="3">
                  <c:v>24.224217769170689</c:v>
                </c:pt>
                <c:pt idx="4">
                  <c:v>11.395709897130461</c:v>
                </c:pt>
              </c:numCache>
            </c:numRef>
          </c:val>
          <c:extLst>
            <c:ext xmlns:c16="http://schemas.microsoft.com/office/drawing/2014/chart" uri="{C3380CC4-5D6E-409C-BE32-E72D297353CC}">
              <c16:uniqueId val="{00000000-4973-4EA8-B575-D508883F520A}"/>
            </c:ext>
          </c:extLst>
        </c:ser>
        <c:ser>
          <c:idx val="1"/>
          <c:order val="1"/>
          <c:tx>
            <c:strRef>
              <c:f>'Figura 2'!$C$4</c:f>
              <c:strCache>
                <c:ptCount val="1"/>
                <c:pt idx="0">
                  <c:v>2020</c:v>
                </c:pt>
              </c:strCache>
            </c:strRef>
          </c:tx>
          <c:spPr>
            <a:solidFill>
              <a:srgbClr val="E42618"/>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2'!$A$6:$A$10</c:f>
              <c:strCache>
                <c:ptCount val="5"/>
                <c:pt idx="0">
                  <c:v>Nord ovest</c:v>
                </c:pt>
                <c:pt idx="1">
                  <c:v>Nord est</c:v>
                </c:pt>
                <c:pt idx="2">
                  <c:v>  Centro</c:v>
                </c:pt>
                <c:pt idx="3">
                  <c:v>Sud</c:v>
                </c:pt>
                <c:pt idx="4">
                  <c:v>Isole</c:v>
                </c:pt>
              </c:strCache>
            </c:strRef>
          </c:cat>
          <c:val>
            <c:numRef>
              <c:f>'Figura 2'!$C$6:$C$10</c:f>
              <c:numCache>
                <c:formatCode>_-* #,##0.0_-;\-* #,##0.0_-;_-* "-"??_-;_-@_-</c:formatCode>
                <c:ptCount val="5"/>
                <c:pt idx="0">
                  <c:v>21.834937780775565</c:v>
                </c:pt>
                <c:pt idx="1">
                  <c:v>21.87753800159263</c:v>
                </c:pt>
                <c:pt idx="2">
                  <c:v>15.102758370385258</c:v>
                </c:pt>
                <c:pt idx="3">
                  <c:v>30.261853515979798</c:v>
                </c:pt>
                <c:pt idx="4">
                  <c:v>10.922912331266748</c:v>
                </c:pt>
              </c:numCache>
            </c:numRef>
          </c:val>
          <c:extLst>
            <c:ext xmlns:c16="http://schemas.microsoft.com/office/drawing/2014/chart" uri="{C3380CC4-5D6E-409C-BE32-E72D297353CC}">
              <c16:uniqueId val="{00000001-4973-4EA8-B575-D508883F520A}"/>
            </c:ext>
          </c:extLst>
        </c:ser>
        <c:dLbls>
          <c:showLegendKey val="0"/>
          <c:showVal val="0"/>
          <c:showCatName val="0"/>
          <c:showSerName val="0"/>
          <c:showPercent val="0"/>
          <c:showBubbleSize val="0"/>
        </c:dLbls>
        <c:gapWidth val="150"/>
        <c:axId val="167689600"/>
        <c:axId val="196875392"/>
      </c:barChart>
      <c:catAx>
        <c:axId val="167689600"/>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it-IT"/>
          </a:p>
        </c:txPr>
        <c:crossAx val="196875392"/>
        <c:crosses val="autoZero"/>
        <c:auto val="1"/>
        <c:lblAlgn val="ctr"/>
        <c:lblOffset val="100"/>
        <c:noMultiLvlLbl val="0"/>
      </c:catAx>
      <c:valAx>
        <c:axId val="196875392"/>
        <c:scaling>
          <c:orientation val="minMax"/>
          <c:max val="35"/>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it-IT"/>
          </a:p>
        </c:txPr>
        <c:crossAx val="167689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it-IT"/>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Narrow" panose="020B0606020202030204" pitchFamily="34" charset="0"/>
          <a:cs typeface="Arial" panose="020B060402020202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2047619047618"/>
          <c:y val="8.87125E-2"/>
          <c:w val="0.84250920634920634"/>
          <c:h val="0.77966157407407399"/>
        </c:manualLayout>
      </c:layout>
      <c:barChart>
        <c:barDir val="bar"/>
        <c:grouping val="clustered"/>
        <c:varyColors val="0"/>
        <c:ser>
          <c:idx val="1"/>
          <c:order val="0"/>
          <c:tx>
            <c:strRef>
              <c:f>'Figura 3'!$H$4</c:f>
              <c:strCache>
                <c:ptCount val="1"/>
                <c:pt idx="0">
                  <c:v>2020</c:v>
                </c:pt>
              </c:strCache>
            </c:strRef>
          </c:tx>
          <c:spPr>
            <a:solidFill>
              <a:srgbClr val="E42618"/>
            </a:solidFill>
            <a:ln>
              <a:noFill/>
            </a:ln>
            <a:effectLst/>
          </c:spPr>
          <c:invertIfNegative val="0"/>
          <c:dLbls>
            <c:dLbl>
              <c:idx val="0"/>
              <c:layout>
                <c:manualLayout>
                  <c:x val="1.20952380952380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F1-4C0C-B601-F44AB24C0E38}"/>
                </c:ext>
              </c:extLst>
            </c:dLbl>
            <c:dLbl>
              <c:idx val="2"/>
              <c:layout>
                <c:manualLayout>
                  <c:x val="1.0079365079365061E-2"/>
                  <c:y val="-1.077919646545692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F1-4C0C-B601-F44AB24C0E38}"/>
                </c:ext>
              </c:extLst>
            </c:dLbl>
            <c:dLbl>
              <c:idx val="3"/>
              <c:layout>
                <c:manualLayout>
                  <c:x val="6.04761904761904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F1-4C0C-B601-F44AB24C0E38}"/>
                </c:ext>
              </c:extLst>
            </c:dLbl>
            <c:dLbl>
              <c:idx val="5"/>
              <c:layout>
                <c:manualLayout>
                  <c:x val="6.0476190476190473E-3"/>
                  <c:y val="1.7638888888888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F1-4C0C-B601-F44AB24C0E38}"/>
                </c:ext>
              </c:extLst>
            </c:dLbl>
            <c:dLbl>
              <c:idx val="7"/>
              <c:layout>
                <c:manualLayout>
                  <c:x val="1.6126984126984129E-2"/>
                  <c:y val="-5.87962962962962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F1-4C0C-B601-F44AB24C0E38}"/>
                </c:ext>
              </c:extLst>
            </c:dLbl>
            <c:dLbl>
              <c:idx val="8"/>
              <c:layout>
                <c:manualLayout>
                  <c:x val="1.4111111111111093E-2"/>
                  <c:y val="-2.69479911636423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F1-4C0C-B601-F44AB24C0E38}"/>
                </c:ext>
              </c:extLst>
            </c:dLbl>
            <c:spPr>
              <a:noFill/>
              <a:ln>
                <a:noFill/>
              </a:ln>
              <a:effectLst/>
            </c:spPr>
            <c:txPr>
              <a:bodyPr wrap="square" lIns="38100" tIns="19050" rIns="38100" bIns="19050" anchor="ctr">
                <a:spAutoFit/>
              </a:bodyPr>
              <a:lstStyle/>
              <a:p>
                <a:pPr>
                  <a:defRPr sz="8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3'!$B$6:$B$15</c:f>
              <c:strCache>
                <c:ptCount val="10"/>
                <c:pt idx="0">
                  <c:v>  Frumento tenero</c:v>
                </c:pt>
                <c:pt idx="1">
                  <c:v>  Frumento duro</c:v>
                </c:pt>
                <c:pt idx="2">
                  <c:v>  Segale</c:v>
                </c:pt>
                <c:pt idx="3">
                  <c:v>  Orzo</c:v>
                </c:pt>
                <c:pt idx="4">
                  <c:v>  Avena</c:v>
                </c:pt>
                <c:pt idx="5">
                  <c:v> Mais</c:v>
                </c:pt>
                <c:pt idx="6">
                  <c:v>  Riso</c:v>
                </c:pt>
                <c:pt idx="7">
                  <c:v>  Sorgo</c:v>
                </c:pt>
                <c:pt idx="8">
                  <c:v> Triticale</c:v>
                </c:pt>
                <c:pt idx="9">
                  <c:v>   Altri cereali</c:v>
                </c:pt>
              </c:strCache>
            </c:strRef>
          </c:cat>
          <c:val>
            <c:numRef>
              <c:f>'Figura 3'!$H$6:$H$15</c:f>
              <c:numCache>
                <c:formatCode>0.0</c:formatCode>
                <c:ptCount val="10"/>
                <c:pt idx="0">
                  <c:v>16.665169209349191</c:v>
                </c:pt>
                <c:pt idx="1">
                  <c:v>40.278773309586988</c:v>
                </c:pt>
                <c:pt idx="2">
                  <c:v>0.11913104881244979</c:v>
                </c:pt>
                <c:pt idx="3">
                  <c:v>8.7661151364982253</c:v>
                </c:pt>
                <c:pt idx="4">
                  <c:v>3.4427874801919676</c:v>
                </c:pt>
                <c:pt idx="5">
                  <c:v>20.061136190748112</c:v>
                </c:pt>
                <c:pt idx="6">
                  <c:v>7.5644555544685117</c:v>
                </c:pt>
                <c:pt idx="7">
                  <c:v>1.7607435907162972</c:v>
                </c:pt>
                <c:pt idx="8">
                  <c:v>0.43402968426278843</c:v>
                </c:pt>
                <c:pt idx="9">
                  <c:v>1.1283507271319966</c:v>
                </c:pt>
              </c:numCache>
            </c:numRef>
          </c:val>
          <c:extLst>
            <c:ext xmlns:c16="http://schemas.microsoft.com/office/drawing/2014/chart" uri="{C3380CC4-5D6E-409C-BE32-E72D297353CC}">
              <c16:uniqueId val="{00000006-9BF1-4C0C-B601-F44AB24C0E38}"/>
            </c:ext>
          </c:extLst>
        </c:ser>
        <c:ser>
          <c:idx val="0"/>
          <c:order val="1"/>
          <c:tx>
            <c:strRef>
              <c:f>'Figura 3'!$F$4</c:f>
              <c:strCache>
                <c:ptCount val="1"/>
                <c:pt idx="0">
                  <c:v>2010</c:v>
                </c:pt>
              </c:strCache>
            </c:strRef>
          </c:tx>
          <c:spPr>
            <a:solidFill>
              <a:srgbClr val="1F497D"/>
            </a:solidFill>
            <a:ln>
              <a:noFill/>
            </a:ln>
            <a:effectLst/>
          </c:spPr>
          <c:invertIfNegative val="0"/>
          <c:dLbls>
            <c:dLbl>
              <c:idx val="1"/>
              <c:layout>
                <c:manualLayout>
                  <c:x val="0"/>
                  <c:y val="-2.3518518518518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F1-4C0C-B601-F44AB24C0E38}"/>
                </c:ext>
              </c:extLst>
            </c:dLbl>
            <c:dLbl>
              <c:idx val="2"/>
              <c:layout>
                <c:manualLayout>
                  <c:x val="0"/>
                  <c:y val="-1.1759259259259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F1-4C0C-B601-F44AB24C0E38}"/>
                </c:ext>
              </c:extLst>
            </c:dLbl>
            <c:dLbl>
              <c:idx val="4"/>
              <c:layout>
                <c:manualLayout>
                  <c:x val="6.0476190476190473E-3"/>
                  <c:y val="-5.8796296296296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F1-4C0C-B601-F44AB24C0E38}"/>
                </c:ext>
              </c:extLst>
            </c:dLbl>
            <c:dLbl>
              <c:idx val="6"/>
              <c:layout>
                <c:manualLayout>
                  <c:x val="0"/>
                  <c:y val="-2.3518518518518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F1-4C0C-B601-F44AB24C0E38}"/>
                </c:ext>
              </c:extLst>
            </c:dLbl>
            <c:dLbl>
              <c:idx val="9"/>
              <c:layout>
                <c:manualLayout>
                  <c:x val="-1.8478622512211877E-17"/>
                  <c:y val="-2.3518518518518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F1-4C0C-B601-F44AB24C0E38}"/>
                </c:ext>
              </c:extLst>
            </c:dLbl>
            <c:spPr>
              <a:noFill/>
              <a:ln>
                <a:noFill/>
              </a:ln>
              <a:effectLst/>
            </c:spPr>
            <c:txPr>
              <a:bodyPr wrap="square" lIns="38100" tIns="19050" rIns="38100" bIns="19050" anchor="ctr">
                <a:spAutoFit/>
              </a:bodyPr>
              <a:lstStyle/>
              <a:p>
                <a:pPr>
                  <a:defRPr sz="8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3'!$B$6:$B$15</c:f>
              <c:strCache>
                <c:ptCount val="10"/>
                <c:pt idx="0">
                  <c:v>  Frumento tenero</c:v>
                </c:pt>
                <c:pt idx="1">
                  <c:v>  Frumento duro</c:v>
                </c:pt>
                <c:pt idx="2">
                  <c:v>  Segale</c:v>
                </c:pt>
                <c:pt idx="3">
                  <c:v>  Orzo</c:v>
                </c:pt>
                <c:pt idx="4">
                  <c:v>  Avena</c:v>
                </c:pt>
                <c:pt idx="5">
                  <c:v> Mais</c:v>
                </c:pt>
                <c:pt idx="6">
                  <c:v>  Riso</c:v>
                </c:pt>
                <c:pt idx="7">
                  <c:v>  Sorgo</c:v>
                </c:pt>
                <c:pt idx="8">
                  <c:v> Triticale</c:v>
                </c:pt>
                <c:pt idx="9">
                  <c:v>   Altri cereali</c:v>
                </c:pt>
              </c:strCache>
            </c:strRef>
          </c:cat>
          <c:val>
            <c:numRef>
              <c:f>'Figura 3'!$F$6:$F$15</c:f>
              <c:numCache>
                <c:formatCode>0.0</c:formatCode>
                <c:ptCount val="10"/>
                <c:pt idx="0">
                  <c:v>15.800995099353038</c:v>
                </c:pt>
                <c:pt idx="1">
                  <c:v>36.895425899701841</c:v>
                </c:pt>
                <c:pt idx="2">
                  <c:v>0.12992198635257771</c:v>
                </c:pt>
                <c:pt idx="3">
                  <c:v>7.8365729383988985</c:v>
                </c:pt>
                <c:pt idx="4">
                  <c:v>3.7431811109035151</c:v>
                </c:pt>
                <c:pt idx="5">
                  <c:v>26.680385292243862</c:v>
                </c:pt>
                <c:pt idx="6">
                  <c:v>7.1295301764181085</c:v>
                </c:pt>
                <c:pt idx="7">
                  <c:v>1.1604886310345135</c:v>
                </c:pt>
                <c:pt idx="8">
                  <c:v>0</c:v>
                </c:pt>
                <c:pt idx="9">
                  <c:v>0.62349886559364676</c:v>
                </c:pt>
              </c:numCache>
            </c:numRef>
          </c:val>
          <c:extLst>
            <c:ext xmlns:c16="http://schemas.microsoft.com/office/drawing/2014/chart" uri="{C3380CC4-5D6E-409C-BE32-E72D297353CC}">
              <c16:uniqueId val="{0000000C-9BF1-4C0C-B601-F44AB24C0E38}"/>
            </c:ext>
          </c:extLst>
        </c:ser>
        <c:dLbls>
          <c:showLegendKey val="0"/>
          <c:showVal val="0"/>
          <c:showCatName val="0"/>
          <c:showSerName val="0"/>
          <c:showPercent val="0"/>
          <c:showBubbleSize val="0"/>
        </c:dLbls>
        <c:gapWidth val="50"/>
        <c:axId val="196889600"/>
        <c:axId val="196920064"/>
      </c:barChart>
      <c:catAx>
        <c:axId val="196889600"/>
        <c:scaling>
          <c:orientation val="minMax"/>
        </c:scaling>
        <c:delete val="0"/>
        <c:axPos val="l"/>
        <c:majorGridlines>
          <c:spPr>
            <a:ln>
              <a:solidFill>
                <a:schemeClr val="bg1"/>
              </a:solidFill>
            </a:ln>
          </c:spPr>
        </c:majorGridlines>
        <c:numFmt formatCode="General" sourceLinked="1"/>
        <c:majorTickMark val="none"/>
        <c:minorTickMark val="none"/>
        <c:tickLblPos val="nextTo"/>
        <c:spPr>
          <a:noFill/>
          <a:ln w="9525" cap="flat" cmpd="sng" algn="ctr">
            <a:solidFill>
              <a:schemeClr val="bg1"/>
            </a:solidFill>
            <a:round/>
          </a:ln>
          <a:effectLst/>
        </c:spPr>
        <c:txPr>
          <a:bodyPr rot="-60000000" vert="horz"/>
          <a:lstStyle/>
          <a:p>
            <a:pPr>
              <a:defRPr/>
            </a:pPr>
            <a:endParaRPr lang="it-IT"/>
          </a:p>
        </c:txPr>
        <c:crossAx val="196920064"/>
        <c:crosses val="autoZero"/>
        <c:auto val="1"/>
        <c:lblAlgn val="ctr"/>
        <c:lblOffset val="100"/>
        <c:tickLblSkip val="1"/>
        <c:noMultiLvlLbl val="0"/>
      </c:catAx>
      <c:valAx>
        <c:axId val="196920064"/>
        <c:scaling>
          <c:orientation val="minMax"/>
        </c:scaling>
        <c:delete val="0"/>
        <c:axPos val="b"/>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vert="horz"/>
          <a:lstStyle/>
          <a:p>
            <a:pPr>
              <a:defRPr b="1"/>
            </a:pPr>
            <a:endParaRPr lang="it-IT"/>
          </a:p>
        </c:txPr>
        <c:crossAx val="196889600"/>
        <c:crosses val="autoZero"/>
        <c:crossBetween val="between"/>
      </c:valAx>
      <c:spPr>
        <a:noFill/>
        <a:ln>
          <a:noFill/>
        </a:ln>
        <a:effectLst/>
      </c:spPr>
    </c:plotArea>
    <c:legend>
      <c:legendPos val="t"/>
      <c:layout>
        <c:manualLayout>
          <c:xMode val="edge"/>
          <c:yMode val="edge"/>
          <c:x val="0.44212539682539681"/>
          <c:y val="5.8796296296296296E-3"/>
          <c:w val="0.12381253968253968"/>
          <c:h val="9.4592129629629623E-2"/>
        </c:manualLayout>
      </c:layout>
      <c:overlay val="0"/>
      <c:spPr>
        <a:noFill/>
        <a:ln>
          <a:noFill/>
        </a:ln>
        <a:effectLst/>
      </c:spPr>
      <c:txPr>
        <a:bodyPr rot="0" vert="horz"/>
        <a:lstStyle/>
        <a:p>
          <a:pPr>
            <a:defRPr/>
          </a:pPr>
          <a:endParaRPr lang="it-IT"/>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86963968974394E-2"/>
          <c:y val="0.1308884742423797"/>
          <c:w val="0.94155921366790729"/>
          <c:h val="0.73645326058200133"/>
        </c:manualLayout>
      </c:layout>
      <c:barChart>
        <c:barDir val="col"/>
        <c:grouping val="clustered"/>
        <c:varyColors val="0"/>
        <c:ser>
          <c:idx val="0"/>
          <c:order val="0"/>
          <c:tx>
            <c:strRef>
              <c:f>'Figura 4'!$A$7</c:f>
              <c:strCache>
                <c:ptCount val="1"/>
                <c:pt idx="0">
                  <c:v>   Frumento tenero</c:v>
                </c:pt>
              </c:strCache>
            </c:strRef>
          </c:tx>
          <c:spPr>
            <a:solidFill>
              <a:srgbClr val="66669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4'!$B$5:$G$5</c:f>
              <c:strCache>
                <c:ptCount val="6"/>
                <c:pt idx="0">
                  <c:v>2016/2015</c:v>
                </c:pt>
                <c:pt idx="1">
                  <c:v>2017/2016</c:v>
                </c:pt>
                <c:pt idx="2">
                  <c:v>2018/2017</c:v>
                </c:pt>
                <c:pt idx="3">
                  <c:v>2019/2018</c:v>
                </c:pt>
                <c:pt idx="4">
                  <c:v>2020/2019</c:v>
                </c:pt>
                <c:pt idx="5">
                  <c:v>Previsioni 2021</c:v>
                </c:pt>
              </c:strCache>
            </c:strRef>
          </c:cat>
          <c:val>
            <c:numRef>
              <c:f>'Figura 4'!$B$7:$G$7</c:f>
              <c:numCache>
                <c:formatCode>0.0</c:formatCode>
                <c:ptCount val="6"/>
                <c:pt idx="0">
                  <c:v>-4.4973105364116162</c:v>
                </c:pt>
                <c:pt idx="1">
                  <c:v>-5.1115570324335264</c:v>
                </c:pt>
                <c:pt idx="2">
                  <c:v>8.2931379505536995</c:v>
                </c:pt>
                <c:pt idx="3">
                  <c:v>-2.3278927490778982</c:v>
                </c:pt>
                <c:pt idx="4">
                  <c:v>-5.629046725308851</c:v>
                </c:pt>
                <c:pt idx="5">
                  <c:v>-1.6</c:v>
                </c:pt>
              </c:numCache>
            </c:numRef>
          </c:val>
          <c:extLst>
            <c:ext xmlns:c16="http://schemas.microsoft.com/office/drawing/2014/chart" uri="{C3380CC4-5D6E-409C-BE32-E72D297353CC}">
              <c16:uniqueId val="{00000000-1A8D-42B8-9706-A3D4147AFEF9}"/>
            </c:ext>
          </c:extLst>
        </c:ser>
        <c:ser>
          <c:idx val="1"/>
          <c:order val="1"/>
          <c:tx>
            <c:strRef>
              <c:f>'Figura 4'!$A$8</c:f>
              <c:strCache>
                <c:ptCount val="1"/>
                <c:pt idx="0">
                  <c:v>   Frumento duro</c:v>
                </c:pt>
              </c:strCache>
            </c:strRef>
          </c:tx>
          <c:spPr>
            <a:solidFill>
              <a:srgbClr val="CC66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4'!$B$5:$G$5</c:f>
              <c:strCache>
                <c:ptCount val="6"/>
                <c:pt idx="0">
                  <c:v>2016/2015</c:v>
                </c:pt>
                <c:pt idx="1">
                  <c:v>2017/2016</c:v>
                </c:pt>
                <c:pt idx="2">
                  <c:v>2018/2017</c:v>
                </c:pt>
                <c:pt idx="3">
                  <c:v>2019/2018</c:v>
                </c:pt>
                <c:pt idx="4">
                  <c:v>2020/2019</c:v>
                </c:pt>
                <c:pt idx="5">
                  <c:v>Previsioni 2021</c:v>
                </c:pt>
              </c:strCache>
            </c:strRef>
          </c:cat>
          <c:val>
            <c:numRef>
              <c:f>'Figura 4'!$B$8:$G$8</c:f>
              <c:numCache>
                <c:formatCode>0.0</c:formatCode>
                <c:ptCount val="6"/>
                <c:pt idx="0">
                  <c:v>4.1238672740982221</c:v>
                </c:pt>
                <c:pt idx="1">
                  <c:v>-5.6963521058051931</c:v>
                </c:pt>
                <c:pt idx="2">
                  <c:v>-2.0274267811927138</c:v>
                </c:pt>
                <c:pt idx="3">
                  <c:v>-4.2585229517185921</c:v>
                </c:pt>
                <c:pt idx="4">
                  <c:v>-1.1066538122160856</c:v>
                </c:pt>
                <c:pt idx="5">
                  <c:v>5.6</c:v>
                </c:pt>
              </c:numCache>
            </c:numRef>
          </c:val>
          <c:extLst>
            <c:ext xmlns:c16="http://schemas.microsoft.com/office/drawing/2014/chart" uri="{C3380CC4-5D6E-409C-BE32-E72D297353CC}">
              <c16:uniqueId val="{00000001-1A8D-42B8-9706-A3D4147AFEF9}"/>
            </c:ext>
          </c:extLst>
        </c:ser>
        <c:ser>
          <c:idx val="2"/>
          <c:order val="2"/>
          <c:tx>
            <c:strRef>
              <c:f>'Figura 4'!$A$9</c:f>
              <c:strCache>
                <c:ptCount val="1"/>
                <c:pt idx="0">
                  <c:v>   Orzo</c:v>
                </c:pt>
              </c:strCache>
            </c:strRef>
          </c:tx>
          <c:spPr>
            <a:solidFill>
              <a:srgbClr val="003B5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4'!$B$5:$G$5</c:f>
              <c:strCache>
                <c:ptCount val="6"/>
                <c:pt idx="0">
                  <c:v>2016/2015</c:v>
                </c:pt>
                <c:pt idx="1">
                  <c:v>2017/2016</c:v>
                </c:pt>
                <c:pt idx="2">
                  <c:v>2018/2017</c:v>
                </c:pt>
                <c:pt idx="3">
                  <c:v>2019/2018</c:v>
                </c:pt>
                <c:pt idx="4">
                  <c:v>2020/2019</c:v>
                </c:pt>
                <c:pt idx="5">
                  <c:v>Previsioni 2021</c:v>
                </c:pt>
              </c:strCache>
            </c:strRef>
          </c:cat>
          <c:val>
            <c:numRef>
              <c:f>'Figura 4'!$B$9:$G$9</c:f>
              <c:numCache>
                <c:formatCode>0.0</c:formatCode>
                <c:ptCount val="6"/>
                <c:pt idx="0">
                  <c:v>1.4306593383972499</c:v>
                </c:pt>
                <c:pt idx="1">
                  <c:v>1.6868936964727848</c:v>
                </c:pt>
                <c:pt idx="2">
                  <c:v>4.7723589567549869</c:v>
                </c:pt>
                <c:pt idx="3">
                  <c:v>-0.40802797906142141</c:v>
                </c:pt>
                <c:pt idx="4">
                  <c:v>0.77234699381433836</c:v>
                </c:pt>
                <c:pt idx="5">
                  <c:v>-7.7</c:v>
                </c:pt>
              </c:numCache>
            </c:numRef>
          </c:val>
          <c:extLst>
            <c:ext xmlns:c16="http://schemas.microsoft.com/office/drawing/2014/chart" uri="{C3380CC4-5D6E-409C-BE32-E72D297353CC}">
              <c16:uniqueId val="{00000002-1A8D-42B8-9706-A3D4147AFEF9}"/>
            </c:ext>
          </c:extLst>
        </c:ser>
        <c:ser>
          <c:idx val="3"/>
          <c:order val="3"/>
          <c:tx>
            <c:strRef>
              <c:f>'Figura 4'!$A$10</c:f>
              <c:strCache>
                <c:ptCount val="1"/>
                <c:pt idx="0">
                  <c:v>   Avena</c:v>
                </c:pt>
              </c:strCache>
            </c:strRef>
          </c:tx>
          <c:spPr>
            <a:solidFill>
              <a:srgbClr val="888888"/>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4'!$B$5:$G$5</c:f>
              <c:strCache>
                <c:ptCount val="6"/>
                <c:pt idx="0">
                  <c:v>2016/2015</c:v>
                </c:pt>
                <c:pt idx="1">
                  <c:v>2017/2016</c:v>
                </c:pt>
                <c:pt idx="2">
                  <c:v>2018/2017</c:v>
                </c:pt>
                <c:pt idx="3">
                  <c:v>2019/2018</c:v>
                </c:pt>
                <c:pt idx="4">
                  <c:v>2020/2019</c:v>
                </c:pt>
                <c:pt idx="5">
                  <c:v>Previsioni 2021</c:v>
                </c:pt>
              </c:strCache>
            </c:strRef>
          </c:cat>
          <c:val>
            <c:numRef>
              <c:f>'Figura 4'!$B$10:$G$10</c:f>
              <c:numCache>
                <c:formatCode>0.0</c:formatCode>
                <c:ptCount val="6"/>
                <c:pt idx="0">
                  <c:v>-1.7410697896398546</c:v>
                </c:pt>
                <c:pt idx="1">
                  <c:v>1.30769015215909</c:v>
                </c:pt>
                <c:pt idx="2">
                  <c:v>-0.92661743147180031</c:v>
                </c:pt>
                <c:pt idx="3">
                  <c:v>-3.4107618143577718</c:v>
                </c:pt>
                <c:pt idx="4">
                  <c:v>-0.31795276956132151</c:v>
                </c:pt>
                <c:pt idx="5">
                  <c:v>0.4</c:v>
                </c:pt>
              </c:numCache>
            </c:numRef>
          </c:val>
          <c:extLst>
            <c:ext xmlns:c16="http://schemas.microsoft.com/office/drawing/2014/chart" uri="{C3380CC4-5D6E-409C-BE32-E72D297353CC}">
              <c16:uniqueId val="{00000003-1A8D-42B8-9706-A3D4147AFEF9}"/>
            </c:ext>
          </c:extLst>
        </c:ser>
        <c:ser>
          <c:idx val="4"/>
          <c:order val="4"/>
          <c:tx>
            <c:strRef>
              <c:f>'Figura 4'!$A$11</c:f>
              <c:strCache>
                <c:ptCount val="1"/>
                <c:pt idx="0">
                  <c:v>   Mais</c:v>
                </c:pt>
              </c:strCache>
            </c:strRef>
          </c:tx>
          <c:spPr>
            <a:solidFill>
              <a:srgbClr val="9BBB5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4'!$B$5:$G$5</c:f>
              <c:strCache>
                <c:ptCount val="6"/>
                <c:pt idx="0">
                  <c:v>2016/2015</c:v>
                </c:pt>
                <c:pt idx="1">
                  <c:v>2017/2016</c:v>
                </c:pt>
                <c:pt idx="2">
                  <c:v>2018/2017</c:v>
                </c:pt>
                <c:pt idx="3">
                  <c:v>2019/2018</c:v>
                </c:pt>
                <c:pt idx="4">
                  <c:v>2020/2019</c:v>
                </c:pt>
                <c:pt idx="5">
                  <c:v>Previsioni 2021</c:v>
                </c:pt>
              </c:strCache>
            </c:strRef>
          </c:cat>
          <c:val>
            <c:numRef>
              <c:f>'Figura 4'!$B$11:$G$11</c:f>
              <c:numCache>
                <c:formatCode>0.0</c:formatCode>
                <c:ptCount val="6"/>
                <c:pt idx="0">
                  <c:v>0.69116591183137621</c:v>
                </c:pt>
                <c:pt idx="1">
                  <c:v>-2.3111848569399891</c:v>
                </c:pt>
                <c:pt idx="2">
                  <c:v>-8.3772302990572811</c:v>
                </c:pt>
                <c:pt idx="3">
                  <c:v>6.3590355984208546</c:v>
                </c:pt>
                <c:pt idx="4">
                  <c:v>-4.1261066696776876</c:v>
                </c:pt>
                <c:pt idx="5">
                  <c:v>0.4</c:v>
                </c:pt>
              </c:numCache>
            </c:numRef>
          </c:val>
          <c:extLst>
            <c:ext xmlns:c16="http://schemas.microsoft.com/office/drawing/2014/chart" uri="{C3380CC4-5D6E-409C-BE32-E72D297353CC}">
              <c16:uniqueId val="{00000004-1A8D-42B8-9706-A3D4147AFEF9}"/>
            </c:ext>
          </c:extLst>
        </c:ser>
        <c:ser>
          <c:idx val="5"/>
          <c:order val="5"/>
          <c:tx>
            <c:strRef>
              <c:f>'Figura 4'!$A$12</c:f>
              <c:strCache>
                <c:ptCount val="1"/>
                <c:pt idx="0">
                  <c:v>   Riso</c:v>
                </c:pt>
              </c:strCache>
            </c:strRef>
          </c:tx>
          <c:spPr>
            <a:solidFill>
              <a:srgbClr val="E42618"/>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4'!$B$5:$G$5</c:f>
              <c:strCache>
                <c:ptCount val="6"/>
                <c:pt idx="0">
                  <c:v>2016/2015</c:v>
                </c:pt>
                <c:pt idx="1">
                  <c:v>2017/2016</c:v>
                </c:pt>
                <c:pt idx="2">
                  <c:v>2018/2017</c:v>
                </c:pt>
                <c:pt idx="3">
                  <c:v>2019/2018</c:v>
                </c:pt>
                <c:pt idx="4">
                  <c:v>2020/2019</c:v>
                </c:pt>
                <c:pt idx="5">
                  <c:v>Previsioni 2021</c:v>
                </c:pt>
              </c:strCache>
            </c:strRef>
          </c:cat>
          <c:val>
            <c:numRef>
              <c:f>'Figura 4'!$B$12:$G$12</c:f>
              <c:numCache>
                <c:formatCode>0.0</c:formatCode>
                <c:ptCount val="6"/>
                <c:pt idx="0">
                  <c:v>2.9925527094852877</c:v>
                </c:pt>
                <c:pt idx="1">
                  <c:v>-1.9591345127149409</c:v>
                </c:pt>
                <c:pt idx="2">
                  <c:v>-5.3810330781931368</c:v>
                </c:pt>
                <c:pt idx="3">
                  <c:v>1.3038974193696908</c:v>
                </c:pt>
                <c:pt idx="4">
                  <c:v>3.3</c:v>
                </c:pt>
                <c:pt idx="5">
                  <c:v>-0.5</c:v>
                </c:pt>
              </c:numCache>
            </c:numRef>
          </c:val>
          <c:extLst>
            <c:ext xmlns:c16="http://schemas.microsoft.com/office/drawing/2014/chart" uri="{C3380CC4-5D6E-409C-BE32-E72D297353CC}">
              <c16:uniqueId val="{00000005-1A8D-42B8-9706-A3D4147AFEF9}"/>
            </c:ext>
          </c:extLst>
        </c:ser>
        <c:ser>
          <c:idx val="6"/>
          <c:order val="6"/>
          <c:tx>
            <c:strRef>
              <c:f>'Figura 4'!$A$13</c:f>
              <c:strCache>
                <c:ptCount val="1"/>
                <c:pt idx="0">
                  <c:v>   Triticale</c:v>
                </c:pt>
              </c:strCache>
            </c:strRef>
          </c:tx>
          <c:spPr>
            <a:solidFill>
              <a:srgbClr val="00648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4'!$B$5:$G$5</c:f>
              <c:strCache>
                <c:ptCount val="6"/>
                <c:pt idx="0">
                  <c:v>2016/2015</c:v>
                </c:pt>
                <c:pt idx="1">
                  <c:v>2017/2016</c:v>
                </c:pt>
                <c:pt idx="2">
                  <c:v>2018/2017</c:v>
                </c:pt>
                <c:pt idx="3">
                  <c:v>2019/2018</c:v>
                </c:pt>
                <c:pt idx="4">
                  <c:v>2020/2019</c:v>
                </c:pt>
                <c:pt idx="5">
                  <c:v>Previsioni 2021</c:v>
                </c:pt>
              </c:strCache>
            </c:strRef>
          </c:cat>
          <c:val>
            <c:numRef>
              <c:f>'Figura 4'!$B$13:$G$13</c:f>
              <c:numCache>
                <c:formatCode>0.0</c:formatCode>
                <c:ptCount val="6"/>
                <c:pt idx="0">
                  <c:v>0</c:v>
                </c:pt>
                <c:pt idx="1">
                  <c:v>5.4893900006045584</c:v>
                </c:pt>
                <c:pt idx="2">
                  <c:v>-13.17554014556708</c:v>
                </c:pt>
                <c:pt idx="3">
                  <c:v>-6.4026402640264033</c:v>
                </c:pt>
                <c:pt idx="4">
                  <c:v>-8.018335684062059</c:v>
                </c:pt>
                <c:pt idx="5">
                  <c:v>5.4</c:v>
                </c:pt>
              </c:numCache>
            </c:numRef>
          </c:val>
          <c:extLst>
            <c:ext xmlns:c16="http://schemas.microsoft.com/office/drawing/2014/chart" uri="{C3380CC4-5D6E-409C-BE32-E72D297353CC}">
              <c16:uniqueId val="{00000006-1A8D-42B8-9706-A3D4147AFEF9}"/>
            </c:ext>
          </c:extLst>
        </c:ser>
        <c:dLbls>
          <c:showLegendKey val="0"/>
          <c:showVal val="0"/>
          <c:showCatName val="0"/>
          <c:showSerName val="0"/>
          <c:showPercent val="0"/>
          <c:showBubbleSize val="0"/>
        </c:dLbls>
        <c:gapWidth val="150"/>
        <c:axId val="198154880"/>
        <c:axId val="198156672"/>
      </c:barChart>
      <c:catAx>
        <c:axId val="198154880"/>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it-IT"/>
          </a:p>
        </c:txPr>
        <c:crossAx val="198156672"/>
        <c:crosses val="autoZero"/>
        <c:auto val="1"/>
        <c:lblAlgn val="ctr"/>
        <c:lblOffset val="100"/>
        <c:noMultiLvlLbl val="0"/>
      </c:catAx>
      <c:valAx>
        <c:axId val="198156672"/>
        <c:scaling>
          <c:orientation val="minMax"/>
          <c:max val="16"/>
          <c:min val="-16"/>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it-IT"/>
          </a:p>
        </c:txPr>
        <c:crossAx val="198154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5'!$A$7</c:f>
              <c:strCache>
                <c:ptCount val="1"/>
                <c:pt idx="0">
                  <c:v>   Frumento tenero</c:v>
                </c:pt>
              </c:strCache>
            </c:strRef>
          </c:tx>
          <c:spPr>
            <a:solidFill>
              <a:srgbClr val="66669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5'!$C$4:$G$4</c:f>
              <c:strCache>
                <c:ptCount val="5"/>
                <c:pt idx="0">
                  <c:v>Nord ovest</c:v>
                </c:pt>
                <c:pt idx="1">
                  <c:v>Nord est</c:v>
                </c:pt>
                <c:pt idx="2">
                  <c:v>Centro</c:v>
                </c:pt>
                <c:pt idx="3">
                  <c:v>Sud</c:v>
                </c:pt>
                <c:pt idx="4">
                  <c:v>Isole</c:v>
                </c:pt>
              </c:strCache>
            </c:strRef>
          </c:cat>
          <c:val>
            <c:numRef>
              <c:f>'Figure 5'!$C$7:$G$7</c:f>
              <c:numCache>
                <c:formatCode>0.0</c:formatCode>
                <c:ptCount val="5"/>
                <c:pt idx="0">
                  <c:v>14.4</c:v>
                </c:pt>
                <c:pt idx="1">
                  <c:v>-10.8</c:v>
                </c:pt>
                <c:pt idx="2">
                  <c:v>-1.2</c:v>
                </c:pt>
                <c:pt idx="3">
                  <c:v>2.8996886061799731</c:v>
                </c:pt>
                <c:pt idx="4">
                  <c:v>13.819095477386934</c:v>
                </c:pt>
              </c:numCache>
            </c:numRef>
          </c:val>
          <c:extLst>
            <c:ext xmlns:c16="http://schemas.microsoft.com/office/drawing/2014/chart" uri="{C3380CC4-5D6E-409C-BE32-E72D297353CC}">
              <c16:uniqueId val="{00000000-86D6-467D-9BF3-E08B9804A0D4}"/>
            </c:ext>
          </c:extLst>
        </c:ser>
        <c:ser>
          <c:idx val="1"/>
          <c:order val="1"/>
          <c:tx>
            <c:strRef>
              <c:f>'Figure 5'!$A$8</c:f>
              <c:strCache>
                <c:ptCount val="1"/>
                <c:pt idx="0">
                  <c:v>   Frumento duro</c:v>
                </c:pt>
              </c:strCache>
            </c:strRef>
          </c:tx>
          <c:spPr>
            <a:solidFill>
              <a:srgbClr val="CC6600"/>
            </a:solidFill>
            <a:ln>
              <a:noFill/>
            </a:ln>
            <a:effectLst/>
          </c:spPr>
          <c:invertIfNegative val="0"/>
          <c:dLbls>
            <c:dLbl>
              <c:idx val="0"/>
              <c:layout>
                <c:manualLayout>
                  <c:x val="8.0634920634920643E-3"/>
                  <c:y val="-1.763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D6-467D-9BF3-E08B9804A0D4}"/>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5'!$C$4:$G$4</c:f>
              <c:strCache>
                <c:ptCount val="5"/>
                <c:pt idx="0">
                  <c:v>Nord ovest</c:v>
                </c:pt>
                <c:pt idx="1">
                  <c:v>Nord est</c:v>
                </c:pt>
                <c:pt idx="2">
                  <c:v>Centro</c:v>
                </c:pt>
                <c:pt idx="3">
                  <c:v>Sud</c:v>
                </c:pt>
                <c:pt idx="4">
                  <c:v>Isole</c:v>
                </c:pt>
              </c:strCache>
            </c:strRef>
          </c:cat>
          <c:val>
            <c:numRef>
              <c:f>'Figure 5'!$C$8:$G$8</c:f>
              <c:numCache>
                <c:formatCode>0.0</c:formatCode>
                <c:ptCount val="5"/>
                <c:pt idx="0">
                  <c:v>15.2</c:v>
                </c:pt>
                <c:pt idx="1">
                  <c:v>24.7</c:v>
                </c:pt>
                <c:pt idx="2">
                  <c:v>8.5</c:v>
                </c:pt>
                <c:pt idx="3">
                  <c:v>3.099963849278331</c:v>
                </c:pt>
                <c:pt idx="4">
                  <c:v>4.2000629885594387</c:v>
                </c:pt>
              </c:numCache>
            </c:numRef>
          </c:val>
          <c:extLst>
            <c:ext xmlns:c16="http://schemas.microsoft.com/office/drawing/2014/chart" uri="{C3380CC4-5D6E-409C-BE32-E72D297353CC}">
              <c16:uniqueId val="{00000002-86D6-467D-9BF3-E08B9804A0D4}"/>
            </c:ext>
          </c:extLst>
        </c:ser>
        <c:ser>
          <c:idx val="2"/>
          <c:order val="2"/>
          <c:tx>
            <c:strRef>
              <c:f>'Figure 5'!$A$9</c:f>
              <c:strCache>
                <c:ptCount val="1"/>
                <c:pt idx="0">
                  <c:v>   Orzo</c:v>
                </c:pt>
              </c:strCache>
            </c:strRef>
          </c:tx>
          <c:spPr>
            <a:solidFill>
              <a:srgbClr val="888888"/>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5'!$C$4:$G$4</c:f>
              <c:strCache>
                <c:ptCount val="5"/>
                <c:pt idx="0">
                  <c:v>Nord ovest</c:v>
                </c:pt>
                <c:pt idx="1">
                  <c:v>Nord est</c:v>
                </c:pt>
                <c:pt idx="2">
                  <c:v>Centro</c:v>
                </c:pt>
                <c:pt idx="3">
                  <c:v>Sud</c:v>
                </c:pt>
                <c:pt idx="4">
                  <c:v>Isole</c:v>
                </c:pt>
              </c:strCache>
            </c:strRef>
          </c:cat>
          <c:val>
            <c:numRef>
              <c:f>'Figure 5'!$C$9:$G$9</c:f>
              <c:numCache>
                <c:formatCode>0.0</c:formatCode>
                <c:ptCount val="5"/>
                <c:pt idx="0">
                  <c:v>-4.2</c:v>
                </c:pt>
                <c:pt idx="1">
                  <c:v>-11.5</c:v>
                </c:pt>
                <c:pt idx="2">
                  <c:v>-11.7</c:v>
                </c:pt>
                <c:pt idx="3">
                  <c:v>-5.2002478043803091</c:v>
                </c:pt>
                <c:pt idx="4">
                  <c:v>1.2980937901999834</c:v>
                </c:pt>
              </c:numCache>
            </c:numRef>
          </c:val>
          <c:extLst>
            <c:ext xmlns:c16="http://schemas.microsoft.com/office/drawing/2014/chart" uri="{C3380CC4-5D6E-409C-BE32-E72D297353CC}">
              <c16:uniqueId val="{00000003-86D6-467D-9BF3-E08B9804A0D4}"/>
            </c:ext>
          </c:extLst>
        </c:ser>
        <c:ser>
          <c:idx val="3"/>
          <c:order val="3"/>
          <c:tx>
            <c:strRef>
              <c:f>'Figure 5'!$A$10</c:f>
              <c:strCache>
                <c:ptCount val="1"/>
                <c:pt idx="0">
                  <c:v>   Avena</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5'!$C$4:$G$4</c:f>
              <c:strCache>
                <c:ptCount val="5"/>
                <c:pt idx="0">
                  <c:v>Nord ovest</c:v>
                </c:pt>
                <c:pt idx="1">
                  <c:v>Nord est</c:v>
                </c:pt>
                <c:pt idx="2">
                  <c:v>Centro</c:v>
                </c:pt>
                <c:pt idx="3">
                  <c:v>Sud</c:v>
                </c:pt>
                <c:pt idx="4">
                  <c:v>Isole</c:v>
                </c:pt>
              </c:strCache>
            </c:strRef>
          </c:cat>
          <c:val>
            <c:numRef>
              <c:f>'Figure 5'!$C$10:$G$10</c:f>
              <c:numCache>
                <c:formatCode>0.0</c:formatCode>
                <c:ptCount val="5"/>
                <c:pt idx="0">
                  <c:v>-14.7</c:v>
                </c:pt>
                <c:pt idx="1">
                  <c:v>-4.5999999999999996</c:v>
                </c:pt>
                <c:pt idx="2">
                  <c:v>0.6</c:v>
                </c:pt>
                <c:pt idx="3">
                  <c:v>-1.0995211296132901</c:v>
                </c:pt>
                <c:pt idx="4">
                  <c:v>8.7985558601323852</c:v>
                </c:pt>
              </c:numCache>
            </c:numRef>
          </c:val>
          <c:extLst>
            <c:ext xmlns:c16="http://schemas.microsoft.com/office/drawing/2014/chart" uri="{C3380CC4-5D6E-409C-BE32-E72D297353CC}">
              <c16:uniqueId val="{00000004-86D6-467D-9BF3-E08B9804A0D4}"/>
            </c:ext>
          </c:extLst>
        </c:ser>
        <c:ser>
          <c:idx val="4"/>
          <c:order val="4"/>
          <c:tx>
            <c:strRef>
              <c:f>'Figure 5'!$A$11</c:f>
              <c:strCache>
                <c:ptCount val="1"/>
                <c:pt idx="0">
                  <c:v>   Mais</c:v>
                </c:pt>
              </c:strCache>
            </c:strRef>
          </c:tx>
          <c:spPr>
            <a:solidFill>
              <a:srgbClr val="9BBB5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5'!$C$4:$G$4</c:f>
              <c:strCache>
                <c:ptCount val="5"/>
                <c:pt idx="0">
                  <c:v>Nord ovest</c:v>
                </c:pt>
                <c:pt idx="1">
                  <c:v>Nord est</c:v>
                </c:pt>
                <c:pt idx="2">
                  <c:v>Centro</c:v>
                </c:pt>
                <c:pt idx="3">
                  <c:v>Sud</c:v>
                </c:pt>
                <c:pt idx="4">
                  <c:v>Isole</c:v>
                </c:pt>
              </c:strCache>
            </c:strRef>
          </c:cat>
          <c:val>
            <c:numRef>
              <c:f>'Figure 5'!$C$11:$G$11</c:f>
              <c:numCache>
                <c:formatCode>0.0</c:formatCode>
                <c:ptCount val="5"/>
                <c:pt idx="0">
                  <c:v>-0.4</c:v>
                </c:pt>
                <c:pt idx="1">
                  <c:v>3.1</c:v>
                </c:pt>
                <c:pt idx="2">
                  <c:v>-8.4</c:v>
                </c:pt>
                <c:pt idx="3">
                  <c:v>-5.8996458876194318</c:v>
                </c:pt>
                <c:pt idx="4">
                  <c:v>36.013320647002843</c:v>
                </c:pt>
              </c:numCache>
            </c:numRef>
          </c:val>
          <c:extLst>
            <c:ext xmlns:c16="http://schemas.microsoft.com/office/drawing/2014/chart" uri="{C3380CC4-5D6E-409C-BE32-E72D297353CC}">
              <c16:uniqueId val="{00000005-86D6-467D-9BF3-E08B9804A0D4}"/>
            </c:ext>
          </c:extLst>
        </c:ser>
        <c:ser>
          <c:idx val="5"/>
          <c:order val="5"/>
          <c:tx>
            <c:strRef>
              <c:f>'Figure 5'!$A$12</c:f>
              <c:strCache>
                <c:ptCount val="1"/>
                <c:pt idx="0">
                  <c:v>   Riso</c:v>
                </c:pt>
              </c:strCache>
            </c:strRef>
          </c:tx>
          <c:spPr>
            <a:solidFill>
              <a:srgbClr val="E42618"/>
            </a:solidFill>
            <a:ln>
              <a:noFill/>
            </a:ln>
            <a:effectLst/>
          </c:spPr>
          <c:invertIfNegative val="0"/>
          <c:cat>
            <c:strRef>
              <c:f>'Figure 5'!$C$4:$G$4</c:f>
              <c:strCache>
                <c:ptCount val="5"/>
                <c:pt idx="0">
                  <c:v>Nord ovest</c:v>
                </c:pt>
                <c:pt idx="1">
                  <c:v>Nord est</c:v>
                </c:pt>
                <c:pt idx="2">
                  <c:v>Centro</c:v>
                </c:pt>
                <c:pt idx="3">
                  <c:v>Sud</c:v>
                </c:pt>
                <c:pt idx="4">
                  <c:v>Isole</c:v>
                </c:pt>
              </c:strCache>
            </c:strRef>
          </c:cat>
          <c:val>
            <c:numRef>
              <c:f>'Figure 5'!$C$12:$G$12</c:f>
              <c:numCache>
                <c:formatCode>0.0</c:formatCode>
                <c:ptCount val="5"/>
                <c:pt idx="0">
                  <c:v>-0.3</c:v>
                </c:pt>
                <c:pt idx="1">
                  <c:v>-6.8</c:v>
                </c:pt>
                <c:pt idx="2">
                  <c:v>0</c:v>
                </c:pt>
                <c:pt idx="3">
                  <c:v>-16.355810616929702</c:v>
                </c:pt>
                <c:pt idx="4">
                  <c:v>4.4018363489062962</c:v>
                </c:pt>
              </c:numCache>
            </c:numRef>
          </c:val>
          <c:extLst>
            <c:ext xmlns:c16="http://schemas.microsoft.com/office/drawing/2014/chart" uri="{C3380CC4-5D6E-409C-BE32-E72D297353CC}">
              <c16:uniqueId val="{00000006-86D6-467D-9BF3-E08B9804A0D4}"/>
            </c:ext>
          </c:extLst>
        </c:ser>
        <c:ser>
          <c:idx val="6"/>
          <c:order val="6"/>
          <c:tx>
            <c:strRef>
              <c:f>'Figure 5'!$A$13</c:f>
              <c:strCache>
                <c:ptCount val="1"/>
                <c:pt idx="0">
                  <c:v>   Triticale</c:v>
                </c:pt>
              </c:strCache>
            </c:strRef>
          </c:tx>
          <c:spPr>
            <a:solidFill>
              <a:srgbClr val="00648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5'!$C$4:$G$4</c:f>
              <c:strCache>
                <c:ptCount val="5"/>
                <c:pt idx="0">
                  <c:v>Nord ovest</c:v>
                </c:pt>
                <c:pt idx="1">
                  <c:v>Nord est</c:v>
                </c:pt>
                <c:pt idx="2">
                  <c:v>Centro</c:v>
                </c:pt>
                <c:pt idx="3">
                  <c:v>Sud</c:v>
                </c:pt>
                <c:pt idx="4">
                  <c:v>Isole</c:v>
                </c:pt>
              </c:strCache>
            </c:strRef>
          </c:cat>
          <c:val>
            <c:numRef>
              <c:f>'Figure 5'!$C$13:$G$13</c:f>
              <c:numCache>
                <c:formatCode>0.0</c:formatCode>
                <c:ptCount val="5"/>
                <c:pt idx="0">
                  <c:v>11.6</c:v>
                </c:pt>
                <c:pt idx="1">
                  <c:v>24.7</c:v>
                </c:pt>
                <c:pt idx="2">
                  <c:v>-16.7</c:v>
                </c:pt>
                <c:pt idx="3">
                  <c:v>-4.2105263157894761</c:v>
                </c:pt>
                <c:pt idx="4">
                  <c:v>-8.6486486486486491</c:v>
                </c:pt>
              </c:numCache>
            </c:numRef>
          </c:val>
          <c:extLst>
            <c:ext xmlns:c16="http://schemas.microsoft.com/office/drawing/2014/chart" uri="{C3380CC4-5D6E-409C-BE32-E72D297353CC}">
              <c16:uniqueId val="{00000007-86D6-467D-9BF3-E08B9804A0D4}"/>
            </c:ext>
          </c:extLst>
        </c:ser>
        <c:dLbls>
          <c:showLegendKey val="0"/>
          <c:showVal val="0"/>
          <c:showCatName val="0"/>
          <c:showSerName val="0"/>
          <c:showPercent val="0"/>
          <c:showBubbleSize val="0"/>
        </c:dLbls>
        <c:gapWidth val="150"/>
        <c:axId val="198928640"/>
        <c:axId val="198938624"/>
      </c:barChart>
      <c:catAx>
        <c:axId val="198928640"/>
        <c:scaling>
          <c:orientation val="minMax"/>
        </c:scaling>
        <c:delete val="0"/>
        <c:axPos val="b"/>
        <c:majorGridlines>
          <c:spPr>
            <a:ln w="9525" cap="flat" cmpd="sng" algn="ctr">
              <a:solidFill>
                <a:schemeClr val="bg1"/>
              </a:solidFill>
              <a:round/>
            </a:ln>
            <a:effectLst/>
          </c:spPr>
        </c:majorGridlines>
        <c:numFmt formatCode="General" sourceLinked="1"/>
        <c:majorTickMark val="cross"/>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it-IT"/>
          </a:p>
        </c:txPr>
        <c:crossAx val="198938624"/>
        <c:crosses val="autoZero"/>
        <c:auto val="1"/>
        <c:lblAlgn val="ctr"/>
        <c:lblOffset val="100"/>
        <c:noMultiLvlLbl val="0"/>
      </c:catAx>
      <c:valAx>
        <c:axId val="198938624"/>
        <c:scaling>
          <c:orientation val="minMax"/>
          <c:max val="40"/>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it-IT"/>
          </a:p>
        </c:txPr>
        <c:crossAx val="198928640"/>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a:pPr>
            <a:r>
              <a:rPr lang="it-IT" sz="900"/>
              <a:t>2019-2020</a:t>
            </a:r>
          </a:p>
        </c:rich>
      </c:tx>
      <c:overlay val="0"/>
      <c:spPr>
        <a:noFill/>
        <a:ln>
          <a:noFill/>
        </a:ln>
        <a:effectLst/>
      </c:spPr>
    </c:title>
    <c:autoTitleDeleted val="0"/>
    <c:plotArea>
      <c:layout/>
      <c:barChart>
        <c:barDir val="bar"/>
        <c:grouping val="clustered"/>
        <c:varyColors val="0"/>
        <c:ser>
          <c:idx val="0"/>
          <c:order val="0"/>
          <c:tx>
            <c:strRef>
              <c:f>'Figura 6'!$A$5:$A$15</c:f>
              <c:strCache>
                <c:ptCount val="11"/>
                <c:pt idx="0">
                  <c:v>Nessun impatto</c:v>
                </c:pt>
                <c:pt idx="1">
                  <c:v>Riduzione della domanda</c:v>
                </c:pt>
                <c:pt idx="2">
                  <c:v>Riduzione di superfice coltivata </c:v>
                </c:pt>
                <c:pt idx="3">
                  <c:v>Riduzione di produzione raccolta </c:v>
                </c:pt>
                <c:pt idx="4">
                  <c:v>Difficoltà nella sostenibilità</c:v>
                </c:pt>
                <c:pt idx="5">
                  <c:v>Aumento dei costi di produzione</c:v>
                </c:pt>
                <c:pt idx="6">
                  <c:v>Difficoltà logistiche</c:v>
                </c:pt>
                <c:pt idx="7">
                  <c:v>Mancanza di liquidità</c:v>
                </c:pt>
                <c:pt idx="8">
                  <c:v>Difficoltà varie (acquisti, manodopera, manutenzione)</c:v>
                </c:pt>
                <c:pt idx="9">
                  <c:v>Riduzione prezzi di vendita</c:v>
                </c:pt>
                <c:pt idx="10">
                  <c:v>Riduzione delle esportazioni</c:v>
                </c:pt>
              </c:strCache>
            </c:strRef>
          </c:tx>
          <c:spPr>
            <a:solidFill>
              <a:srgbClr val="1F497D"/>
            </a:solidFill>
            <a:ln>
              <a:noFill/>
            </a:ln>
            <a:effectLst/>
          </c:spPr>
          <c:invertIfNegative val="0"/>
          <c:dLbls>
            <c:spPr>
              <a:noFill/>
              <a:ln>
                <a:noFill/>
              </a:ln>
              <a:effectLst/>
            </c:spPr>
            <c:txPr>
              <a:bodyPr rot="0" vert="horz"/>
              <a:lstStyle/>
              <a:p>
                <a:pPr>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6'!$A$5:$A$15</c:f>
              <c:strCache>
                <c:ptCount val="11"/>
                <c:pt idx="0">
                  <c:v>Nessun impatto</c:v>
                </c:pt>
                <c:pt idx="1">
                  <c:v>Riduzione della domanda</c:v>
                </c:pt>
                <c:pt idx="2">
                  <c:v>Riduzione di superfice coltivata </c:v>
                </c:pt>
                <c:pt idx="3">
                  <c:v>Riduzione di produzione raccolta </c:v>
                </c:pt>
                <c:pt idx="4">
                  <c:v>Difficoltà nella sostenibilità</c:v>
                </c:pt>
                <c:pt idx="5">
                  <c:v>Aumento dei costi di produzione</c:v>
                </c:pt>
                <c:pt idx="6">
                  <c:v>Difficoltà logistiche</c:v>
                </c:pt>
                <c:pt idx="7">
                  <c:v>Mancanza di liquidità</c:v>
                </c:pt>
                <c:pt idx="8">
                  <c:v>Difficoltà varie (acquisti, manodopera, manutenzione)</c:v>
                </c:pt>
                <c:pt idx="9">
                  <c:v>Riduzione prezzi di vendita</c:v>
                </c:pt>
                <c:pt idx="10">
                  <c:v>Riduzione delle esportazioni</c:v>
                </c:pt>
              </c:strCache>
            </c:strRef>
          </c:cat>
          <c:val>
            <c:numRef>
              <c:f>'Figura 6'!$C$5:$C$15</c:f>
              <c:numCache>
                <c:formatCode>0.0</c:formatCode>
                <c:ptCount val="11"/>
                <c:pt idx="0">
                  <c:v>31.378510280822464</c:v>
                </c:pt>
                <c:pt idx="1">
                  <c:v>17.417393391471318</c:v>
                </c:pt>
                <c:pt idx="2">
                  <c:v>0.52804224337947037</c:v>
                </c:pt>
                <c:pt idx="3">
                  <c:v>1.7281382510600847</c:v>
                </c:pt>
                <c:pt idx="4">
                  <c:v>4.4163533082646609</c:v>
                </c:pt>
                <c:pt idx="5">
                  <c:v>5.6324505960476845</c:v>
                </c:pt>
                <c:pt idx="6">
                  <c:v>4.4483558684694771</c:v>
                </c:pt>
                <c:pt idx="7">
                  <c:v>4.3123449875990083</c:v>
                </c:pt>
                <c:pt idx="8">
                  <c:v>11.216897351788143</c:v>
                </c:pt>
                <c:pt idx="9">
                  <c:v>17.7694215537243</c:v>
                </c:pt>
                <c:pt idx="10">
                  <c:v>1.1520921673733899</c:v>
                </c:pt>
              </c:numCache>
            </c:numRef>
          </c:val>
          <c:extLst>
            <c:ext xmlns:c16="http://schemas.microsoft.com/office/drawing/2014/chart" uri="{C3380CC4-5D6E-409C-BE32-E72D297353CC}">
              <c16:uniqueId val="{00000000-5C3E-4E82-8E92-266331B00B02}"/>
            </c:ext>
          </c:extLst>
        </c:ser>
        <c:dLbls>
          <c:showLegendKey val="0"/>
          <c:showVal val="0"/>
          <c:showCatName val="0"/>
          <c:showSerName val="0"/>
          <c:showPercent val="0"/>
          <c:showBubbleSize val="0"/>
        </c:dLbls>
        <c:gapWidth val="150"/>
        <c:axId val="198836608"/>
        <c:axId val="198838144"/>
      </c:barChart>
      <c:catAx>
        <c:axId val="198836608"/>
        <c:scaling>
          <c:orientation val="minMax"/>
        </c:scaling>
        <c:delete val="0"/>
        <c:axPos val="l"/>
        <c:majorGridlines>
          <c:spPr>
            <a:ln>
              <a:solidFill>
                <a:schemeClr val="bg1"/>
              </a:solidFill>
            </a:ln>
          </c:spPr>
        </c:majorGridlines>
        <c:numFmt formatCode="General" sourceLinked="1"/>
        <c:majorTickMark val="none"/>
        <c:minorTickMark val="none"/>
        <c:tickLblPos val="nextTo"/>
        <c:spPr>
          <a:noFill/>
          <a:ln>
            <a:solidFill>
              <a:schemeClr val="bg1"/>
            </a:solidFill>
          </a:ln>
          <a:effectLst/>
        </c:spPr>
        <c:txPr>
          <a:bodyPr rot="-60000000" vert="horz"/>
          <a:lstStyle/>
          <a:p>
            <a:pPr>
              <a:defRPr/>
            </a:pPr>
            <a:endParaRPr lang="it-IT"/>
          </a:p>
        </c:txPr>
        <c:crossAx val="198838144"/>
        <c:crosses val="autoZero"/>
        <c:auto val="1"/>
        <c:lblAlgn val="l"/>
        <c:lblOffset val="100"/>
        <c:tickLblSkip val="1"/>
        <c:noMultiLvlLbl val="0"/>
      </c:catAx>
      <c:valAx>
        <c:axId val="198838144"/>
        <c:scaling>
          <c:orientation val="minMax"/>
        </c:scaling>
        <c:delete val="0"/>
        <c:axPos val="b"/>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vert="horz"/>
          <a:lstStyle/>
          <a:p>
            <a:pPr>
              <a:defRPr b="1"/>
            </a:pPr>
            <a:endParaRPr lang="it-IT"/>
          </a:p>
        </c:txPr>
        <c:crossAx val="1988366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a:pPr>
            <a:r>
              <a:rPr lang="it-IT" sz="900"/>
              <a:t>2020-2021</a:t>
            </a:r>
          </a:p>
        </c:rich>
      </c:tx>
      <c:overlay val="0"/>
      <c:spPr>
        <a:noFill/>
        <a:ln>
          <a:noFill/>
        </a:ln>
        <a:effectLst/>
      </c:spPr>
    </c:title>
    <c:autoTitleDeleted val="0"/>
    <c:plotArea>
      <c:layout/>
      <c:barChart>
        <c:barDir val="bar"/>
        <c:grouping val="clustered"/>
        <c:varyColors val="0"/>
        <c:ser>
          <c:idx val="0"/>
          <c:order val="0"/>
          <c:tx>
            <c:strRef>
              <c:f>'Figura 6'!$A$18:$A$27</c:f>
              <c:strCache>
                <c:ptCount val="10"/>
                <c:pt idx="0">
                  <c:v>Nessun impatto</c:v>
                </c:pt>
                <c:pt idx="1">
                  <c:v>Riduzione della domanda</c:v>
                </c:pt>
                <c:pt idx="2">
                  <c:v>Riduzione di superfice coltivata </c:v>
                </c:pt>
                <c:pt idx="3">
                  <c:v>Riduzione di produzione raccolta </c:v>
                </c:pt>
                <c:pt idx="4">
                  <c:v>Difficoltà nella sostenibilità</c:v>
                </c:pt>
                <c:pt idx="5">
                  <c:v>Aumento dei costi di produzione</c:v>
                </c:pt>
                <c:pt idx="6">
                  <c:v>Difficoltà logistiche</c:v>
                </c:pt>
                <c:pt idx="7">
                  <c:v>Mancanza di liquidità</c:v>
                </c:pt>
                <c:pt idx="8">
                  <c:v>Impossibilità di tornare alla normalità in tempi brevi</c:v>
                </c:pt>
                <c:pt idx="9">
                  <c:v>Difficoltà promozionali</c:v>
                </c:pt>
              </c:strCache>
            </c:strRef>
          </c:tx>
          <c:spPr>
            <a:solidFill>
              <a:srgbClr val="1F497D"/>
            </a:solidFill>
            <a:ln>
              <a:noFill/>
            </a:ln>
            <a:effectLst/>
          </c:spPr>
          <c:invertIfNegative val="0"/>
          <c:dLbls>
            <c:numFmt formatCode="#,##0.0" sourceLinked="0"/>
            <c:spPr>
              <a:noFill/>
              <a:ln>
                <a:noFill/>
              </a:ln>
              <a:effectLst/>
            </c:spPr>
            <c:txPr>
              <a:bodyPr rot="0" vert="horz"/>
              <a:lstStyle/>
              <a:p>
                <a:pPr>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6'!$A$18:$A$28</c:f>
              <c:strCache>
                <c:ptCount val="11"/>
                <c:pt idx="0">
                  <c:v>Nessun impatto</c:v>
                </c:pt>
                <c:pt idx="1">
                  <c:v>Riduzione della domanda</c:v>
                </c:pt>
                <c:pt idx="2">
                  <c:v>Riduzione di superfice coltivata </c:v>
                </c:pt>
                <c:pt idx="3">
                  <c:v>Riduzione di produzione raccolta </c:v>
                </c:pt>
                <c:pt idx="4">
                  <c:v>Difficoltà nella sostenibilità</c:v>
                </c:pt>
                <c:pt idx="5">
                  <c:v>Aumento dei costi di produzione</c:v>
                </c:pt>
                <c:pt idx="6">
                  <c:v>Difficoltà logistiche</c:v>
                </c:pt>
                <c:pt idx="7">
                  <c:v>Mancanza di liquidità</c:v>
                </c:pt>
                <c:pt idx="8">
                  <c:v>Impossibilità di tornare alla normalità in tempi brevi</c:v>
                </c:pt>
                <c:pt idx="9">
                  <c:v>Difficoltà promozionali</c:v>
                </c:pt>
                <c:pt idx="10">
                  <c:v>Altro effetto</c:v>
                </c:pt>
              </c:strCache>
            </c:strRef>
          </c:cat>
          <c:val>
            <c:numRef>
              <c:f>'Figura 6'!$C$18:$C$28</c:f>
              <c:numCache>
                <c:formatCode>0.0</c:formatCode>
                <c:ptCount val="11"/>
                <c:pt idx="0">
                  <c:v>42.835917912526696</c:v>
                </c:pt>
                <c:pt idx="1">
                  <c:v>18.033243569505061</c:v>
                </c:pt>
                <c:pt idx="2">
                  <c:v>0.76144488810474509</c:v>
                </c:pt>
                <c:pt idx="3">
                  <c:v>1.2535982913919583</c:v>
                </c:pt>
                <c:pt idx="4">
                  <c:v>4.336521496889219</c:v>
                </c:pt>
                <c:pt idx="5">
                  <c:v>7.4751601820038998</c:v>
                </c:pt>
                <c:pt idx="6">
                  <c:v>2.8600612870275794</c:v>
                </c:pt>
                <c:pt idx="7">
                  <c:v>6.8901476460209858</c:v>
                </c:pt>
                <c:pt idx="8">
                  <c:v>9.5087751880397438</c:v>
                </c:pt>
                <c:pt idx="9">
                  <c:v>2.0800445723836938</c:v>
                </c:pt>
                <c:pt idx="10">
                  <c:v>3.9650849661064163</c:v>
                </c:pt>
              </c:numCache>
            </c:numRef>
          </c:val>
          <c:extLst>
            <c:ext xmlns:c16="http://schemas.microsoft.com/office/drawing/2014/chart" uri="{C3380CC4-5D6E-409C-BE32-E72D297353CC}">
              <c16:uniqueId val="{00000000-FC61-4751-B27C-EC85DFBE36E6}"/>
            </c:ext>
          </c:extLst>
        </c:ser>
        <c:dLbls>
          <c:showLegendKey val="0"/>
          <c:showVal val="0"/>
          <c:showCatName val="0"/>
          <c:showSerName val="0"/>
          <c:showPercent val="0"/>
          <c:showBubbleSize val="0"/>
        </c:dLbls>
        <c:gapWidth val="150"/>
        <c:axId val="198854912"/>
        <c:axId val="198860800"/>
      </c:barChart>
      <c:catAx>
        <c:axId val="198854912"/>
        <c:scaling>
          <c:orientation val="minMax"/>
        </c:scaling>
        <c:delete val="0"/>
        <c:axPos val="l"/>
        <c:majorGridlines>
          <c:spPr>
            <a:ln>
              <a:solidFill>
                <a:schemeClr val="bg1"/>
              </a:solidFill>
            </a:ln>
          </c:spPr>
        </c:majorGridlines>
        <c:numFmt formatCode="General" sourceLinked="1"/>
        <c:majorTickMark val="none"/>
        <c:minorTickMark val="none"/>
        <c:tickLblPos val="nextTo"/>
        <c:spPr>
          <a:noFill/>
          <a:ln>
            <a:solidFill>
              <a:schemeClr val="bg1"/>
            </a:solidFill>
          </a:ln>
          <a:effectLst/>
        </c:spPr>
        <c:txPr>
          <a:bodyPr rot="-60000000" vert="horz"/>
          <a:lstStyle/>
          <a:p>
            <a:pPr>
              <a:defRPr/>
            </a:pPr>
            <a:endParaRPr lang="it-IT"/>
          </a:p>
        </c:txPr>
        <c:crossAx val="198860800"/>
        <c:crosses val="autoZero"/>
        <c:auto val="1"/>
        <c:lblAlgn val="ctr"/>
        <c:lblOffset val="100"/>
        <c:tickLblSkip val="1"/>
        <c:noMultiLvlLbl val="0"/>
      </c:catAx>
      <c:valAx>
        <c:axId val="198860800"/>
        <c:scaling>
          <c:orientation val="minMax"/>
        </c:scaling>
        <c:delete val="0"/>
        <c:axPos val="b"/>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vert="horz"/>
          <a:lstStyle/>
          <a:p>
            <a:pPr>
              <a:defRPr b="1"/>
            </a:pPr>
            <a:endParaRPr lang="it-IT"/>
          </a:p>
        </c:txPr>
        <c:crossAx val="1988549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3697318007662"/>
          <c:y val="9.9953703703703697E-2"/>
          <c:w val="0.59401245210727982"/>
          <c:h val="0.86131805555555563"/>
        </c:manualLayout>
      </c:layout>
      <c:pieChart>
        <c:varyColors val="1"/>
        <c:ser>
          <c:idx val="0"/>
          <c:order val="0"/>
          <c:dPt>
            <c:idx val="0"/>
            <c:bubble3D val="0"/>
            <c:spPr>
              <a:solidFill>
                <a:srgbClr val="1F497D"/>
              </a:solidFill>
              <a:ln w="19050">
                <a:noFill/>
              </a:ln>
              <a:effectLst/>
            </c:spPr>
            <c:extLst>
              <c:ext xmlns:c16="http://schemas.microsoft.com/office/drawing/2014/chart" uri="{C3380CC4-5D6E-409C-BE32-E72D297353CC}">
                <c16:uniqueId val="{00000001-9BB1-4A89-881D-001DE42FFD3B}"/>
              </c:ext>
            </c:extLst>
          </c:dPt>
          <c:dPt>
            <c:idx val="1"/>
            <c:bubble3D val="0"/>
            <c:spPr>
              <a:solidFill>
                <a:srgbClr val="E42618"/>
              </a:solidFill>
              <a:ln w="19050">
                <a:noFill/>
              </a:ln>
              <a:effectLst/>
            </c:spPr>
            <c:extLst>
              <c:ext xmlns:c16="http://schemas.microsoft.com/office/drawing/2014/chart" uri="{C3380CC4-5D6E-409C-BE32-E72D297353CC}">
                <c16:uniqueId val="{00000003-9BB1-4A89-881D-001DE42FFD3B}"/>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Sì</c:v>
              </c:pt>
              <c:pt idx="1">
                <c:v>No</c:v>
              </c:pt>
            </c:strLit>
          </c:cat>
          <c:val>
            <c:numLit>
              <c:formatCode>General</c:formatCode>
              <c:ptCount val="2"/>
              <c:pt idx="0">
                <c:v>59.157322460074759</c:v>
              </c:pt>
              <c:pt idx="1">
                <c:v>40.842677539925248</c:v>
              </c:pt>
            </c:numLit>
          </c:val>
          <c:extLst>
            <c:ext xmlns:c16="http://schemas.microsoft.com/office/drawing/2014/chart" uri="{C3380CC4-5D6E-409C-BE32-E72D297353CC}">
              <c16:uniqueId val="{00000004-9BB1-4A89-881D-001DE42FFD3B}"/>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802889527458493"/>
          <c:y val="5.8796296296296296E-3"/>
          <c:w val="0.61103767560664102"/>
          <c:h val="9.4592129629629623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a:latin typeface="Arial Narrow" panose="020B0606020202030204"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94736842105257E-2"/>
          <c:y val="5.9770833333333349E-2"/>
          <c:w val="0.87014385964912278"/>
          <c:h val="0.82331759259259252"/>
        </c:manualLayout>
      </c:layout>
      <c:barChart>
        <c:barDir val="col"/>
        <c:grouping val="clustered"/>
        <c:varyColors val="0"/>
        <c:ser>
          <c:idx val="0"/>
          <c:order val="0"/>
          <c:tx>
            <c:strRef>
              <c:f>'Figura 7'!$C$3</c:f>
              <c:strCache>
                <c:ptCount val="1"/>
                <c:pt idx="0">
                  <c:v>Percentuale aziende che hanno ottenuto aiuti pubblici per classi di SAU</c:v>
                </c:pt>
              </c:strCache>
            </c:strRef>
          </c:tx>
          <c:spPr>
            <a:solidFill>
              <a:srgbClr val="1F497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7'!$A$4:$A$8</c:f>
              <c:strCache>
                <c:ptCount val="5"/>
                <c:pt idx="0">
                  <c:v>[0 - 10]</c:v>
                </c:pt>
                <c:pt idx="1">
                  <c:v>(10 - 25]</c:v>
                </c:pt>
                <c:pt idx="2">
                  <c:v>(25 - 50]</c:v>
                </c:pt>
                <c:pt idx="3">
                  <c:v>(50 - 100]</c:v>
                </c:pt>
                <c:pt idx="4">
                  <c:v>&gt;100</c:v>
                </c:pt>
              </c:strCache>
            </c:strRef>
          </c:cat>
          <c:val>
            <c:numRef>
              <c:f>'Figura 7'!$C$4:$C$8</c:f>
              <c:numCache>
                <c:formatCode>0.0</c:formatCode>
                <c:ptCount val="5"/>
                <c:pt idx="0">
                  <c:v>61.633663366336634</c:v>
                </c:pt>
                <c:pt idx="1">
                  <c:v>60.148514851485146</c:v>
                </c:pt>
                <c:pt idx="2">
                  <c:v>59.624999999999993</c:v>
                </c:pt>
                <c:pt idx="3">
                  <c:v>58.095605242868153</c:v>
                </c:pt>
                <c:pt idx="4">
                  <c:v>58.900405588102743</c:v>
                </c:pt>
              </c:numCache>
            </c:numRef>
          </c:val>
          <c:extLst>
            <c:ext xmlns:c16="http://schemas.microsoft.com/office/drawing/2014/chart" uri="{C3380CC4-5D6E-409C-BE32-E72D297353CC}">
              <c16:uniqueId val="{00000000-7633-4EA7-BD9E-E2540A861774}"/>
            </c:ext>
          </c:extLst>
        </c:ser>
        <c:dLbls>
          <c:showLegendKey val="0"/>
          <c:showVal val="0"/>
          <c:showCatName val="0"/>
          <c:showSerName val="0"/>
          <c:showPercent val="0"/>
          <c:showBubbleSize val="0"/>
        </c:dLbls>
        <c:gapWidth val="219"/>
        <c:overlap val="-27"/>
        <c:axId val="199049600"/>
        <c:axId val="199051136"/>
      </c:barChart>
      <c:catAx>
        <c:axId val="199049600"/>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it-IT"/>
          </a:p>
        </c:txPr>
        <c:crossAx val="199051136"/>
        <c:crosses val="autoZero"/>
        <c:auto val="1"/>
        <c:lblAlgn val="ctr"/>
        <c:lblOffset val="100"/>
        <c:noMultiLvlLbl val="0"/>
      </c:catAx>
      <c:valAx>
        <c:axId val="199051136"/>
        <c:scaling>
          <c:orientation val="minMax"/>
          <c:max val="65"/>
          <c:min val="50"/>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it-IT"/>
          </a:p>
        </c:txPr>
        <c:crossAx val="1990496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886d22a-1eb9-406b-961e-e52bb60f5915" xsi:nil="true"/>
    <_dlc_DocIdUrl xmlns="2886d22a-1eb9-406b-961e-e52bb60f5915">
      <Url xsi:nil="true"/>
      <Description xsi:nil="true"/>
    </_dlc_DocIdUrl>
  </documentManagement>
</p:properties>
</file>

<file path=customXml/itemProps1.xml><?xml version="1.0" encoding="utf-8"?>
<ds:datastoreItem xmlns:ds="http://schemas.openxmlformats.org/officeDocument/2006/customXml" ds:itemID="{6CDBBB6C-9A59-4CFC-80BF-0EA40DA62FC5}">
  <ds:schemaRefs>
    <ds:schemaRef ds:uri="http://schemas.openxmlformats.org/officeDocument/2006/bibliography"/>
  </ds:schemaRefs>
</ds:datastoreItem>
</file>

<file path=customXml/itemProps2.xml><?xml version="1.0" encoding="utf-8"?>
<ds:datastoreItem xmlns:ds="http://schemas.openxmlformats.org/officeDocument/2006/customXml" ds:itemID="{6CD291AB-2845-43EA-8B4E-302923A356CF}">
  <ds:schemaRefs>
    <ds:schemaRef ds:uri="http://schemas.microsoft.com/sharepoint/v3/contenttype/forms"/>
  </ds:schemaRefs>
</ds:datastoreItem>
</file>

<file path=customXml/itemProps3.xml><?xml version="1.0" encoding="utf-8"?>
<ds:datastoreItem xmlns:ds="http://schemas.openxmlformats.org/officeDocument/2006/customXml" ds:itemID="{DE39DF54-7B5F-4F0E-A042-7ABEEDFEDBED}">
  <ds:schemaRefs>
    <ds:schemaRef ds:uri="http://schemas.microsoft.com/sharepoint/events"/>
  </ds:schemaRefs>
</ds:datastoreItem>
</file>

<file path=customXml/itemProps4.xml><?xml version="1.0" encoding="utf-8"?>
<ds:datastoreItem xmlns:ds="http://schemas.openxmlformats.org/officeDocument/2006/customXml" ds:itemID="{E594750E-6A2C-45A8-B958-688CE1F85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34F405-51A5-4B52-AC73-CD70E7394D49}">
  <ds:schemaRefs>
    <ds:schemaRef ds:uri="http://schemas.microsoft.com/office/2006/metadata/properties"/>
    <ds:schemaRef ds:uri="http://schemas.microsoft.com/office/infopath/2007/PartnerControls"/>
    <ds:schemaRef ds:uri="2886d22a-1eb9-406b-961e-e52bb60f591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4739</Words>
  <Characters>27018</Characters>
  <Application>Microsoft Office Word</Application>
  <DocSecurity>0</DocSecurity>
  <Lines>225</Lines>
  <Paragraphs>63</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31694</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dc:creator>
  <cp:lastModifiedBy>enzalucia vaccaro</cp:lastModifiedBy>
  <cp:revision>4</cp:revision>
  <cp:lastPrinted>2021-03-08T14:10:00Z</cp:lastPrinted>
  <dcterms:created xsi:type="dcterms:W3CDTF">2021-04-06T08:23:00Z</dcterms:created>
  <dcterms:modified xsi:type="dcterms:W3CDTF">2021-04-06T08:25:00Z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0x010100B795A82E90F7744F8BBD5BCEA1E47B9D00412BB8B24175FB4599016A296A388103</vt:lpwstr>
  </property>
  <property fmtid="{D5CDD505-2E9C-101B-9397-08002B2CF9AE}" pid="3" name="_dlc_DocIdItemGuid">
    <vt:lpwstr>be1cbb5e-ae93-4b12-95d6-ba55690cb57c</vt:lpwstr>
  </property>
</Properties>
</file>