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FA76B" w14:textId="77777777" w:rsidR="00A53FD3" w:rsidRPr="00BC09C6" w:rsidRDefault="00A53FD3" w:rsidP="00A2532B">
      <w:pPr>
        <w:spacing w:after="120"/>
        <w:rPr>
          <w:rFonts w:ascii="Arial Narrow" w:hAnsi="Arial Narrow" w:cs="Arial"/>
          <w:b/>
          <w:bCs/>
          <w:color w:val="E42618"/>
          <w:sz w:val="14"/>
          <w:szCs w:val="28"/>
        </w:rPr>
      </w:pPr>
    </w:p>
    <w:p w14:paraId="15369C19" w14:textId="77777777" w:rsidR="0047746A" w:rsidRDefault="002A5447" w:rsidP="00A2532B">
      <w:pPr>
        <w:spacing w:after="120"/>
        <w:rPr>
          <w:rFonts w:ascii="Arial Narrow" w:hAnsi="Arial Narrow" w:cs="Arial"/>
          <w:b/>
          <w:bCs/>
          <w:color w:val="E42618"/>
          <w:sz w:val="28"/>
          <w:szCs w:val="28"/>
        </w:rPr>
      </w:pPr>
      <w:r>
        <w:rPr>
          <w:rFonts w:ascii="Arial Narrow" w:hAnsi="Arial Narrow" w:cs="Arial"/>
          <w:b/>
          <w:bCs/>
          <w:color w:val="E42618"/>
          <w:sz w:val="28"/>
          <w:szCs w:val="28"/>
        </w:rPr>
        <w:t>MISURE DI PRODUTTIVITÀ</w:t>
      </w:r>
      <w:r w:rsidR="00A53FD3">
        <w:rPr>
          <w:rFonts w:ascii="Arial Narrow" w:hAnsi="Arial Narrow" w:cs="Arial"/>
          <w:b/>
          <w:bCs/>
          <w:color w:val="E42618"/>
          <w:sz w:val="28"/>
          <w:szCs w:val="28"/>
        </w:rPr>
        <w:t xml:space="preserve"> </w:t>
      </w:r>
      <w:r w:rsidR="00A53FD3" w:rsidRPr="006D7322">
        <w:rPr>
          <w:rFonts w:ascii="Arial Narrow" w:hAnsi="Arial Narrow" w:cs="Arial"/>
          <w:b/>
          <w:bCs/>
          <w:color w:val="7F7F7F" w:themeColor="text1" w:themeTint="80"/>
          <w:sz w:val="28"/>
          <w:szCs w:val="28"/>
        </w:rPr>
        <w:t>|</w:t>
      </w:r>
      <w:r w:rsidR="00A53FD3">
        <w:rPr>
          <w:rFonts w:ascii="Arial Narrow" w:hAnsi="Arial Narrow" w:cs="Arial"/>
          <w:b/>
          <w:bCs/>
          <w:color w:val="E42618"/>
          <w:sz w:val="28"/>
          <w:szCs w:val="28"/>
        </w:rPr>
        <w:t xml:space="preserve"> </w:t>
      </w:r>
      <w:r>
        <w:rPr>
          <w:rFonts w:ascii="Arial Narrow" w:hAnsi="Arial Narrow" w:cs="Arial"/>
          <w:b/>
          <w:bCs/>
          <w:color w:val="E42618"/>
          <w:sz w:val="28"/>
          <w:szCs w:val="28"/>
        </w:rPr>
        <w:t xml:space="preserve">ANNI </w:t>
      </w:r>
      <w:r w:rsidRPr="00E17E0B">
        <w:rPr>
          <w:rFonts w:ascii="Arial Narrow" w:hAnsi="Arial Narrow" w:cs="Arial"/>
          <w:b/>
          <w:bCs/>
          <w:color w:val="E42618"/>
          <w:sz w:val="28"/>
          <w:szCs w:val="28"/>
        </w:rPr>
        <w:t>1995</w:t>
      </w:r>
      <w:r>
        <w:rPr>
          <w:rFonts w:ascii="Arial Narrow" w:hAnsi="Arial Narrow" w:cs="Arial"/>
          <w:b/>
          <w:bCs/>
          <w:color w:val="E42618"/>
          <w:sz w:val="28"/>
          <w:szCs w:val="28"/>
        </w:rPr>
        <w:t>-20</w:t>
      </w:r>
      <w:r w:rsidR="00453658">
        <w:rPr>
          <w:rFonts w:ascii="Arial Narrow" w:hAnsi="Arial Narrow" w:cs="Arial"/>
          <w:b/>
          <w:bCs/>
          <w:color w:val="E42618"/>
          <w:sz w:val="28"/>
          <w:szCs w:val="28"/>
        </w:rPr>
        <w:t>20</w:t>
      </w:r>
    </w:p>
    <w:p w14:paraId="6B0F37F5" w14:textId="77777777" w:rsidR="007E6EAA" w:rsidRPr="0047746A" w:rsidRDefault="007E6EAA" w:rsidP="007E6EAA">
      <w:pPr>
        <w:tabs>
          <w:tab w:val="left" w:pos="851"/>
        </w:tabs>
        <w:autoSpaceDE w:val="0"/>
        <w:autoSpaceDN w:val="0"/>
        <w:adjustRightInd w:val="0"/>
        <w:jc w:val="both"/>
        <w:rPr>
          <w:rFonts w:ascii="Arial Narrow" w:hAnsi="Arial Narrow" w:cs="Arial"/>
          <w:bCs/>
          <w:color w:val="1F497D" w:themeColor="text2"/>
          <w:sz w:val="18"/>
          <w:szCs w:val="52"/>
        </w:rPr>
      </w:pPr>
    </w:p>
    <w:p w14:paraId="41E299C8" w14:textId="77777777" w:rsidR="00453658" w:rsidRPr="00A804E3" w:rsidRDefault="0093767A" w:rsidP="00453658">
      <w:pPr>
        <w:tabs>
          <w:tab w:val="left" w:pos="851"/>
        </w:tabs>
        <w:autoSpaceDE w:val="0"/>
        <w:autoSpaceDN w:val="0"/>
        <w:adjustRightInd w:val="0"/>
        <w:jc w:val="both"/>
        <w:rPr>
          <w:rFonts w:ascii="Georgia" w:hAnsi="Georgia" w:cs="Arial"/>
          <w:bCs/>
          <w:color w:val="1F497D" w:themeColor="text2"/>
          <w:sz w:val="52"/>
          <w:szCs w:val="52"/>
        </w:rPr>
      </w:pPr>
      <w:r>
        <w:rPr>
          <w:rFonts w:ascii="Georgia" w:hAnsi="Georgia" w:cs="Arial"/>
          <w:bCs/>
          <w:color w:val="1F497D" w:themeColor="text2"/>
          <w:sz w:val="52"/>
          <w:szCs w:val="52"/>
        </w:rPr>
        <w:t xml:space="preserve">Effetto Covid-19 sulla </w:t>
      </w:r>
      <w:r w:rsidR="00453658">
        <w:rPr>
          <w:rFonts w:ascii="Georgia" w:hAnsi="Georgia" w:cs="Arial"/>
          <w:bCs/>
          <w:color w:val="1F497D" w:themeColor="text2"/>
          <w:sz w:val="52"/>
          <w:szCs w:val="52"/>
        </w:rPr>
        <w:t>produttività</w:t>
      </w:r>
      <w:r>
        <w:rPr>
          <w:rFonts w:ascii="Georgia" w:hAnsi="Georgia" w:cs="Arial"/>
          <w:bCs/>
          <w:color w:val="1F497D" w:themeColor="text2"/>
          <w:sz w:val="52"/>
          <w:szCs w:val="52"/>
        </w:rPr>
        <w:t xml:space="preserve">: cresce quella </w:t>
      </w:r>
      <w:r w:rsidR="00453658">
        <w:rPr>
          <w:rFonts w:ascii="Georgia" w:hAnsi="Georgia" w:cs="Arial"/>
          <w:bCs/>
          <w:color w:val="1F497D" w:themeColor="text2"/>
          <w:sz w:val="52"/>
          <w:szCs w:val="52"/>
        </w:rPr>
        <w:t>del lavoro</w:t>
      </w:r>
      <w:r w:rsidR="00643153">
        <w:rPr>
          <w:rFonts w:ascii="Georgia" w:hAnsi="Georgia" w:cs="Arial"/>
          <w:bCs/>
          <w:color w:val="1F497D" w:themeColor="text2"/>
          <w:sz w:val="52"/>
          <w:szCs w:val="52"/>
        </w:rPr>
        <w:t xml:space="preserve">, </w:t>
      </w:r>
      <w:r>
        <w:rPr>
          <w:rFonts w:ascii="Georgia" w:hAnsi="Georgia" w:cs="Arial"/>
          <w:bCs/>
          <w:color w:val="1F497D" w:themeColor="text2"/>
          <w:sz w:val="52"/>
          <w:szCs w:val="52"/>
        </w:rPr>
        <w:t>si riduce quella</w:t>
      </w:r>
      <w:r w:rsidR="00453658">
        <w:rPr>
          <w:rFonts w:ascii="Georgia" w:hAnsi="Georgia" w:cs="Arial"/>
          <w:bCs/>
          <w:color w:val="1F497D" w:themeColor="text2"/>
          <w:sz w:val="52"/>
          <w:szCs w:val="52"/>
        </w:rPr>
        <w:t xml:space="preserve"> del capitale</w:t>
      </w:r>
    </w:p>
    <w:p w14:paraId="2D32572A" w14:textId="77777777" w:rsidR="00453658" w:rsidRPr="001A62B5" w:rsidRDefault="007560B0" w:rsidP="00453658">
      <w:pPr>
        <w:tabs>
          <w:tab w:val="left" w:pos="851"/>
        </w:tabs>
        <w:autoSpaceDE w:val="0"/>
        <w:autoSpaceDN w:val="0"/>
        <w:adjustRightInd w:val="0"/>
        <w:spacing w:line="360" w:lineRule="exact"/>
        <w:ind w:left="567"/>
        <w:rPr>
          <w:rFonts w:ascii="Georgia" w:hAnsi="Georgia" w:cs="Arial"/>
          <w:bCs/>
          <w:sz w:val="36"/>
          <w:szCs w:val="52"/>
        </w:rPr>
      </w:pPr>
      <w:r>
        <w:rPr>
          <w:rFonts w:ascii="Georgia" w:hAnsi="Georgia" w:cs="Arial"/>
          <w:bCs/>
          <w:noProof/>
          <w:color w:val="1F497D" w:themeColor="text2"/>
          <w:sz w:val="18"/>
          <w:szCs w:val="28"/>
        </w:rPr>
        <mc:AlternateContent>
          <mc:Choice Requires="wps">
            <w:drawing>
              <wp:anchor distT="0" distB="0" distL="114300" distR="114300" simplePos="0" relativeHeight="251649536" behindDoc="0" locked="0" layoutInCell="1" allowOverlap="1" wp14:anchorId="60CEFF01" wp14:editId="0019B0B2">
                <wp:simplePos x="0" y="0"/>
                <wp:positionH relativeFrom="column">
                  <wp:posOffset>-528955</wp:posOffset>
                </wp:positionH>
                <wp:positionV relativeFrom="paragraph">
                  <wp:posOffset>176530</wp:posOffset>
                </wp:positionV>
                <wp:extent cx="438150" cy="381000"/>
                <wp:effectExtent l="0" t="19050" r="38100" b="38100"/>
                <wp:wrapNone/>
                <wp:docPr id="21" name="Freccia a destr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B70A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1" o:spid="_x0000_s1026" type="#_x0000_t13" style="position:absolute;margin-left:-41.65pt;margin-top:13.9pt;width:34.5pt;height:3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" adj="12209" fillcolor="#e42618" strokecolor="#e42618" strokeweight="2pt">
                <v:path arrowok="t"/>
              </v:shape>
            </w:pict>
          </mc:Fallback>
        </mc:AlternateContent>
      </w:r>
    </w:p>
    <w:p w14:paraId="7F46A100" w14:textId="77777777" w:rsidR="00224FE1" w:rsidRDefault="00453658" w:rsidP="00453658">
      <w:pPr>
        <w:pStyle w:val="Default"/>
        <w:tabs>
          <w:tab w:val="left" w:pos="567"/>
        </w:tabs>
        <w:spacing w:after="120" w:line="360" w:lineRule="exact"/>
        <w:ind w:left="142"/>
        <w:jc w:val="both"/>
        <w:rPr>
          <w:rFonts w:ascii="Georgia" w:hAnsi="Georgia" w:cs="Arial"/>
          <w:bCs/>
          <w:color w:val="1F497D" w:themeColor="text2"/>
          <w:sz w:val="28"/>
          <w:szCs w:val="28"/>
        </w:rPr>
      </w:pPr>
      <w:r>
        <w:rPr>
          <w:rFonts w:ascii="Georgia" w:hAnsi="Georgia" w:cs="Arial"/>
          <w:bCs/>
          <w:color w:val="1F497D" w:themeColor="text2"/>
          <w:sz w:val="28"/>
          <w:szCs w:val="28"/>
        </w:rPr>
        <w:t>Nel 2020</w:t>
      </w:r>
      <w:r w:rsidRPr="00E17C8C">
        <w:rPr>
          <w:rFonts w:ascii="Georgia" w:hAnsi="Georgia" w:cs="Arial"/>
          <w:bCs/>
          <w:color w:val="1F497D" w:themeColor="text2"/>
          <w:sz w:val="28"/>
          <w:szCs w:val="28"/>
        </w:rPr>
        <w:t xml:space="preserve"> </w:t>
      </w:r>
      <w:r>
        <w:rPr>
          <w:rFonts w:ascii="Georgia" w:hAnsi="Georgia" w:cs="Arial"/>
          <w:bCs/>
          <w:color w:val="1F497D" w:themeColor="text2"/>
          <w:sz w:val="28"/>
          <w:szCs w:val="28"/>
        </w:rPr>
        <w:t xml:space="preserve">il valore aggiunto dei settori produttori di beni e servizi di mercato registra una forte variazione negativa in termini di volume. </w:t>
      </w:r>
    </w:p>
    <w:p w14:paraId="539B666C" w14:textId="77777777" w:rsidR="00453658" w:rsidRPr="00E17C8C" w:rsidRDefault="00224FE1" w:rsidP="00013278">
      <w:pPr>
        <w:pStyle w:val="Default"/>
        <w:tabs>
          <w:tab w:val="left" w:pos="567"/>
        </w:tabs>
        <w:spacing w:after="120" w:line="360" w:lineRule="exact"/>
        <w:ind w:left="142"/>
        <w:jc w:val="both"/>
        <w:rPr>
          <w:rFonts w:ascii="Georgia" w:hAnsi="Georgia" w:cs="Arial"/>
          <w:bCs/>
          <w:color w:val="1F497D" w:themeColor="text2"/>
          <w:sz w:val="28"/>
          <w:szCs w:val="28"/>
        </w:rPr>
      </w:pPr>
      <w:r>
        <w:rPr>
          <w:rFonts w:ascii="Georgia" w:hAnsi="Georgia" w:cs="Arial"/>
          <w:bCs/>
          <w:color w:val="1F497D" w:themeColor="text2"/>
          <w:sz w:val="28"/>
          <w:szCs w:val="28"/>
        </w:rPr>
        <w:t>L</w:t>
      </w:r>
      <w:r w:rsidR="0093767A">
        <w:rPr>
          <w:rFonts w:ascii="Georgia" w:hAnsi="Georgia" w:cs="Arial"/>
          <w:bCs/>
          <w:color w:val="1F497D" w:themeColor="text2"/>
          <w:sz w:val="28"/>
          <w:szCs w:val="28"/>
        </w:rPr>
        <w:t xml:space="preserve">a produttività del lavoro (valore aggiunto per ora lavorata) </w:t>
      </w:r>
      <w:r w:rsidR="00453658">
        <w:rPr>
          <w:rFonts w:ascii="Georgia" w:hAnsi="Georgia" w:cs="Arial"/>
          <w:bCs/>
          <w:color w:val="1F497D" w:themeColor="text2"/>
          <w:sz w:val="28"/>
          <w:szCs w:val="28"/>
        </w:rPr>
        <w:t>aumenta</w:t>
      </w:r>
      <w:r w:rsidR="00453658" w:rsidRPr="00E17C8C">
        <w:rPr>
          <w:rFonts w:ascii="Georgia" w:hAnsi="Georgia" w:cs="Arial"/>
          <w:bCs/>
          <w:color w:val="1F497D" w:themeColor="text2"/>
          <w:sz w:val="28"/>
          <w:szCs w:val="28"/>
        </w:rPr>
        <w:t xml:space="preserve"> del</w:t>
      </w:r>
      <w:r w:rsidR="00453658">
        <w:rPr>
          <w:rFonts w:ascii="Georgia" w:hAnsi="Georgia" w:cs="Arial"/>
          <w:bCs/>
          <w:color w:val="1F497D" w:themeColor="text2"/>
          <w:sz w:val="28"/>
          <w:szCs w:val="28"/>
        </w:rPr>
        <w:t>l’1,3</w:t>
      </w:r>
      <w:r w:rsidR="00453658" w:rsidRPr="00E17C8C">
        <w:rPr>
          <w:rFonts w:ascii="Georgia" w:hAnsi="Georgia" w:cs="Arial"/>
          <w:bCs/>
          <w:color w:val="1F497D" w:themeColor="text2"/>
          <w:sz w:val="28"/>
          <w:szCs w:val="28"/>
        </w:rPr>
        <w:t>%</w:t>
      </w:r>
      <w:r w:rsidR="0093767A">
        <w:rPr>
          <w:rFonts w:ascii="Georgia" w:hAnsi="Georgia" w:cs="Arial"/>
          <w:bCs/>
          <w:color w:val="1F497D" w:themeColor="text2"/>
          <w:sz w:val="28"/>
          <w:szCs w:val="28"/>
        </w:rPr>
        <w:t xml:space="preserve"> </w:t>
      </w:r>
      <w:r w:rsidR="00013278">
        <w:rPr>
          <w:rFonts w:ascii="Georgia" w:hAnsi="Georgia" w:cs="Arial"/>
          <w:bCs/>
          <w:color w:val="1F497D" w:themeColor="text2"/>
          <w:sz w:val="28"/>
          <w:szCs w:val="28"/>
        </w:rPr>
        <w:t xml:space="preserve">in un solo anno, a fronte di una crescita cumulata dello 0,9% tra il 2009 e il 2014, </w:t>
      </w:r>
      <w:r w:rsidR="0093767A">
        <w:rPr>
          <w:rFonts w:ascii="Georgia" w:hAnsi="Georgia" w:cs="Arial"/>
          <w:bCs/>
          <w:color w:val="1F497D" w:themeColor="text2"/>
          <w:sz w:val="28"/>
          <w:szCs w:val="28"/>
        </w:rPr>
        <w:t>per effetto di un calo delle ore lavorate maggiore al calo del valore aggiunto</w:t>
      </w:r>
      <w:r w:rsidR="00453658" w:rsidRPr="00E17C8C">
        <w:rPr>
          <w:rFonts w:ascii="Georgia" w:hAnsi="Georgia" w:cs="Arial"/>
          <w:bCs/>
          <w:color w:val="1F497D" w:themeColor="text2"/>
          <w:sz w:val="28"/>
          <w:szCs w:val="28"/>
        </w:rPr>
        <w:t xml:space="preserve">, </w:t>
      </w:r>
      <w:r w:rsidR="00453658">
        <w:rPr>
          <w:rFonts w:ascii="Georgia" w:hAnsi="Georgia" w:cs="Arial"/>
          <w:bCs/>
          <w:color w:val="1F497D" w:themeColor="text2"/>
          <w:sz w:val="28"/>
          <w:szCs w:val="28"/>
        </w:rPr>
        <w:t xml:space="preserve">mentre </w:t>
      </w:r>
      <w:r w:rsidR="00013278">
        <w:rPr>
          <w:rFonts w:ascii="Georgia" w:hAnsi="Georgia" w:cs="Arial"/>
          <w:bCs/>
          <w:color w:val="1F497D" w:themeColor="text2"/>
          <w:sz w:val="28"/>
          <w:szCs w:val="28"/>
        </w:rPr>
        <w:t xml:space="preserve">per </w:t>
      </w:r>
      <w:r w:rsidR="00453658" w:rsidRPr="00E17C8C">
        <w:rPr>
          <w:rFonts w:ascii="Georgia" w:hAnsi="Georgia" w:cs="Arial"/>
          <w:bCs/>
          <w:color w:val="1F497D" w:themeColor="text2"/>
          <w:sz w:val="28"/>
          <w:szCs w:val="28"/>
        </w:rPr>
        <w:t xml:space="preserve">quella del capitale </w:t>
      </w:r>
      <w:r>
        <w:rPr>
          <w:rFonts w:ascii="Georgia" w:hAnsi="Georgia" w:cs="Arial"/>
          <w:bCs/>
          <w:color w:val="1F497D" w:themeColor="text2"/>
          <w:sz w:val="28"/>
          <w:szCs w:val="28"/>
        </w:rPr>
        <w:t>(</w:t>
      </w:r>
      <w:r w:rsidR="00453658" w:rsidRPr="00E17C8C">
        <w:rPr>
          <w:rFonts w:ascii="Georgia" w:hAnsi="Georgia" w:cs="Arial"/>
          <w:bCs/>
          <w:color w:val="1F497D" w:themeColor="text2"/>
          <w:sz w:val="28"/>
          <w:szCs w:val="28"/>
        </w:rPr>
        <w:t>rapporto tra valore aggiunto e input di capitale</w:t>
      </w:r>
      <w:r>
        <w:rPr>
          <w:rFonts w:ascii="Georgia" w:hAnsi="Georgia" w:cs="Arial"/>
          <w:bCs/>
          <w:color w:val="1F497D" w:themeColor="text2"/>
          <w:sz w:val="28"/>
          <w:szCs w:val="28"/>
        </w:rPr>
        <w:t>)</w:t>
      </w:r>
      <w:r w:rsidR="00453658" w:rsidRPr="00E17C8C">
        <w:rPr>
          <w:rFonts w:ascii="Georgia" w:hAnsi="Georgia" w:cs="Arial"/>
          <w:bCs/>
          <w:color w:val="1F497D" w:themeColor="text2"/>
          <w:sz w:val="28"/>
          <w:szCs w:val="28"/>
        </w:rPr>
        <w:t xml:space="preserve"> </w:t>
      </w:r>
      <w:r w:rsidR="00013278">
        <w:rPr>
          <w:rFonts w:ascii="Georgia" w:hAnsi="Georgia" w:cs="Arial"/>
          <w:bCs/>
          <w:color w:val="1F497D" w:themeColor="text2"/>
          <w:sz w:val="28"/>
          <w:szCs w:val="28"/>
        </w:rPr>
        <w:t>il calo è a doppia cifra,</w:t>
      </w:r>
      <w:r w:rsidR="00453658" w:rsidRPr="00E17C8C">
        <w:rPr>
          <w:rFonts w:ascii="Georgia" w:hAnsi="Georgia" w:cs="Arial"/>
          <w:bCs/>
          <w:color w:val="1F497D" w:themeColor="text2"/>
          <w:sz w:val="28"/>
          <w:szCs w:val="28"/>
        </w:rPr>
        <w:t xml:space="preserve"> </w:t>
      </w:r>
      <w:r w:rsidR="00013278">
        <w:rPr>
          <w:rFonts w:ascii="Georgia" w:hAnsi="Georgia" w:cs="Arial"/>
          <w:bCs/>
          <w:color w:val="1F497D" w:themeColor="text2"/>
          <w:sz w:val="28"/>
          <w:szCs w:val="28"/>
        </w:rPr>
        <w:t>pari a</w:t>
      </w:r>
      <w:r w:rsidR="00453658" w:rsidRPr="00E17C8C">
        <w:rPr>
          <w:rFonts w:ascii="Georgia" w:hAnsi="Georgia" w:cs="Arial"/>
          <w:bCs/>
          <w:color w:val="1F497D" w:themeColor="text2"/>
          <w:sz w:val="28"/>
          <w:szCs w:val="28"/>
        </w:rPr>
        <w:t>ll</w:t>
      </w:r>
      <w:r w:rsidR="00453658">
        <w:rPr>
          <w:rFonts w:ascii="Georgia" w:hAnsi="Georgia" w:cs="Arial"/>
          <w:bCs/>
          <w:color w:val="1F497D" w:themeColor="text2"/>
          <w:sz w:val="28"/>
          <w:szCs w:val="28"/>
        </w:rPr>
        <w:t>’11,2</w:t>
      </w:r>
      <w:r w:rsidR="00453658" w:rsidRPr="00E17C8C">
        <w:rPr>
          <w:rFonts w:ascii="Georgia" w:hAnsi="Georgia" w:cs="Arial"/>
          <w:bCs/>
          <w:color w:val="1F497D" w:themeColor="text2"/>
          <w:sz w:val="28"/>
          <w:szCs w:val="28"/>
        </w:rPr>
        <w:t xml:space="preserve">%. </w:t>
      </w:r>
      <w:r w:rsidR="00453658">
        <w:rPr>
          <w:rFonts w:ascii="Georgia" w:hAnsi="Georgia" w:cs="Arial"/>
          <w:bCs/>
          <w:color w:val="1F497D" w:themeColor="text2"/>
          <w:sz w:val="28"/>
          <w:szCs w:val="28"/>
        </w:rPr>
        <w:t xml:space="preserve"> </w:t>
      </w:r>
    </w:p>
    <w:p w14:paraId="0BB52CF5" w14:textId="77777777" w:rsidR="00453658" w:rsidRDefault="00453658" w:rsidP="00453658">
      <w:pPr>
        <w:pStyle w:val="Default"/>
        <w:tabs>
          <w:tab w:val="left" w:pos="567"/>
        </w:tabs>
        <w:spacing w:after="120" w:line="360" w:lineRule="exact"/>
        <w:ind w:left="142"/>
        <w:jc w:val="both"/>
        <w:rPr>
          <w:rFonts w:ascii="Georgia" w:hAnsi="Georgia" w:cs="Arial"/>
          <w:bCs/>
          <w:color w:val="1F497D" w:themeColor="text2"/>
          <w:sz w:val="28"/>
          <w:szCs w:val="28"/>
        </w:rPr>
      </w:pPr>
      <w:r>
        <w:rPr>
          <w:rFonts w:ascii="Georgia" w:hAnsi="Georgia" w:cs="Arial"/>
          <w:bCs/>
          <w:color w:val="1F497D" w:themeColor="text2"/>
          <w:sz w:val="28"/>
          <w:szCs w:val="28"/>
        </w:rPr>
        <w:t>Alla diminuzione del valore aggiunto contribui</w:t>
      </w:r>
      <w:r w:rsidR="00FE7A27">
        <w:rPr>
          <w:rFonts w:ascii="Georgia" w:hAnsi="Georgia" w:cs="Arial"/>
          <w:bCs/>
          <w:color w:val="1F497D" w:themeColor="text2"/>
          <w:sz w:val="28"/>
          <w:szCs w:val="28"/>
        </w:rPr>
        <w:t>sce</w:t>
      </w:r>
      <w:r>
        <w:rPr>
          <w:rFonts w:ascii="Georgia" w:hAnsi="Georgia" w:cs="Arial"/>
          <w:bCs/>
          <w:color w:val="1F497D" w:themeColor="text2"/>
          <w:sz w:val="28"/>
          <w:szCs w:val="28"/>
        </w:rPr>
        <w:t xml:space="preserve"> il calo della </w:t>
      </w:r>
      <w:r w:rsidRPr="00EB4C39">
        <w:rPr>
          <w:rFonts w:ascii="Georgia" w:hAnsi="Georgia" w:cs="Arial"/>
          <w:bCs/>
          <w:color w:val="1F497D" w:themeColor="text2"/>
          <w:sz w:val="28"/>
          <w:szCs w:val="28"/>
        </w:rPr>
        <w:t xml:space="preserve">produttività totale dei fattori </w:t>
      </w:r>
      <w:r w:rsidR="00643153">
        <w:rPr>
          <w:rFonts w:ascii="Georgia" w:hAnsi="Georgia" w:cs="Arial"/>
          <w:bCs/>
          <w:color w:val="1F497D" w:themeColor="text2"/>
          <w:sz w:val="28"/>
          <w:szCs w:val="28"/>
        </w:rPr>
        <w:t xml:space="preserve">- </w:t>
      </w:r>
      <w:r w:rsidRPr="00EB4C39">
        <w:rPr>
          <w:rFonts w:ascii="Georgia" w:hAnsi="Georgia" w:cs="Arial"/>
          <w:bCs/>
          <w:color w:val="1F497D" w:themeColor="text2"/>
          <w:sz w:val="28"/>
          <w:szCs w:val="28"/>
        </w:rPr>
        <w:t xml:space="preserve">che </w:t>
      </w:r>
      <w:r>
        <w:rPr>
          <w:rFonts w:ascii="Georgia" w:hAnsi="Georgia" w:cs="Arial"/>
          <w:bCs/>
          <w:color w:val="1F497D" w:themeColor="text2"/>
          <w:sz w:val="28"/>
          <w:szCs w:val="28"/>
        </w:rPr>
        <w:t>riflette</w:t>
      </w:r>
      <w:r w:rsidRPr="00EB4C39">
        <w:rPr>
          <w:rFonts w:ascii="Georgia" w:hAnsi="Georgia" w:cs="Arial"/>
          <w:bCs/>
          <w:color w:val="1F497D" w:themeColor="text2"/>
          <w:sz w:val="28"/>
          <w:szCs w:val="28"/>
        </w:rPr>
        <w:t xml:space="preserve"> progresso tecnico</w:t>
      </w:r>
      <w:r>
        <w:rPr>
          <w:rFonts w:ascii="Georgia" w:hAnsi="Georgia" w:cs="Arial"/>
          <w:bCs/>
          <w:color w:val="1F497D" w:themeColor="text2"/>
          <w:sz w:val="28"/>
          <w:szCs w:val="28"/>
        </w:rPr>
        <w:t>,</w:t>
      </w:r>
      <w:r w:rsidRPr="00EB4C39">
        <w:rPr>
          <w:rFonts w:ascii="Georgia" w:hAnsi="Georgia" w:cs="Arial"/>
          <w:bCs/>
          <w:color w:val="1F497D" w:themeColor="text2"/>
          <w:sz w:val="28"/>
          <w:szCs w:val="28"/>
        </w:rPr>
        <w:t xml:space="preserve"> </w:t>
      </w:r>
      <w:r>
        <w:rPr>
          <w:rFonts w:ascii="Georgia" w:hAnsi="Georgia" w:cs="Arial"/>
          <w:bCs/>
          <w:color w:val="1F497D" w:themeColor="text2"/>
          <w:sz w:val="28"/>
          <w:szCs w:val="28"/>
        </w:rPr>
        <w:t>cambiamenti</w:t>
      </w:r>
      <w:r w:rsidRPr="00EB4C39">
        <w:rPr>
          <w:rFonts w:ascii="Georgia" w:hAnsi="Georgia" w:cs="Arial"/>
          <w:bCs/>
          <w:color w:val="1F497D" w:themeColor="text2"/>
          <w:sz w:val="28"/>
          <w:szCs w:val="28"/>
        </w:rPr>
        <w:t xml:space="preserve"> nella conoscenza</w:t>
      </w:r>
      <w:r w:rsidR="00FE7A27">
        <w:rPr>
          <w:rFonts w:ascii="Georgia" w:hAnsi="Georgia" w:cs="Arial"/>
          <w:bCs/>
          <w:color w:val="1F497D" w:themeColor="text2"/>
          <w:sz w:val="28"/>
          <w:szCs w:val="28"/>
        </w:rPr>
        <w:t>,</w:t>
      </w:r>
      <w:r>
        <w:rPr>
          <w:rFonts w:ascii="Georgia" w:hAnsi="Georgia" w:cs="Arial"/>
          <w:bCs/>
          <w:color w:val="1F497D" w:themeColor="text2"/>
          <w:sz w:val="28"/>
          <w:szCs w:val="28"/>
        </w:rPr>
        <w:t xml:space="preserve"> variazioni </w:t>
      </w:r>
      <w:r w:rsidRPr="00EB4C39">
        <w:rPr>
          <w:rFonts w:ascii="Georgia" w:hAnsi="Georgia" w:cs="Arial"/>
          <w:bCs/>
          <w:color w:val="1F497D" w:themeColor="text2"/>
          <w:sz w:val="28"/>
          <w:szCs w:val="28"/>
        </w:rPr>
        <w:t>nell’efficienza dei processi produttivi</w:t>
      </w:r>
      <w:r w:rsidR="00643153">
        <w:rPr>
          <w:rFonts w:ascii="Georgia" w:hAnsi="Georgia" w:cs="Arial"/>
          <w:bCs/>
          <w:color w:val="1F497D" w:themeColor="text2"/>
          <w:sz w:val="28"/>
          <w:szCs w:val="28"/>
        </w:rPr>
        <w:t xml:space="preserve"> -</w:t>
      </w:r>
      <w:r w:rsidR="00342658">
        <w:rPr>
          <w:rFonts w:ascii="Georgia" w:hAnsi="Georgia" w:cs="Arial"/>
          <w:bCs/>
          <w:color w:val="1F497D" w:themeColor="text2"/>
          <w:sz w:val="28"/>
          <w:szCs w:val="28"/>
        </w:rPr>
        <w:t xml:space="preserve"> </w:t>
      </w:r>
      <w:r>
        <w:rPr>
          <w:rFonts w:ascii="Georgia" w:hAnsi="Georgia" w:cs="Arial"/>
          <w:bCs/>
          <w:color w:val="1F497D" w:themeColor="text2"/>
          <w:sz w:val="28"/>
          <w:szCs w:val="28"/>
        </w:rPr>
        <w:t>scesa del 2,7</w:t>
      </w:r>
      <w:r w:rsidRPr="00EB4C39">
        <w:rPr>
          <w:rFonts w:ascii="Georgia" w:hAnsi="Georgia" w:cs="Arial"/>
          <w:bCs/>
          <w:color w:val="1F497D" w:themeColor="text2"/>
          <w:sz w:val="28"/>
          <w:szCs w:val="28"/>
        </w:rPr>
        <w:t xml:space="preserve">% dopo </w:t>
      </w:r>
      <w:r>
        <w:rPr>
          <w:rFonts w:ascii="Georgia" w:hAnsi="Georgia" w:cs="Arial"/>
          <w:bCs/>
          <w:color w:val="1F497D" w:themeColor="text2"/>
          <w:sz w:val="28"/>
          <w:szCs w:val="28"/>
        </w:rPr>
        <w:t>alcuni anni di lento recupero</w:t>
      </w:r>
      <w:r w:rsidRPr="00EB4C39">
        <w:rPr>
          <w:rFonts w:ascii="Georgia" w:hAnsi="Georgia" w:cs="Arial"/>
          <w:bCs/>
          <w:color w:val="1F497D" w:themeColor="text2"/>
          <w:sz w:val="28"/>
          <w:szCs w:val="28"/>
        </w:rPr>
        <w:t>.</w:t>
      </w:r>
    </w:p>
    <w:p w14:paraId="408A5FD0" w14:textId="77777777" w:rsidR="00CB66D4" w:rsidRPr="00BC09C6" w:rsidRDefault="00CB66D4" w:rsidP="00E17C8C">
      <w:pPr>
        <w:pStyle w:val="Default"/>
        <w:tabs>
          <w:tab w:val="left" w:pos="567"/>
        </w:tabs>
        <w:spacing w:after="120" w:line="360" w:lineRule="exact"/>
        <w:ind w:left="142"/>
        <w:jc w:val="both"/>
        <w:rPr>
          <w:rFonts w:ascii="Georgia" w:hAnsi="Georgia" w:cs="Arial"/>
          <w:bCs/>
          <w:color w:val="1F497D" w:themeColor="text2"/>
          <w:sz w:val="2"/>
          <w:szCs w:val="28"/>
        </w:rPr>
      </w:pPr>
    </w:p>
    <w:tbl>
      <w:tblPr>
        <w:tblStyle w:val="Grigliatabella"/>
        <w:tblW w:w="12026" w:type="dxa"/>
        <w:tblInd w:w="-861"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4008"/>
        <w:gridCol w:w="4009"/>
        <w:gridCol w:w="4009"/>
      </w:tblGrid>
      <w:tr w:rsidR="007E6EAA" w14:paraId="3672022E" w14:textId="77777777" w:rsidTr="00B962E2">
        <w:trPr>
          <w:trHeight w:val="72"/>
        </w:trPr>
        <w:tc>
          <w:tcPr>
            <w:tcW w:w="12026" w:type="dxa"/>
            <w:gridSpan w:val="3"/>
            <w:shd w:val="clear" w:color="auto" w:fill="D9D9D9" w:themeFill="background1" w:themeFillShade="D9"/>
          </w:tcPr>
          <w:p w14:paraId="178A79DE" w14:textId="77777777" w:rsidR="003A460A" w:rsidRPr="007539EA" w:rsidRDefault="007E6EAA" w:rsidP="003A460A">
            <w:pPr>
              <w:tabs>
                <w:tab w:val="left" w:pos="1401"/>
                <w:tab w:val="left" w:pos="2295"/>
              </w:tabs>
              <w:autoSpaceDE w:val="0"/>
              <w:autoSpaceDN w:val="0"/>
              <w:adjustRightInd w:val="0"/>
              <w:rPr>
                <w:rFonts w:ascii="Georgia" w:hAnsi="Georgia" w:cs="Arial"/>
                <w:b/>
                <w:bCs/>
                <w:color w:val="1F497D" w:themeColor="text2"/>
                <w:sz w:val="16"/>
                <w:szCs w:val="16"/>
              </w:rPr>
            </w:pPr>
            <w:r>
              <w:rPr>
                <w:rFonts w:ascii="Georgia" w:hAnsi="Georgia" w:cs="Arial"/>
                <w:b/>
                <w:bCs/>
                <w:color w:val="1F497D" w:themeColor="text2"/>
                <w:sz w:val="16"/>
                <w:szCs w:val="16"/>
              </w:rPr>
              <w:tab/>
            </w:r>
            <w:r w:rsidR="003A460A">
              <w:rPr>
                <w:rFonts w:ascii="Georgia" w:hAnsi="Georgia" w:cs="Arial"/>
                <w:b/>
                <w:bCs/>
                <w:color w:val="1F497D" w:themeColor="text2"/>
                <w:sz w:val="16"/>
                <w:szCs w:val="16"/>
              </w:rPr>
              <w:tab/>
            </w:r>
          </w:p>
        </w:tc>
      </w:tr>
      <w:tr w:rsidR="001A62B5" w:rsidRPr="001A62B5" w14:paraId="475D4000" w14:textId="77777777" w:rsidTr="00BC09C6">
        <w:trPr>
          <w:trHeight w:val="3532"/>
        </w:trPr>
        <w:tc>
          <w:tcPr>
            <w:tcW w:w="4008" w:type="dxa"/>
            <w:shd w:val="clear" w:color="auto" w:fill="D9D9D9" w:themeFill="background1" w:themeFillShade="D9"/>
          </w:tcPr>
          <w:p w14:paraId="4ECA71F5" w14:textId="77777777" w:rsidR="00453658" w:rsidRPr="00294DC2" w:rsidRDefault="00453658" w:rsidP="00453658">
            <w:pPr>
              <w:tabs>
                <w:tab w:val="left" w:pos="459"/>
              </w:tabs>
              <w:autoSpaceDE w:val="0"/>
              <w:autoSpaceDN w:val="0"/>
              <w:adjustRightInd w:val="0"/>
              <w:ind w:left="459"/>
              <w:rPr>
                <w:rFonts w:ascii="Georgia" w:hAnsi="Georgia" w:cs="Arial"/>
                <w:bCs/>
                <w:color w:val="E42618"/>
                <w:sz w:val="88"/>
                <w:szCs w:val="88"/>
              </w:rPr>
            </w:pPr>
            <w:r>
              <w:rPr>
                <w:rFonts w:ascii="Georgia" w:hAnsi="Georgia" w:cs="Arial"/>
                <w:bCs/>
                <w:color w:val="E42618"/>
                <w:sz w:val="88"/>
                <w:szCs w:val="88"/>
              </w:rPr>
              <w:t>+0,5</w:t>
            </w:r>
            <w:r w:rsidRPr="008063E3">
              <w:rPr>
                <w:rFonts w:ascii="Georgia" w:hAnsi="Georgia" w:cs="Arial"/>
                <w:bCs/>
                <w:color w:val="E42618"/>
                <w:sz w:val="88"/>
                <w:szCs w:val="88"/>
              </w:rPr>
              <w:t>%</w:t>
            </w:r>
          </w:p>
          <w:p w14:paraId="47829646" w14:textId="77777777" w:rsidR="00453658" w:rsidRPr="001A62B5" w:rsidRDefault="00453658" w:rsidP="00453658">
            <w:pPr>
              <w:tabs>
                <w:tab w:val="left" w:pos="317"/>
                <w:tab w:val="left" w:pos="459"/>
                <w:tab w:val="left" w:pos="1204"/>
              </w:tabs>
              <w:autoSpaceDE w:val="0"/>
              <w:autoSpaceDN w:val="0"/>
              <w:adjustRightInd w:val="0"/>
              <w:ind w:left="459"/>
              <w:rPr>
                <w:rFonts w:ascii="Georgia" w:hAnsi="Georgia" w:cs="Arial"/>
                <w:b/>
                <w:bCs/>
                <w:color w:val="244061" w:themeColor="accent1" w:themeShade="80"/>
                <w:sz w:val="22"/>
                <w:szCs w:val="22"/>
              </w:rPr>
            </w:pPr>
            <w:r>
              <w:rPr>
                <w:rFonts w:ascii="Georgia" w:hAnsi="Georgia" w:cs="Arial"/>
                <w:b/>
                <w:bCs/>
                <w:color w:val="244061" w:themeColor="accent1" w:themeShade="80"/>
                <w:sz w:val="22"/>
                <w:szCs w:val="22"/>
              </w:rPr>
              <w:tab/>
            </w:r>
          </w:p>
          <w:p w14:paraId="77CBE633" w14:textId="77777777" w:rsidR="00453658" w:rsidRPr="00BA603F" w:rsidRDefault="00453658" w:rsidP="00453658">
            <w:pPr>
              <w:tabs>
                <w:tab w:val="left" w:pos="459"/>
              </w:tabs>
              <w:autoSpaceDE w:val="0"/>
              <w:autoSpaceDN w:val="0"/>
              <w:adjustRightInd w:val="0"/>
              <w:ind w:left="459"/>
              <w:rPr>
                <w:rFonts w:ascii="Georgia" w:hAnsi="Georgia" w:cs="Arial"/>
                <w:b/>
                <w:bCs/>
                <w:color w:val="E42618"/>
                <w:sz w:val="26"/>
                <w:szCs w:val="26"/>
              </w:rPr>
            </w:pPr>
            <w:r>
              <w:rPr>
                <w:rFonts w:ascii="Georgia" w:hAnsi="Georgia" w:cs="Arial"/>
                <w:b/>
                <w:bCs/>
                <w:color w:val="E42618"/>
                <w:sz w:val="26"/>
                <w:szCs w:val="26"/>
              </w:rPr>
              <w:t xml:space="preserve">Il tasso medio annuo </w:t>
            </w:r>
            <w:r>
              <w:rPr>
                <w:rFonts w:ascii="Georgia" w:hAnsi="Georgia" w:cs="Arial"/>
                <w:b/>
                <w:bCs/>
                <w:color w:val="E42618"/>
                <w:sz w:val="26"/>
                <w:szCs w:val="26"/>
              </w:rPr>
              <w:br/>
              <w:t>di crescita della produttività del lavoro in Italia nel periodo 2014-2020</w:t>
            </w:r>
          </w:p>
          <w:p w14:paraId="644B2C82" w14:textId="77777777" w:rsidR="002D0B5D" w:rsidRPr="00BC09C6" w:rsidRDefault="002D0B5D" w:rsidP="00A2532B">
            <w:pPr>
              <w:tabs>
                <w:tab w:val="left" w:pos="459"/>
              </w:tabs>
              <w:autoSpaceDE w:val="0"/>
              <w:autoSpaceDN w:val="0"/>
              <w:adjustRightInd w:val="0"/>
              <w:ind w:left="459"/>
              <w:rPr>
                <w:rFonts w:ascii="Georgia" w:hAnsi="Georgia" w:cs="Arial"/>
                <w:b/>
                <w:bCs/>
                <w:color w:val="E42618"/>
                <w:sz w:val="16"/>
                <w:szCs w:val="26"/>
              </w:rPr>
            </w:pPr>
          </w:p>
          <w:p w14:paraId="32F76C57" w14:textId="77777777" w:rsidR="00276CE3" w:rsidRPr="00BC09C6" w:rsidRDefault="00276CE3" w:rsidP="00A2532B">
            <w:pPr>
              <w:tabs>
                <w:tab w:val="left" w:pos="459"/>
              </w:tabs>
              <w:autoSpaceDE w:val="0"/>
              <w:autoSpaceDN w:val="0"/>
              <w:adjustRightInd w:val="0"/>
              <w:ind w:left="459"/>
              <w:rPr>
                <w:rFonts w:ascii="Georgia" w:hAnsi="Georgia" w:cs="Arial"/>
                <w:b/>
                <w:bCs/>
                <w:color w:val="E42618"/>
                <w:sz w:val="12"/>
                <w:szCs w:val="26"/>
              </w:rPr>
            </w:pPr>
          </w:p>
          <w:p w14:paraId="59041BC6" w14:textId="77777777" w:rsidR="007E6EAA" w:rsidRPr="00BC09C6" w:rsidRDefault="00843870" w:rsidP="00BC09C6">
            <w:pPr>
              <w:tabs>
                <w:tab w:val="left" w:pos="459"/>
              </w:tabs>
              <w:autoSpaceDE w:val="0"/>
              <w:autoSpaceDN w:val="0"/>
              <w:adjustRightInd w:val="0"/>
              <w:ind w:left="459"/>
              <w:rPr>
                <w:rFonts w:ascii="Arial Narrow" w:hAnsi="Arial Narrow" w:cs="Arial"/>
                <w:bCs/>
                <w:color w:val="1F497D" w:themeColor="text2"/>
              </w:rPr>
            </w:pPr>
            <w:r w:rsidRPr="00843870">
              <w:rPr>
                <w:rFonts w:ascii="Arial Narrow" w:hAnsi="Arial Narrow" w:cs="Arial"/>
                <w:bCs/>
                <w:color w:val="1F497D" w:themeColor="text2"/>
              </w:rPr>
              <w:t xml:space="preserve">Nell’intero periodo 1995-2020 </w:t>
            </w:r>
            <w:r>
              <w:rPr>
                <w:rFonts w:ascii="Arial Narrow" w:hAnsi="Arial Narrow" w:cs="Arial"/>
                <w:bCs/>
                <w:color w:val="1F497D" w:themeColor="text2"/>
              </w:rPr>
              <w:t>+</w:t>
            </w:r>
            <w:r w:rsidRPr="00843870">
              <w:rPr>
                <w:rFonts w:ascii="Arial Narrow" w:hAnsi="Arial Narrow" w:cs="Arial"/>
                <w:bCs/>
                <w:color w:val="1F497D" w:themeColor="text2"/>
              </w:rPr>
              <w:t>0,4%</w:t>
            </w:r>
            <w:r w:rsidR="00FB167F">
              <w:rPr>
                <w:rFonts w:ascii="Arial Narrow" w:hAnsi="Arial Narrow" w:cs="Arial"/>
                <w:bCs/>
                <w:color w:val="1F497D" w:themeColor="text2"/>
              </w:rPr>
              <w:t>.</w:t>
            </w:r>
          </w:p>
        </w:tc>
        <w:tc>
          <w:tcPr>
            <w:tcW w:w="4009" w:type="dxa"/>
            <w:shd w:val="clear" w:color="auto" w:fill="D9D9D9" w:themeFill="background1" w:themeFillShade="D9"/>
          </w:tcPr>
          <w:p w14:paraId="0DAA506D" w14:textId="77777777" w:rsidR="00342658" w:rsidRPr="00342658" w:rsidRDefault="00483D0B" w:rsidP="00342658">
            <w:pPr>
              <w:tabs>
                <w:tab w:val="left" w:pos="851"/>
                <w:tab w:val="left" w:pos="2575"/>
              </w:tabs>
              <w:autoSpaceDE w:val="0"/>
              <w:autoSpaceDN w:val="0"/>
              <w:adjustRightInd w:val="0"/>
              <w:ind w:right="570"/>
              <w:rPr>
                <w:rFonts w:ascii="Georgia" w:hAnsi="Georgia" w:cs="Arial"/>
                <w:bCs/>
                <w:color w:val="1F497D" w:themeColor="text2"/>
                <w:sz w:val="88"/>
                <w:szCs w:val="88"/>
              </w:rPr>
            </w:pPr>
            <w:r w:rsidRPr="00483D0B">
              <w:rPr>
                <w:rFonts w:ascii="Georgia" w:hAnsi="Georgia" w:cs="Arial"/>
                <w:bCs/>
                <w:color w:val="1F497D" w:themeColor="text2"/>
                <w:sz w:val="88"/>
                <w:szCs w:val="88"/>
              </w:rPr>
              <w:t>-1,1%</w:t>
            </w:r>
          </w:p>
          <w:p w14:paraId="59DC22BD" w14:textId="77777777" w:rsidR="00DE2FB0" w:rsidRDefault="00DE2FB0">
            <w:pPr>
              <w:tabs>
                <w:tab w:val="left" w:pos="311"/>
              </w:tabs>
              <w:autoSpaceDE w:val="0"/>
              <w:autoSpaceDN w:val="0"/>
              <w:adjustRightInd w:val="0"/>
              <w:rPr>
                <w:rFonts w:ascii="Georgia" w:hAnsi="Georgia" w:cs="Arial"/>
                <w:b/>
                <w:bCs/>
                <w:color w:val="E42618"/>
                <w:sz w:val="26"/>
                <w:szCs w:val="26"/>
              </w:rPr>
            </w:pPr>
          </w:p>
          <w:p w14:paraId="6D2D8EE4" w14:textId="77777777" w:rsidR="00342658" w:rsidRPr="00342658" w:rsidRDefault="00483D0B" w:rsidP="00342658">
            <w:pPr>
              <w:tabs>
                <w:tab w:val="left" w:pos="851"/>
                <w:tab w:val="left" w:pos="2575"/>
              </w:tabs>
              <w:autoSpaceDE w:val="0"/>
              <w:autoSpaceDN w:val="0"/>
              <w:adjustRightInd w:val="0"/>
              <w:ind w:right="570"/>
              <w:rPr>
                <w:rFonts w:ascii="Georgia" w:hAnsi="Georgia" w:cs="Arial"/>
                <w:b/>
                <w:bCs/>
                <w:color w:val="1F497D" w:themeColor="text2"/>
                <w:sz w:val="26"/>
                <w:szCs w:val="26"/>
              </w:rPr>
            </w:pPr>
            <w:r w:rsidRPr="00483D0B">
              <w:rPr>
                <w:rFonts w:ascii="Georgia" w:hAnsi="Georgia" w:cs="Arial"/>
                <w:b/>
                <w:bCs/>
                <w:color w:val="1F497D" w:themeColor="text2"/>
                <w:sz w:val="26"/>
                <w:szCs w:val="26"/>
              </w:rPr>
              <w:t xml:space="preserve">Il calo medio annuo della produttività del capitale in Italia negli anni 2014-2020 </w:t>
            </w:r>
          </w:p>
          <w:p w14:paraId="07CF9FB1" w14:textId="77777777" w:rsidR="007E6EAA" w:rsidRPr="001A62B5" w:rsidRDefault="007E6EAA" w:rsidP="00342658">
            <w:pPr>
              <w:tabs>
                <w:tab w:val="left" w:pos="0"/>
              </w:tabs>
              <w:autoSpaceDE w:val="0"/>
              <w:autoSpaceDN w:val="0"/>
              <w:adjustRightInd w:val="0"/>
              <w:ind w:left="143"/>
              <w:rPr>
                <w:rFonts w:ascii="Georgia" w:hAnsi="Georgia" w:cs="Arial"/>
                <w:b/>
                <w:bCs/>
                <w:color w:val="244061" w:themeColor="accent1" w:themeShade="80"/>
                <w:sz w:val="28"/>
                <w:szCs w:val="28"/>
              </w:rPr>
            </w:pPr>
          </w:p>
        </w:tc>
        <w:tc>
          <w:tcPr>
            <w:tcW w:w="4009" w:type="dxa"/>
            <w:shd w:val="clear" w:color="auto" w:fill="D9D9D9" w:themeFill="background1" w:themeFillShade="D9"/>
            <w:tcMar>
              <w:left w:w="284" w:type="dxa"/>
              <w:right w:w="284" w:type="dxa"/>
            </w:tcMar>
          </w:tcPr>
          <w:p w14:paraId="432DFB47" w14:textId="77777777" w:rsidR="00DE2FB0" w:rsidRDefault="00483D0B">
            <w:pPr>
              <w:tabs>
                <w:tab w:val="left" w:pos="851"/>
              </w:tabs>
              <w:autoSpaceDE w:val="0"/>
              <w:autoSpaceDN w:val="0"/>
              <w:adjustRightInd w:val="0"/>
              <w:ind w:left="51"/>
              <w:rPr>
                <w:rFonts w:ascii="Georgia" w:hAnsi="Georgia" w:cs="Arial"/>
                <w:bCs/>
                <w:color w:val="E42618"/>
                <w:sz w:val="88"/>
                <w:szCs w:val="88"/>
              </w:rPr>
            </w:pPr>
            <w:r w:rsidRPr="00483D0B">
              <w:rPr>
                <w:rFonts w:ascii="Georgia" w:hAnsi="Georgia" w:cs="Arial"/>
                <w:bCs/>
                <w:color w:val="E42618"/>
                <w:sz w:val="88"/>
                <w:szCs w:val="88"/>
              </w:rPr>
              <w:t>+1,2%</w:t>
            </w:r>
          </w:p>
          <w:p w14:paraId="560DB28D" w14:textId="77777777" w:rsidR="00DE2FB0" w:rsidRDefault="00DE2FB0">
            <w:pPr>
              <w:tabs>
                <w:tab w:val="left" w:pos="851"/>
              </w:tabs>
              <w:autoSpaceDE w:val="0"/>
              <w:autoSpaceDN w:val="0"/>
              <w:adjustRightInd w:val="0"/>
              <w:ind w:left="51"/>
              <w:rPr>
                <w:rFonts w:ascii="Georgia" w:hAnsi="Georgia" w:cs="Arial"/>
                <w:b/>
                <w:bCs/>
                <w:color w:val="1F497D" w:themeColor="text2"/>
                <w:sz w:val="26"/>
                <w:szCs w:val="26"/>
              </w:rPr>
            </w:pPr>
          </w:p>
          <w:p w14:paraId="6687AA4E" w14:textId="77777777" w:rsidR="00DE2FB0" w:rsidRDefault="00483D0B">
            <w:pPr>
              <w:tabs>
                <w:tab w:val="left" w:pos="851"/>
              </w:tabs>
              <w:autoSpaceDE w:val="0"/>
              <w:autoSpaceDN w:val="0"/>
              <w:adjustRightInd w:val="0"/>
              <w:ind w:left="51"/>
              <w:rPr>
                <w:rFonts w:ascii="Georgia" w:hAnsi="Georgia" w:cs="Arial"/>
                <w:b/>
                <w:bCs/>
                <w:color w:val="E42618"/>
                <w:sz w:val="26"/>
                <w:szCs w:val="26"/>
              </w:rPr>
            </w:pPr>
            <w:r w:rsidRPr="00483D0B">
              <w:rPr>
                <w:rFonts w:ascii="Georgia" w:hAnsi="Georgia" w:cs="Arial"/>
                <w:b/>
                <w:bCs/>
                <w:color w:val="E42618"/>
                <w:sz w:val="26"/>
                <w:szCs w:val="26"/>
              </w:rPr>
              <w:t>La crescita media annua della produttività del lavoro nella Ue27</w:t>
            </w:r>
          </w:p>
          <w:p w14:paraId="7D9D5F6E" w14:textId="77777777" w:rsidR="00DE2FB0" w:rsidRDefault="00483D0B">
            <w:pPr>
              <w:tabs>
                <w:tab w:val="left" w:pos="851"/>
              </w:tabs>
              <w:autoSpaceDE w:val="0"/>
              <w:autoSpaceDN w:val="0"/>
              <w:adjustRightInd w:val="0"/>
              <w:ind w:left="51"/>
              <w:rPr>
                <w:rFonts w:ascii="Georgia" w:hAnsi="Georgia" w:cs="Arial"/>
                <w:b/>
                <w:bCs/>
                <w:color w:val="E42618"/>
                <w:sz w:val="26"/>
                <w:szCs w:val="26"/>
              </w:rPr>
            </w:pPr>
            <w:r w:rsidRPr="00483D0B">
              <w:rPr>
                <w:rFonts w:ascii="Georgia" w:hAnsi="Georgia" w:cs="Arial"/>
                <w:b/>
                <w:bCs/>
                <w:color w:val="E42618"/>
                <w:sz w:val="26"/>
                <w:szCs w:val="26"/>
              </w:rPr>
              <w:t>tra il 2014 e il 2020</w:t>
            </w:r>
          </w:p>
          <w:p w14:paraId="1962EAC9" w14:textId="77777777" w:rsidR="00DE2FB0" w:rsidRPr="00BC09C6" w:rsidRDefault="00DE2FB0">
            <w:pPr>
              <w:tabs>
                <w:tab w:val="left" w:pos="851"/>
              </w:tabs>
              <w:autoSpaceDE w:val="0"/>
              <w:autoSpaceDN w:val="0"/>
              <w:adjustRightInd w:val="0"/>
              <w:ind w:left="51"/>
              <w:rPr>
                <w:rFonts w:ascii="Georgia" w:hAnsi="Georgia" w:cs="Arial"/>
                <w:b/>
                <w:bCs/>
                <w:color w:val="E42618"/>
                <w:sz w:val="2"/>
                <w:szCs w:val="26"/>
              </w:rPr>
            </w:pPr>
          </w:p>
          <w:p w14:paraId="02D5E32F" w14:textId="77777777" w:rsidR="00DE2FB0" w:rsidRPr="00BC09C6" w:rsidRDefault="00DE2FB0">
            <w:pPr>
              <w:tabs>
                <w:tab w:val="left" w:pos="851"/>
              </w:tabs>
              <w:autoSpaceDE w:val="0"/>
              <w:autoSpaceDN w:val="0"/>
              <w:adjustRightInd w:val="0"/>
              <w:ind w:left="51"/>
              <w:rPr>
                <w:rFonts w:ascii="Georgia" w:hAnsi="Georgia" w:cs="Arial"/>
                <w:b/>
                <w:bCs/>
                <w:color w:val="E42618"/>
                <w:sz w:val="16"/>
                <w:szCs w:val="26"/>
              </w:rPr>
            </w:pPr>
          </w:p>
          <w:p w14:paraId="62794475" w14:textId="77777777" w:rsidR="00DE2FB0" w:rsidRDefault="00342658">
            <w:pPr>
              <w:tabs>
                <w:tab w:val="left" w:pos="851"/>
                <w:tab w:val="left" w:pos="2575"/>
              </w:tabs>
              <w:autoSpaceDE w:val="0"/>
              <w:autoSpaceDN w:val="0"/>
              <w:adjustRightInd w:val="0"/>
              <w:ind w:left="51" w:right="570"/>
              <w:rPr>
                <w:rFonts w:ascii="Georgia" w:hAnsi="Georgia" w:cs="Arial"/>
                <w:b/>
                <w:bCs/>
                <w:color w:val="E42618"/>
                <w:sz w:val="26"/>
                <w:szCs w:val="26"/>
              </w:rPr>
            </w:pPr>
            <w:r w:rsidRPr="009771FF">
              <w:rPr>
                <w:rFonts w:ascii="Arial Narrow" w:hAnsi="Arial Narrow" w:cs="Arial"/>
                <w:bCs/>
                <w:color w:val="1F497D" w:themeColor="text2"/>
              </w:rPr>
              <w:t>Germania +1,0%, Francia 0,5%, Spagna 0,0%</w:t>
            </w:r>
            <w:r w:rsidR="00FB167F">
              <w:rPr>
                <w:rFonts w:ascii="Arial Narrow" w:hAnsi="Arial Narrow" w:cs="Arial"/>
                <w:bCs/>
                <w:color w:val="1F497D" w:themeColor="text2"/>
              </w:rPr>
              <w:t>.</w:t>
            </w:r>
          </w:p>
          <w:p w14:paraId="61443A29" w14:textId="77777777" w:rsidR="00DE2FB0" w:rsidRDefault="00DE2FB0">
            <w:pPr>
              <w:tabs>
                <w:tab w:val="left" w:pos="851"/>
                <w:tab w:val="left" w:pos="2575"/>
              </w:tabs>
              <w:autoSpaceDE w:val="0"/>
              <w:autoSpaceDN w:val="0"/>
              <w:adjustRightInd w:val="0"/>
              <w:ind w:left="51" w:right="570"/>
              <w:rPr>
                <w:rFonts w:ascii="Georgia" w:hAnsi="Georgia" w:cs="Arial"/>
                <w:b/>
                <w:bCs/>
                <w:color w:val="E42618"/>
                <w:sz w:val="28"/>
                <w:szCs w:val="28"/>
              </w:rPr>
            </w:pPr>
          </w:p>
          <w:p w14:paraId="117818D4" w14:textId="77777777" w:rsidR="00DE2FB0" w:rsidRDefault="00DE2FB0">
            <w:pPr>
              <w:tabs>
                <w:tab w:val="left" w:pos="459"/>
              </w:tabs>
              <w:autoSpaceDE w:val="0"/>
              <w:autoSpaceDN w:val="0"/>
              <w:adjustRightInd w:val="0"/>
              <w:rPr>
                <w:rFonts w:ascii="Georgia" w:hAnsi="Georgia" w:cs="Arial"/>
                <w:bCs/>
                <w:color w:val="244061" w:themeColor="accent1" w:themeShade="80"/>
                <w:sz w:val="28"/>
                <w:szCs w:val="28"/>
              </w:rPr>
            </w:pPr>
          </w:p>
        </w:tc>
      </w:tr>
      <w:tr w:rsidR="007E6EAA" w14:paraId="79BE452B" w14:textId="77777777" w:rsidTr="00B962E2">
        <w:trPr>
          <w:trHeight w:val="81"/>
        </w:trPr>
        <w:tc>
          <w:tcPr>
            <w:tcW w:w="12026" w:type="dxa"/>
            <w:gridSpan w:val="3"/>
            <w:shd w:val="clear" w:color="auto" w:fill="D9D9D9" w:themeFill="background1" w:themeFillShade="D9"/>
          </w:tcPr>
          <w:p w14:paraId="5F6D28AC" w14:textId="77777777" w:rsidR="007E6EAA" w:rsidRPr="000467F2" w:rsidRDefault="003A460A" w:rsidP="003A460A">
            <w:pPr>
              <w:tabs>
                <w:tab w:val="left" w:pos="4424"/>
              </w:tabs>
              <w:ind w:left="797"/>
              <w:rPr>
                <w:rFonts w:ascii="Georgia" w:hAnsi="Georgia" w:cs="Arial"/>
                <w:sz w:val="16"/>
                <w:szCs w:val="16"/>
              </w:rPr>
            </w:pPr>
            <w:r>
              <w:rPr>
                <w:rFonts w:ascii="Georgia" w:hAnsi="Georgia" w:cs="Arial"/>
                <w:sz w:val="16"/>
                <w:szCs w:val="16"/>
              </w:rPr>
              <w:tab/>
            </w:r>
          </w:p>
        </w:tc>
      </w:tr>
    </w:tbl>
    <w:p w14:paraId="13707809" w14:textId="77777777" w:rsidR="00C65721" w:rsidRPr="0058002A" w:rsidRDefault="00C65721" w:rsidP="000467F2">
      <w:pPr>
        <w:rPr>
          <w:rFonts w:ascii="Arial" w:hAnsi="Arial" w:cs="Arial"/>
          <w:iCs/>
          <w:noProof/>
          <w:color w:val="000000"/>
          <w:sz w:val="20"/>
          <w:szCs w:val="20"/>
        </w:rPr>
        <w:sectPr w:rsidR="00C65721" w:rsidRPr="0058002A" w:rsidSect="00123E17">
          <w:footerReference w:type="even" r:id="rId8"/>
          <w:footerReference w:type="default" r:id="rId9"/>
          <w:headerReference w:type="first" r:id="rId10"/>
          <w:footerReference w:type="first" r:id="rId11"/>
          <w:type w:val="continuous"/>
          <w:pgSz w:w="11906" w:h="16838"/>
          <w:pgMar w:top="567" w:right="851" w:bottom="680" w:left="851" w:header="0" w:footer="0" w:gutter="0"/>
          <w:pgNumType w:start="1"/>
          <w:cols w:space="708"/>
          <w:titlePg/>
          <w:docGrid w:linePitch="360"/>
        </w:sectPr>
      </w:pPr>
    </w:p>
    <w:p w14:paraId="5CB9BD05" w14:textId="77777777" w:rsidR="00CB66D4" w:rsidRPr="00977BD5" w:rsidRDefault="00CB66D4" w:rsidP="00A2532B">
      <w:pPr>
        <w:spacing w:after="120"/>
        <w:jc w:val="both"/>
        <w:outlineLvl w:val="0"/>
        <w:rPr>
          <w:rFonts w:ascii="Arial" w:hAnsi="Arial" w:cs="Arial"/>
          <w:color w:val="1F497D" w:themeColor="text2"/>
          <w:sz w:val="22"/>
          <w:szCs w:val="26"/>
        </w:rPr>
      </w:pPr>
    </w:p>
    <w:p w14:paraId="5C955B28" w14:textId="77777777" w:rsidR="00A2532B" w:rsidRPr="00EA1522" w:rsidRDefault="00E17C8C" w:rsidP="00A2532B">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Le</w:t>
      </w:r>
      <w:r w:rsidR="00A2532B" w:rsidRPr="00EA1522">
        <w:rPr>
          <w:rFonts w:ascii="Arial" w:hAnsi="Arial" w:cs="Arial"/>
          <w:b/>
          <w:color w:val="1F497D" w:themeColor="text2"/>
          <w:sz w:val="26"/>
          <w:szCs w:val="26"/>
        </w:rPr>
        <w:t xml:space="preserve"> misure di produttività</w:t>
      </w:r>
      <w:r w:rsidR="0073451F">
        <w:rPr>
          <w:rFonts w:ascii="Arial" w:hAnsi="Arial" w:cs="Arial"/>
          <w:b/>
          <w:color w:val="1F497D" w:themeColor="text2"/>
          <w:sz w:val="26"/>
          <w:szCs w:val="26"/>
        </w:rPr>
        <w:t xml:space="preserve"> risentono degli effetti della crisi pandemica</w:t>
      </w:r>
    </w:p>
    <w:p w14:paraId="68D6EE69" w14:textId="77777777" w:rsidR="00453658" w:rsidRPr="00CF7005" w:rsidRDefault="00453658" w:rsidP="00453658">
      <w:pPr>
        <w:autoSpaceDE w:val="0"/>
        <w:autoSpaceDN w:val="0"/>
        <w:adjustRightInd w:val="0"/>
        <w:spacing w:after="120"/>
        <w:jc w:val="both"/>
        <w:rPr>
          <w:rFonts w:ascii="Arial" w:hAnsi="Arial" w:cs="Arial"/>
          <w:sz w:val="22"/>
          <w:szCs w:val="22"/>
        </w:rPr>
      </w:pPr>
      <w:r w:rsidRPr="0062723D">
        <w:rPr>
          <w:rFonts w:ascii="Arial" w:hAnsi="Arial" w:cs="Arial"/>
          <w:sz w:val="22"/>
          <w:szCs w:val="22"/>
        </w:rPr>
        <w:t>La produttività</w:t>
      </w:r>
      <w:r>
        <w:rPr>
          <w:rFonts w:ascii="Arial" w:hAnsi="Arial" w:cs="Arial"/>
          <w:sz w:val="22"/>
          <w:szCs w:val="22"/>
        </w:rPr>
        <w:t xml:space="preserve"> è comunemente definita come il rapporto tra il volume dell’output e degli input che concorrono alla sua realizzazione. </w:t>
      </w:r>
      <w:r w:rsidR="00AA7780">
        <w:rPr>
          <w:rFonts w:ascii="Arial" w:hAnsi="Arial" w:cs="Arial"/>
          <w:sz w:val="22"/>
          <w:szCs w:val="22"/>
        </w:rPr>
        <w:t>M</w:t>
      </w:r>
      <w:r w:rsidRPr="008A36DC">
        <w:rPr>
          <w:rFonts w:ascii="Arial" w:hAnsi="Arial" w:cs="Arial"/>
          <w:sz w:val="22"/>
          <w:szCs w:val="22"/>
        </w:rPr>
        <w:t>isura l’efficienza</w:t>
      </w:r>
      <w:r>
        <w:rPr>
          <w:rFonts w:ascii="Arial" w:hAnsi="Arial" w:cs="Arial"/>
          <w:sz w:val="22"/>
          <w:szCs w:val="22"/>
        </w:rPr>
        <w:t xml:space="preserve"> dell’impiego nel processo di produzione dei</w:t>
      </w:r>
      <w:r w:rsidRPr="008A36DC">
        <w:rPr>
          <w:rFonts w:ascii="Arial" w:hAnsi="Arial" w:cs="Arial"/>
          <w:sz w:val="22"/>
          <w:szCs w:val="22"/>
        </w:rPr>
        <w:t xml:space="preserve"> fattori primari, lavoro e capitale</w:t>
      </w:r>
      <w:r w:rsidR="00643153">
        <w:rPr>
          <w:rFonts w:ascii="Arial" w:hAnsi="Arial" w:cs="Arial"/>
          <w:sz w:val="22"/>
          <w:szCs w:val="22"/>
        </w:rPr>
        <w:t xml:space="preserve"> ed è </w:t>
      </w:r>
      <w:r w:rsidRPr="00D9378C">
        <w:rPr>
          <w:rFonts w:ascii="Arial" w:hAnsi="Arial" w:cs="Arial"/>
          <w:sz w:val="22"/>
          <w:szCs w:val="22"/>
        </w:rPr>
        <w:t>considerata un</w:t>
      </w:r>
      <w:r>
        <w:rPr>
          <w:rFonts w:ascii="Arial" w:hAnsi="Arial" w:cs="Arial"/>
          <w:sz w:val="22"/>
          <w:szCs w:val="22"/>
        </w:rPr>
        <w:t xml:space="preserve"> indicatore</w:t>
      </w:r>
      <w:r w:rsidRPr="00D9378C">
        <w:rPr>
          <w:rFonts w:ascii="Arial" w:hAnsi="Arial" w:cs="Arial"/>
          <w:sz w:val="22"/>
          <w:szCs w:val="22"/>
        </w:rPr>
        <w:t xml:space="preserve"> chiave di</w:t>
      </w:r>
      <w:r>
        <w:rPr>
          <w:rFonts w:ascii="Arial" w:hAnsi="Arial" w:cs="Arial"/>
          <w:sz w:val="22"/>
          <w:szCs w:val="22"/>
        </w:rPr>
        <w:t xml:space="preserve"> </w:t>
      </w:r>
      <w:r w:rsidRPr="00D9378C">
        <w:rPr>
          <w:rFonts w:ascii="Arial" w:hAnsi="Arial" w:cs="Arial"/>
          <w:sz w:val="22"/>
          <w:szCs w:val="22"/>
        </w:rPr>
        <w:t>crescita economica e competitività</w:t>
      </w:r>
      <w:r>
        <w:rPr>
          <w:rFonts w:ascii="Arial" w:hAnsi="Arial" w:cs="Arial"/>
          <w:sz w:val="22"/>
          <w:szCs w:val="22"/>
        </w:rPr>
        <w:t xml:space="preserve">, anche ai fini della valutazione della </w:t>
      </w:r>
      <w:r w:rsidRPr="00DE14AB">
        <w:rPr>
          <w:rFonts w:ascii="Arial" w:hAnsi="Arial" w:cs="Arial"/>
          <w:i/>
          <w:sz w:val="22"/>
          <w:szCs w:val="22"/>
        </w:rPr>
        <w:t>performance</w:t>
      </w:r>
      <w:r>
        <w:rPr>
          <w:rFonts w:ascii="Arial" w:hAnsi="Arial" w:cs="Arial"/>
          <w:sz w:val="22"/>
          <w:szCs w:val="22"/>
        </w:rPr>
        <w:t xml:space="preserve"> economica nei </w:t>
      </w:r>
      <w:r w:rsidRPr="00CF7005">
        <w:rPr>
          <w:rFonts w:ascii="Arial" w:hAnsi="Arial" w:cs="Arial"/>
          <w:sz w:val="22"/>
          <w:szCs w:val="22"/>
        </w:rPr>
        <w:t>confronti internazionali. L’approccio utilizzato dall’Istat per stimarla consente di scomporre la dinamica dell’output nei contributi derivanti dai fattori produttivi primari (lavoro e capitale) e dalla produttività totale dei fattori</w:t>
      </w:r>
      <w:r w:rsidRPr="00CF7005">
        <w:rPr>
          <w:rStyle w:val="Rimandonotadichiusura"/>
          <w:rFonts w:ascii="Arial" w:hAnsi="Arial" w:cs="Arial"/>
          <w:sz w:val="22"/>
          <w:szCs w:val="22"/>
        </w:rPr>
        <w:endnoteReference w:id="1"/>
      </w:r>
      <w:r w:rsidRPr="00CF7005">
        <w:rPr>
          <w:rFonts w:ascii="Arial" w:hAnsi="Arial" w:cs="Arial"/>
          <w:sz w:val="22"/>
          <w:szCs w:val="22"/>
        </w:rPr>
        <w:t>.</w:t>
      </w:r>
    </w:p>
    <w:p w14:paraId="18852D08" w14:textId="77777777" w:rsidR="00453658" w:rsidRDefault="00453658" w:rsidP="00453658">
      <w:pPr>
        <w:autoSpaceDE w:val="0"/>
        <w:autoSpaceDN w:val="0"/>
        <w:adjustRightInd w:val="0"/>
        <w:spacing w:after="120"/>
        <w:ind w:right="141"/>
        <w:jc w:val="both"/>
        <w:rPr>
          <w:rFonts w:ascii="Arial" w:hAnsi="Arial" w:cs="Arial"/>
          <w:sz w:val="22"/>
          <w:szCs w:val="22"/>
        </w:rPr>
      </w:pPr>
      <w:r w:rsidRPr="00CF7005">
        <w:rPr>
          <w:rFonts w:ascii="Arial" w:hAnsi="Arial" w:cs="Arial"/>
          <w:sz w:val="22"/>
          <w:szCs w:val="22"/>
        </w:rPr>
        <w:t xml:space="preserve">La </w:t>
      </w:r>
      <w:r w:rsidR="00483D0B" w:rsidRPr="00483D0B">
        <w:rPr>
          <w:rFonts w:ascii="Arial" w:hAnsi="Arial" w:cs="Arial"/>
          <w:sz w:val="22"/>
          <w:szCs w:val="22"/>
        </w:rPr>
        <w:t>produttività del lavoro</w:t>
      </w:r>
      <w:r w:rsidRPr="00CF7005">
        <w:rPr>
          <w:rFonts w:ascii="Arial" w:hAnsi="Arial" w:cs="Arial"/>
          <w:sz w:val="22"/>
          <w:szCs w:val="22"/>
        </w:rPr>
        <w:t xml:space="preserve"> è data dal rapporto tra valore aggiunto</w:t>
      </w:r>
      <w:r w:rsidR="00483D0B" w:rsidRPr="00FB167F">
        <w:rPr>
          <w:vertAlign w:val="superscript"/>
        </w:rPr>
        <w:endnoteReference w:id="2"/>
      </w:r>
      <w:r w:rsidRPr="00CF7005">
        <w:rPr>
          <w:rFonts w:ascii="Arial" w:hAnsi="Arial" w:cs="Arial"/>
          <w:sz w:val="22"/>
          <w:szCs w:val="22"/>
        </w:rPr>
        <w:t xml:space="preserve"> e ore lavorate; la </w:t>
      </w:r>
      <w:r w:rsidR="00483D0B" w:rsidRPr="00483D0B">
        <w:rPr>
          <w:rFonts w:ascii="Arial" w:hAnsi="Arial" w:cs="Arial"/>
          <w:sz w:val="22"/>
          <w:szCs w:val="22"/>
        </w:rPr>
        <w:t>produttività del capitale è</w:t>
      </w:r>
      <w:r w:rsidRPr="00CF7005">
        <w:rPr>
          <w:rFonts w:ascii="Arial" w:hAnsi="Arial" w:cs="Arial"/>
          <w:sz w:val="22"/>
          <w:szCs w:val="22"/>
        </w:rPr>
        <w:t xml:space="preserve"> misurata dal rapporto tra valore aggiunto e input di capitale, calcolato come flusso di servizi produttivi forniti dallo </w:t>
      </w:r>
      <w:r w:rsidR="00483D0B" w:rsidRPr="00483D0B">
        <w:rPr>
          <w:rFonts w:ascii="Arial" w:hAnsi="Arial" w:cs="Arial"/>
          <w:i/>
          <w:iCs/>
          <w:sz w:val="22"/>
          <w:szCs w:val="22"/>
        </w:rPr>
        <w:t>stock</w:t>
      </w:r>
      <w:r w:rsidRPr="00CF7005">
        <w:rPr>
          <w:rFonts w:ascii="Arial" w:hAnsi="Arial" w:cs="Arial"/>
          <w:sz w:val="22"/>
          <w:szCs w:val="22"/>
        </w:rPr>
        <w:t xml:space="preserve"> esistente per le diverse tipologie di capitale</w:t>
      </w:r>
      <w:r w:rsidR="00483D0B" w:rsidRPr="00FB167F">
        <w:rPr>
          <w:vertAlign w:val="superscript"/>
        </w:rPr>
        <w:endnoteReference w:id="3"/>
      </w:r>
      <w:r w:rsidRPr="00CF7005">
        <w:rPr>
          <w:rFonts w:ascii="Arial" w:hAnsi="Arial" w:cs="Arial"/>
          <w:sz w:val="22"/>
          <w:szCs w:val="22"/>
        </w:rPr>
        <w:t xml:space="preserve">. La </w:t>
      </w:r>
      <w:r w:rsidR="00483D0B" w:rsidRPr="00483D0B">
        <w:rPr>
          <w:rFonts w:ascii="Arial" w:hAnsi="Arial" w:cs="Arial"/>
          <w:sz w:val="22"/>
          <w:szCs w:val="22"/>
        </w:rPr>
        <w:t>produttività totale dei fattori</w:t>
      </w:r>
      <w:r w:rsidRPr="00CF7005">
        <w:rPr>
          <w:rFonts w:ascii="Arial" w:hAnsi="Arial" w:cs="Arial"/>
          <w:sz w:val="22"/>
          <w:szCs w:val="22"/>
        </w:rPr>
        <w:t xml:space="preserve"> è calcolata come rapporto tra l’indice di volume del valore aggiunto e l’indice di volume dei fattori primari: misura gli effetti del progresso tecnico e di altri fattori propulsivi della</w:t>
      </w:r>
      <w:r w:rsidRPr="00E17C8C">
        <w:rPr>
          <w:rFonts w:ascii="Arial" w:hAnsi="Arial" w:cs="Arial"/>
          <w:sz w:val="22"/>
          <w:szCs w:val="22"/>
        </w:rPr>
        <w:t xml:space="preserve"> crescita, tra cui le innovazioni ne</w:t>
      </w:r>
      <w:r>
        <w:rPr>
          <w:rFonts w:ascii="Arial" w:hAnsi="Arial" w:cs="Arial"/>
          <w:sz w:val="22"/>
          <w:szCs w:val="22"/>
        </w:rPr>
        <w:t>i</w:t>
      </w:r>
      <w:r w:rsidRPr="00E17C8C">
        <w:rPr>
          <w:rFonts w:ascii="Arial" w:hAnsi="Arial" w:cs="Arial"/>
          <w:sz w:val="22"/>
          <w:szCs w:val="22"/>
        </w:rPr>
        <w:t xml:space="preserve"> process</w:t>
      </w:r>
      <w:r>
        <w:rPr>
          <w:rFonts w:ascii="Arial" w:hAnsi="Arial" w:cs="Arial"/>
          <w:sz w:val="22"/>
          <w:szCs w:val="22"/>
        </w:rPr>
        <w:t>i</w:t>
      </w:r>
      <w:r w:rsidRPr="00E17C8C">
        <w:rPr>
          <w:rFonts w:ascii="Arial" w:hAnsi="Arial" w:cs="Arial"/>
          <w:sz w:val="22"/>
          <w:szCs w:val="22"/>
        </w:rPr>
        <w:t xml:space="preserve"> produttiv</w:t>
      </w:r>
      <w:r>
        <w:rPr>
          <w:rFonts w:ascii="Arial" w:hAnsi="Arial" w:cs="Arial"/>
          <w:sz w:val="22"/>
          <w:szCs w:val="22"/>
        </w:rPr>
        <w:t>i</w:t>
      </w:r>
      <w:r w:rsidRPr="00E17C8C">
        <w:rPr>
          <w:rFonts w:ascii="Arial" w:hAnsi="Arial" w:cs="Arial"/>
          <w:sz w:val="22"/>
          <w:szCs w:val="22"/>
        </w:rPr>
        <w:t xml:space="preserve">, i miglioramenti nell’organizzazione del lavoro e delle tecniche manageriali, i miglioramenti nell’esperienza e nel livello di istruzione </w:t>
      </w:r>
      <w:r>
        <w:rPr>
          <w:rFonts w:ascii="Arial" w:hAnsi="Arial" w:cs="Arial"/>
          <w:sz w:val="22"/>
          <w:szCs w:val="22"/>
        </w:rPr>
        <w:t>della</w:t>
      </w:r>
      <w:r w:rsidRPr="00E17C8C">
        <w:rPr>
          <w:rFonts w:ascii="Arial" w:hAnsi="Arial" w:cs="Arial"/>
          <w:sz w:val="22"/>
          <w:szCs w:val="22"/>
        </w:rPr>
        <w:t xml:space="preserve"> forza lavoro</w:t>
      </w:r>
      <w:r>
        <w:rPr>
          <w:rFonts w:ascii="Arial" w:hAnsi="Arial" w:cs="Arial"/>
          <w:sz w:val="22"/>
          <w:szCs w:val="22"/>
        </w:rPr>
        <w:t>.</w:t>
      </w:r>
      <w:r w:rsidRPr="00E17C8C">
        <w:rPr>
          <w:rFonts w:ascii="Arial" w:hAnsi="Arial" w:cs="Arial"/>
          <w:sz w:val="22"/>
          <w:szCs w:val="22"/>
        </w:rPr>
        <w:t xml:space="preserve"> </w:t>
      </w:r>
    </w:p>
    <w:p w14:paraId="481D3B30" w14:textId="77777777" w:rsidR="00786369" w:rsidRDefault="00453658" w:rsidP="00453658">
      <w:pPr>
        <w:autoSpaceDE w:val="0"/>
        <w:autoSpaceDN w:val="0"/>
        <w:adjustRightInd w:val="0"/>
        <w:spacing w:after="120"/>
        <w:jc w:val="both"/>
        <w:rPr>
          <w:rFonts w:ascii="Arial" w:hAnsi="Arial" w:cs="Arial"/>
          <w:sz w:val="22"/>
          <w:szCs w:val="22"/>
        </w:rPr>
      </w:pPr>
      <w:r w:rsidRPr="00E17C8C">
        <w:rPr>
          <w:rFonts w:ascii="Arial" w:hAnsi="Arial" w:cs="Arial"/>
          <w:sz w:val="22"/>
          <w:szCs w:val="22"/>
        </w:rPr>
        <w:t>L</w:t>
      </w:r>
      <w:r>
        <w:rPr>
          <w:rFonts w:ascii="Arial" w:hAnsi="Arial" w:cs="Arial"/>
          <w:sz w:val="22"/>
          <w:szCs w:val="22"/>
        </w:rPr>
        <w:t>e misure di</w:t>
      </w:r>
      <w:r w:rsidRPr="00E17C8C">
        <w:rPr>
          <w:rFonts w:ascii="Arial" w:hAnsi="Arial" w:cs="Arial"/>
          <w:sz w:val="22"/>
          <w:szCs w:val="22"/>
        </w:rPr>
        <w:t xml:space="preserve"> produttività </w:t>
      </w:r>
      <w:r>
        <w:rPr>
          <w:rFonts w:ascii="Arial" w:hAnsi="Arial" w:cs="Arial"/>
          <w:sz w:val="22"/>
          <w:szCs w:val="22"/>
        </w:rPr>
        <w:t>sono</w:t>
      </w:r>
      <w:r w:rsidRPr="00E17C8C">
        <w:rPr>
          <w:rFonts w:ascii="Arial" w:hAnsi="Arial" w:cs="Arial"/>
          <w:sz w:val="22"/>
          <w:szCs w:val="22"/>
        </w:rPr>
        <w:t xml:space="preserve"> calcolat</w:t>
      </w:r>
      <w:r>
        <w:rPr>
          <w:rFonts w:ascii="Arial" w:hAnsi="Arial" w:cs="Arial"/>
          <w:sz w:val="22"/>
          <w:szCs w:val="22"/>
        </w:rPr>
        <w:t>e</w:t>
      </w:r>
      <w:r w:rsidRPr="00E17C8C">
        <w:rPr>
          <w:rFonts w:ascii="Arial" w:hAnsi="Arial" w:cs="Arial"/>
          <w:sz w:val="22"/>
          <w:szCs w:val="22"/>
        </w:rPr>
        <w:t xml:space="preserve"> a partire dai dati di contabilità nazionale, disaggregati per </w:t>
      </w:r>
      <w:r>
        <w:rPr>
          <w:rFonts w:ascii="Arial" w:hAnsi="Arial" w:cs="Arial"/>
          <w:sz w:val="22"/>
          <w:szCs w:val="22"/>
        </w:rPr>
        <w:t xml:space="preserve">tipo di </w:t>
      </w:r>
      <w:r w:rsidRPr="00E17C8C">
        <w:rPr>
          <w:rFonts w:ascii="Arial" w:hAnsi="Arial" w:cs="Arial"/>
          <w:sz w:val="22"/>
          <w:szCs w:val="22"/>
        </w:rPr>
        <w:t>attività economica. Sono escluse le attività di locazione di beni immobili, le attività del personale domestico, le attività economiche appartenenti al settore istituzionale delle Amministrazioni Pubbliche e quelle delle organizzazioni e degli organismi internazionali</w:t>
      </w:r>
      <w:r>
        <w:rPr>
          <w:rFonts w:ascii="Arial" w:hAnsi="Arial" w:cs="Arial"/>
          <w:sz w:val="22"/>
          <w:szCs w:val="22"/>
        </w:rPr>
        <w:t xml:space="preserve">. </w:t>
      </w:r>
    </w:p>
    <w:p w14:paraId="24746B85" w14:textId="77777777" w:rsidR="00453658" w:rsidRDefault="00453658" w:rsidP="00453658">
      <w:pPr>
        <w:autoSpaceDE w:val="0"/>
        <w:autoSpaceDN w:val="0"/>
        <w:adjustRightInd w:val="0"/>
        <w:spacing w:after="120"/>
        <w:jc w:val="both"/>
        <w:rPr>
          <w:rFonts w:ascii="Arial" w:hAnsi="Arial" w:cs="Arial"/>
          <w:sz w:val="22"/>
          <w:szCs w:val="22"/>
        </w:rPr>
      </w:pPr>
      <w:r>
        <w:rPr>
          <w:rFonts w:ascii="Arial" w:hAnsi="Arial" w:cs="Arial"/>
          <w:sz w:val="22"/>
          <w:szCs w:val="22"/>
        </w:rPr>
        <w:t>Nel 2020,</w:t>
      </w:r>
      <w:r w:rsidRPr="004E039B">
        <w:rPr>
          <w:rFonts w:ascii="Arial" w:hAnsi="Arial" w:cs="Arial"/>
          <w:sz w:val="22"/>
          <w:szCs w:val="22"/>
        </w:rPr>
        <w:t xml:space="preserve"> l’insieme di settori così definito rappresenta circa </w:t>
      </w:r>
      <w:r w:rsidRPr="00946265">
        <w:rPr>
          <w:rFonts w:ascii="Arial" w:hAnsi="Arial" w:cs="Arial"/>
          <w:sz w:val="22"/>
          <w:szCs w:val="22"/>
        </w:rPr>
        <w:t>il 71% del</w:t>
      </w:r>
      <w:r w:rsidRPr="004E039B">
        <w:rPr>
          <w:rFonts w:ascii="Arial" w:hAnsi="Arial" w:cs="Arial"/>
          <w:sz w:val="22"/>
          <w:szCs w:val="22"/>
        </w:rPr>
        <w:t xml:space="preserve"> valore aggiunto complessivo e </w:t>
      </w:r>
      <w:r w:rsidRPr="00E435E4">
        <w:rPr>
          <w:rFonts w:ascii="Arial" w:hAnsi="Arial" w:cs="Arial"/>
          <w:sz w:val="22"/>
          <w:szCs w:val="22"/>
        </w:rPr>
        <w:t>l’83%</w:t>
      </w:r>
      <w:r w:rsidRPr="004E039B">
        <w:rPr>
          <w:rFonts w:ascii="Arial" w:hAnsi="Arial" w:cs="Arial"/>
          <w:sz w:val="22"/>
          <w:szCs w:val="22"/>
        </w:rPr>
        <w:t xml:space="preserve"> del totale delle ore lavorate.</w:t>
      </w:r>
      <w:r w:rsidR="00DE2FB0">
        <w:rPr>
          <w:rFonts w:ascii="Arial" w:hAnsi="Arial" w:cs="Arial"/>
          <w:sz w:val="22"/>
          <w:szCs w:val="22"/>
        </w:rPr>
        <w:t xml:space="preserve"> </w:t>
      </w:r>
      <w:r w:rsidRPr="003A64FA">
        <w:rPr>
          <w:rFonts w:ascii="Arial" w:hAnsi="Arial" w:cs="Arial"/>
          <w:sz w:val="22"/>
          <w:szCs w:val="22"/>
        </w:rPr>
        <w:t xml:space="preserve">In questo report si presentano stime </w:t>
      </w:r>
      <w:r>
        <w:rPr>
          <w:rFonts w:ascii="Arial" w:hAnsi="Arial" w:cs="Arial"/>
          <w:sz w:val="22"/>
          <w:szCs w:val="22"/>
        </w:rPr>
        <w:t>coerenti</w:t>
      </w:r>
      <w:r w:rsidRPr="003A64FA">
        <w:rPr>
          <w:rFonts w:ascii="Arial" w:hAnsi="Arial" w:cs="Arial"/>
          <w:sz w:val="22"/>
          <w:szCs w:val="22"/>
        </w:rPr>
        <w:t xml:space="preserve"> con le serie </w:t>
      </w:r>
      <w:r w:rsidR="00DE2FB0">
        <w:rPr>
          <w:rFonts w:ascii="Arial" w:hAnsi="Arial" w:cs="Arial"/>
          <w:sz w:val="22"/>
          <w:szCs w:val="22"/>
        </w:rPr>
        <w:t xml:space="preserve">dei Conti nazionali </w:t>
      </w:r>
      <w:r w:rsidRPr="003A64FA">
        <w:rPr>
          <w:rFonts w:ascii="Arial" w:hAnsi="Arial" w:cs="Arial"/>
          <w:sz w:val="22"/>
          <w:szCs w:val="22"/>
        </w:rPr>
        <w:t xml:space="preserve">diffuse </w:t>
      </w:r>
      <w:r>
        <w:rPr>
          <w:rFonts w:ascii="Arial" w:hAnsi="Arial" w:cs="Arial"/>
          <w:sz w:val="22"/>
          <w:szCs w:val="22"/>
        </w:rPr>
        <w:t>a</w:t>
      </w:r>
      <w:r w:rsidRPr="003A64FA">
        <w:rPr>
          <w:rFonts w:ascii="Arial" w:hAnsi="Arial" w:cs="Arial"/>
          <w:sz w:val="22"/>
          <w:szCs w:val="22"/>
        </w:rPr>
        <w:t xml:space="preserve"> settembre </w:t>
      </w:r>
      <w:r>
        <w:rPr>
          <w:rFonts w:ascii="Arial" w:hAnsi="Arial" w:cs="Arial"/>
          <w:sz w:val="22"/>
          <w:szCs w:val="22"/>
        </w:rPr>
        <w:t>2021</w:t>
      </w:r>
      <w:r w:rsidRPr="003A64FA">
        <w:rPr>
          <w:rFonts w:ascii="Arial" w:hAnsi="Arial" w:cs="Arial"/>
          <w:sz w:val="22"/>
          <w:szCs w:val="22"/>
        </w:rPr>
        <w:t>.</w:t>
      </w:r>
    </w:p>
    <w:p w14:paraId="214D80F2" w14:textId="77777777" w:rsidR="00453658" w:rsidRDefault="00453658" w:rsidP="00453658">
      <w:pPr>
        <w:autoSpaceDE w:val="0"/>
        <w:autoSpaceDN w:val="0"/>
        <w:adjustRightInd w:val="0"/>
        <w:spacing w:after="120"/>
        <w:jc w:val="both"/>
        <w:rPr>
          <w:rFonts w:ascii="Arial" w:hAnsi="Arial" w:cs="Arial"/>
          <w:sz w:val="22"/>
          <w:szCs w:val="22"/>
        </w:rPr>
      </w:pPr>
      <w:r>
        <w:rPr>
          <w:rFonts w:ascii="Arial" w:hAnsi="Arial" w:cs="Arial"/>
          <w:sz w:val="22"/>
          <w:szCs w:val="22"/>
        </w:rPr>
        <w:t>L</w:t>
      </w:r>
      <w:r w:rsidRPr="00CE53AE">
        <w:rPr>
          <w:rFonts w:ascii="Arial" w:hAnsi="Arial" w:cs="Arial"/>
          <w:sz w:val="22"/>
          <w:szCs w:val="22"/>
        </w:rPr>
        <w:t xml:space="preserve">e misure di produttività </w:t>
      </w:r>
      <w:r>
        <w:rPr>
          <w:rFonts w:ascii="Arial" w:hAnsi="Arial" w:cs="Arial"/>
          <w:sz w:val="22"/>
          <w:szCs w:val="22"/>
        </w:rPr>
        <w:t xml:space="preserve">sono </w:t>
      </w:r>
      <w:r w:rsidR="00643153">
        <w:rPr>
          <w:rFonts w:ascii="Arial" w:hAnsi="Arial" w:cs="Arial"/>
          <w:sz w:val="22"/>
          <w:szCs w:val="22"/>
        </w:rPr>
        <w:t>riferite</w:t>
      </w:r>
      <w:r>
        <w:rPr>
          <w:rFonts w:ascii="Arial" w:hAnsi="Arial" w:cs="Arial"/>
          <w:sz w:val="22"/>
          <w:szCs w:val="22"/>
        </w:rPr>
        <w:t xml:space="preserve"> agli anni 1995-2020</w:t>
      </w:r>
      <w:r w:rsidRPr="00CE53AE">
        <w:rPr>
          <w:rFonts w:ascii="Arial" w:hAnsi="Arial" w:cs="Arial"/>
          <w:sz w:val="22"/>
          <w:szCs w:val="22"/>
        </w:rPr>
        <w:t xml:space="preserve"> e</w:t>
      </w:r>
      <w:r>
        <w:rPr>
          <w:rFonts w:ascii="Arial" w:hAnsi="Arial" w:cs="Arial"/>
          <w:sz w:val="22"/>
          <w:szCs w:val="22"/>
        </w:rPr>
        <w:t xml:space="preserve">, laddove </w:t>
      </w:r>
      <w:r w:rsidR="00643153">
        <w:rPr>
          <w:rFonts w:ascii="Arial" w:hAnsi="Arial" w:cs="Arial"/>
          <w:sz w:val="22"/>
          <w:szCs w:val="22"/>
        </w:rPr>
        <w:t>significativ</w:t>
      </w:r>
      <w:r w:rsidR="00DE2FB0">
        <w:rPr>
          <w:rFonts w:ascii="Arial" w:hAnsi="Arial" w:cs="Arial"/>
          <w:sz w:val="22"/>
          <w:szCs w:val="22"/>
        </w:rPr>
        <w:t>e</w:t>
      </w:r>
      <w:r>
        <w:rPr>
          <w:rFonts w:ascii="Arial" w:hAnsi="Arial" w:cs="Arial"/>
          <w:sz w:val="22"/>
          <w:szCs w:val="22"/>
        </w:rPr>
        <w:t>,</w:t>
      </w:r>
      <w:r w:rsidR="0016067A">
        <w:rPr>
          <w:rFonts w:ascii="Arial" w:hAnsi="Arial" w:cs="Arial"/>
          <w:sz w:val="22"/>
          <w:szCs w:val="22"/>
        </w:rPr>
        <w:t xml:space="preserve"> </w:t>
      </w:r>
      <w:r w:rsidR="00643153">
        <w:rPr>
          <w:rFonts w:ascii="Arial" w:hAnsi="Arial" w:cs="Arial"/>
          <w:sz w:val="22"/>
          <w:szCs w:val="22"/>
        </w:rPr>
        <w:t>a</w:t>
      </w:r>
      <w:r w:rsidR="00643153" w:rsidRPr="00CE53AE">
        <w:rPr>
          <w:rFonts w:ascii="Arial" w:hAnsi="Arial" w:cs="Arial"/>
          <w:sz w:val="22"/>
          <w:szCs w:val="22"/>
        </w:rPr>
        <w:t xml:space="preserve"> </w:t>
      </w:r>
      <w:proofErr w:type="gramStart"/>
      <w:r w:rsidRPr="00CE53AE">
        <w:rPr>
          <w:rFonts w:ascii="Arial" w:hAnsi="Arial" w:cs="Arial"/>
          <w:sz w:val="22"/>
          <w:szCs w:val="22"/>
        </w:rPr>
        <w:t>sotto</w:t>
      </w:r>
      <w:r>
        <w:rPr>
          <w:rFonts w:ascii="Arial" w:hAnsi="Arial" w:cs="Arial"/>
          <w:sz w:val="22"/>
          <w:szCs w:val="22"/>
        </w:rPr>
        <w:t xml:space="preserve"> </w:t>
      </w:r>
      <w:r w:rsidRPr="00CE53AE">
        <w:rPr>
          <w:rFonts w:ascii="Arial" w:hAnsi="Arial" w:cs="Arial"/>
          <w:sz w:val="22"/>
          <w:szCs w:val="22"/>
        </w:rPr>
        <w:t>periodi</w:t>
      </w:r>
      <w:proofErr w:type="gramEnd"/>
      <w:r w:rsidRPr="00CE53AE">
        <w:rPr>
          <w:rFonts w:ascii="Arial" w:hAnsi="Arial" w:cs="Arial"/>
          <w:sz w:val="22"/>
          <w:szCs w:val="22"/>
        </w:rPr>
        <w:t xml:space="preserve"> </w:t>
      </w:r>
      <w:r>
        <w:rPr>
          <w:rFonts w:ascii="Arial" w:hAnsi="Arial" w:cs="Arial"/>
          <w:sz w:val="22"/>
          <w:szCs w:val="22"/>
        </w:rPr>
        <w:t xml:space="preserve">caratterizzati da dinamiche </w:t>
      </w:r>
      <w:r w:rsidRPr="00CE53AE">
        <w:rPr>
          <w:rFonts w:ascii="Arial" w:hAnsi="Arial" w:cs="Arial"/>
          <w:sz w:val="22"/>
          <w:szCs w:val="22"/>
        </w:rPr>
        <w:t>di espansione e</w:t>
      </w:r>
      <w:r>
        <w:rPr>
          <w:rFonts w:ascii="Arial" w:hAnsi="Arial" w:cs="Arial"/>
          <w:sz w:val="22"/>
          <w:szCs w:val="22"/>
        </w:rPr>
        <w:t>/o</w:t>
      </w:r>
      <w:r w:rsidRPr="00CE53AE">
        <w:rPr>
          <w:rFonts w:ascii="Arial" w:hAnsi="Arial" w:cs="Arial"/>
          <w:sz w:val="22"/>
          <w:szCs w:val="22"/>
        </w:rPr>
        <w:t xml:space="preserve"> contrazione dell’attività economica</w:t>
      </w:r>
      <w:r>
        <w:rPr>
          <w:rFonts w:ascii="Arial" w:hAnsi="Arial" w:cs="Arial"/>
          <w:sz w:val="22"/>
          <w:szCs w:val="22"/>
        </w:rPr>
        <w:t>.</w:t>
      </w:r>
      <w:r w:rsidRPr="00CE53AE">
        <w:rPr>
          <w:rFonts w:ascii="Arial" w:hAnsi="Arial" w:cs="Arial"/>
          <w:sz w:val="22"/>
          <w:szCs w:val="22"/>
        </w:rPr>
        <w:t xml:space="preserve"> I risultati relativi al</w:t>
      </w:r>
      <w:r>
        <w:rPr>
          <w:rFonts w:ascii="Arial" w:hAnsi="Arial" w:cs="Arial"/>
          <w:sz w:val="22"/>
          <w:szCs w:val="22"/>
        </w:rPr>
        <w:t xml:space="preserve"> 2020</w:t>
      </w:r>
      <w:r w:rsidRPr="00CE53AE">
        <w:rPr>
          <w:rFonts w:ascii="Arial" w:hAnsi="Arial" w:cs="Arial"/>
          <w:sz w:val="22"/>
          <w:szCs w:val="22"/>
        </w:rPr>
        <w:t xml:space="preserve"> sono preliminari in quanto basati su fonti informative ancora parziali</w:t>
      </w:r>
      <w:r>
        <w:rPr>
          <w:rFonts w:ascii="Arial" w:hAnsi="Arial" w:cs="Arial"/>
          <w:sz w:val="22"/>
          <w:szCs w:val="22"/>
        </w:rPr>
        <w:t xml:space="preserve"> </w:t>
      </w:r>
      <w:r w:rsidRPr="00DE14AB">
        <w:rPr>
          <w:rFonts w:ascii="Arial" w:hAnsi="Arial" w:cs="Arial"/>
          <w:sz w:val="22"/>
          <w:szCs w:val="22"/>
        </w:rPr>
        <w:t>e, naturalmente, risentono degli effetti generati dall’emergenza sanitaria.</w:t>
      </w:r>
    </w:p>
    <w:p w14:paraId="35587D29" w14:textId="77777777" w:rsidR="00A2532B" w:rsidRDefault="00A2532B" w:rsidP="00A2532B">
      <w:pPr>
        <w:autoSpaceDE w:val="0"/>
        <w:autoSpaceDN w:val="0"/>
        <w:adjustRightInd w:val="0"/>
        <w:spacing w:after="120"/>
        <w:jc w:val="both"/>
        <w:rPr>
          <w:rFonts w:ascii="Arial" w:hAnsi="Arial" w:cs="Arial"/>
          <w:sz w:val="22"/>
          <w:szCs w:val="22"/>
        </w:rPr>
      </w:pPr>
    </w:p>
    <w:p w14:paraId="1EC65F0B" w14:textId="77777777" w:rsidR="00E17C8C" w:rsidRPr="00B748B0" w:rsidRDefault="00E17C8C" w:rsidP="00A2532B">
      <w:pPr>
        <w:autoSpaceDE w:val="0"/>
        <w:autoSpaceDN w:val="0"/>
        <w:adjustRightInd w:val="0"/>
        <w:spacing w:after="120"/>
        <w:jc w:val="both"/>
        <w:rPr>
          <w:rFonts w:ascii="Arial" w:hAnsi="Arial" w:cs="Arial"/>
          <w:sz w:val="22"/>
          <w:szCs w:val="22"/>
        </w:rPr>
      </w:pPr>
    </w:p>
    <w:p w14:paraId="3B38F7F9" w14:textId="77777777" w:rsidR="00A76B74" w:rsidRDefault="00A76B74" w:rsidP="00A2532B">
      <w:pPr>
        <w:autoSpaceDE w:val="0"/>
        <w:autoSpaceDN w:val="0"/>
        <w:adjustRightInd w:val="0"/>
        <w:spacing w:after="120"/>
        <w:jc w:val="both"/>
        <w:rPr>
          <w:rFonts w:ascii="Arial" w:hAnsi="Arial" w:cs="Arial"/>
          <w:sz w:val="22"/>
          <w:szCs w:val="22"/>
        </w:rPr>
      </w:pPr>
    </w:p>
    <w:p w14:paraId="138DD02B" w14:textId="77777777" w:rsidR="00643153" w:rsidRDefault="00643153" w:rsidP="00A2532B">
      <w:pPr>
        <w:autoSpaceDE w:val="0"/>
        <w:autoSpaceDN w:val="0"/>
        <w:adjustRightInd w:val="0"/>
        <w:spacing w:after="120"/>
        <w:jc w:val="both"/>
        <w:rPr>
          <w:rFonts w:ascii="Arial" w:hAnsi="Arial" w:cs="Arial"/>
          <w:sz w:val="22"/>
          <w:szCs w:val="22"/>
        </w:rPr>
      </w:pPr>
    </w:p>
    <w:p w14:paraId="4277CAC0" w14:textId="77777777" w:rsidR="00643153" w:rsidRDefault="00643153" w:rsidP="00A2532B">
      <w:pPr>
        <w:autoSpaceDE w:val="0"/>
        <w:autoSpaceDN w:val="0"/>
        <w:adjustRightInd w:val="0"/>
        <w:spacing w:after="120"/>
        <w:jc w:val="both"/>
        <w:rPr>
          <w:rFonts w:ascii="Arial" w:hAnsi="Arial" w:cs="Arial"/>
          <w:sz w:val="22"/>
          <w:szCs w:val="22"/>
        </w:rPr>
      </w:pPr>
    </w:p>
    <w:p w14:paraId="08AA0C62" w14:textId="77777777" w:rsidR="00643153" w:rsidRDefault="00643153" w:rsidP="00A2532B">
      <w:pPr>
        <w:autoSpaceDE w:val="0"/>
        <w:autoSpaceDN w:val="0"/>
        <w:adjustRightInd w:val="0"/>
        <w:spacing w:after="120"/>
        <w:jc w:val="both"/>
        <w:rPr>
          <w:rFonts w:ascii="Arial" w:hAnsi="Arial" w:cs="Arial"/>
          <w:sz w:val="22"/>
          <w:szCs w:val="22"/>
        </w:rPr>
      </w:pPr>
    </w:p>
    <w:p w14:paraId="7EA9BCE7" w14:textId="77777777" w:rsidR="00996C3D" w:rsidRDefault="00996C3D" w:rsidP="00A2532B">
      <w:pPr>
        <w:autoSpaceDE w:val="0"/>
        <w:autoSpaceDN w:val="0"/>
        <w:adjustRightInd w:val="0"/>
        <w:spacing w:after="120"/>
        <w:jc w:val="both"/>
        <w:rPr>
          <w:rFonts w:ascii="Arial" w:hAnsi="Arial" w:cs="Arial"/>
          <w:sz w:val="22"/>
          <w:szCs w:val="22"/>
        </w:rPr>
      </w:pPr>
    </w:p>
    <w:p w14:paraId="50C0D7B0" w14:textId="77777777" w:rsidR="002626E4" w:rsidRPr="005E06A4" w:rsidRDefault="002626E4" w:rsidP="00A2532B">
      <w:pPr>
        <w:autoSpaceDE w:val="0"/>
        <w:autoSpaceDN w:val="0"/>
        <w:adjustRightInd w:val="0"/>
        <w:spacing w:after="120"/>
        <w:jc w:val="both"/>
        <w:rPr>
          <w:rFonts w:ascii="Arial" w:hAnsi="Arial" w:cs="Arial"/>
          <w:sz w:val="28"/>
          <w:szCs w:val="20"/>
        </w:rPr>
      </w:pPr>
    </w:p>
    <w:p w14:paraId="111F58D3" w14:textId="77777777" w:rsidR="000C7172" w:rsidRPr="00BF0D8F" w:rsidRDefault="000C7172" w:rsidP="00643153">
      <w:pPr>
        <w:spacing w:before="40"/>
        <w:rPr>
          <w:rFonts w:ascii="Arial Black" w:hAnsi="Arial Black" w:cs="Arial"/>
          <w:iCs/>
          <w:noProof/>
          <w:color w:val="1F497D" w:themeColor="text2"/>
          <w:sz w:val="22"/>
          <w:szCs w:val="22"/>
        </w:rPr>
      </w:pPr>
      <w:r w:rsidRPr="00BF0D8F">
        <w:rPr>
          <w:rFonts w:ascii="Arial Black" w:hAnsi="Arial Black" w:cs="Arial"/>
          <w:iCs/>
          <w:noProof/>
          <w:color w:val="1F497D" w:themeColor="text2"/>
          <w:sz w:val="22"/>
          <w:szCs w:val="22"/>
        </w:rPr>
        <w:t xml:space="preserve">MISURE DI PRODUTTIVITÀ, I NUMERI </w:t>
      </w:r>
      <w:r w:rsidR="00996C3D">
        <w:rPr>
          <w:rFonts w:ascii="Arial Black" w:hAnsi="Arial Black" w:cs="Arial"/>
          <w:iCs/>
          <w:noProof/>
          <w:color w:val="1F497D" w:themeColor="text2"/>
          <w:sz w:val="22"/>
          <w:szCs w:val="22"/>
        </w:rPr>
        <w:t>CHIAVE</w:t>
      </w:r>
    </w:p>
    <w:p w14:paraId="7A9F60FA" w14:textId="77777777" w:rsidR="00DE2FB0" w:rsidRDefault="000C7172">
      <w:pPr>
        <w:spacing w:after="120"/>
        <w:rPr>
          <w:rFonts w:ascii="Arial Narrow" w:hAnsi="Arial Narrow" w:cs="Arial"/>
          <w:color w:val="1F497D" w:themeColor="text2"/>
          <w:sz w:val="22"/>
          <w:szCs w:val="22"/>
        </w:rPr>
      </w:pPr>
      <w:r>
        <w:rPr>
          <w:rFonts w:ascii="Arial Narrow" w:hAnsi="Arial Narrow" w:cs="Arial"/>
          <w:color w:val="1F497D" w:themeColor="text2"/>
          <w:sz w:val="22"/>
          <w:szCs w:val="22"/>
        </w:rPr>
        <w:t>Tassi di variazione medi annui, totale economia (a)</w:t>
      </w:r>
    </w:p>
    <w:tbl>
      <w:tblPr>
        <w:tblStyle w:val="Grigliatabella"/>
        <w:tblW w:w="5001" w:type="pct"/>
        <w:tblBorders>
          <w:top w:val="single" w:sz="4" w:space="0" w:color="595959" w:themeColor="text1" w:themeTint="A6"/>
          <w:left w:val="none" w:sz="0" w:space="0" w:color="auto"/>
          <w:bottom w:val="single" w:sz="4" w:space="0" w:color="595959" w:themeColor="text1" w:themeTint="A6"/>
          <w:right w:val="none" w:sz="0" w:space="0" w:color="auto"/>
          <w:insideH w:val="single" w:sz="4" w:space="0" w:color="595959" w:themeColor="text1" w:themeTint="A6"/>
          <w:insideV w:val="none" w:sz="0"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993"/>
        <w:gridCol w:w="993"/>
        <w:gridCol w:w="990"/>
        <w:gridCol w:w="992"/>
        <w:gridCol w:w="1705"/>
        <w:gridCol w:w="1417"/>
        <w:gridCol w:w="1417"/>
        <w:gridCol w:w="1417"/>
      </w:tblGrid>
      <w:tr w:rsidR="00453658" w:rsidRPr="00D7473F" w14:paraId="65D3D838" w14:textId="77777777" w:rsidTr="00643153">
        <w:trPr>
          <w:trHeight w:val="340"/>
        </w:trPr>
        <w:tc>
          <w:tcPr>
            <w:tcW w:w="500" w:type="pct"/>
            <w:vMerge w:val="restart"/>
            <w:tcBorders>
              <w:top w:val="single" w:sz="4" w:space="0" w:color="FFFFFF" w:themeColor="background1"/>
            </w:tcBorders>
            <w:shd w:val="clear" w:color="auto" w:fill="D9D9D9" w:themeFill="background1" w:themeFillShade="D9"/>
            <w:tcMar>
              <w:top w:w="113" w:type="dxa"/>
              <w:bottom w:w="113" w:type="dxa"/>
            </w:tcMar>
            <w:vAlign w:val="center"/>
          </w:tcPr>
          <w:p w14:paraId="4F585E37" w14:textId="77777777" w:rsidR="00453658" w:rsidRPr="00391E06" w:rsidRDefault="00453658" w:rsidP="00996C3D">
            <w:pPr>
              <w:spacing w:before="40" w:after="20"/>
              <w:jc w:val="both"/>
              <w:rPr>
                <w:rFonts w:ascii="Arial Narrow" w:hAnsi="Arial Narrow" w:cs="Arial"/>
                <w:b/>
                <w:color w:val="1F497D" w:themeColor="text2"/>
                <w:sz w:val="18"/>
                <w:szCs w:val="18"/>
              </w:rPr>
            </w:pPr>
            <w:r w:rsidRPr="00391E06">
              <w:rPr>
                <w:rFonts w:ascii="Arial Narrow" w:hAnsi="Arial Narrow" w:cs="Arial"/>
                <w:b/>
                <w:color w:val="1F497D" w:themeColor="text2"/>
                <w:sz w:val="18"/>
                <w:szCs w:val="18"/>
              </w:rPr>
              <w:t>ANNI</w:t>
            </w:r>
          </w:p>
        </w:tc>
        <w:tc>
          <w:tcPr>
            <w:tcW w:w="500" w:type="pct"/>
            <w:vMerge w:val="restart"/>
            <w:tcBorders>
              <w:top w:val="single" w:sz="4" w:space="0" w:color="FFFFFF" w:themeColor="background1"/>
            </w:tcBorders>
            <w:shd w:val="clear" w:color="auto" w:fill="1F497D" w:themeFill="text2"/>
            <w:tcMar>
              <w:top w:w="113" w:type="dxa"/>
              <w:bottom w:w="113" w:type="dxa"/>
            </w:tcMar>
            <w:vAlign w:val="center"/>
          </w:tcPr>
          <w:p w14:paraId="0C234684" w14:textId="77777777" w:rsidR="00DE2FB0" w:rsidRDefault="00453658">
            <w:pPr>
              <w:spacing w:before="40" w:after="20" w:line="200" w:lineRule="exact"/>
              <w:jc w:val="center"/>
              <w:rPr>
                <w:rFonts w:ascii="Arial Narrow" w:hAnsi="Arial Narrow" w:cs="Arial"/>
                <w:color w:val="FFFFFF" w:themeColor="background1"/>
                <w:sz w:val="18"/>
                <w:szCs w:val="18"/>
              </w:rPr>
            </w:pPr>
            <w:r w:rsidRPr="001569C5">
              <w:rPr>
                <w:rFonts w:ascii="Arial Narrow" w:hAnsi="Arial Narrow" w:cs="Arial"/>
                <w:b/>
                <w:color w:val="FFFFFF" w:themeColor="background1"/>
                <w:sz w:val="18"/>
                <w:szCs w:val="18"/>
              </w:rPr>
              <w:t>Valore</w:t>
            </w:r>
            <w:r>
              <w:rPr>
                <w:rFonts w:ascii="Arial Narrow" w:hAnsi="Arial Narrow" w:cs="Arial"/>
                <w:b/>
                <w:color w:val="FFFFFF" w:themeColor="background1"/>
                <w:sz w:val="18"/>
                <w:szCs w:val="18"/>
              </w:rPr>
              <w:t xml:space="preserve"> </w:t>
            </w:r>
            <w:r w:rsidRPr="001569C5">
              <w:rPr>
                <w:rFonts w:ascii="Arial Narrow" w:hAnsi="Arial Narrow" w:cs="Arial"/>
                <w:b/>
                <w:color w:val="FFFFFF" w:themeColor="background1"/>
                <w:sz w:val="18"/>
                <w:szCs w:val="18"/>
              </w:rPr>
              <w:t>aggiunto</w:t>
            </w:r>
          </w:p>
        </w:tc>
        <w:tc>
          <w:tcPr>
            <w:tcW w:w="1858" w:type="pct"/>
            <w:gridSpan w:val="3"/>
            <w:tcBorders>
              <w:top w:val="single" w:sz="4" w:space="0" w:color="FFFFFF" w:themeColor="background1"/>
              <w:bottom w:val="single" w:sz="4" w:space="0" w:color="FFFFFF" w:themeColor="background1"/>
            </w:tcBorders>
            <w:shd w:val="clear" w:color="auto" w:fill="1F497D" w:themeFill="text2"/>
          </w:tcPr>
          <w:p w14:paraId="4054E3F6" w14:textId="77777777" w:rsidR="00DE2FB0" w:rsidRDefault="00453658">
            <w:pPr>
              <w:spacing w:before="40" w:after="20" w:line="200" w:lineRule="exact"/>
              <w:ind w:right="-70"/>
              <w:jc w:val="center"/>
              <w:rPr>
                <w:rFonts w:ascii="Arial Narrow" w:hAnsi="Arial Narrow" w:cs="Arial"/>
                <w:b/>
                <w:color w:val="FFFFFF" w:themeColor="background1"/>
                <w:sz w:val="18"/>
                <w:szCs w:val="18"/>
              </w:rPr>
            </w:pPr>
            <w:r w:rsidRPr="001569C5">
              <w:rPr>
                <w:rFonts w:ascii="Arial Narrow" w:hAnsi="Arial Narrow" w:cs="Arial"/>
                <w:b/>
                <w:color w:val="FFFFFF" w:themeColor="background1"/>
                <w:sz w:val="18"/>
                <w:szCs w:val="18"/>
              </w:rPr>
              <w:t>Input</w:t>
            </w:r>
            <w:r>
              <w:rPr>
                <w:rFonts w:ascii="Arial Narrow" w:hAnsi="Arial Narrow" w:cs="Arial"/>
                <w:b/>
                <w:color w:val="FFFFFF" w:themeColor="background1"/>
                <w:sz w:val="18"/>
                <w:szCs w:val="18"/>
              </w:rPr>
              <w:t xml:space="preserve"> </w:t>
            </w:r>
            <w:r w:rsidRPr="001569C5">
              <w:rPr>
                <w:rFonts w:ascii="Arial Narrow" w:hAnsi="Arial Narrow" w:cs="Arial"/>
                <w:b/>
                <w:color w:val="FFFFFF" w:themeColor="background1"/>
                <w:sz w:val="18"/>
                <w:szCs w:val="18"/>
              </w:rPr>
              <w:t>produttivi</w:t>
            </w:r>
          </w:p>
        </w:tc>
        <w:tc>
          <w:tcPr>
            <w:tcW w:w="2142" w:type="pct"/>
            <w:gridSpan w:val="3"/>
            <w:tcBorders>
              <w:top w:val="single" w:sz="4" w:space="0" w:color="FFFFFF" w:themeColor="background1"/>
              <w:bottom w:val="single" w:sz="4" w:space="0" w:color="FFFFFF" w:themeColor="background1"/>
            </w:tcBorders>
            <w:shd w:val="clear" w:color="auto" w:fill="1F497D" w:themeFill="text2"/>
            <w:tcMar>
              <w:top w:w="113" w:type="dxa"/>
              <w:bottom w:w="113" w:type="dxa"/>
            </w:tcMar>
            <w:vAlign w:val="center"/>
          </w:tcPr>
          <w:p w14:paraId="13BA1C14" w14:textId="77777777" w:rsidR="00DE2FB0" w:rsidRDefault="00453658">
            <w:pPr>
              <w:spacing w:before="40" w:after="20" w:line="200" w:lineRule="exact"/>
              <w:jc w:val="center"/>
              <w:rPr>
                <w:rFonts w:ascii="Arial Narrow" w:hAnsi="Arial Narrow" w:cs="Arial"/>
                <w:b/>
                <w:color w:val="FFFFFF" w:themeColor="background1"/>
                <w:sz w:val="18"/>
                <w:szCs w:val="18"/>
              </w:rPr>
            </w:pPr>
            <w:r w:rsidRPr="001569C5">
              <w:rPr>
                <w:rFonts w:ascii="Arial Narrow" w:hAnsi="Arial Narrow" w:cs="Arial"/>
                <w:b/>
                <w:color w:val="FFFFFF" w:themeColor="background1"/>
                <w:sz w:val="18"/>
                <w:szCs w:val="18"/>
              </w:rPr>
              <w:t>Misure di produttività</w:t>
            </w:r>
          </w:p>
        </w:tc>
      </w:tr>
      <w:tr w:rsidR="00453658" w:rsidRPr="00035516" w14:paraId="71CA6A16" w14:textId="77777777" w:rsidTr="00643153">
        <w:trPr>
          <w:trHeight w:val="340"/>
        </w:trPr>
        <w:tc>
          <w:tcPr>
            <w:tcW w:w="500" w:type="pct"/>
            <w:vMerge/>
            <w:tcBorders>
              <w:bottom w:val="single" w:sz="4" w:space="0" w:color="FFFFFF" w:themeColor="background1"/>
            </w:tcBorders>
            <w:shd w:val="clear" w:color="auto" w:fill="D9D9D9" w:themeFill="background1" w:themeFillShade="D9"/>
            <w:vAlign w:val="center"/>
          </w:tcPr>
          <w:p w14:paraId="0B1ADBF3" w14:textId="77777777" w:rsidR="00DE2FB0" w:rsidRDefault="00DE2FB0">
            <w:pPr>
              <w:spacing w:before="40" w:after="20"/>
              <w:rPr>
                <w:rFonts w:ascii="Arial Narrow" w:hAnsi="Arial Narrow" w:cs="Arial"/>
                <w:b/>
                <w:color w:val="1F497D" w:themeColor="text2"/>
                <w:sz w:val="18"/>
                <w:szCs w:val="18"/>
              </w:rPr>
            </w:pPr>
          </w:p>
        </w:tc>
        <w:tc>
          <w:tcPr>
            <w:tcW w:w="500" w:type="pct"/>
            <w:vMerge/>
            <w:tcBorders>
              <w:bottom w:val="single" w:sz="4" w:space="0" w:color="FFFFFF" w:themeColor="background1"/>
            </w:tcBorders>
            <w:shd w:val="pct10" w:color="auto" w:fill="auto"/>
            <w:tcMar>
              <w:right w:w="482" w:type="dxa"/>
            </w:tcMar>
            <w:vAlign w:val="center"/>
          </w:tcPr>
          <w:p w14:paraId="2074B991" w14:textId="77777777" w:rsidR="00DE2FB0" w:rsidRDefault="00DE2FB0">
            <w:pPr>
              <w:spacing w:before="40" w:after="20"/>
              <w:jc w:val="center"/>
              <w:rPr>
                <w:rFonts w:ascii="Arial Narrow" w:hAnsi="Arial Narrow" w:cs="Arial"/>
                <w:b/>
                <w:color w:val="1F497D" w:themeColor="text2"/>
                <w:sz w:val="18"/>
                <w:szCs w:val="18"/>
              </w:rPr>
            </w:pPr>
          </w:p>
        </w:tc>
        <w:tc>
          <w:tcPr>
            <w:tcW w:w="499" w:type="pct"/>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tcMar>
              <w:right w:w="482" w:type="dxa"/>
            </w:tcMar>
            <w:vAlign w:val="center"/>
          </w:tcPr>
          <w:p w14:paraId="38FFC3AC" w14:textId="77777777" w:rsidR="00DE2FB0" w:rsidRDefault="00453658">
            <w:pPr>
              <w:spacing w:before="40" w:after="20"/>
              <w:ind w:right="-341"/>
              <w:jc w:val="center"/>
              <w:rPr>
                <w:rFonts w:ascii="Arial Narrow" w:hAnsi="Arial Narrow" w:cs="Arial"/>
                <w:b/>
                <w:bCs/>
                <w:color w:val="1F497D"/>
                <w:sz w:val="18"/>
                <w:szCs w:val="18"/>
              </w:rPr>
            </w:pPr>
            <w:r>
              <w:rPr>
                <w:rFonts w:ascii="Arial Narrow" w:hAnsi="Arial Narrow" w:cs="Arial"/>
                <w:b/>
                <w:bCs/>
                <w:color w:val="1F497D"/>
                <w:sz w:val="18"/>
                <w:szCs w:val="18"/>
              </w:rPr>
              <w:t>Ore lavorate</w:t>
            </w:r>
          </w:p>
        </w:tc>
        <w:tc>
          <w:tcPr>
            <w:tcW w:w="500"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vAlign w:val="center"/>
          </w:tcPr>
          <w:p w14:paraId="470268B6" w14:textId="77777777" w:rsidR="00DE2FB0" w:rsidRDefault="00453658">
            <w:pPr>
              <w:spacing w:before="40" w:after="20"/>
              <w:ind w:left="-69"/>
              <w:jc w:val="center"/>
              <w:rPr>
                <w:rFonts w:ascii="Arial Narrow" w:hAnsi="Arial Narrow" w:cs="Arial"/>
                <w:b/>
                <w:bCs/>
                <w:color w:val="1F497D"/>
                <w:sz w:val="18"/>
                <w:szCs w:val="18"/>
              </w:rPr>
            </w:pPr>
            <w:r>
              <w:rPr>
                <w:rFonts w:ascii="Arial Narrow" w:hAnsi="Arial Narrow" w:cs="Arial"/>
                <w:b/>
                <w:bCs/>
                <w:color w:val="1F497D"/>
                <w:sz w:val="18"/>
                <w:szCs w:val="18"/>
              </w:rPr>
              <w:t>Input di capitale</w:t>
            </w:r>
          </w:p>
        </w:tc>
        <w:tc>
          <w:tcPr>
            <w:tcW w:w="859" w:type="pct"/>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vAlign w:val="center"/>
          </w:tcPr>
          <w:p w14:paraId="4277F60B" w14:textId="77777777" w:rsidR="00DE2FB0" w:rsidRDefault="00453658">
            <w:pPr>
              <w:spacing w:before="40" w:after="20"/>
              <w:ind w:right="-338"/>
              <w:jc w:val="center"/>
              <w:rPr>
                <w:rFonts w:ascii="Arial Narrow" w:hAnsi="Arial Narrow" w:cs="Arial"/>
                <w:b/>
                <w:bCs/>
                <w:color w:val="1F497D"/>
                <w:sz w:val="18"/>
                <w:szCs w:val="18"/>
              </w:rPr>
            </w:pPr>
            <w:r>
              <w:rPr>
                <w:rFonts w:ascii="Arial Narrow" w:hAnsi="Arial Narrow" w:cs="Arial"/>
                <w:b/>
                <w:bCs/>
                <w:color w:val="1F497D"/>
                <w:sz w:val="18"/>
                <w:szCs w:val="18"/>
              </w:rPr>
              <w:t>Indice composito lavoro e capitale</w:t>
            </w:r>
          </w:p>
        </w:tc>
        <w:tc>
          <w:tcPr>
            <w:tcW w:w="714"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vAlign w:val="center"/>
          </w:tcPr>
          <w:p w14:paraId="0F26DB5E" w14:textId="77777777" w:rsidR="00DE2FB0" w:rsidRDefault="00453658">
            <w:pPr>
              <w:spacing w:before="40" w:after="20"/>
              <w:ind w:right="-338"/>
              <w:jc w:val="center"/>
              <w:rPr>
                <w:rFonts w:ascii="Arial Narrow" w:hAnsi="Arial Narrow" w:cs="Arial"/>
                <w:b/>
                <w:bCs/>
                <w:color w:val="1F497D"/>
                <w:sz w:val="18"/>
                <w:szCs w:val="18"/>
              </w:rPr>
            </w:pPr>
            <w:r>
              <w:rPr>
                <w:rFonts w:ascii="Arial Narrow" w:hAnsi="Arial Narrow" w:cs="Arial"/>
                <w:b/>
                <w:bCs/>
                <w:color w:val="1F497D"/>
                <w:sz w:val="18"/>
                <w:szCs w:val="18"/>
              </w:rPr>
              <w:t>Produttività del lavoro</w:t>
            </w:r>
          </w:p>
        </w:tc>
        <w:tc>
          <w:tcPr>
            <w:tcW w:w="714" w:type="pct"/>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pct15" w:color="auto" w:fill="auto"/>
            <w:tcMar>
              <w:right w:w="482" w:type="dxa"/>
            </w:tcMar>
            <w:vAlign w:val="center"/>
          </w:tcPr>
          <w:p w14:paraId="60BA50AE" w14:textId="77777777" w:rsidR="00DE2FB0" w:rsidRDefault="00453658">
            <w:pPr>
              <w:spacing w:before="40" w:after="20"/>
              <w:ind w:right="-339"/>
              <w:jc w:val="center"/>
              <w:rPr>
                <w:rFonts w:ascii="Arial Narrow" w:hAnsi="Arial Narrow" w:cs="Arial"/>
                <w:b/>
                <w:bCs/>
                <w:color w:val="1F497D"/>
                <w:sz w:val="18"/>
                <w:szCs w:val="18"/>
              </w:rPr>
            </w:pPr>
            <w:r>
              <w:rPr>
                <w:rFonts w:ascii="Arial Narrow" w:hAnsi="Arial Narrow" w:cs="Arial"/>
                <w:b/>
                <w:bCs/>
                <w:color w:val="1F497D"/>
                <w:sz w:val="18"/>
                <w:szCs w:val="18"/>
              </w:rPr>
              <w:t>Produttività del capitale</w:t>
            </w:r>
          </w:p>
        </w:tc>
        <w:tc>
          <w:tcPr>
            <w:tcW w:w="714" w:type="pct"/>
            <w:tcBorders>
              <w:top w:val="single" w:sz="4" w:space="0" w:color="FFFFFF" w:themeColor="background1"/>
              <w:left w:val="single" w:sz="4" w:space="0" w:color="BFBFBF" w:themeColor="background1" w:themeShade="BF"/>
              <w:bottom w:val="single" w:sz="4" w:space="0" w:color="FFFFFF" w:themeColor="background1"/>
              <w:right w:val="nil"/>
            </w:tcBorders>
            <w:shd w:val="pct10" w:color="auto" w:fill="auto"/>
            <w:tcMar>
              <w:right w:w="482" w:type="dxa"/>
            </w:tcMar>
            <w:vAlign w:val="center"/>
          </w:tcPr>
          <w:p w14:paraId="66B61181" w14:textId="77777777" w:rsidR="00DE2FB0" w:rsidRDefault="00453658">
            <w:pPr>
              <w:spacing w:before="40" w:after="20"/>
              <w:ind w:right="-339"/>
              <w:jc w:val="center"/>
              <w:rPr>
                <w:rFonts w:ascii="Arial Narrow" w:hAnsi="Arial Narrow" w:cs="Arial"/>
                <w:b/>
                <w:bCs/>
                <w:color w:val="1F497D"/>
                <w:sz w:val="18"/>
                <w:szCs w:val="18"/>
              </w:rPr>
            </w:pPr>
            <w:r>
              <w:rPr>
                <w:rFonts w:ascii="Arial Narrow" w:hAnsi="Arial Narrow" w:cs="Arial"/>
                <w:b/>
                <w:bCs/>
                <w:color w:val="1F497D"/>
                <w:sz w:val="18"/>
                <w:szCs w:val="18"/>
              </w:rPr>
              <w:t>Produttività totale dei fattori</w:t>
            </w:r>
          </w:p>
        </w:tc>
      </w:tr>
      <w:tr w:rsidR="00453658" w:rsidRPr="00035516" w14:paraId="2975C10D" w14:textId="77777777" w:rsidTr="00643153">
        <w:trPr>
          <w:trHeight w:val="340"/>
        </w:trPr>
        <w:tc>
          <w:tcPr>
            <w:tcW w:w="500" w:type="pct"/>
            <w:tcBorders>
              <w:top w:val="single" w:sz="4" w:space="0" w:color="FFFFFF" w:themeColor="background1"/>
              <w:bottom w:val="single" w:sz="4" w:space="0" w:color="FFFFFF" w:themeColor="background1"/>
            </w:tcBorders>
            <w:shd w:val="clear" w:color="auto" w:fill="D9D9D9" w:themeFill="background1" w:themeFillShade="D9"/>
          </w:tcPr>
          <w:p w14:paraId="7D54C13A" w14:textId="77777777" w:rsidR="00DE2FB0" w:rsidRDefault="00453658">
            <w:pPr>
              <w:spacing w:before="40" w:after="20"/>
              <w:rPr>
                <w:rFonts w:ascii="Arial Narrow" w:hAnsi="Arial Narrow" w:cs="Arial"/>
                <w:b/>
                <w:bCs/>
                <w:color w:val="1F497D"/>
                <w:sz w:val="18"/>
                <w:szCs w:val="18"/>
              </w:rPr>
            </w:pPr>
            <w:r w:rsidRPr="00AC7C67">
              <w:rPr>
                <w:rFonts w:ascii="Arial Narrow" w:hAnsi="Arial Narrow" w:cs="Arial"/>
                <w:b/>
                <w:bCs/>
                <w:color w:val="1F497D"/>
                <w:sz w:val="18"/>
                <w:szCs w:val="18"/>
              </w:rPr>
              <w:t>1995-2020</w:t>
            </w:r>
          </w:p>
        </w:tc>
        <w:tc>
          <w:tcPr>
            <w:tcW w:w="500" w:type="pct"/>
            <w:tcBorders>
              <w:top w:val="single" w:sz="4" w:space="0" w:color="FFFFFF" w:themeColor="background1"/>
              <w:bottom w:val="single" w:sz="4" w:space="0" w:color="FFFFFF" w:themeColor="background1"/>
            </w:tcBorders>
            <w:shd w:val="pct10" w:color="auto" w:fill="auto"/>
            <w:tcMar>
              <w:right w:w="482" w:type="dxa"/>
            </w:tcMar>
          </w:tcPr>
          <w:p w14:paraId="3785DC5C"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D07147">
              <w:rPr>
                <w:rFonts w:ascii="Arial Narrow" w:hAnsi="Arial Narrow" w:cs="Arial"/>
                <w:color w:val="000000"/>
                <w:sz w:val="18"/>
                <w:szCs w:val="18"/>
              </w:rPr>
              <w:t>,</w:t>
            </w:r>
            <w:r w:rsidRPr="00AC7C67">
              <w:rPr>
                <w:rFonts w:ascii="Arial Narrow" w:hAnsi="Arial Narrow" w:cs="Arial"/>
                <w:color w:val="000000"/>
                <w:sz w:val="18"/>
                <w:szCs w:val="18"/>
              </w:rPr>
              <w:t>2</w:t>
            </w:r>
          </w:p>
        </w:tc>
        <w:tc>
          <w:tcPr>
            <w:tcW w:w="499" w:type="pct"/>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tcMar>
              <w:right w:w="482" w:type="dxa"/>
            </w:tcMar>
          </w:tcPr>
          <w:p w14:paraId="25638CDD"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2</w:t>
            </w:r>
          </w:p>
        </w:tc>
        <w:tc>
          <w:tcPr>
            <w:tcW w:w="500"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Pr>
          <w:p w14:paraId="771FD326"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w:t>
            </w:r>
            <w:r w:rsidR="0073451F">
              <w:rPr>
                <w:rFonts w:ascii="Arial Narrow" w:hAnsi="Arial Narrow" w:cs="Arial"/>
                <w:color w:val="000000"/>
                <w:sz w:val="18"/>
                <w:szCs w:val="18"/>
              </w:rPr>
              <w:t>,</w:t>
            </w:r>
            <w:r w:rsidRPr="00AC7C67">
              <w:rPr>
                <w:rFonts w:ascii="Arial Narrow" w:hAnsi="Arial Narrow" w:cs="Arial"/>
                <w:color w:val="000000"/>
                <w:sz w:val="18"/>
                <w:szCs w:val="18"/>
              </w:rPr>
              <w:t>3</w:t>
            </w:r>
          </w:p>
        </w:tc>
        <w:tc>
          <w:tcPr>
            <w:tcW w:w="859" w:type="pct"/>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1AF442FB"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3</w:t>
            </w:r>
          </w:p>
        </w:tc>
        <w:tc>
          <w:tcPr>
            <w:tcW w:w="714"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tcPr>
          <w:p w14:paraId="27BA597F"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4</w:t>
            </w:r>
          </w:p>
        </w:tc>
        <w:tc>
          <w:tcPr>
            <w:tcW w:w="714" w:type="pct"/>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pct15" w:color="auto" w:fill="auto"/>
            <w:tcMar>
              <w:right w:w="482" w:type="dxa"/>
            </w:tcMar>
          </w:tcPr>
          <w:p w14:paraId="33082D76"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w:t>
            </w:r>
            <w:r w:rsidR="0073451F">
              <w:rPr>
                <w:rFonts w:ascii="Arial Narrow" w:hAnsi="Arial Narrow" w:cs="Arial"/>
                <w:color w:val="000000"/>
                <w:sz w:val="18"/>
                <w:szCs w:val="18"/>
              </w:rPr>
              <w:t>,</w:t>
            </w:r>
            <w:r w:rsidRPr="00AC7C67">
              <w:rPr>
                <w:rFonts w:ascii="Arial Narrow" w:hAnsi="Arial Narrow" w:cs="Arial"/>
                <w:color w:val="000000"/>
                <w:sz w:val="18"/>
                <w:szCs w:val="18"/>
              </w:rPr>
              <w:t>1</w:t>
            </w:r>
          </w:p>
        </w:tc>
        <w:tc>
          <w:tcPr>
            <w:tcW w:w="714" w:type="pct"/>
            <w:tcBorders>
              <w:top w:val="single" w:sz="4" w:space="0" w:color="FFFFFF" w:themeColor="background1"/>
              <w:left w:val="single" w:sz="4" w:space="0" w:color="BFBFBF" w:themeColor="background1" w:themeShade="BF"/>
              <w:bottom w:val="single" w:sz="4" w:space="0" w:color="FFFFFF" w:themeColor="background1"/>
              <w:right w:val="nil"/>
            </w:tcBorders>
            <w:shd w:val="pct10" w:color="auto" w:fill="auto"/>
            <w:tcMar>
              <w:right w:w="482" w:type="dxa"/>
            </w:tcMar>
          </w:tcPr>
          <w:p w14:paraId="5BC4D6EA"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1</w:t>
            </w:r>
          </w:p>
        </w:tc>
      </w:tr>
      <w:tr w:rsidR="00453658" w:rsidRPr="00035516" w14:paraId="3C389C57" w14:textId="77777777" w:rsidTr="00643153">
        <w:trPr>
          <w:trHeight w:val="340"/>
        </w:trPr>
        <w:tc>
          <w:tcPr>
            <w:tcW w:w="500" w:type="pct"/>
            <w:tcBorders>
              <w:top w:val="single" w:sz="4" w:space="0" w:color="FFFFFF" w:themeColor="background1"/>
              <w:bottom w:val="single" w:sz="4" w:space="0" w:color="FFFFFF" w:themeColor="background1"/>
            </w:tcBorders>
            <w:shd w:val="clear" w:color="auto" w:fill="D9D9D9" w:themeFill="background1" w:themeFillShade="D9"/>
          </w:tcPr>
          <w:p w14:paraId="257BD4BC" w14:textId="77777777" w:rsidR="00DE2FB0" w:rsidRDefault="00453658">
            <w:pPr>
              <w:spacing w:before="40" w:after="20"/>
              <w:rPr>
                <w:rFonts w:ascii="Arial Narrow" w:hAnsi="Arial Narrow" w:cs="Arial"/>
                <w:b/>
                <w:bCs/>
                <w:color w:val="1F497D"/>
                <w:sz w:val="18"/>
                <w:szCs w:val="18"/>
              </w:rPr>
            </w:pPr>
            <w:r w:rsidRPr="00AC7C67">
              <w:rPr>
                <w:rFonts w:ascii="Arial Narrow" w:hAnsi="Arial Narrow" w:cs="Arial"/>
                <w:b/>
                <w:bCs/>
                <w:color w:val="1F497D"/>
                <w:sz w:val="18"/>
                <w:szCs w:val="18"/>
              </w:rPr>
              <w:t>2003-2009</w:t>
            </w:r>
          </w:p>
        </w:tc>
        <w:tc>
          <w:tcPr>
            <w:tcW w:w="500" w:type="pct"/>
            <w:tcBorders>
              <w:top w:val="single" w:sz="4" w:space="0" w:color="FFFFFF" w:themeColor="background1"/>
              <w:bottom w:val="single" w:sz="4" w:space="0" w:color="FFFFFF" w:themeColor="background1"/>
            </w:tcBorders>
            <w:shd w:val="pct10" w:color="auto" w:fill="auto"/>
            <w:tcMar>
              <w:right w:w="482" w:type="dxa"/>
            </w:tcMar>
          </w:tcPr>
          <w:p w14:paraId="1A9CEEF1"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D07147">
              <w:rPr>
                <w:rFonts w:ascii="Arial Narrow" w:hAnsi="Arial Narrow" w:cs="Arial"/>
                <w:color w:val="000000"/>
                <w:sz w:val="18"/>
                <w:szCs w:val="18"/>
              </w:rPr>
              <w:t>,</w:t>
            </w:r>
            <w:r w:rsidRPr="00AC7C67">
              <w:rPr>
                <w:rFonts w:ascii="Arial Narrow" w:hAnsi="Arial Narrow" w:cs="Arial"/>
                <w:color w:val="000000"/>
                <w:sz w:val="18"/>
                <w:szCs w:val="18"/>
              </w:rPr>
              <w:t>2</w:t>
            </w:r>
          </w:p>
        </w:tc>
        <w:tc>
          <w:tcPr>
            <w:tcW w:w="499" w:type="pct"/>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tcMar>
              <w:right w:w="482" w:type="dxa"/>
            </w:tcMar>
          </w:tcPr>
          <w:p w14:paraId="11874156"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1</w:t>
            </w:r>
          </w:p>
        </w:tc>
        <w:tc>
          <w:tcPr>
            <w:tcW w:w="500"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Pr>
          <w:p w14:paraId="0CE2330C"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w:t>
            </w:r>
            <w:r w:rsidR="0073451F">
              <w:rPr>
                <w:rFonts w:ascii="Arial Narrow" w:hAnsi="Arial Narrow" w:cs="Arial"/>
                <w:color w:val="000000"/>
                <w:sz w:val="18"/>
                <w:szCs w:val="18"/>
              </w:rPr>
              <w:t>,</w:t>
            </w:r>
            <w:r w:rsidRPr="00AC7C67">
              <w:rPr>
                <w:rFonts w:ascii="Arial Narrow" w:hAnsi="Arial Narrow" w:cs="Arial"/>
                <w:color w:val="000000"/>
                <w:sz w:val="18"/>
                <w:szCs w:val="18"/>
              </w:rPr>
              <w:t>5</w:t>
            </w:r>
          </w:p>
        </w:tc>
        <w:tc>
          <w:tcPr>
            <w:tcW w:w="859" w:type="pct"/>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5CCD0CAE"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6</w:t>
            </w:r>
          </w:p>
        </w:tc>
        <w:tc>
          <w:tcPr>
            <w:tcW w:w="714"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tcPr>
          <w:p w14:paraId="416C4754"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3</w:t>
            </w:r>
          </w:p>
        </w:tc>
        <w:tc>
          <w:tcPr>
            <w:tcW w:w="714" w:type="pct"/>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pct15" w:color="auto" w:fill="auto"/>
            <w:tcMar>
              <w:right w:w="482" w:type="dxa"/>
            </w:tcMar>
          </w:tcPr>
          <w:p w14:paraId="71F92C5E"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w:t>
            </w:r>
            <w:r w:rsidR="0073451F">
              <w:rPr>
                <w:rFonts w:ascii="Arial Narrow" w:hAnsi="Arial Narrow" w:cs="Arial"/>
                <w:color w:val="000000"/>
                <w:sz w:val="18"/>
                <w:szCs w:val="18"/>
              </w:rPr>
              <w:t>,</w:t>
            </w:r>
            <w:r w:rsidRPr="00AC7C67">
              <w:rPr>
                <w:rFonts w:ascii="Arial Narrow" w:hAnsi="Arial Narrow" w:cs="Arial"/>
                <w:color w:val="000000"/>
                <w:sz w:val="18"/>
                <w:szCs w:val="18"/>
              </w:rPr>
              <w:t>7</w:t>
            </w:r>
          </w:p>
        </w:tc>
        <w:tc>
          <w:tcPr>
            <w:tcW w:w="714" w:type="pct"/>
            <w:tcBorders>
              <w:top w:val="single" w:sz="4" w:space="0" w:color="FFFFFF" w:themeColor="background1"/>
              <w:left w:val="single" w:sz="4" w:space="0" w:color="BFBFBF" w:themeColor="background1" w:themeShade="BF"/>
              <w:bottom w:val="single" w:sz="4" w:space="0" w:color="FFFFFF" w:themeColor="background1"/>
              <w:right w:val="nil"/>
            </w:tcBorders>
            <w:shd w:val="pct10" w:color="auto" w:fill="auto"/>
            <w:tcMar>
              <w:right w:w="482" w:type="dxa"/>
            </w:tcMar>
          </w:tcPr>
          <w:p w14:paraId="7F27FD98"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8</w:t>
            </w:r>
          </w:p>
        </w:tc>
      </w:tr>
      <w:tr w:rsidR="00453658" w:rsidRPr="00035516" w14:paraId="3E736FCC" w14:textId="77777777" w:rsidTr="00643153">
        <w:trPr>
          <w:trHeight w:val="340"/>
        </w:trPr>
        <w:tc>
          <w:tcPr>
            <w:tcW w:w="500" w:type="pct"/>
            <w:tcBorders>
              <w:top w:val="single" w:sz="4" w:space="0" w:color="FFFFFF" w:themeColor="background1"/>
              <w:bottom w:val="single" w:sz="4" w:space="0" w:color="FFFFFF" w:themeColor="background1"/>
            </w:tcBorders>
            <w:shd w:val="clear" w:color="auto" w:fill="D9D9D9" w:themeFill="background1" w:themeFillShade="D9"/>
          </w:tcPr>
          <w:p w14:paraId="62D293A4" w14:textId="77777777" w:rsidR="00DE2FB0" w:rsidRDefault="00453658">
            <w:pPr>
              <w:spacing w:before="40" w:after="20"/>
              <w:rPr>
                <w:rFonts w:ascii="Arial Narrow" w:hAnsi="Arial Narrow" w:cs="Arial"/>
                <w:b/>
                <w:bCs/>
                <w:color w:val="1F497D"/>
                <w:sz w:val="18"/>
                <w:szCs w:val="18"/>
              </w:rPr>
            </w:pPr>
            <w:r w:rsidRPr="00AC7C67">
              <w:rPr>
                <w:rFonts w:ascii="Arial Narrow" w:hAnsi="Arial Narrow" w:cs="Arial"/>
                <w:b/>
                <w:bCs/>
                <w:color w:val="1F497D"/>
                <w:sz w:val="18"/>
                <w:szCs w:val="18"/>
              </w:rPr>
              <w:t>2009-2014</w:t>
            </w:r>
          </w:p>
        </w:tc>
        <w:tc>
          <w:tcPr>
            <w:tcW w:w="500" w:type="pct"/>
            <w:tcBorders>
              <w:top w:val="single" w:sz="4" w:space="0" w:color="FFFFFF" w:themeColor="background1"/>
              <w:bottom w:val="single" w:sz="4" w:space="0" w:color="FFFFFF" w:themeColor="background1"/>
            </w:tcBorders>
            <w:shd w:val="pct10" w:color="auto" w:fill="auto"/>
            <w:tcMar>
              <w:right w:w="482" w:type="dxa"/>
            </w:tcMar>
          </w:tcPr>
          <w:p w14:paraId="4376D2D8"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4</w:t>
            </w:r>
          </w:p>
        </w:tc>
        <w:tc>
          <w:tcPr>
            <w:tcW w:w="499" w:type="pct"/>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tcMar>
              <w:right w:w="482" w:type="dxa"/>
            </w:tcMar>
          </w:tcPr>
          <w:p w14:paraId="40838142"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w:t>
            </w:r>
            <w:r w:rsidR="0073451F">
              <w:rPr>
                <w:rFonts w:ascii="Arial Narrow" w:hAnsi="Arial Narrow" w:cs="Arial"/>
                <w:color w:val="000000"/>
                <w:sz w:val="18"/>
                <w:szCs w:val="18"/>
              </w:rPr>
              <w:t>,</w:t>
            </w:r>
            <w:r w:rsidRPr="00AC7C67">
              <w:rPr>
                <w:rFonts w:ascii="Arial Narrow" w:hAnsi="Arial Narrow" w:cs="Arial"/>
                <w:color w:val="000000"/>
                <w:sz w:val="18"/>
                <w:szCs w:val="18"/>
              </w:rPr>
              <w:t>3</w:t>
            </w:r>
          </w:p>
        </w:tc>
        <w:tc>
          <w:tcPr>
            <w:tcW w:w="500"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Pr>
          <w:p w14:paraId="1002A42F"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4</w:t>
            </w:r>
          </w:p>
        </w:tc>
        <w:tc>
          <w:tcPr>
            <w:tcW w:w="859" w:type="pct"/>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5061656E"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w:t>
            </w:r>
            <w:r w:rsidR="0073451F">
              <w:rPr>
                <w:rFonts w:ascii="Arial Narrow" w:hAnsi="Arial Narrow" w:cs="Arial"/>
                <w:color w:val="000000"/>
                <w:sz w:val="18"/>
                <w:szCs w:val="18"/>
              </w:rPr>
              <w:t>,</w:t>
            </w:r>
            <w:r w:rsidRPr="00AC7C67">
              <w:rPr>
                <w:rFonts w:ascii="Arial Narrow" w:hAnsi="Arial Narrow" w:cs="Arial"/>
                <w:color w:val="000000"/>
                <w:sz w:val="18"/>
                <w:szCs w:val="18"/>
              </w:rPr>
              <w:t>0</w:t>
            </w:r>
          </w:p>
        </w:tc>
        <w:tc>
          <w:tcPr>
            <w:tcW w:w="714"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tcPr>
          <w:p w14:paraId="437D1C4E"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9</w:t>
            </w:r>
          </w:p>
        </w:tc>
        <w:tc>
          <w:tcPr>
            <w:tcW w:w="714" w:type="pct"/>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pct15" w:color="auto" w:fill="auto"/>
            <w:tcMar>
              <w:right w:w="482" w:type="dxa"/>
            </w:tcMar>
          </w:tcPr>
          <w:p w14:paraId="31B3B307"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0</w:t>
            </w:r>
          </w:p>
        </w:tc>
        <w:tc>
          <w:tcPr>
            <w:tcW w:w="714" w:type="pct"/>
            <w:tcBorders>
              <w:top w:val="single" w:sz="4" w:space="0" w:color="FFFFFF" w:themeColor="background1"/>
              <w:left w:val="single" w:sz="4" w:space="0" w:color="BFBFBF" w:themeColor="background1" w:themeShade="BF"/>
              <w:bottom w:val="single" w:sz="4" w:space="0" w:color="FFFFFF" w:themeColor="background1"/>
              <w:right w:val="nil"/>
            </w:tcBorders>
            <w:shd w:val="pct10" w:color="auto" w:fill="auto"/>
            <w:tcMar>
              <w:right w:w="482" w:type="dxa"/>
            </w:tcMar>
          </w:tcPr>
          <w:p w14:paraId="55E7F373"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6</w:t>
            </w:r>
          </w:p>
        </w:tc>
      </w:tr>
      <w:tr w:rsidR="00453658" w:rsidRPr="00035516" w14:paraId="57F4B4D7" w14:textId="77777777" w:rsidTr="00643153">
        <w:trPr>
          <w:trHeight w:val="340"/>
        </w:trPr>
        <w:tc>
          <w:tcPr>
            <w:tcW w:w="500" w:type="pct"/>
            <w:tcBorders>
              <w:top w:val="single" w:sz="4" w:space="0" w:color="FFFFFF" w:themeColor="background1"/>
              <w:bottom w:val="single" w:sz="4" w:space="0" w:color="FFFFFF" w:themeColor="background1"/>
            </w:tcBorders>
            <w:shd w:val="clear" w:color="auto" w:fill="D9D9D9" w:themeFill="background1" w:themeFillShade="D9"/>
          </w:tcPr>
          <w:p w14:paraId="6D94C9F6" w14:textId="77777777" w:rsidR="00DE2FB0" w:rsidRDefault="00453658">
            <w:pPr>
              <w:spacing w:before="40" w:after="20"/>
              <w:rPr>
                <w:rFonts w:ascii="Arial Narrow" w:hAnsi="Arial Narrow" w:cs="Arial"/>
                <w:b/>
                <w:bCs/>
                <w:color w:val="1F497D"/>
                <w:sz w:val="18"/>
                <w:szCs w:val="18"/>
              </w:rPr>
            </w:pPr>
            <w:r w:rsidRPr="00AC7C67">
              <w:rPr>
                <w:rFonts w:ascii="Arial Narrow" w:hAnsi="Arial Narrow" w:cs="Arial"/>
                <w:b/>
                <w:bCs/>
                <w:color w:val="1F497D"/>
                <w:sz w:val="18"/>
                <w:szCs w:val="18"/>
              </w:rPr>
              <w:t>2014-2020</w:t>
            </w:r>
          </w:p>
        </w:tc>
        <w:tc>
          <w:tcPr>
            <w:tcW w:w="500" w:type="pct"/>
            <w:tcBorders>
              <w:top w:val="single" w:sz="4" w:space="0" w:color="FFFFFF" w:themeColor="background1"/>
              <w:bottom w:val="single" w:sz="4" w:space="0" w:color="FFFFFF" w:themeColor="background1"/>
            </w:tcBorders>
            <w:shd w:val="pct10" w:color="auto" w:fill="auto"/>
            <w:tcMar>
              <w:right w:w="482" w:type="dxa"/>
            </w:tcMar>
          </w:tcPr>
          <w:p w14:paraId="0014CEF1"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8</w:t>
            </w:r>
          </w:p>
        </w:tc>
        <w:tc>
          <w:tcPr>
            <w:tcW w:w="499" w:type="pct"/>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tcMar>
              <w:right w:w="482" w:type="dxa"/>
            </w:tcMar>
          </w:tcPr>
          <w:p w14:paraId="3953AEAC"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w:t>
            </w:r>
            <w:r w:rsidR="0073451F">
              <w:rPr>
                <w:rFonts w:ascii="Arial Narrow" w:hAnsi="Arial Narrow" w:cs="Arial"/>
                <w:color w:val="000000"/>
                <w:sz w:val="18"/>
                <w:szCs w:val="18"/>
              </w:rPr>
              <w:t>,</w:t>
            </w:r>
            <w:r w:rsidRPr="00AC7C67">
              <w:rPr>
                <w:rFonts w:ascii="Arial Narrow" w:hAnsi="Arial Narrow" w:cs="Arial"/>
                <w:color w:val="000000"/>
                <w:sz w:val="18"/>
                <w:szCs w:val="18"/>
              </w:rPr>
              <w:t>3</w:t>
            </w:r>
          </w:p>
        </w:tc>
        <w:tc>
          <w:tcPr>
            <w:tcW w:w="500"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Pr>
          <w:p w14:paraId="5A60BC06"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3</w:t>
            </w:r>
          </w:p>
        </w:tc>
        <w:tc>
          <w:tcPr>
            <w:tcW w:w="859" w:type="pct"/>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4C1A1ADB"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8</w:t>
            </w:r>
          </w:p>
        </w:tc>
        <w:tc>
          <w:tcPr>
            <w:tcW w:w="714"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tcPr>
          <w:p w14:paraId="208513E2"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5</w:t>
            </w:r>
          </w:p>
        </w:tc>
        <w:tc>
          <w:tcPr>
            <w:tcW w:w="714" w:type="pct"/>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pct15" w:color="auto" w:fill="auto"/>
            <w:tcMar>
              <w:right w:w="482" w:type="dxa"/>
            </w:tcMar>
          </w:tcPr>
          <w:p w14:paraId="2C589427"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w:t>
            </w:r>
            <w:r w:rsidR="0073451F">
              <w:rPr>
                <w:rFonts w:ascii="Arial Narrow" w:hAnsi="Arial Narrow" w:cs="Arial"/>
                <w:color w:val="000000"/>
                <w:sz w:val="18"/>
                <w:szCs w:val="18"/>
              </w:rPr>
              <w:t>,</w:t>
            </w:r>
            <w:r w:rsidRPr="00AC7C67">
              <w:rPr>
                <w:rFonts w:ascii="Arial Narrow" w:hAnsi="Arial Narrow" w:cs="Arial"/>
                <w:color w:val="000000"/>
                <w:sz w:val="18"/>
                <w:szCs w:val="18"/>
              </w:rPr>
              <w:t>1</w:t>
            </w:r>
          </w:p>
        </w:tc>
        <w:tc>
          <w:tcPr>
            <w:tcW w:w="714" w:type="pct"/>
            <w:tcBorders>
              <w:top w:val="single" w:sz="4" w:space="0" w:color="FFFFFF" w:themeColor="background1"/>
              <w:left w:val="single" w:sz="4" w:space="0" w:color="BFBFBF" w:themeColor="background1" w:themeShade="BF"/>
              <w:bottom w:val="single" w:sz="4" w:space="0" w:color="FFFFFF" w:themeColor="background1"/>
              <w:right w:val="nil"/>
            </w:tcBorders>
            <w:shd w:val="pct10" w:color="auto" w:fill="auto"/>
            <w:tcMar>
              <w:right w:w="482" w:type="dxa"/>
            </w:tcMar>
          </w:tcPr>
          <w:p w14:paraId="5D3867D8"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0</w:t>
            </w:r>
          </w:p>
        </w:tc>
      </w:tr>
      <w:tr w:rsidR="00453658" w:rsidRPr="00035516" w14:paraId="45B7B8DD" w14:textId="77777777" w:rsidTr="00643153">
        <w:trPr>
          <w:trHeight w:val="340"/>
        </w:trPr>
        <w:tc>
          <w:tcPr>
            <w:tcW w:w="500" w:type="pct"/>
            <w:tcBorders>
              <w:top w:val="single" w:sz="4" w:space="0" w:color="FFFFFF" w:themeColor="background1"/>
              <w:bottom w:val="single" w:sz="4" w:space="0" w:color="FFFFFF" w:themeColor="background1"/>
            </w:tcBorders>
            <w:shd w:val="clear" w:color="auto" w:fill="D9D9D9" w:themeFill="background1" w:themeFillShade="D9"/>
          </w:tcPr>
          <w:p w14:paraId="61CA811B" w14:textId="77777777" w:rsidR="00DE2FB0" w:rsidRDefault="00453658">
            <w:pPr>
              <w:spacing w:before="40" w:after="20"/>
              <w:rPr>
                <w:rFonts w:ascii="Arial Narrow" w:hAnsi="Arial Narrow" w:cs="Arial"/>
                <w:b/>
                <w:bCs/>
                <w:color w:val="1F497D"/>
                <w:sz w:val="18"/>
                <w:szCs w:val="18"/>
              </w:rPr>
            </w:pPr>
            <w:r w:rsidRPr="00AC7C67">
              <w:rPr>
                <w:rFonts w:ascii="Arial Narrow" w:hAnsi="Arial Narrow" w:cs="Arial"/>
                <w:b/>
                <w:bCs/>
                <w:color w:val="1F497D"/>
                <w:sz w:val="18"/>
                <w:szCs w:val="18"/>
              </w:rPr>
              <w:t>2019</w:t>
            </w:r>
          </w:p>
        </w:tc>
        <w:tc>
          <w:tcPr>
            <w:tcW w:w="500" w:type="pct"/>
            <w:tcBorders>
              <w:top w:val="single" w:sz="4" w:space="0" w:color="FFFFFF" w:themeColor="background1"/>
              <w:bottom w:val="single" w:sz="4" w:space="0" w:color="FFFFFF" w:themeColor="background1"/>
            </w:tcBorders>
            <w:shd w:val="pct10" w:color="auto" w:fill="auto"/>
            <w:tcMar>
              <w:right w:w="482" w:type="dxa"/>
            </w:tcMar>
          </w:tcPr>
          <w:p w14:paraId="30C7E351"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5</w:t>
            </w:r>
          </w:p>
        </w:tc>
        <w:tc>
          <w:tcPr>
            <w:tcW w:w="499" w:type="pct"/>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tcMar>
              <w:right w:w="482" w:type="dxa"/>
            </w:tcMar>
          </w:tcPr>
          <w:p w14:paraId="7F687396"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1</w:t>
            </w:r>
          </w:p>
        </w:tc>
        <w:tc>
          <w:tcPr>
            <w:tcW w:w="500"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Pr>
          <w:p w14:paraId="65274789"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7</w:t>
            </w:r>
          </w:p>
        </w:tc>
        <w:tc>
          <w:tcPr>
            <w:tcW w:w="859" w:type="pct"/>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2EF05153"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2</w:t>
            </w:r>
          </w:p>
        </w:tc>
        <w:tc>
          <w:tcPr>
            <w:tcW w:w="714"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tcPr>
          <w:p w14:paraId="546CAEF9"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5</w:t>
            </w:r>
          </w:p>
        </w:tc>
        <w:tc>
          <w:tcPr>
            <w:tcW w:w="714" w:type="pct"/>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pct15" w:color="auto" w:fill="auto"/>
            <w:tcMar>
              <w:right w:w="482" w:type="dxa"/>
            </w:tcMar>
          </w:tcPr>
          <w:p w14:paraId="68816DC8"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2</w:t>
            </w:r>
          </w:p>
        </w:tc>
        <w:tc>
          <w:tcPr>
            <w:tcW w:w="714" w:type="pct"/>
            <w:tcBorders>
              <w:top w:val="single" w:sz="4" w:space="0" w:color="FFFFFF" w:themeColor="background1"/>
              <w:left w:val="single" w:sz="4" w:space="0" w:color="BFBFBF" w:themeColor="background1" w:themeShade="BF"/>
              <w:bottom w:val="single" w:sz="4" w:space="0" w:color="FFFFFF" w:themeColor="background1"/>
              <w:right w:val="nil"/>
            </w:tcBorders>
            <w:shd w:val="pct10" w:color="auto" w:fill="auto"/>
            <w:tcMar>
              <w:right w:w="482" w:type="dxa"/>
            </w:tcMar>
          </w:tcPr>
          <w:p w14:paraId="485D7E01"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3</w:t>
            </w:r>
          </w:p>
        </w:tc>
      </w:tr>
      <w:tr w:rsidR="00453658" w:rsidRPr="00035516" w14:paraId="26069F05" w14:textId="77777777" w:rsidTr="00643153">
        <w:trPr>
          <w:trHeight w:val="340"/>
        </w:trPr>
        <w:tc>
          <w:tcPr>
            <w:tcW w:w="500" w:type="pct"/>
            <w:tcBorders>
              <w:top w:val="single" w:sz="4" w:space="0" w:color="FFFFFF" w:themeColor="background1"/>
              <w:bottom w:val="single" w:sz="4" w:space="0" w:color="FFFFFF" w:themeColor="background1"/>
            </w:tcBorders>
            <w:shd w:val="clear" w:color="auto" w:fill="D9D9D9" w:themeFill="background1" w:themeFillShade="D9"/>
          </w:tcPr>
          <w:p w14:paraId="343BE195" w14:textId="77777777" w:rsidR="00DE2FB0" w:rsidRDefault="00453658">
            <w:pPr>
              <w:spacing w:before="40" w:after="20"/>
              <w:rPr>
                <w:rFonts w:ascii="Arial Narrow" w:hAnsi="Arial Narrow" w:cs="Arial"/>
                <w:b/>
                <w:bCs/>
                <w:color w:val="1F497D"/>
                <w:sz w:val="18"/>
                <w:szCs w:val="18"/>
              </w:rPr>
            </w:pPr>
            <w:r w:rsidRPr="00AC7C67">
              <w:rPr>
                <w:rFonts w:ascii="Arial Narrow" w:hAnsi="Arial Narrow" w:cs="Arial"/>
                <w:b/>
                <w:bCs/>
                <w:color w:val="1F497D"/>
                <w:sz w:val="18"/>
                <w:szCs w:val="18"/>
              </w:rPr>
              <w:t>2020</w:t>
            </w:r>
          </w:p>
        </w:tc>
        <w:tc>
          <w:tcPr>
            <w:tcW w:w="500" w:type="pct"/>
            <w:tcBorders>
              <w:top w:val="single" w:sz="4" w:space="0" w:color="FFFFFF" w:themeColor="background1"/>
              <w:bottom w:val="single" w:sz="4" w:space="0" w:color="FFFFFF" w:themeColor="background1"/>
            </w:tcBorders>
            <w:shd w:val="pct10" w:color="auto" w:fill="auto"/>
            <w:tcMar>
              <w:right w:w="482" w:type="dxa"/>
            </w:tcMar>
          </w:tcPr>
          <w:p w14:paraId="7849EF29"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-11</w:t>
            </w:r>
            <w:r w:rsidR="0073451F">
              <w:rPr>
                <w:rFonts w:ascii="Arial Narrow" w:hAnsi="Arial Narrow" w:cs="Arial"/>
                <w:color w:val="000000"/>
                <w:sz w:val="18"/>
                <w:szCs w:val="18"/>
              </w:rPr>
              <w:t>,</w:t>
            </w:r>
            <w:r w:rsidRPr="00AC7C67">
              <w:rPr>
                <w:rFonts w:ascii="Arial Narrow" w:hAnsi="Arial Narrow" w:cs="Arial"/>
                <w:color w:val="000000"/>
                <w:sz w:val="18"/>
                <w:szCs w:val="18"/>
              </w:rPr>
              <w:t>8</w:t>
            </w:r>
          </w:p>
        </w:tc>
        <w:tc>
          <w:tcPr>
            <w:tcW w:w="499" w:type="pct"/>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tcMar>
              <w:right w:w="482" w:type="dxa"/>
            </w:tcMar>
          </w:tcPr>
          <w:p w14:paraId="4768F686"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-13</w:t>
            </w:r>
            <w:r w:rsidR="0073451F">
              <w:rPr>
                <w:rFonts w:ascii="Arial Narrow" w:hAnsi="Arial Narrow" w:cs="Arial"/>
                <w:color w:val="000000"/>
                <w:sz w:val="18"/>
                <w:szCs w:val="18"/>
              </w:rPr>
              <w:t>,</w:t>
            </w:r>
            <w:r w:rsidRPr="00AC7C67">
              <w:rPr>
                <w:rFonts w:ascii="Arial Narrow" w:hAnsi="Arial Narrow" w:cs="Arial"/>
                <w:color w:val="000000"/>
                <w:sz w:val="18"/>
                <w:szCs w:val="18"/>
              </w:rPr>
              <w:t>0</w:t>
            </w:r>
          </w:p>
        </w:tc>
        <w:tc>
          <w:tcPr>
            <w:tcW w:w="500"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Pr>
          <w:p w14:paraId="20C64B9F"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-0</w:t>
            </w:r>
            <w:r w:rsidR="0073451F">
              <w:rPr>
                <w:rFonts w:ascii="Arial Narrow" w:hAnsi="Arial Narrow" w:cs="Arial"/>
                <w:color w:val="000000"/>
                <w:sz w:val="18"/>
                <w:szCs w:val="18"/>
              </w:rPr>
              <w:t>,</w:t>
            </w:r>
            <w:r w:rsidRPr="00AC7C67">
              <w:rPr>
                <w:rFonts w:ascii="Arial Narrow" w:hAnsi="Arial Narrow" w:cs="Arial"/>
                <w:color w:val="000000"/>
                <w:sz w:val="18"/>
                <w:szCs w:val="18"/>
              </w:rPr>
              <w:t>6</w:t>
            </w:r>
          </w:p>
        </w:tc>
        <w:tc>
          <w:tcPr>
            <w:tcW w:w="859" w:type="pct"/>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724FDD8A"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-9</w:t>
            </w:r>
            <w:r w:rsidR="0073451F">
              <w:rPr>
                <w:rFonts w:ascii="Arial Narrow" w:hAnsi="Arial Narrow" w:cs="Arial"/>
                <w:color w:val="000000"/>
                <w:sz w:val="18"/>
                <w:szCs w:val="18"/>
              </w:rPr>
              <w:t>,</w:t>
            </w:r>
            <w:r w:rsidRPr="00AC7C67">
              <w:rPr>
                <w:rFonts w:ascii="Arial Narrow" w:hAnsi="Arial Narrow" w:cs="Arial"/>
                <w:color w:val="000000"/>
                <w:sz w:val="18"/>
                <w:szCs w:val="18"/>
              </w:rPr>
              <w:t>1</w:t>
            </w:r>
          </w:p>
        </w:tc>
        <w:tc>
          <w:tcPr>
            <w:tcW w:w="714" w:type="pct"/>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tcPr>
          <w:p w14:paraId="7CF2DB9C"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w:t>
            </w:r>
            <w:r w:rsidR="0073451F">
              <w:rPr>
                <w:rFonts w:ascii="Arial Narrow" w:hAnsi="Arial Narrow" w:cs="Arial"/>
                <w:color w:val="000000"/>
                <w:sz w:val="18"/>
                <w:szCs w:val="18"/>
              </w:rPr>
              <w:t>,</w:t>
            </w:r>
            <w:r w:rsidRPr="00AC7C67">
              <w:rPr>
                <w:rFonts w:ascii="Arial Narrow" w:hAnsi="Arial Narrow" w:cs="Arial"/>
                <w:color w:val="000000"/>
                <w:sz w:val="18"/>
                <w:szCs w:val="18"/>
              </w:rPr>
              <w:t>3</w:t>
            </w:r>
          </w:p>
        </w:tc>
        <w:tc>
          <w:tcPr>
            <w:tcW w:w="714" w:type="pct"/>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pct15" w:color="auto" w:fill="auto"/>
            <w:tcMar>
              <w:right w:w="482" w:type="dxa"/>
            </w:tcMar>
          </w:tcPr>
          <w:p w14:paraId="0BDFDFD8"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-11</w:t>
            </w:r>
            <w:r w:rsidR="0073451F">
              <w:rPr>
                <w:rFonts w:ascii="Arial Narrow" w:hAnsi="Arial Narrow" w:cs="Arial"/>
                <w:color w:val="000000"/>
                <w:sz w:val="18"/>
                <w:szCs w:val="18"/>
              </w:rPr>
              <w:t>,</w:t>
            </w:r>
            <w:r w:rsidRPr="00AC7C67">
              <w:rPr>
                <w:rFonts w:ascii="Arial Narrow" w:hAnsi="Arial Narrow" w:cs="Arial"/>
                <w:color w:val="000000"/>
                <w:sz w:val="18"/>
                <w:szCs w:val="18"/>
              </w:rPr>
              <w:t>2</w:t>
            </w:r>
          </w:p>
        </w:tc>
        <w:tc>
          <w:tcPr>
            <w:tcW w:w="714" w:type="pct"/>
            <w:tcBorders>
              <w:top w:val="single" w:sz="4" w:space="0" w:color="FFFFFF" w:themeColor="background1"/>
              <w:left w:val="single" w:sz="4" w:space="0" w:color="BFBFBF" w:themeColor="background1" w:themeShade="BF"/>
              <w:bottom w:val="single" w:sz="4" w:space="0" w:color="FFFFFF" w:themeColor="background1"/>
              <w:right w:val="nil"/>
            </w:tcBorders>
            <w:shd w:val="pct10" w:color="auto" w:fill="auto"/>
            <w:tcMar>
              <w:right w:w="482" w:type="dxa"/>
            </w:tcMar>
          </w:tcPr>
          <w:p w14:paraId="269B11CD" w14:textId="77777777" w:rsidR="00DE2FB0" w:rsidRDefault="00453658">
            <w:pPr>
              <w:spacing w:before="40" w:after="20"/>
              <w:jc w:val="right"/>
              <w:rPr>
                <w:rFonts w:ascii="Arial Narrow" w:hAnsi="Arial Narrow" w:cs="Arial"/>
                <w:color w:val="000000"/>
                <w:sz w:val="18"/>
                <w:szCs w:val="18"/>
              </w:rPr>
            </w:pPr>
            <w:r w:rsidRPr="00AC7C67">
              <w:rPr>
                <w:rFonts w:ascii="Arial Narrow" w:hAnsi="Arial Narrow" w:cs="Arial"/>
                <w:color w:val="000000"/>
                <w:sz w:val="18"/>
                <w:szCs w:val="18"/>
              </w:rPr>
              <w:t>-2</w:t>
            </w:r>
            <w:r w:rsidR="0073451F">
              <w:rPr>
                <w:rFonts w:ascii="Arial Narrow" w:hAnsi="Arial Narrow" w:cs="Arial"/>
                <w:color w:val="000000"/>
                <w:sz w:val="18"/>
                <w:szCs w:val="18"/>
              </w:rPr>
              <w:t>,</w:t>
            </w:r>
            <w:r w:rsidRPr="00AC7C67">
              <w:rPr>
                <w:rFonts w:ascii="Arial Narrow" w:hAnsi="Arial Narrow" w:cs="Arial"/>
                <w:color w:val="000000"/>
                <w:sz w:val="18"/>
                <w:szCs w:val="18"/>
              </w:rPr>
              <w:t>7</w:t>
            </w:r>
          </w:p>
        </w:tc>
      </w:tr>
    </w:tbl>
    <w:p w14:paraId="670F4979" w14:textId="77777777" w:rsidR="00DE2FB0" w:rsidRDefault="00996C3D">
      <w:pPr>
        <w:spacing w:before="120"/>
        <w:jc w:val="both"/>
        <w:rPr>
          <w:rFonts w:ascii="Arial Narrow" w:hAnsi="Arial Narrow"/>
          <w:sz w:val="15"/>
          <w:szCs w:val="15"/>
        </w:rPr>
      </w:pPr>
      <w:r>
        <w:rPr>
          <w:rFonts w:ascii="Arial Narrow" w:hAnsi="Arial Narrow"/>
          <w:sz w:val="15"/>
          <w:szCs w:val="15"/>
        </w:rPr>
        <w:t>a</w:t>
      </w:r>
      <w:proofErr w:type="gramStart"/>
      <w:r>
        <w:rPr>
          <w:rFonts w:ascii="Arial Narrow" w:hAnsi="Arial Narrow"/>
          <w:sz w:val="15"/>
          <w:szCs w:val="15"/>
        </w:rPr>
        <w:t>).</w:t>
      </w:r>
      <w:r w:rsidR="00483D0B" w:rsidRPr="00483D0B">
        <w:rPr>
          <w:rFonts w:ascii="Arial Narrow" w:hAnsi="Arial Narrow"/>
          <w:sz w:val="15"/>
          <w:szCs w:val="15"/>
        </w:rPr>
        <w:t>Le</w:t>
      </w:r>
      <w:proofErr w:type="gramEnd"/>
      <w:r w:rsidR="00483D0B" w:rsidRPr="00483D0B">
        <w:rPr>
          <w:rFonts w:ascii="Arial Narrow" w:hAnsi="Arial Narrow"/>
          <w:sz w:val="15"/>
          <w:szCs w:val="15"/>
        </w:rPr>
        <w:t xml:space="preserve"> attività di locazione dei beni immobili, famiglie e convivenze, organismi internazionali e Amministrazioni Pubbliche sono escluse dal campo di osservazione.</w:t>
      </w:r>
    </w:p>
    <w:p w14:paraId="50828BCF" w14:textId="77777777" w:rsidR="00453658" w:rsidRDefault="00453658">
      <w:pPr>
        <w:rPr>
          <w:rFonts w:ascii="Arial" w:hAnsi="Arial" w:cs="Arial"/>
          <w:sz w:val="22"/>
          <w:szCs w:val="22"/>
        </w:rPr>
      </w:pPr>
      <w:r>
        <w:rPr>
          <w:rFonts w:ascii="Arial" w:hAnsi="Arial" w:cs="Arial"/>
          <w:sz w:val="22"/>
          <w:szCs w:val="22"/>
        </w:rPr>
        <w:br w:type="page"/>
      </w:r>
    </w:p>
    <w:p w14:paraId="3B3A70C5" w14:textId="77777777" w:rsidR="008E22E3" w:rsidRPr="008E22E3" w:rsidRDefault="008E22E3" w:rsidP="000C7172">
      <w:pPr>
        <w:spacing w:after="120"/>
        <w:jc w:val="both"/>
        <w:outlineLvl w:val="0"/>
        <w:rPr>
          <w:rFonts w:ascii="Arial" w:hAnsi="Arial" w:cs="Arial"/>
          <w:bCs/>
          <w:color w:val="1F497D" w:themeColor="text2"/>
          <w:sz w:val="22"/>
          <w:szCs w:val="22"/>
        </w:rPr>
      </w:pPr>
    </w:p>
    <w:p w14:paraId="4C0516F9" w14:textId="77777777" w:rsidR="000C7172" w:rsidRPr="00EA1522" w:rsidRDefault="000C7172" w:rsidP="000C7172">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Produttività del lavoro in aumento</w:t>
      </w:r>
      <w:r w:rsidRPr="00EA1522">
        <w:rPr>
          <w:rFonts w:ascii="Arial" w:hAnsi="Arial" w:cs="Arial"/>
          <w:b/>
          <w:color w:val="1F497D" w:themeColor="text2"/>
          <w:sz w:val="26"/>
          <w:szCs w:val="26"/>
        </w:rPr>
        <w:t xml:space="preserve"> </w:t>
      </w:r>
    </w:p>
    <w:p w14:paraId="7A4F2D63" w14:textId="77777777" w:rsidR="000C7172" w:rsidRDefault="000C7172" w:rsidP="000C7172">
      <w:pPr>
        <w:pStyle w:val="Default"/>
        <w:spacing w:after="120"/>
        <w:jc w:val="both"/>
        <w:rPr>
          <w:rFonts w:ascii="Arial" w:hAnsi="Arial" w:cs="Arial"/>
          <w:sz w:val="22"/>
          <w:szCs w:val="22"/>
        </w:rPr>
      </w:pPr>
      <w:r>
        <w:rPr>
          <w:rFonts w:ascii="Arial" w:hAnsi="Arial" w:cs="Arial"/>
          <w:sz w:val="22"/>
          <w:szCs w:val="22"/>
        </w:rPr>
        <w:t xml:space="preserve">Nel 2020 la produttività del lavoro </w:t>
      </w:r>
      <w:r w:rsidR="00BB7D3D">
        <w:rPr>
          <w:rFonts w:ascii="Arial" w:hAnsi="Arial" w:cs="Arial"/>
          <w:sz w:val="22"/>
          <w:szCs w:val="22"/>
        </w:rPr>
        <w:t>cresce</w:t>
      </w:r>
      <w:r>
        <w:rPr>
          <w:rFonts w:ascii="Arial" w:hAnsi="Arial" w:cs="Arial"/>
          <w:sz w:val="22"/>
          <w:szCs w:val="22"/>
        </w:rPr>
        <w:t xml:space="preserve"> d</w:t>
      </w:r>
      <w:r w:rsidR="00A2593B">
        <w:rPr>
          <w:rFonts w:ascii="Arial" w:hAnsi="Arial" w:cs="Arial"/>
          <w:sz w:val="22"/>
          <w:szCs w:val="22"/>
        </w:rPr>
        <w:t>ell’</w:t>
      </w:r>
      <w:r>
        <w:rPr>
          <w:rFonts w:ascii="Arial" w:hAnsi="Arial" w:cs="Arial"/>
          <w:sz w:val="22"/>
          <w:szCs w:val="22"/>
        </w:rPr>
        <w:t>1,3%</w:t>
      </w:r>
      <w:r w:rsidRPr="00E74E73">
        <w:rPr>
          <w:rFonts w:ascii="Arial" w:hAnsi="Arial" w:cs="Arial"/>
          <w:sz w:val="22"/>
          <w:szCs w:val="22"/>
        </w:rPr>
        <w:t xml:space="preserve">, </w:t>
      </w:r>
      <w:r>
        <w:rPr>
          <w:rFonts w:ascii="Arial" w:hAnsi="Arial" w:cs="Arial"/>
          <w:sz w:val="22"/>
          <w:szCs w:val="22"/>
        </w:rPr>
        <w:t>come risultato di un</w:t>
      </w:r>
      <w:r w:rsidR="00BB7D3D">
        <w:rPr>
          <w:rFonts w:ascii="Arial" w:hAnsi="Arial" w:cs="Arial"/>
          <w:sz w:val="22"/>
          <w:szCs w:val="22"/>
        </w:rPr>
        <w:t xml:space="preserve"> calo</w:t>
      </w:r>
      <w:r>
        <w:rPr>
          <w:rFonts w:ascii="Arial" w:hAnsi="Arial" w:cs="Arial"/>
          <w:sz w:val="22"/>
          <w:szCs w:val="22"/>
        </w:rPr>
        <w:t xml:space="preserve"> </w:t>
      </w:r>
      <w:r w:rsidRPr="00E74E73">
        <w:rPr>
          <w:rFonts w:ascii="Arial" w:hAnsi="Arial" w:cs="Arial"/>
          <w:sz w:val="22"/>
          <w:szCs w:val="22"/>
        </w:rPr>
        <w:t xml:space="preserve">delle ore lavorate </w:t>
      </w:r>
      <w:r>
        <w:rPr>
          <w:rFonts w:ascii="Arial" w:hAnsi="Arial" w:cs="Arial"/>
          <w:sz w:val="22"/>
          <w:szCs w:val="22"/>
        </w:rPr>
        <w:t>più intens</w:t>
      </w:r>
      <w:r w:rsidR="00BB7D3D">
        <w:rPr>
          <w:rFonts w:ascii="Arial" w:hAnsi="Arial" w:cs="Arial"/>
          <w:sz w:val="22"/>
          <w:szCs w:val="22"/>
        </w:rPr>
        <w:t>o di quello</w:t>
      </w:r>
      <w:r>
        <w:rPr>
          <w:rFonts w:ascii="Arial" w:hAnsi="Arial" w:cs="Arial"/>
          <w:sz w:val="22"/>
          <w:szCs w:val="22"/>
        </w:rPr>
        <w:t xml:space="preserve"> del valore aggiunto (rispettivamente -13,0% e -11,8%).</w:t>
      </w:r>
      <w:r w:rsidRPr="00E74E73">
        <w:rPr>
          <w:rFonts w:ascii="Arial" w:hAnsi="Arial" w:cs="Arial"/>
          <w:sz w:val="22"/>
          <w:szCs w:val="22"/>
        </w:rPr>
        <w:t xml:space="preserve"> </w:t>
      </w:r>
      <w:r>
        <w:rPr>
          <w:rFonts w:ascii="Arial" w:hAnsi="Arial" w:cs="Arial"/>
          <w:sz w:val="22"/>
          <w:szCs w:val="22"/>
        </w:rPr>
        <w:t>La dinamica positiva della produttività segue un lungo periodo di crescita molto lenta (0,5% in media ne</w:t>
      </w:r>
      <w:r w:rsidR="00A2593B">
        <w:rPr>
          <w:rFonts w:ascii="Arial" w:hAnsi="Arial" w:cs="Arial"/>
          <w:sz w:val="22"/>
          <w:szCs w:val="22"/>
        </w:rPr>
        <w:t>gli anni</w:t>
      </w:r>
      <w:r>
        <w:rPr>
          <w:rFonts w:ascii="Arial" w:hAnsi="Arial" w:cs="Arial"/>
          <w:sz w:val="22"/>
          <w:szCs w:val="22"/>
        </w:rPr>
        <w:t xml:space="preserve"> 2014-2020).</w:t>
      </w:r>
    </w:p>
    <w:p w14:paraId="4A8D347D" w14:textId="77777777" w:rsidR="000C7172" w:rsidRPr="00E74E73" w:rsidRDefault="000C7172" w:rsidP="000C7172">
      <w:pPr>
        <w:spacing w:after="120"/>
        <w:jc w:val="both"/>
        <w:rPr>
          <w:rFonts w:ascii="Arial" w:hAnsi="Arial" w:cs="Arial"/>
          <w:sz w:val="22"/>
          <w:szCs w:val="22"/>
        </w:rPr>
      </w:pPr>
      <w:r w:rsidRPr="00E74E73">
        <w:rPr>
          <w:rFonts w:ascii="Arial" w:hAnsi="Arial" w:cs="Arial"/>
          <w:sz w:val="22"/>
          <w:szCs w:val="22"/>
        </w:rPr>
        <w:t>Nel</w:t>
      </w:r>
      <w:r>
        <w:rPr>
          <w:rFonts w:ascii="Arial" w:hAnsi="Arial" w:cs="Arial"/>
          <w:sz w:val="22"/>
          <w:szCs w:val="22"/>
        </w:rPr>
        <w:t>l’intero</w:t>
      </w:r>
      <w:r w:rsidRPr="00E74E73">
        <w:rPr>
          <w:rFonts w:ascii="Arial" w:hAnsi="Arial" w:cs="Arial"/>
          <w:sz w:val="22"/>
          <w:szCs w:val="22"/>
        </w:rPr>
        <w:t xml:space="preserve"> periodo 199</w:t>
      </w:r>
      <w:r>
        <w:rPr>
          <w:rFonts w:ascii="Arial" w:hAnsi="Arial" w:cs="Arial"/>
          <w:sz w:val="22"/>
          <w:szCs w:val="22"/>
        </w:rPr>
        <w:t>5-2020</w:t>
      </w:r>
      <w:r w:rsidRPr="00E74E73">
        <w:rPr>
          <w:rFonts w:ascii="Arial" w:hAnsi="Arial" w:cs="Arial"/>
          <w:sz w:val="22"/>
          <w:szCs w:val="22"/>
        </w:rPr>
        <w:t xml:space="preserve"> la produttività del lavoro ha registrato una crescita media annua dello 0,</w:t>
      </w:r>
      <w:r>
        <w:rPr>
          <w:rFonts w:ascii="Arial" w:hAnsi="Arial" w:cs="Arial"/>
          <w:sz w:val="22"/>
          <w:szCs w:val="22"/>
        </w:rPr>
        <w:t>4</w:t>
      </w:r>
      <w:r w:rsidRPr="00E74E73">
        <w:rPr>
          <w:rFonts w:ascii="Arial" w:hAnsi="Arial" w:cs="Arial"/>
          <w:sz w:val="22"/>
          <w:szCs w:val="22"/>
        </w:rPr>
        <w:t xml:space="preserve">%, derivante da </w:t>
      </w:r>
      <w:r>
        <w:rPr>
          <w:rFonts w:ascii="Arial" w:hAnsi="Arial" w:cs="Arial"/>
          <w:sz w:val="22"/>
          <w:szCs w:val="22"/>
        </w:rPr>
        <w:t>un incremento</w:t>
      </w:r>
      <w:r w:rsidRPr="00E74E73">
        <w:rPr>
          <w:rFonts w:ascii="Arial" w:hAnsi="Arial" w:cs="Arial"/>
          <w:sz w:val="22"/>
          <w:szCs w:val="22"/>
        </w:rPr>
        <w:t xml:space="preserve"> medi</w:t>
      </w:r>
      <w:r>
        <w:rPr>
          <w:rFonts w:ascii="Arial" w:hAnsi="Arial" w:cs="Arial"/>
          <w:sz w:val="22"/>
          <w:szCs w:val="22"/>
        </w:rPr>
        <w:t>o</w:t>
      </w:r>
      <w:r w:rsidRPr="00E74E73">
        <w:rPr>
          <w:rFonts w:ascii="Arial" w:hAnsi="Arial" w:cs="Arial"/>
          <w:sz w:val="22"/>
          <w:szCs w:val="22"/>
        </w:rPr>
        <w:t xml:space="preserve"> del valore aggiunto pari allo 0,</w:t>
      </w:r>
      <w:r>
        <w:rPr>
          <w:rFonts w:ascii="Arial" w:hAnsi="Arial" w:cs="Arial"/>
          <w:sz w:val="22"/>
          <w:szCs w:val="22"/>
        </w:rPr>
        <w:t>2</w:t>
      </w:r>
      <w:r w:rsidRPr="00E74E73">
        <w:rPr>
          <w:rFonts w:ascii="Arial" w:hAnsi="Arial" w:cs="Arial"/>
          <w:sz w:val="22"/>
          <w:szCs w:val="22"/>
        </w:rPr>
        <w:t xml:space="preserve">% e </w:t>
      </w:r>
      <w:r>
        <w:rPr>
          <w:rFonts w:ascii="Arial" w:hAnsi="Arial" w:cs="Arial"/>
          <w:sz w:val="22"/>
          <w:szCs w:val="22"/>
        </w:rPr>
        <w:t xml:space="preserve">da un calo medio annuo </w:t>
      </w:r>
      <w:r w:rsidRPr="00CF7005">
        <w:rPr>
          <w:rFonts w:ascii="Arial" w:hAnsi="Arial" w:cs="Arial"/>
          <w:sz w:val="22"/>
          <w:szCs w:val="22"/>
        </w:rPr>
        <w:t>delle ore lavorate pari a -0,2%</w:t>
      </w:r>
      <w:r w:rsidRPr="00CF7005">
        <w:rPr>
          <w:rStyle w:val="Rimandonotadichiusura"/>
          <w:rFonts w:ascii="Arial" w:hAnsi="Arial" w:cs="Arial"/>
          <w:sz w:val="22"/>
          <w:szCs w:val="22"/>
        </w:rPr>
        <w:endnoteReference w:id="4"/>
      </w:r>
      <w:r w:rsidRPr="00CF7005">
        <w:rPr>
          <w:rFonts w:ascii="Arial" w:hAnsi="Arial" w:cs="Arial"/>
          <w:sz w:val="22"/>
          <w:szCs w:val="22"/>
        </w:rPr>
        <w:t>.</w:t>
      </w:r>
      <w:r>
        <w:rPr>
          <w:rFonts w:ascii="Arial" w:hAnsi="Arial" w:cs="Arial"/>
          <w:sz w:val="22"/>
          <w:szCs w:val="22"/>
        </w:rPr>
        <w:t xml:space="preserve"> </w:t>
      </w:r>
    </w:p>
    <w:p w14:paraId="26236D43" w14:textId="77777777" w:rsidR="000C7172" w:rsidRDefault="000C7172" w:rsidP="000C7172">
      <w:pPr>
        <w:spacing w:after="120"/>
        <w:jc w:val="both"/>
        <w:rPr>
          <w:rFonts w:ascii="Arial" w:hAnsi="Arial" w:cs="Arial"/>
          <w:sz w:val="22"/>
          <w:szCs w:val="22"/>
        </w:rPr>
      </w:pPr>
      <w:r w:rsidRPr="00E74E73">
        <w:rPr>
          <w:rFonts w:ascii="Arial" w:hAnsi="Arial" w:cs="Arial"/>
          <w:sz w:val="22"/>
          <w:szCs w:val="22"/>
        </w:rPr>
        <w:t xml:space="preserve">Tra </w:t>
      </w:r>
      <w:r>
        <w:rPr>
          <w:rFonts w:ascii="Arial" w:hAnsi="Arial" w:cs="Arial"/>
          <w:sz w:val="22"/>
          <w:szCs w:val="22"/>
        </w:rPr>
        <w:t xml:space="preserve">il </w:t>
      </w:r>
      <w:r w:rsidRPr="00E74E73">
        <w:rPr>
          <w:rFonts w:ascii="Arial" w:hAnsi="Arial" w:cs="Arial"/>
          <w:sz w:val="22"/>
          <w:szCs w:val="22"/>
        </w:rPr>
        <w:t>200</w:t>
      </w:r>
      <w:r>
        <w:rPr>
          <w:rFonts w:ascii="Arial" w:hAnsi="Arial" w:cs="Arial"/>
          <w:sz w:val="22"/>
          <w:szCs w:val="22"/>
        </w:rPr>
        <w:t>9</w:t>
      </w:r>
      <w:r w:rsidRPr="00E74E73">
        <w:rPr>
          <w:rFonts w:ascii="Arial" w:hAnsi="Arial" w:cs="Arial"/>
          <w:sz w:val="22"/>
          <w:szCs w:val="22"/>
        </w:rPr>
        <w:t xml:space="preserve"> e </w:t>
      </w:r>
      <w:r>
        <w:rPr>
          <w:rFonts w:ascii="Arial" w:hAnsi="Arial" w:cs="Arial"/>
          <w:sz w:val="22"/>
          <w:szCs w:val="22"/>
        </w:rPr>
        <w:t xml:space="preserve">il 2014 </w:t>
      </w:r>
      <w:r w:rsidRPr="00E74E73">
        <w:rPr>
          <w:rFonts w:ascii="Arial" w:hAnsi="Arial" w:cs="Arial"/>
          <w:sz w:val="22"/>
          <w:szCs w:val="22"/>
        </w:rPr>
        <w:t xml:space="preserve">la produttività del lavoro </w:t>
      </w:r>
      <w:r>
        <w:rPr>
          <w:rFonts w:ascii="Arial" w:hAnsi="Arial" w:cs="Arial"/>
          <w:sz w:val="22"/>
          <w:szCs w:val="22"/>
        </w:rPr>
        <w:t>è cresciuta dello 0,9%, per effetto di una riduzione delle ore lavorate (-1,3%) più ampia di quella del valore aggiunto (-0,4%)</w:t>
      </w:r>
      <w:r w:rsidRPr="00E74E73">
        <w:rPr>
          <w:rFonts w:ascii="Arial" w:hAnsi="Arial" w:cs="Arial"/>
          <w:sz w:val="22"/>
          <w:szCs w:val="22"/>
        </w:rPr>
        <w:t>.</w:t>
      </w:r>
      <w:r>
        <w:rPr>
          <w:rFonts w:ascii="Arial" w:hAnsi="Arial" w:cs="Arial"/>
          <w:sz w:val="22"/>
          <w:szCs w:val="22"/>
        </w:rPr>
        <w:t xml:space="preserve"> Nel periodo più recente </w:t>
      </w:r>
      <w:r w:rsidR="00BB7D3D">
        <w:rPr>
          <w:rFonts w:ascii="Arial" w:hAnsi="Arial" w:cs="Arial"/>
          <w:sz w:val="22"/>
          <w:szCs w:val="22"/>
        </w:rPr>
        <w:br/>
      </w:r>
      <w:r>
        <w:rPr>
          <w:rFonts w:ascii="Arial" w:hAnsi="Arial" w:cs="Arial"/>
          <w:sz w:val="22"/>
          <w:szCs w:val="22"/>
        </w:rPr>
        <w:t>(2014-2020) la dinamica negativa delle ore lavorate e del valore aggiunto è stata accompagnata da una dinamica positiva dell’input di capitale: la diminuzione media delle ore lavorate</w:t>
      </w:r>
      <w:r w:rsidR="00BB7D3D">
        <w:rPr>
          <w:rFonts w:ascii="Arial" w:hAnsi="Arial" w:cs="Arial"/>
          <w:sz w:val="22"/>
          <w:szCs w:val="22"/>
        </w:rPr>
        <w:t xml:space="preserve"> (</w:t>
      </w:r>
      <w:r w:rsidR="00643153">
        <w:rPr>
          <w:rFonts w:ascii="Arial" w:hAnsi="Arial" w:cs="Arial"/>
          <w:sz w:val="22"/>
          <w:szCs w:val="22"/>
        </w:rPr>
        <w:t>-</w:t>
      </w:r>
      <w:r>
        <w:rPr>
          <w:rFonts w:ascii="Arial" w:hAnsi="Arial" w:cs="Arial"/>
          <w:sz w:val="22"/>
          <w:szCs w:val="22"/>
        </w:rPr>
        <w:t>1,3%</w:t>
      </w:r>
      <w:r w:rsidR="00BB7D3D">
        <w:rPr>
          <w:rFonts w:ascii="Arial" w:hAnsi="Arial" w:cs="Arial"/>
          <w:sz w:val="22"/>
          <w:szCs w:val="22"/>
        </w:rPr>
        <w:t>)</w:t>
      </w:r>
      <w:r>
        <w:rPr>
          <w:rFonts w:ascii="Arial" w:hAnsi="Arial" w:cs="Arial"/>
          <w:sz w:val="22"/>
          <w:szCs w:val="22"/>
        </w:rPr>
        <w:t xml:space="preserve"> è risultata maggiore di quella media del valore aggiunto</w:t>
      </w:r>
      <w:r w:rsidR="00BB7D3D">
        <w:rPr>
          <w:rFonts w:ascii="Arial" w:hAnsi="Arial" w:cs="Arial"/>
          <w:sz w:val="22"/>
          <w:szCs w:val="22"/>
        </w:rPr>
        <w:t xml:space="preserve"> (</w:t>
      </w:r>
      <w:r w:rsidR="00643153">
        <w:rPr>
          <w:rFonts w:ascii="Arial" w:hAnsi="Arial" w:cs="Arial"/>
          <w:sz w:val="22"/>
          <w:szCs w:val="22"/>
        </w:rPr>
        <w:t>-</w:t>
      </w:r>
      <w:r>
        <w:rPr>
          <w:rFonts w:ascii="Arial" w:hAnsi="Arial" w:cs="Arial"/>
          <w:sz w:val="22"/>
          <w:szCs w:val="22"/>
        </w:rPr>
        <w:t>0,8%</w:t>
      </w:r>
      <w:r w:rsidR="00BB7D3D">
        <w:rPr>
          <w:rFonts w:ascii="Arial" w:hAnsi="Arial" w:cs="Arial"/>
          <w:sz w:val="22"/>
          <w:szCs w:val="22"/>
        </w:rPr>
        <w:t>)</w:t>
      </w:r>
      <w:r>
        <w:rPr>
          <w:rFonts w:ascii="Arial" w:hAnsi="Arial" w:cs="Arial"/>
          <w:sz w:val="22"/>
          <w:szCs w:val="22"/>
        </w:rPr>
        <w:t xml:space="preserve"> con un effetto di crescita della produttività del lavoro mediamente dello 0,5%. </w:t>
      </w:r>
    </w:p>
    <w:p w14:paraId="3823729D" w14:textId="77777777" w:rsidR="000C7172" w:rsidRPr="00E74E73" w:rsidRDefault="000C7172" w:rsidP="000C7172">
      <w:pPr>
        <w:spacing w:after="120"/>
        <w:jc w:val="both"/>
        <w:rPr>
          <w:rFonts w:ascii="Arial" w:hAnsi="Arial" w:cs="Arial"/>
          <w:sz w:val="22"/>
          <w:szCs w:val="22"/>
        </w:rPr>
      </w:pPr>
    </w:p>
    <w:p w14:paraId="42F0D19E" w14:textId="77777777" w:rsidR="000C7172" w:rsidRPr="009924C8" w:rsidRDefault="00BB14D7" w:rsidP="000C7172">
      <w:pPr>
        <w:pStyle w:val="Default"/>
        <w:spacing w:after="200"/>
        <w:jc w:val="both"/>
        <w:rPr>
          <w:rFonts w:ascii="Arial" w:hAnsi="Arial" w:cs="Arial"/>
          <w:b/>
          <w:color w:val="1F497D" w:themeColor="text2"/>
          <w:sz w:val="26"/>
          <w:szCs w:val="26"/>
        </w:rPr>
      </w:pPr>
      <w:r>
        <w:rPr>
          <w:rFonts w:ascii="Arial" w:hAnsi="Arial" w:cs="Arial"/>
          <w:b/>
          <w:color w:val="1F497D" w:themeColor="text2"/>
          <w:sz w:val="26"/>
          <w:szCs w:val="26"/>
        </w:rPr>
        <w:t>Confermato il divario di produttività tra Italia e resto d’Europa</w:t>
      </w:r>
    </w:p>
    <w:p w14:paraId="2BA67969" w14:textId="77777777" w:rsidR="000C7172" w:rsidRPr="009924C8" w:rsidRDefault="000C7172" w:rsidP="000C7172">
      <w:pPr>
        <w:autoSpaceDE w:val="0"/>
        <w:autoSpaceDN w:val="0"/>
        <w:adjustRightInd w:val="0"/>
        <w:spacing w:after="120"/>
        <w:jc w:val="both"/>
        <w:rPr>
          <w:rFonts w:ascii="Arial" w:hAnsi="Arial" w:cs="Arial"/>
          <w:sz w:val="22"/>
          <w:szCs w:val="22"/>
        </w:rPr>
      </w:pPr>
      <w:r w:rsidRPr="009924C8">
        <w:rPr>
          <w:rFonts w:ascii="Arial" w:hAnsi="Arial" w:cs="Arial"/>
          <w:sz w:val="22"/>
          <w:szCs w:val="22"/>
        </w:rPr>
        <w:t xml:space="preserve">La disponibilità di dati per paese su valore aggiunto e ore lavorate per attività economica, di </w:t>
      </w:r>
      <w:r>
        <w:rPr>
          <w:rFonts w:ascii="Arial" w:hAnsi="Arial" w:cs="Arial"/>
          <w:sz w:val="22"/>
          <w:szCs w:val="22"/>
        </w:rPr>
        <w:t xml:space="preserve">fonte </w:t>
      </w:r>
      <w:r w:rsidRPr="009924C8">
        <w:rPr>
          <w:rFonts w:ascii="Arial" w:hAnsi="Arial" w:cs="Arial"/>
          <w:sz w:val="22"/>
          <w:szCs w:val="22"/>
        </w:rPr>
        <w:t>Eurostat, consente di effettuare confronti internazionali per la sola produttività del lavoro</w:t>
      </w:r>
      <w:r w:rsidRPr="009924C8">
        <w:rPr>
          <w:rStyle w:val="Rimandonotadichiusura"/>
          <w:rFonts w:ascii="Arial" w:hAnsi="Arial" w:cs="Arial"/>
          <w:sz w:val="22"/>
          <w:szCs w:val="22"/>
        </w:rPr>
        <w:endnoteReference w:id="5"/>
      </w:r>
      <w:r w:rsidRPr="009924C8">
        <w:rPr>
          <w:rFonts w:ascii="Arial" w:hAnsi="Arial" w:cs="Arial"/>
          <w:sz w:val="22"/>
          <w:szCs w:val="22"/>
        </w:rPr>
        <w:t>. I risultati mostrano, complessivamente, la persistenza di un ampio differenziale negativo nella dinamica della produttività del lavoro dell’Italia rispetto alle altre economie europee.</w:t>
      </w:r>
    </w:p>
    <w:p w14:paraId="2C8C70E9" w14:textId="77777777" w:rsidR="000C7172" w:rsidRPr="009924C8" w:rsidRDefault="000C7172" w:rsidP="000C7172">
      <w:pPr>
        <w:autoSpaceDE w:val="0"/>
        <w:autoSpaceDN w:val="0"/>
        <w:adjustRightInd w:val="0"/>
        <w:spacing w:after="120"/>
        <w:jc w:val="both"/>
        <w:rPr>
          <w:rFonts w:ascii="Arial" w:hAnsi="Arial" w:cs="Arial"/>
          <w:sz w:val="22"/>
          <w:szCs w:val="22"/>
        </w:rPr>
      </w:pPr>
      <w:r w:rsidRPr="009924C8">
        <w:rPr>
          <w:rFonts w:ascii="Arial" w:hAnsi="Arial" w:cs="Arial"/>
          <w:sz w:val="22"/>
          <w:szCs w:val="22"/>
        </w:rPr>
        <w:t>Nel periodo 1995-2020, la crescita media annua della produttività del lavoro in Italia (</w:t>
      </w:r>
      <w:r w:rsidR="00643153">
        <w:rPr>
          <w:rFonts w:ascii="Arial" w:hAnsi="Arial" w:cs="Arial"/>
          <w:sz w:val="22"/>
          <w:szCs w:val="22"/>
        </w:rPr>
        <w:t>+</w:t>
      </w:r>
      <w:r w:rsidRPr="009924C8">
        <w:rPr>
          <w:rFonts w:ascii="Arial" w:hAnsi="Arial" w:cs="Arial"/>
          <w:sz w:val="22"/>
          <w:szCs w:val="22"/>
        </w:rPr>
        <w:t xml:space="preserve">0,4%) è stata decisamente inferiore a quella sperimentata nel resto d’Europa </w:t>
      </w:r>
      <w:r w:rsidR="00643153">
        <w:rPr>
          <w:rFonts w:ascii="Arial" w:hAnsi="Arial" w:cs="Arial"/>
          <w:sz w:val="22"/>
          <w:szCs w:val="22"/>
        </w:rPr>
        <w:t>(+</w:t>
      </w:r>
      <w:r w:rsidRPr="009924C8">
        <w:rPr>
          <w:rFonts w:ascii="Arial" w:hAnsi="Arial" w:cs="Arial"/>
          <w:sz w:val="22"/>
          <w:szCs w:val="22"/>
        </w:rPr>
        <w:t>1,5% nell’U</w:t>
      </w:r>
      <w:r w:rsidR="00753101">
        <w:rPr>
          <w:rFonts w:ascii="Arial" w:hAnsi="Arial" w:cs="Arial"/>
          <w:sz w:val="22"/>
          <w:szCs w:val="22"/>
        </w:rPr>
        <w:t>e</w:t>
      </w:r>
      <w:r w:rsidRPr="009924C8">
        <w:rPr>
          <w:rFonts w:ascii="Arial" w:hAnsi="Arial" w:cs="Arial"/>
          <w:sz w:val="22"/>
          <w:szCs w:val="22"/>
        </w:rPr>
        <w:t>27</w:t>
      </w:r>
      <w:r w:rsidR="00643153">
        <w:rPr>
          <w:rFonts w:ascii="Arial" w:hAnsi="Arial" w:cs="Arial"/>
          <w:sz w:val="22"/>
          <w:szCs w:val="22"/>
        </w:rPr>
        <w:t>)</w:t>
      </w:r>
      <w:r w:rsidRPr="009924C8">
        <w:rPr>
          <w:rFonts w:ascii="Arial" w:hAnsi="Arial" w:cs="Arial"/>
          <w:sz w:val="22"/>
          <w:szCs w:val="22"/>
        </w:rPr>
        <w:t xml:space="preserve"> (Figura 1). Tassi di incremento più in linea con la media europea sono stati registrati dalla Francia (1,2%), e dalla Germania (1,3%). Anche la Spagna registra un tasso di crescita (</w:t>
      </w:r>
      <w:r w:rsidR="00BB14D7">
        <w:rPr>
          <w:rFonts w:ascii="Arial" w:hAnsi="Arial" w:cs="Arial"/>
          <w:sz w:val="22"/>
          <w:szCs w:val="22"/>
        </w:rPr>
        <w:t>+</w:t>
      </w:r>
      <w:r w:rsidRPr="009924C8">
        <w:rPr>
          <w:rFonts w:ascii="Arial" w:hAnsi="Arial" w:cs="Arial"/>
          <w:sz w:val="22"/>
          <w:szCs w:val="22"/>
        </w:rPr>
        <w:t xml:space="preserve">0,4%) più basso della media europea e </w:t>
      </w:r>
      <w:r w:rsidR="00BB14D7">
        <w:rPr>
          <w:rFonts w:ascii="Arial" w:hAnsi="Arial" w:cs="Arial"/>
          <w:sz w:val="22"/>
          <w:szCs w:val="22"/>
        </w:rPr>
        <w:t>analogo</w:t>
      </w:r>
      <w:r w:rsidR="00BB14D7" w:rsidRPr="009924C8">
        <w:rPr>
          <w:rFonts w:ascii="Arial" w:hAnsi="Arial" w:cs="Arial"/>
          <w:sz w:val="22"/>
          <w:szCs w:val="22"/>
        </w:rPr>
        <w:t xml:space="preserve"> </w:t>
      </w:r>
      <w:r w:rsidRPr="009924C8">
        <w:rPr>
          <w:rFonts w:ascii="Arial" w:hAnsi="Arial" w:cs="Arial"/>
          <w:sz w:val="22"/>
          <w:szCs w:val="22"/>
        </w:rPr>
        <w:t>a quello dell’Italia.</w:t>
      </w:r>
    </w:p>
    <w:p w14:paraId="22D4643A" w14:textId="77777777" w:rsidR="000C7172" w:rsidRPr="00A541B8" w:rsidRDefault="000C7172" w:rsidP="000C7172">
      <w:pPr>
        <w:autoSpaceDE w:val="0"/>
        <w:autoSpaceDN w:val="0"/>
        <w:adjustRightInd w:val="0"/>
        <w:spacing w:after="120"/>
        <w:jc w:val="both"/>
        <w:rPr>
          <w:rFonts w:ascii="Arial" w:hAnsi="Arial" w:cs="Arial"/>
          <w:sz w:val="22"/>
          <w:szCs w:val="22"/>
        </w:rPr>
      </w:pPr>
      <w:r w:rsidRPr="00A541B8">
        <w:rPr>
          <w:rFonts w:ascii="Arial" w:hAnsi="Arial" w:cs="Arial"/>
          <w:sz w:val="22"/>
          <w:szCs w:val="22"/>
        </w:rPr>
        <w:t>Il divario rispetto alle altre economie europee è risultato particolarmente ampio in termini di evoluzione del valore aggiunto: in Italia, nel periodo 1995-2020</w:t>
      </w:r>
      <w:r>
        <w:rPr>
          <w:rFonts w:ascii="Arial" w:hAnsi="Arial" w:cs="Arial"/>
          <w:sz w:val="22"/>
          <w:szCs w:val="22"/>
        </w:rPr>
        <w:t>,</w:t>
      </w:r>
      <w:r w:rsidRPr="00A541B8">
        <w:rPr>
          <w:rFonts w:ascii="Arial" w:hAnsi="Arial" w:cs="Arial"/>
          <w:sz w:val="22"/>
          <w:szCs w:val="22"/>
        </w:rPr>
        <w:t xml:space="preserve"> la crescita media annua è stata dello 0,2%, assai inferiore a quella della media della U</w:t>
      </w:r>
      <w:r w:rsidR="00340B6B">
        <w:rPr>
          <w:rFonts w:ascii="Arial" w:hAnsi="Arial" w:cs="Arial"/>
          <w:sz w:val="22"/>
          <w:szCs w:val="22"/>
        </w:rPr>
        <w:t>e</w:t>
      </w:r>
      <w:r w:rsidRPr="00A541B8">
        <w:rPr>
          <w:rFonts w:ascii="Arial" w:hAnsi="Arial" w:cs="Arial"/>
          <w:sz w:val="22"/>
          <w:szCs w:val="22"/>
        </w:rPr>
        <w:t>27</w:t>
      </w:r>
      <w:r w:rsidRPr="00A541B8" w:rsidDel="007B51D5">
        <w:rPr>
          <w:rFonts w:ascii="Arial" w:hAnsi="Arial" w:cs="Arial"/>
          <w:sz w:val="22"/>
          <w:szCs w:val="22"/>
        </w:rPr>
        <w:t xml:space="preserve"> </w:t>
      </w:r>
      <w:r w:rsidRPr="00A541B8">
        <w:rPr>
          <w:rFonts w:ascii="Arial" w:hAnsi="Arial" w:cs="Arial"/>
          <w:sz w:val="22"/>
          <w:szCs w:val="22"/>
        </w:rPr>
        <w:t>(</w:t>
      </w:r>
      <w:r>
        <w:rPr>
          <w:rFonts w:ascii="Arial" w:hAnsi="Arial" w:cs="Arial"/>
          <w:sz w:val="22"/>
          <w:szCs w:val="22"/>
        </w:rPr>
        <w:t>+</w:t>
      </w:r>
      <w:r w:rsidRPr="00A541B8">
        <w:rPr>
          <w:rFonts w:ascii="Arial" w:hAnsi="Arial" w:cs="Arial"/>
          <w:sz w:val="22"/>
          <w:szCs w:val="22"/>
        </w:rPr>
        <w:t xml:space="preserve">1,5%). Le ore lavorate, al contrario, hanno registrato </w:t>
      </w:r>
      <w:r>
        <w:rPr>
          <w:rFonts w:ascii="Arial" w:hAnsi="Arial" w:cs="Arial"/>
          <w:sz w:val="22"/>
          <w:szCs w:val="22"/>
        </w:rPr>
        <w:t>variazioni complessivamente molto limitate</w:t>
      </w:r>
      <w:r w:rsidRPr="00A541B8">
        <w:rPr>
          <w:rFonts w:ascii="Arial" w:hAnsi="Arial" w:cs="Arial"/>
          <w:sz w:val="22"/>
          <w:szCs w:val="22"/>
        </w:rPr>
        <w:t>: -0,2% in Italia</w:t>
      </w:r>
      <w:r>
        <w:rPr>
          <w:rFonts w:ascii="Arial" w:hAnsi="Arial" w:cs="Arial"/>
          <w:sz w:val="22"/>
          <w:szCs w:val="22"/>
        </w:rPr>
        <w:t xml:space="preserve">, </w:t>
      </w:r>
      <w:r w:rsidRPr="00A541B8">
        <w:rPr>
          <w:rFonts w:ascii="Arial" w:hAnsi="Arial" w:cs="Arial"/>
          <w:sz w:val="22"/>
          <w:szCs w:val="22"/>
        </w:rPr>
        <w:t>-0,1% in Germania</w:t>
      </w:r>
      <w:r>
        <w:rPr>
          <w:rFonts w:ascii="Arial" w:hAnsi="Arial" w:cs="Arial"/>
          <w:sz w:val="22"/>
          <w:szCs w:val="22"/>
        </w:rPr>
        <w:t>, +0.2% in</w:t>
      </w:r>
      <w:r w:rsidRPr="00A541B8">
        <w:rPr>
          <w:rFonts w:ascii="Arial" w:hAnsi="Arial" w:cs="Arial"/>
          <w:sz w:val="22"/>
          <w:szCs w:val="22"/>
        </w:rPr>
        <w:t xml:space="preserve"> Francia</w:t>
      </w:r>
      <w:r>
        <w:rPr>
          <w:rFonts w:ascii="Arial" w:hAnsi="Arial" w:cs="Arial"/>
          <w:sz w:val="22"/>
          <w:szCs w:val="22"/>
        </w:rPr>
        <w:t>. S</w:t>
      </w:r>
      <w:r w:rsidRPr="00A541B8">
        <w:rPr>
          <w:rFonts w:ascii="Arial" w:hAnsi="Arial" w:cs="Arial"/>
          <w:sz w:val="22"/>
          <w:szCs w:val="22"/>
        </w:rPr>
        <w:t>ol</w:t>
      </w:r>
      <w:r>
        <w:rPr>
          <w:rFonts w:ascii="Arial" w:hAnsi="Arial" w:cs="Arial"/>
          <w:sz w:val="22"/>
          <w:szCs w:val="22"/>
        </w:rPr>
        <w:t>amente</w:t>
      </w:r>
      <w:r w:rsidRPr="00A541B8">
        <w:rPr>
          <w:rFonts w:ascii="Arial" w:hAnsi="Arial" w:cs="Arial"/>
          <w:sz w:val="22"/>
          <w:szCs w:val="22"/>
        </w:rPr>
        <w:t xml:space="preserve"> </w:t>
      </w:r>
      <w:r>
        <w:rPr>
          <w:rFonts w:ascii="Arial" w:hAnsi="Arial" w:cs="Arial"/>
          <w:sz w:val="22"/>
          <w:szCs w:val="22"/>
        </w:rPr>
        <w:t>la</w:t>
      </w:r>
      <w:r w:rsidRPr="00A541B8">
        <w:rPr>
          <w:rFonts w:ascii="Arial" w:hAnsi="Arial" w:cs="Arial"/>
          <w:sz w:val="22"/>
          <w:szCs w:val="22"/>
        </w:rPr>
        <w:t xml:space="preserve"> Spagna, tra i principali paesi europei, </w:t>
      </w:r>
      <w:r>
        <w:rPr>
          <w:rFonts w:ascii="Arial" w:hAnsi="Arial" w:cs="Arial"/>
          <w:sz w:val="22"/>
          <w:szCs w:val="22"/>
        </w:rPr>
        <w:t>ha segnato una crescita</w:t>
      </w:r>
      <w:r w:rsidRPr="00A541B8">
        <w:rPr>
          <w:rFonts w:ascii="Arial" w:hAnsi="Arial" w:cs="Arial"/>
          <w:sz w:val="22"/>
          <w:szCs w:val="22"/>
        </w:rPr>
        <w:t xml:space="preserve"> più accentuat</w:t>
      </w:r>
      <w:r>
        <w:rPr>
          <w:rFonts w:ascii="Arial" w:hAnsi="Arial" w:cs="Arial"/>
          <w:sz w:val="22"/>
          <w:szCs w:val="22"/>
        </w:rPr>
        <w:t>a</w:t>
      </w:r>
      <w:r w:rsidRPr="00A541B8">
        <w:rPr>
          <w:rFonts w:ascii="Arial" w:hAnsi="Arial" w:cs="Arial"/>
          <w:sz w:val="22"/>
          <w:szCs w:val="22"/>
        </w:rPr>
        <w:t xml:space="preserve"> (</w:t>
      </w:r>
      <w:r>
        <w:rPr>
          <w:rFonts w:ascii="Arial" w:hAnsi="Arial" w:cs="Arial"/>
          <w:sz w:val="22"/>
          <w:szCs w:val="22"/>
        </w:rPr>
        <w:t>+</w:t>
      </w:r>
      <w:r w:rsidRPr="00A541B8">
        <w:rPr>
          <w:rFonts w:ascii="Arial" w:hAnsi="Arial" w:cs="Arial"/>
          <w:sz w:val="22"/>
          <w:szCs w:val="22"/>
        </w:rPr>
        <w:t xml:space="preserve">0,8%). </w:t>
      </w:r>
    </w:p>
    <w:p w14:paraId="4915C6C8" w14:textId="77777777" w:rsidR="00DE2FB0" w:rsidRDefault="000C7172" w:rsidP="00FB167F">
      <w:pPr>
        <w:spacing w:after="120"/>
        <w:ind w:right="56"/>
        <w:jc w:val="both"/>
        <w:rPr>
          <w:rFonts w:ascii="Arial" w:hAnsi="Arial" w:cs="Arial"/>
          <w:sz w:val="22"/>
          <w:szCs w:val="22"/>
        </w:rPr>
      </w:pPr>
      <w:r w:rsidRPr="00833E50">
        <w:rPr>
          <w:rFonts w:ascii="Arial" w:hAnsi="Arial" w:cs="Arial"/>
          <w:sz w:val="22"/>
          <w:szCs w:val="22"/>
        </w:rPr>
        <w:t>Nel periodo più recente (2014-2020), la produttività del lavoro in Italia è aumentata dello 0,5% in media annua, con una modesta contrazione del divario di crescita rispetto all’U</w:t>
      </w:r>
      <w:r w:rsidR="00340B6B">
        <w:rPr>
          <w:rFonts w:ascii="Arial" w:hAnsi="Arial" w:cs="Arial"/>
          <w:sz w:val="22"/>
          <w:szCs w:val="22"/>
        </w:rPr>
        <w:t>e</w:t>
      </w:r>
      <w:r w:rsidRPr="00833E50">
        <w:rPr>
          <w:rFonts w:ascii="Arial" w:hAnsi="Arial" w:cs="Arial"/>
          <w:sz w:val="22"/>
          <w:szCs w:val="22"/>
        </w:rPr>
        <w:t>27 (</w:t>
      </w:r>
      <w:r w:rsidR="00BB14D7">
        <w:rPr>
          <w:rFonts w:ascii="Arial" w:hAnsi="Arial" w:cs="Arial"/>
          <w:sz w:val="22"/>
          <w:szCs w:val="22"/>
        </w:rPr>
        <w:t>+</w:t>
      </w:r>
      <w:r w:rsidRPr="00833E50">
        <w:rPr>
          <w:rFonts w:ascii="Arial" w:hAnsi="Arial" w:cs="Arial"/>
          <w:sz w:val="22"/>
          <w:szCs w:val="22"/>
        </w:rPr>
        <w:t xml:space="preserve">1,2%). La dinamica </w:t>
      </w:r>
      <w:r>
        <w:rPr>
          <w:rFonts w:ascii="Arial" w:hAnsi="Arial" w:cs="Arial"/>
          <w:sz w:val="22"/>
          <w:szCs w:val="22"/>
        </w:rPr>
        <w:t xml:space="preserve">è </w:t>
      </w:r>
      <w:r w:rsidRPr="00833E50">
        <w:rPr>
          <w:rFonts w:ascii="Arial" w:hAnsi="Arial" w:cs="Arial"/>
          <w:sz w:val="22"/>
          <w:szCs w:val="22"/>
        </w:rPr>
        <w:t>risulta</w:t>
      </w:r>
      <w:r>
        <w:rPr>
          <w:rFonts w:ascii="Arial" w:hAnsi="Arial" w:cs="Arial"/>
          <w:sz w:val="22"/>
          <w:szCs w:val="22"/>
        </w:rPr>
        <w:t>ta</w:t>
      </w:r>
      <w:r w:rsidRPr="00833E50">
        <w:rPr>
          <w:rFonts w:ascii="Arial" w:hAnsi="Arial" w:cs="Arial"/>
          <w:sz w:val="22"/>
          <w:szCs w:val="22"/>
        </w:rPr>
        <w:t xml:space="preserve"> inferiore a quella </w:t>
      </w:r>
      <w:r>
        <w:rPr>
          <w:rFonts w:ascii="Arial" w:hAnsi="Arial" w:cs="Arial"/>
          <w:sz w:val="22"/>
          <w:szCs w:val="22"/>
        </w:rPr>
        <w:t>della</w:t>
      </w:r>
      <w:r w:rsidRPr="00833E50">
        <w:rPr>
          <w:rFonts w:ascii="Arial" w:hAnsi="Arial" w:cs="Arial"/>
          <w:sz w:val="22"/>
          <w:szCs w:val="22"/>
        </w:rPr>
        <w:t xml:space="preserve"> Germania (1,0%), </w:t>
      </w:r>
      <w:r>
        <w:rPr>
          <w:rFonts w:ascii="Arial" w:hAnsi="Arial" w:cs="Arial"/>
          <w:sz w:val="22"/>
          <w:szCs w:val="22"/>
        </w:rPr>
        <w:t>pari</w:t>
      </w:r>
      <w:r w:rsidRPr="00833E50">
        <w:rPr>
          <w:rFonts w:ascii="Arial" w:hAnsi="Arial" w:cs="Arial"/>
          <w:sz w:val="22"/>
          <w:szCs w:val="22"/>
        </w:rPr>
        <w:t xml:space="preserve"> </w:t>
      </w:r>
      <w:r>
        <w:rPr>
          <w:rFonts w:ascii="Arial" w:hAnsi="Arial" w:cs="Arial"/>
          <w:sz w:val="22"/>
          <w:szCs w:val="22"/>
        </w:rPr>
        <w:t xml:space="preserve">a quella </w:t>
      </w:r>
      <w:r w:rsidR="00BB14D7">
        <w:rPr>
          <w:rFonts w:ascii="Arial" w:hAnsi="Arial" w:cs="Arial"/>
          <w:sz w:val="22"/>
          <w:szCs w:val="22"/>
        </w:rPr>
        <w:t>della</w:t>
      </w:r>
      <w:r w:rsidRPr="00833E50">
        <w:rPr>
          <w:rFonts w:ascii="Arial" w:hAnsi="Arial" w:cs="Arial"/>
          <w:sz w:val="22"/>
          <w:szCs w:val="22"/>
        </w:rPr>
        <w:t xml:space="preserve"> Francia (</w:t>
      </w:r>
      <w:r w:rsidR="00BB14D7">
        <w:rPr>
          <w:rFonts w:ascii="Arial" w:hAnsi="Arial" w:cs="Arial"/>
          <w:sz w:val="22"/>
          <w:szCs w:val="22"/>
        </w:rPr>
        <w:t>+</w:t>
      </w:r>
      <w:r w:rsidRPr="00833E50">
        <w:rPr>
          <w:rFonts w:ascii="Arial" w:hAnsi="Arial" w:cs="Arial"/>
          <w:sz w:val="22"/>
          <w:szCs w:val="22"/>
        </w:rPr>
        <w:t xml:space="preserve">0,5%), e superiore rispetto alla stazionarietà </w:t>
      </w:r>
      <w:r>
        <w:rPr>
          <w:rFonts w:ascii="Arial" w:hAnsi="Arial" w:cs="Arial"/>
          <w:sz w:val="22"/>
          <w:szCs w:val="22"/>
        </w:rPr>
        <w:t>rilevata per la</w:t>
      </w:r>
      <w:r w:rsidRPr="00833E50">
        <w:rPr>
          <w:rFonts w:ascii="Arial" w:hAnsi="Arial" w:cs="Arial"/>
          <w:sz w:val="22"/>
          <w:szCs w:val="22"/>
        </w:rPr>
        <w:t xml:space="preserve"> Spagna.</w:t>
      </w:r>
    </w:p>
    <w:p w14:paraId="6377CBF5" w14:textId="77777777" w:rsidR="00FB167F" w:rsidRDefault="00FB167F" w:rsidP="00FB167F">
      <w:pPr>
        <w:spacing w:after="120"/>
        <w:ind w:right="56"/>
        <w:jc w:val="both"/>
        <w:rPr>
          <w:rFonts w:ascii="Arial" w:hAnsi="Arial" w:cs="Arial"/>
          <w:sz w:val="44"/>
          <w:szCs w:val="14"/>
          <w:highlight w:val="yellow"/>
        </w:rPr>
      </w:pPr>
    </w:p>
    <w:p w14:paraId="05D86607" w14:textId="77777777" w:rsidR="005D02DA" w:rsidRPr="005D02DA" w:rsidRDefault="00F27409" w:rsidP="00225B32">
      <w:pPr>
        <w:autoSpaceDE w:val="0"/>
        <w:autoSpaceDN w:val="0"/>
        <w:adjustRightInd w:val="0"/>
        <w:rPr>
          <w:rFonts w:ascii="Arial Narrow" w:hAnsi="Arial Narrow" w:cs="Arial"/>
          <w:b/>
          <w:iCs/>
          <w:noProof/>
          <w:color w:val="1F497D" w:themeColor="text2"/>
          <w:sz w:val="22"/>
          <w:szCs w:val="22"/>
        </w:rPr>
      </w:pPr>
      <w:r w:rsidRPr="005D02DA">
        <w:rPr>
          <w:rFonts w:ascii="Arial Black" w:hAnsi="Arial Black" w:cs="Arial"/>
          <w:iCs/>
          <w:noProof/>
          <w:color w:val="1F497D" w:themeColor="text2"/>
          <w:sz w:val="22"/>
          <w:szCs w:val="22"/>
        </w:rPr>
        <w:t>FIGURA 1.</w:t>
      </w:r>
      <w:r w:rsidRPr="005D02DA">
        <w:rPr>
          <w:rFonts w:ascii="Arial Narrow" w:hAnsi="Arial Narrow" w:cs="Arial"/>
          <w:b/>
          <w:iCs/>
          <w:noProof/>
          <w:color w:val="1F497D" w:themeColor="text2"/>
          <w:sz w:val="22"/>
          <w:szCs w:val="22"/>
        </w:rPr>
        <w:t xml:space="preserve"> </w:t>
      </w:r>
      <w:r w:rsidR="00C86CB9">
        <w:rPr>
          <w:rFonts w:ascii="Arial Narrow" w:hAnsi="Arial Narrow" w:cs="Arial"/>
          <w:b/>
          <w:iCs/>
          <w:noProof/>
          <w:color w:val="1F497D" w:themeColor="text2"/>
          <w:sz w:val="22"/>
          <w:szCs w:val="22"/>
        </w:rPr>
        <w:t xml:space="preserve"> </w:t>
      </w:r>
      <w:r w:rsidR="00F76067" w:rsidRPr="00F76067">
        <w:rPr>
          <w:rFonts w:ascii="Arial Narrow" w:hAnsi="Arial Narrow" w:cs="Arial"/>
          <w:b/>
          <w:iCs/>
          <w:noProof/>
          <w:color w:val="1F497D" w:themeColor="text2"/>
          <w:sz w:val="22"/>
          <w:szCs w:val="22"/>
        </w:rPr>
        <w:t xml:space="preserve">PRODUTTIVITÀ DEL LAVORO </w:t>
      </w:r>
      <w:r w:rsidR="00F76067">
        <w:rPr>
          <w:rFonts w:ascii="Arial Narrow" w:hAnsi="Arial Narrow" w:cs="Arial"/>
          <w:b/>
          <w:iCs/>
          <w:noProof/>
          <w:color w:val="1F497D" w:themeColor="text2"/>
          <w:sz w:val="22"/>
          <w:szCs w:val="22"/>
        </w:rPr>
        <w:t>NEI</w:t>
      </w:r>
      <w:r w:rsidR="00F76067" w:rsidRPr="00F76067">
        <w:rPr>
          <w:rFonts w:ascii="Arial Narrow" w:hAnsi="Arial Narrow" w:cs="Arial"/>
          <w:b/>
          <w:iCs/>
          <w:noProof/>
          <w:color w:val="1F497D" w:themeColor="text2"/>
          <w:sz w:val="22"/>
          <w:szCs w:val="22"/>
        </w:rPr>
        <w:t xml:space="preserve"> PRINCIPALI PAESI EUROPEI</w:t>
      </w:r>
      <w:r w:rsidR="00302D74">
        <w:rPr>
          <w:rFonts w:ascii="Arial Narrow" w:hAnsi="Arial Narrow" w:cs="Arial"/>
          <w:b/>
          <w:iCs/>
          <w:noProof/>
          <w:color w:val="1F497D" w:themeColor="text2"/>
          <w:sz w:val="22"/>
          <w:szCs w:val="22"/>
        </w:rPr>
        <w:t>.</w:t>
      </w:r>
    </w:p>
    <w:p w14:paraId="59CEBCDC" w14:textId="77777777" w:rsidR="00DE2FB0" w:rsidRDefault="00ED1A7B">
      <w:pPr>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t xml:space="preserve">Anni 1995-2020; 2014-2020. </w:t>
      </w:r>
      <w:r w:rsidR="00C86CB9">
        <w:rPr>
          <w:rFonts w:ascii="Arial Narrow" w:hAnsi="Arial Narrow" w:cs="Arial"/>
          <w:iCs/>
          <w:noProof/>
          <w:color w:val="1F497D" w:themeColor="text2"/>
          <w:sz w:val="22"/>
          <w:szCs w:val="22"/>
        </w:rPr>
        <w:t>T</w:t>
      </w:r>
      <w:r w:rsidR="00F76067" w:rsidRPr="00F76067">
        <w:rPr>
          <w:rFonts w:ascii="Arial Narrow" w:hAnsi="Arial Narrow" w:cs="Arial"/>
          <w:iCs/>
          <w:noProof/>
          <w:color w:val="1F497D" w:themeColor="text2"/>
          <w:sz w:val="22"/>
          <w:szCs w:val="22"/>
        </w:rPr>
        <w:t>assi di variazione</w:t>
      </w:r>
      <w:r w:rsidR="00C86CB9">
        <w:rPr>
          <w:rFonts w:ascii="Arial Narrow" w:hAnsi="Arial Narrow" w:cs="Arial"/>
          <w:iCs/>
          <w:noProof/>
          <w:color w:val="1F497D" w:themeColor="text2"/>
          <w:sz w:val="22"/>
          <w:szCs w:val="22"/>
        </w:rPr>
        <w:t xml:space="preserve"> </w:t>
      </w:r>
      <w:r w:rsidR="00F76067" w:rsidRPr="00F76067">
        <w:rPr>
          <w:rFonts w:ascii="Arial Narrow" w:hAnsi="Arial Narrow" w:cs="Arial"/>
          <w:iCs/>
          <w:noProof/>
          <w:color w:val="1F497D" w:themeColor="text2"/>
          <w:sz w:val="22"/>
          <w:szCs w:val="22"/>
        </w:rPr>
        <w:t>medi annui</w:t>
      </w:r>
    </w:p>
    <w:p w14:paraId="6B30251A" w14:textId="77777777" w:rsidR="000C7172" w:rsidRDefault="000C7172" w:rsidP="000C7172">
      <w:pPr>
        <w:spacing w:after="120"/>
        <w:rPr>
          <w:rFonts w:ascii="Arial Narrow" w:hAnsi="Arial Narrow" w:cs="Arial"/>
          <w:iCs/>
          <w:noProof/>
          <w:color w:val="1F497D" w:themeColor="text2"/>
          <w:sz w:val="22"/>
          <w:szCs w:val="22"/>
        </w:rPr>
      </w:pPr>
      <w:r>
        <w:rPr>
          <w:noProof/>
        </w:rPr>
        <w:drawing>
          <wp:inline distT="0" distB="0" distL="0" distR="0" wp14:anchorId="749C3C48" wp14:editId="28C18906">
            <wp:extent cx="6300000" cy="2448000"/>
            <wp:effectExtent l="0" t="0" r="5715" b="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Arial Narrow" w:hAnsi="Arial Narrow" w:cs="Arial"/>
          <w:iCs/>
          <w:noProof/>
          <w:color w:val="1F497D" w:themeColor="text2"/>
          <w:sz w:val="22"/>
          <w:szCs w:val="22"/>
        </w:rPr>
        <w:br w:type="page"/>
      </w:r>
    </w:p>
    <w:p w14:paraId="310C46D7" w14:textId="77777777" w:rsidR="00B06014" w:rsidRPr="00B06014" w:rsidRDefault="00B06014" w:rsidP="00B06014">
      <w:pPr>
        <w:spacing w:after="120"/>
        <w:rPr>
          <w:rFonts w:ascii="Arial" w:hAnsi="Arial" w:cs="Arial"/>
          <w:bCs/>
          <w:color w:val="1F497D" w:themeColor="text2"/>
          <w:sz w:val="22"/>
          <w:szCs w:val="22"/>
        </w:rPr>
      </w:pPr>
    </w:p>
    <w:p w14:paraId="3F066B44" w14:textId="77777777" w:rsidR="00DB15D9" w:rsidRDefault="000C7172" w:rsidP="00DB15D9">
      <w:pPr>
        <w:spacing w:after="120"/>
        <w:ind w:right="56"/>
        <w:jc w:val="both"/>
        <w:rPr>
          <w:rFonts w:ascii="Arial" w:hAnsi="Arial" w:cs="Arial"/>
          <w:sz w:val="22"/>
          <w:szCs w:val="22"/>
        </w:rPr>
      </w:pPr>
      <w:r w:rsidRPr="00410941">
        <w:rPr>
          <w:rFonts w:ascii="Arial" w:hAnsi="Arial" w:cs="Arial"/>
          <w:sz w:val="22"/>
          <w:szCs w:val="22"/>
        </w:rPr>
        <w:t xml:space="preserve">Nello stesso periodo, in Italia la contrazione del valore aggiunto (-0,8% medio annuo) è risultata inferiore a quella delle ore lavorate (-1,3%). La Francia ha registrato un </w:t>
      </w:r>
      <w:r w:rsidR="00BB14D7" w:rsidRPr="00410941">
        <w:rPr>
          <w:rFonts w:ascii="Arial" w:hAnsi="Arial" w:cs="Arial"/>
          <w:sz w:val="22"/>
          <w:szCs w:val="22"/>
        </w:rPr>
        <w:t>c</w:t>
      </w:r>
      <w:r w:rsidR="00BB14D7">
        <w:rPr>
          <w:rFonts w:ascii="Arial" w:hAnsi="Arial" w:cs="Arial"/>
          <w:sz w:val="22"/>
          <w:szCs w:val="22"/>
        </w:rPr>
        <w:t>alo</w:t>
      </w:r>
      <w:r w:rsidR="00BB14D7" w:rsidRPr="00410941">
        <w:rPr>
          <w:rFonts w:ascii="Arial" w:hAnsi="Arial" w:cs="Arial"/>
          <w:sz w:val="22"/>
          <w:szCs w:val="22"/>
        </w:rPr>
        <w:t xml:space="preserve"> </w:t>
      </w:r>
      <w:r w:rsidRPr="00410941">
        <w:rPr>
          <w:rFonts w:ascii="Arial" w:hAnsi="Arial" w:cs="Arial"/>
          <w:sz w:val="22"/>
          <w:szCs w:val="22"/>
        </w:rPr>
        <w:t xml:space="preserve">relativamente più </w:t>
      </w:r>
      <w:r w:rsidR="00BB14D7" w:rsidRPr="00410941">
        <w:rPr>
          <w:rFonts w:ascii="Arial" w:hAnsi="Arial" w:cs="Arial"/>
          <w:sz w:val="22"/>
          <w:szCs w:val="22"/>
        </w:rPr>
        <w:t>contenut</w:t>
      </w:r>
      <w:r w:rsidR="00BB14D7">
        <w:rPr>
          <w:rFonts w:ascii="Arial" w:hAnsi="Arial" w:cs="Arial"/>
          <w:sz w:val="22"/>
          <w:szCs w:val="22"/>
        </w:rPr>
        <w:t>o</w:t>
      </w:r>
      <w:r w:rsidR="00BB14D7" w:rsidRPr="00410941">
        <w:rPr>
          <w:rFonts w:ascii="Arial" w:hAnsi="Arial" w:cs="Arial"/>
          <w:sz w:val="22"/>
          <w:szCs w:val="22"/>
        </w:rPr>
        <w:t xml:space="preserve"> </w:t>
      </w:r>
      <w:r w:rsidRPr="00410941">
        <w:rPr>
          <w:rFonts w:ascii="Arial" w:hAnsi="Arial" w:cs="Arial"/>
          <w:sz w:val="22"/>
          <w:szCs w:val="22"/>
        </w:rPr>
        <w:t xml:space="preserve">di </w:t>
      </w:r>
      <w:r w:rsidR="00BB14D7" w:rsidRPr="00410941">
        <w:rPr>
          <w:rFonts w:ascii="Arial" w:hAnsi="Arial" w:cs="Arial"/>
          <w:sz w:val="22"/>
          <w:szCs w:val="22"/>
        </w:rPr>
        <w:t>quell</w:t>
      </w:r>
      <w:r w:rsidR="00BB14D7">
        <w:rPr>
          <w:rFonts w:ascii="Arial" w:hAnsi="Arial" w:cs="Arial"/>
          <w:sz w:val="22"/>
          <w:szCs w:val="22"/>
        </w:rPr>
        <w:t>o</w:t>
      </w:r>
      <w:r w:rsidR="00BB14D7" w:rsidRPr="00410941">
        <w:rPr>
          <w:rFonts w:ascii="Arial" w:hAnsi="Arial" w:cs="Arial"/>
          <w:sz w:val="22"/>
          <w:szCs w:val="22"/>
        </w:rPr>
        <w:t xml:space="preserve"> </w:t>
      </w:r>
      <w:r w:rsidRPr="00410941">
        <w:rPr>
          <w:rFonts w:ascii="Arial" w:hAnsi="Arial" w:cs="Arial"/>
          <w:sz w:val="22"/>
          <w:szCs w:val="22"/>
        </w:rPr>
        <w:t xml:space="preserve">dell’Italia sia </w:t>
      </w:r>
      <w:r>
        <w:rPr>
          <w:rFonts w:ascii="Arial" w:hAnsi="Arial" w:cs="Arial"/>
          <w:sz w:val="22"/>
          <w:szCs w:val="22"/>
        </w:rPr>
        <w:t>in termini di</w:t>
      </w:r>
      <w:r w:rsidRPr="00410941">
        <w:rPr>
          <w:rFonts w:ascii="Arial" w:hAnsi="Arial" w:cs="Arial"/>
          <w:sz w:val="22"/>
          <w:szCs w:val="22"/>
        </w:rPr>
        <w:t xml:space="preserve"> valore aggiunto (-0,2%) </w:t>
      </w:r>
      <w:r>
        <w:rPr>
          <w:rFonts w:ascii="Arial" w:hAnsi="Arial" w:cs="Arial"/>
          <w:sz w:val="22"/>
          <w:szCs w:val="22"/>
        </w:rPr>
        <w:t>sia di</w:t>
      </w:r>
      <w:r w:rsidRPr="00410941">
        <w:rPr>
          <w:rFonts w:ascii="Arial" w:hAnsi="Arial" w:cs="Arial"/>
          <w:sz w:val="22"/>
          <w:szCs w:val="22"/>
        </w:rPr>
        <w:t xml:space="preserve"> ore lavorate (-0,7%)</w:t>
      </w:r>
      <w:r>
        <w:rPr>
          <w:rFonts w:ascii="Arial" w:hAnsi="Arial" w:cs="Arial"/>
          <w:sz w:val="22"/>
          <w:szCs w:val="22"/>
        </w:rPr>
        <w:t>,</w:t>
      </w:r>
      <w:r w:rsidRPr="00410941">
        <w:rPr>
          <w:rFonts w:ascii="Arial" w:hAnsi="Arial" w:cs="Arial"/>
          <w:sz w:val="22"/>
          <w:szCs w:val="22"/>
        </w:rPr>
        <w:t xml:space="preserve"> mentre </w:t>
      </w:r>
      <w:r>
        <w:rPr>
          <w:rFonts w:ascii="Arial" w:hAnsi="Arial" w:cs="Arial"/>
          <w:sz w:val="22"/>
          <w:szCs w:val="22"/>
        </w:rPr>
        <w:t>in</w:t>
      </w:r>
      <w:r w:rsidRPr="00410941">
        <w:rPr>
          <w:rFonts w:ascii="Arial" w:hAnsi="Arial" w:cs="Arial"/>
          <w:sz w:val="22"/>
          <w:szCs w:val="22"/>
        </w:rPr>
        <w:t xml:space="preserve"> Spagna </w:t>
      </w:r>
      <w:r>
        <w:rPr>
          <w:rFonts w:ascii="Arial" w:hAnsi="Arial" w:cs="Arial"/>
          <w:sz w:val="22"/>
          <w:szCs w:val="22"/>
        </w:rPr>
        <w:t>l</w:t>
      </w:r>
      <w:r w:rsidRPr="00410941">
        <w:rPr>
          <w:rFonts w:ascii="Arial" w:hAnsi="Arial" w:cs="Arial"/>
          <w:sz w:val="22"/>
          <w:szCs w:val="22"/>
        </w:rPr>
        <w:t>a lievissima diminuzione del valore aggiunto</w:t>
      </w:r>
      <w:r>
        <w:rPr>
          <w:rFonts w:ascii="Arial" w:hAnsi="Arial" w:cs="Arial"/>
          <w:sz w:val="22"/>
          <w:szCs w:val="22"/>
        </w:rPr>
        <w:t xml:space="preserve"> è stata</w:t>
      </w:r>
      <w:r w:rsidRPr="00410941">
        <w:rPr>
          <w:rFonts w:ascii="Arial" w:hAnsi="Arial" w:cs="Arial"/>
          <w:sz w:val="22"/>
          <w:szCs w:val="22"/>
        </w:rPr>
        <w:t xml:space="preserve"> di entità </w:t>
      </w:r>
      <w:r>
        <w:rPr>
          <w:rFonts w:ascii="Arial" w:hAnsi="Arial" w:cs="Arial"/>
          <w:sz w:val="22"/>
          <w:szCs w:val="22"/>
        </w:rPr>
        <w:t>pari a</w:t>
      </w:r>
      <w:r w:rsidRPr="00410941">
        <w:rPr>
          <w:rFonts w:ascii="Arial" w:hAnsi="Arial" w:cs="Arial"/>
          <w:sz w:val="22"/>
          <w:szCs w:val="22"/>
        </w:rPr>
        <w:t xml:space="preserve"> quella delle ore lavorate. Solo in Germania </w:t>
      </w:r>
      <w:r w:rsidR="00DB15D9">
        <w:rPr>
          <w:rFonts w:ascii="Arial" w:hAnsi="Arial" w:cs="Arial"/>
          <w:sz w:val="22"/>
          <w:szCs w:val="22"/>
        </w:rPr>
        <w:t>a</w:t>
      </w:r>
      <w:r w:rsidR="00BB14D7">
        <w:rPr>
          <w:rFonts w:ascii="Arial" w:hAnsi="Arial" w:cs="Arial"/>
          <w:sz w:val="22"/>
          <w:szCs w:val="22"/>
        </w:rPr>
        <w:t xml:space="preserve"> </w:t>
      </w:r>
      <w:r>
        <w:rPr>
          <w:rFonts w:ascii="Arial" w:hAnsi="Arial" w:cs="Arial"/>
          <w:sz w:val="22"/>
          <w:szCs w:val="22"/>
        </w:rPr>
        <w:t>una</w:t>
      </w:r>
      <w:r w:rsidRPr="00410941">
        <w:rPr>
          <w:rFonts w:ascii="Arial" w:hAnsi="Arial" w:cs="Arial"/>
          <w:sz w:val="22"/>
          <w:szCs w:val="22"/>
        </w:rPr>
        <w:t xml:space="preserve"> crescita media del valore aggiunto </w:t>
      </w:r>
      <w:r>
        <w:rPr>
          <w:rFonts w:ascii="Arial" w:hAnsi="Arial" w:cs="Arial"/>
          <w:sz w:val="22"/>
          <w:szCs w:val="22"/>
        </w:rPr>
        <w:t>dello</w:t>
      </w:r>
      <w:r w:rsidRPr="00410941">
        <w:rPr>
          <w:rFonts w:ascii="Arial" w:hAnsi="Arial" w:cs="Arial"/>
          <w:sz w:val="22"/>
          <w:szCs w:val="22"/>
        </w:rPr>
        <w:t xml:space="preserve"> 0,5% </w:t>
      </w:r>
      <w:r>
        <w:rPr>
          <w:rFonts w:ascii="Arial" w:hAnsi="Arial" w:cs="Arial"/>
          <w:sz w:val="22"/>
          <w:szCs w:val="22"/>
        </w:rPr>
        <w:t xml:space="preserve">si </w:t>
      </w:r>
      <w:r w:rsidRPr="00410941">
        <w:rPr>
          <w:rFonts w:ascii="Arial" w:hAnsi="Arial" w:cs="Arial"/>
          <w:sz w:val="22"/>
          <w:szCs w:val="22"/>
        </w:rPr>
        <w:t xml:space="preserve">è associata una dinamica negativa dell’input di lavoro </w:t>
      </w:r>
      <w:r>
        <w:rPr>
          <w:rFonts w:ascii="Arial" w:hAnsi="Arial" w:cs="Arial"/>
          <w:sz w:val="22"/>
          <w:szCs w:val="22"/>
        </w:rPr>
        <w:t>(-</w:t>
      </w:r>
      <w:r w:rsidRPr="00410941">
        <w:rPr>
          <w:rFonts w:ascii="Arial" w:hAnsi="Arial" w:cs="Arial"/>
          <w:sz w:val="22"/>
          <w:szCs w:val="22"/>
        </w:rPr>
        <w:t>0,6%</w:t>
      </w:r>
      <w:r>
        <w:rPr>
          <w:rFonts w:ascii="Arial" w:hAnsi="Arial" w:cs="Arial"/>
          <w:sz w:val="22"/>
          <w:szCs w:val="22"/>
        </w:rPr>
        <w:t>)</w:t>
      </w:r>
      <w:r w:rsidRPr="00410941">
        <w:rPr>
          <w:rFonts w:ascii="Arial" w:hAnsi="Arial" w:cs="Arial"/>
          <w:sz w:val="22"/>
          <w:szCs w:val="22"/>
        </w:rPr>
        <w:t>.</w:t>
      </w:r>
    </w:p>
    <w:p w14:paraId="744DDC47" w14:textId="77777777" w:rsidR="00DE2FB0" w:rsidRDefault="000C7172">
      <w:pPr>
        <w:spacing w:after="120"/>
        <w:ind w:right="56"/>
        <w:jc w:val="both"/>
        <w:rPr>
          <w:rFonts w:ascii="Arial" w:hAnsi="Arial" w:cs="Arial"/>
          <w:sz w:val="22"/>
          <w:szCs w:val="22"/>
        </w:rPr>
      </w:pPr>
      <w:r w:rsidRPr="00410941">
        <w:rPr>
          <w:rFonts w:ascii="Arial" w:hAnsi="Arial" w:cs="Arial"/>
          <w:sz w:val="22"/>
          <w:szCs w:val="22"/>
        </w:rPr>
        <w:t xml:space="preserve">Riguardo </w:t>
      </w:r>
      <w:r>
        <w:rPr>
          <w:rFonts w:ascii="Arial" w:hAnsi="Arial" w:cs="Arial"/>
          <w:sz w:val="22"/>
          <w:szCs w:val="22"/>
        </w:rPr>
        <w:t>i</w:t>
      </w:r>
      <w:r w:rsidRPr="00410941">
        <w:rPr>
          <w:rFonts w:ascii="Arial" w:hAnsi="Arial" w:cs="Arial"/>
          <w:sz w:val="22"/>
          <w:szCs w:val="22"/>
        </w:rPr>
        <w:t xml:space="preserve"> risultati provvisori del 2020, la crescita della produttività del lavoro registrata in Italia (</w:t>
      </w:r>
      <w:r>
        <w:rPr>
          <w:rFonts w:ascii="Arial" w:hAnsi="Arial" w:cs="Arial"/>
          <w:sz w:val="22"/>
          <w:szCs w:val="22"/>
        </w:rPr>
        <w:t>+</w:t>
      </w:r>
      <w:r w:rsidRPr="00410941">
        <w:rPr>
          <w:rFonts w:ascii="Arial" w:hAnsi="Arial" w:cs="Arial"/>
          <w:sz w:val="22"/>
          <w:szCs w:val="22"/>
        </w:rPr>
        <w:t xml:space="preserve">1,3%) è </w:t>
      </w:r>
      <w:r>
        <w:rPr>
          <w:rFonts w:ascii="Arial" w:hAnsi="Arial" w:cs="Arial"/>
          <w:sz w:val="22"/>
          <w:szCs w:val="22"/>
        </w:rPr>
        <w:t>risultata molto maggiore</w:t>
      </w:r>
      <w:r w:rsidRPr="00410941">
        <w:rPr>
          <w:rFonts w:ascii="Arial" w:hAnsi="Arial" w:cs="Arial"/>
          <w:sz w:val="22"/>
          <w:szCs w:val="22"/>
        </w:rPr>
        <w:t xml:space="preserve"> di quella della Germania (0,4%)</w:t>
      </w:r>
      <w:r>
        <w:rPr>
          <w:rFonts w:ascii="Arial" w:hAnsi="Arial" w:cs="Arial"/>
          <w:sz w:val="22"/>
          <w:szCs w:val="22"/>
        </w:rPr>
        <w:t>; entrambi i paesi si attestano</w:t>
      </w:r>
      <w:r w:rsidRPr="00410941">
        <w:rPr>
          <w:rFonts w:ascii="Arial" w:hAnsi="Arial" w:cs="Arial"/>
          <w:sz w:val="22"/>
          <w:szCs w:val="22"/>
        </w:rPr>
        <w:t xml:space="preserve"> sopra la media dell’U</w:t>
      </w:r>
      <w:r w:rsidR="00DB15D9">
        <w:rPr>
          <w:rFonts w:ascii="Arial" w:hAnsi="Arial" w:cs="Arial"/>
          <w:sz w:val="22"/>
          <w:szCs w:val="22"/>
        </w:rPr>
        <w:t>e</w:t>
      </w:r>
      <w:r w:rsidRPr="00410941">
        <w:rPr>
          <w:rFonts w:ascii="Arial" w:hAnsi="Arial" w:cs="Arial"/>
          <w:sz w:val="22"/>
          <w:szCs w:val="22"/>
        </w:rPr>
        <w:t>27</w:t>
      </w:r>
      <w:r>
        <w:rPr>
          <w:rFonts w:ascii="Arial" w:hAnsi="Arial" w:cs="Arial"/>
          <w:sz w:val="22"/>
          <w:szCs w:val="22"/>
        </w:rPr>
        <w:t>,</w:t>
      </w:r>
      <w:r w:rsidRPr="00410941">
        <w:rPr>
          <w:rFonts w:ascii="Arial" w:hAnsi="Arial" w:cs="Arial"/>
          <w:sz w:val="22"/>
          <w:szCs w:val="22"/>
        </w:rPr>
        <w:t xml:space="preserve"> che registra un </w:t>
      </w:r>
      <w:r>
        <w:rPr>
          <w:rFonts w:ascii="Arial" w:hAnsi="Arial" w:cs="Arial"/>
          <w:sz w:val="22"/>
          <w:szCs w:val="22"/>
        </w:rPr>
        <w:t xml:space="preserve">calo dello </w:t>
      </w:r>
      <w:r w:rsidRPr="00410941">
        <w:rPr>
          <w:rFonts w:ascii="Arial" w:hAnsi="Arial" w:cs="Arial"/>
          <w:sz w:val="22"/>
          <w:szCs w:val="22"/>
        </w:rPr>
        <w:t>0,1%. Nello stesso periodo</w:t>
      </w:r>
      <w:r>
        <w:rPr>
          <w:rFonts w:ascii="Arial" w:hAnsi="Arial" w:cs="Arial"/>
          <w:sz w:val="22"/>
          <w:szCs w:val="22"/>
        </w:rPr>
        <w:t>,</w:t>
      </w:r>
      <w:r w:rsidRPr="00410941">
        <w:rPr>
          <w:rFonts w:ascii="Arial" w:hAnsi="Arial" w:cs="Arial"/>
          <w:sz w:val="22"/>
          <w:szCs w:val="22"/>
        </w:rPr>
        <w:t xml:space="preserve"> gli altri principali partner europei </w:t>
      </w:r>
      <w:r>
        <w:rPr>
          <w:rFonts w:ascii="Arial" w:hAnsi="Arial" w:cs="Arial"/>
          <w:sz w:val="22"/>
          <w:szCs w:val="22"/>
        </w:rPr>
        <w:t xml:space="preserve">hanno </w:t>
      </w:r>
      <w:r w:rsidRPr="00410941">
        <w:rPr>
          <w:rFonts w:ascii="Arial" w:hAnsi="Arial" w:cs="Arial"/>
          <w:sz w:val="22"/>
          <w:szCs w:val="22"/>
        </w:rPr>
        <w:t>segna</w:t>
      </w:r>
      <w:r>
        <w:rPr>
          <w:rFonts w:ascii="Arial" w:hAnsi="Arial" w:cs="Arial"/>
          <w:sz w:val="22"/>
          <w:szCs w:val="22"/>
        </w:rPr>
        <w:t>t</w:t>
      </w:r>
      <w:r w:rsidRPr="00410941">
        <w:rPr>
          <w:rFonts w:ascii="Arial" w:hAnsi="Arial" w:cs="Arial"/>
          <w:sz w:val="22"/>
          <w:szCs w:val="22"/>
        </w:rPr>
        <w:t>o una forte dinamica negativa della produttività del lavoro</w:t>
      </w:r>
      <w:r>
        <w:rPr>
          <w:rFonts w:ascii="Arial" w:hAnsi="Arial" w:cs="Arial"/>
          <w:sz w:val="22"/>
          <w:szCs w:val="22"/>
        </w:rPr>
        <w:t>,</w:t>
      </w:r>
      <w:r w:rsidRPr="00410941">
        <w:rPr>
          <w:rFonts w:ascii="Arial" w:hAnsi="Arial" w:cs="Arial"/>
          <w:sz w:val="22"/>
          <w:szCs w:val="22"/>
        </w:rPr>
        <w:t xml:space="preserve"> con contrazioni del 2,8% in Spagna e dell’1,1% in Francia.</w:t>
      </w:r>
    </w:p>
    <w:p w14:paraId="6A08820E" w14:textId="77777777" w:rsidR="00DB15D9" w:rsidRPr="00BD3CC4" w:rsidRDefault="00DB15D9" w:rsidP="00DB15D9">
      <w:pPr>
        <w:spacing w:after="120"/>
        <w:rPr>
          <w:rFonts w:ascii="Arial" w:hAnsi="Arial" w:cs="Arial"/>
          <w:bCs/>
          <w:color w:val="1F497D" w:themeColor="text2"/>
          <w:sz w:val="22"/>
          <w:szCs w:val="22"/>
        </w:rPr>
      </w:pPr>
    </w:p>
    <w:p w14:paraId="63725370" w14:textId="77777777" w:rsidR="000C7172" w:rsidRDefault="000C7172" w:rsidP="00B06014">
      <w:pPr>
        <w:spacing w:after="120"/>
        <w:jc w:val="both"/>
        <w:outlineLvl w:val="0"/>
        <w:rPr>
          <w:rFonts w:ascii="Arial" w:hAnsi="Arial" w:cs="Arial"/>
          <w:b/>
          <w:color w:val="1F497D" w:themeColor="text2"/>
          <w:sz w:val="26"/>
          <w:szCs w:val="26"/>
        </w:rPr>
      </w:pPr>
      <w:r w:rsidRPr="00EE0CA3">
        <w:rPr>
          <w:rFonts w:ascii="Arial" w:hAnsi="Arial" w:cs="Arial"/>
          <w:b/>
          <w:color w:val="1F497D" w:themeColor="text2"/>
          <w:sz w:val="26"/>
          <w:szCs w:val="26"/>
        </w:rPr>
        <w:t>Produttività del capitale</w:t>
      </w:r>
      <w:r>
        <w:rPr>
          <w:rFonts w:ascii="Arial" w:hAnsi="Arial" w:cs="Arial"/>
          <w:b/>
          <w:color w:val="1F497D" w:themeColor="text2"/>
          <w:sz w:val="26"/>
          <w:szCs w:val="26"/>
        </w:rPr>
        <w:t xml:space="preserve"> ancora negativa</w:t>
      </w:r>
      <w:r w:rsidRPr="00EE0CA3">
        <w:rPr>
          <w:rFonts w:ascii="Arial" w:hAnsi="Arial" w:cs="Arial"/>
          <w:b/>
          <w:color w:val="1F497D" w:themeColor="text2"/>
          <w:sz w:val="26"/>
          <w:szCs w:val="26"/>
        </w:rPr>
        <w:t xml:space="preserve"> </w:t>
      </w:r>
      <w:r>
        <w:rPr>
          <w:rFonts w:ascii="Arial" w:hAnsi="Arial" w:cs="Arial"/>
          <w:b/>
          <w:color w:val="1F497D" w:themeColor="text2"/>
          <w:sz w:val="26"/>
          <w:szCs w:val="26"/>
        </w:rPr>
        <w:t>nel 2020</w:t>
      </w:r>
    </w:p>
    <w:p w14:paraId="33F7CF4C" w14:textId="77777777" w:rsidR="000C7172" w:rsidRDefault="000C7172" w:rsidP="00B06014">
      <w:pPr>
        <w:autoSpaceDE w:val="0"/>
        <w:autoSpaceDN w:val="0"/>
        <w:adjustRightInd w:val="0"/>
        <w:spacing w:after="120"/>
        <w:jc w:val="both"/>
        <w:rPr>
          <w:rFonts w:ascii="Arial" w:hAnsi="Arial" w:cs="Arial"/>
          <w:sz w:val="22"/>
          <w:szCs w:val="22"/>
        </w:rPr>
      </w:pPr>
      <w:r w:rsidRPr="006920B4">
        <w:rPr>
          <w:rFonts w:ascii="Arial" w:hAnsi="Arial" w:cs="Arial"/>
          <w:sz w:val="22"/>
          <w:szCs w:val="22"/>
        </w:rPr>
        <w:t xml:space="preserve">La produttività del capitale </w:t>
      </w:r>
      <w:r>
        <w:rPr>
          <w:rFonts w:ascii="Arial" w:hAnsi="Arial" w:cs="Arial"/>
          <w:sz w:val="22"/>
          <w:szCs w:val="22"/>
        </w:rPr>
        <w:t>indica il grado di efficienza con cui tale fattore è</w:t>
      </w:r>
      <w:r w:rsidRPr="006920B4">
        <w:rPr>
          <w:rFonts w:ascii="Arial" w:hAnsi="Arial" w:cs="Arial"/>
          <w:sz w:val="22"/>
          <w:szCs w:val="22"/>
        </w:rPr>
        <w:t xml:space="preserve"> utilizzato </w:t>
      </w:r>
      <w:r>
        <w:rPr>
          <w:rFonts w:ascii="Arial" w:hAnsi="Arial" w:cs="Arial"/>
          <w:sz w:val="22"/>
          <w:szCs w:val="22"/>
        </w:rPr>
        <w:t>nel processo produttivo</w:t>
      </w:r>
      <w:r w:rsidRPr="006920B4">
        <w:rPr>
          <w:rFonts w:ascii="Arial" w:hAnsi="Arial" w:cs="Arial"/>
          <w:sz w:val="22"/>
          <w:szCs w:val="22"/>
        </w:rPr>
        <w:t xml:space="preserve">. </w:t>
      </w:r>
      <w:r>
        <w:rPr>
          <w:rFonts w:ascii="Arial" w:hAnsi="Arial" w:cs="Arial"/>
          <w:sz w:val="22"/>
          <w:szCs w:val="22"/>
        </w:rPr>
        <w:t>Gli i</w:t>
      </w:r>
      <w:r w:rsidRPr="006920B4">
        <w:rPr>
          <w:rFonts w:ascii="Arial" w:hAnsi="Arial" w:cs="Arial"/>
          <w:sz w:val="22"/>
          <w:szCs w:val="22"/>
        </w:rPr>
        <w:t>nvestiment</w:t>
      </w:r>
      <w:r>
        <w:rPr>
          <w:rFonts w:ascii="Arial" w:hAnsi="Arial" w:cs="Arial"/>
          <w:sz w:val="22"/>
          <w:szCs w:val="22"/>
        </w:rPr>
        <w:t>i</w:t>
      </w:r>
      <w:r w:rsidRPr="006920B4">
        <w:rPr>
          <w:rFonts w:ascii="Arial" w:hAnsi="Arial" w:cs="Arial"/>
          <w:sz w:val="22"/>
          <w:szCs w:val="22"/>
        </w:rPr>
        <w:t xml:space="preserve"> in tecnologie </w:t>
      </w:r>
      <w:r>
        <w:rPr>
          <w:rFonts w:ascii="Arial" w:hAnsi="Arial" w:cs="Arial"/>
          <w:sz w:val="22"/>
          <w:szCs w:val="22"/>
        </w:rPr>
        <w:t>dell’</w:t>
      </w:r>
      <w:r w:rsidRPr="006920B4">
        <w:rPr>
          <w:rFonts w:ascii="Arial" w:hAnsi="Arial" w:cs="Arial"/>
          <w:sz w:val="22"/>
          <w:szCs w:val="22"/>
        </w:rPr>
        <w:t>informazion</w:t>
      </w:r>
      <w:r>
        <w:rPr>
          <w:rFonts w:ascii="Arial" w:hAnsi="Arial" w:cs="Arial"/>
          <w:sz w:val="22"/>
          <w:szCs w:val="22"/>
        </w:rPr>
        <w:t>e</w:t>
      </w:r>
      <w:r w:rsidRPr="006920B4">
        <w:rPr>
          <w:rFonts w:ascii="Arial" w:hAnsi="Arial" w:cs="Arial"/>
          <w:sz w:val="22"/>
          <w:szCs w:val="22"/>
        </w:rPr>
        <w:t xml:space="preserve"> e</w:t>
      </w:r>
      <w:r>
        <w:rPr>
          <w:rFonts w:ascii="Arial" w:hAnsi="Arial" w:cs="Arial"/>
          <w:sz w:val="22"/>
          <w:szCs w:val="22"/>
        </w:rPr>
        <w:t xml:space="preserve"> della</w:t>
      </w:r>
      <w:r w:rsidRPr="006920B4">
        <w:rPr>
          <w:rFonts w:ascii="Arial" w:hAnsi="Arial" w:cs="Arial"/>
          <w:sz w:val="22"/>
          <w:szCs w:val="22"/>
        </w:rPr>
        <w:t xml:space="preserve"> comunicazione </w:t>
      </w:r>
      <w:r w:rsidRPr="00C975E6">
        <w:rPr>
          <w:rFonts w:ascii="Arial" w:hAnsi="Arial" w:cs="Arial"/>
          <w:sz w:val="22"/>
          <w:szCs w:val="22"/>
        </w:rPr>
        <w:t>(</w:t>
      </w:r>
      <w:r w:rsidRPr="00C975E6">
        <w:rPr>
          <w:rFonts w:ascii="Arial" w:hAnsi="Arial" w:cs="Arial"/>
          <w:i/>
          <w:iCs/>
          <w:sz w:val="22"/>
          <w:szCs w:val="22"/>
        </w:rPr>
        <w:t xml:space="preserve">Information and </w:t>
      </w:r>
      <w:proofErr w:type="spellStart"/>
      <w:r w:rsidRPr="00C975E6">
        <w:rPr>
          <w:rFonts w:ascii="Arial" w:hAnsi="Arial" w:cs="Arial"/>
          <w:i/>
          <w:iCs/>
          <w:sz w:val="22"/>
          <w:szCs w:val="22"/>
        </w:rPr>
        <w:t>Communication</w:t>
      </w:r>
      <w:proofErr w:type="spellEnd"/>
      <w:r w:rsidRPr="00C975E6">
        <w:rPr>
          <w:rFonts w:ascii="Arial" w:hAnsi="Arial" w:cs="Arial"/>
          <w:i/>
          <w:iCs/>
          <w:sz w:val="22"/>
          <w:szCs w:val="22"/>
        </w:rPr>
        <w:t xml:space="preserve"> Technology</w:t>
      </w:r>
      <w:r w:rsidR="00DB15D9">
        <w:rPr>
          <w:rFonts w:ascii="Arial" w:hAnsi="Arial" w:cs="Arial"/>
          <w:sz w:val="22"/>
          <w:szCs w:val="22"/>
        </w:rPr>
        <w:t>,</w:t>
      </w:r>
      <w:r>
        <w:rPr>
          <w:rFonts w:ascii="Arial" w:hAnsi="Arial" w:cs="Arial"/>
          <w:sz w:val="22"/>
          <w:szCs w:val="22"/>
        </w:rPr>
        <w:t xml:space="preserve"> ICT) permettono di introdurre</w:t>
      </w:r>
      <w:r w:rsidRPr="006920B4">
        <w:rPr>
          <w:rFonts w:ascii="Arial" w:hAnsi="Arial" w:cs="Arial"/>
          <w:sz w:val="22"/>
          <w:szCs w:val="22"/>
        </w:rPr>
        <w:t xml:space="preserve"> nuove tecnologie </w:t>
      </w:r>
      <w:r>
        <w:rPr>
          <w:rFonts w:ascii="Arial" w:hAnsi="Arial" w:cs="Arial"/>
          <w:sz w:val="22"/>
          <w:szCs w:val="22"/>
        </w:rPr>
        <w:t>nei</w:t>
      </w:r>
      <w:r w:rsidRPr="006920B4">
        <w:rPr>
          <w:rFonts w:ascii="Arial" w:hAnsi="Arial" w:cs="Arial"/>
          <w:sz w:val="22"/>
          <w:szCs w:val="22"/>
        </w:rPr>
        <w:t xml:space="preserve"> process</w:t>
      </w:r>
      <w:r>
        <w:rPr>
          <w:rFonts w:ascii="Arial" w:hAnsi="Arial" w:cs="Arial"/>
          <w:sz w:val="22"/>
          <w:szCs w:val="22"/>
        </w:rPr>
        <w:t>i</w:t>
      </w:r>
      <w:r w:rsidRPr="006920B4">
        <w:rPr>
          <w:rFonts w:ascii="Arial" w:hAnsi="Arial" w:cs="Arial"/>
          <w:sz w:val="22"/>
          <w:szCs w:val="22"/>
        </w:rPr>
        <w:t xml:space="preserve"> </w:t>
      </w:r>
      <w:r>
        <w:rPr>
          <w:rFonts w:ascii="Arial" w:hAnsi="Arial" w:cs="Arial"/>
          <w:sz w:val="22"/>
          <w:szCs w:val="22"/>
        </w:rPr>
        <w:t xml:space="preserve">produttivi </w:t>
      </w:r>
      <w:r w:rsidRPr="006920B4">
        <w:rPr>
          <w:rFonts w:ascii="Arial" w:hAnsi="Arial" w:cs="Arial"/>
          <w:sz w:val="22"/>
          <w:szCs w:val="22"/>
        </w:rPr>
        <w:t xml:space="preserve">e sono </w:t>
      </w:r>
      <w:r>
        <w:rPr>
          <w:rFonts w:ascii="Arial" w:hAnsi="Arial" w:cs="Arial"/>
          <w:sz w:val="22"/>
          <w:szCs w:val="22"/>
        </w:rPr>
        <w:t xml:space="preserve">considerati un </w:t>
      </w:r>
      <w:r w:rsidRPr="006920B4">
        <w:rPr>
          <w:rFonts w:ascii="Arial" w:hAnsi="Arial" w:cs="Arial"/>
          <w:sz w:val="22"/>
          <w:szCs w:val="22"/>
        </w:rPr>
        <w:t xml:space="preserve">importante </w:t>
      </w:r>
      <w:r>
        <w:rPr>
          <w:rFonts w:ascii="Arial" w:hAnsi="Arial" w:cs="Arial"/>
          <w:sz w:val="22"/>
          <w:szCs w:val="22"/>
        </w:rPr>
        <w:t>fattore di</w:t>
      </w:r>
      <w:r w:rsidRPr="006920B4">
        <w:rPr>
          <w:rFonts w:ascii="Arial" w:hAnsi="Arial" w:cs="Arial"/>
          <w:sz w:val="22"/>
          <w:szCs w:val="22"/>
        </w:rPr>
        <w:t xml:space="preserve"> crescita della produttività</w:t>
      </w:r>
      <w:r>
        <w:rPr>
          <w:rFonts w:ascii="Arial" w:hAnsi="Arial" w:cs="Arial"/>
          <w:sz w:val="22"/>
          <w:szCs w:val="22"/>
        </w:rPr>
        <w:t>, al pari degli in</w:t>
      </w:r>
      <w:r w:rsidRPr="006920B4">
        <w:rPr>
          <w:rFonts w:ascii="Arial" w:hAnsi="Arial" w:cs="Arial"/>
          <w:sz w:val="22"/>
          <w:szCs w:val="22"/>
        </w:rPr>
        <w:t>vestimenti in prodotti d</w:t>
      </w:r>
      <w:r>
        <w:rPr>
          <w:rFonts w:ascii="Arial" w:hAnsi="Arial" w:cs="Arial"/>
          <w:sz w:val="22"/>
          <w:szCs w:val="22"/>
        </w:rPr>
        <w:t>ella</w:t>
      </w:r>
      <w:r w:rsidRPr="006920B4">
        <w:rPr>
          <w:rFonts w:ascii="Arial" w:hAnsi="Arial" w:cs="Arial"/>
          <w:sz w:val="22"/>
          <w:szCs w:val="22"/>
        </w:rPr>
        <w:t xml:space="preserve"> proprietà intellettuale, come la </w:t>
      </w:r>
      <w:r>
        <w:rPr>
          <w:rFonts w:ascii="Arial" w:hAnsi="Arial" w:cs="Arial"/>
          <w:sz w:val="22"/>
          <w:szCs w:val="22"/>
        </w:rPr>
        <w:t>R</w:t>
      </w:r>
      <w:r w:rsidRPr="006920B4">
        <w:rPr>
          <w:rFonts w:ascii="Arial" w:hAnsi="Arial" w:cs="Arial"/>
          <w:sz w:val="22"/>
          <w:szCs w:val="22"/>
        </w:rPr>
        <w:t>icerca e sviluppo</w:t>
      </w:r>
      <w:r>
        <w:rPr>
          <w:rFonts w:ascii="Arial" w:hAnsi="Arial" w:cs="Arial"/>
          <w:sz w:val="22"/>
          <w:szCs w:val="22"/>
        </w:rPr>
        <w:t>.</w:t>
      </w:r>
    </w:p>
    <w:p w14:paraId="44D867C2" w14:textId="77777777" w:rsidR="000C7172" w:rsidRDefault="000C7172" w:rsidP="00B06014">
      <w:pPr>
        <w:autoSpaceDE w:val="0"/>
        <w:autoSpaceDN w:val="0"/>
        <w:adjustRightInd w:val="0"/>
        <w:spacing w:after="120"/>
        <w:jc w:val="both"/>
        <w:rPr>
          <w:rFonts w:ascii="Arial" w:hAnsi="Arial" w:cs="Arial"/>
          <w:sz w:val="22"/>
          <w:szCs w:val="22"/>
        </w:rPr>
      </w:pPr>
      <w:r>
        <w:rPr>
          <w:rFonts w:ascii="Arial" w:hAnsi="Arial" w:cs="Arial"/>
          <w:sz w:val="22"/>
          <w:szCs w:val="22"/>
        </w:rPr>
        <w:t>Nel periodo</w:t>
      </w:r>
      <w:r w:rsidRPr="00C975E6">
        <w:rPr>
          <w:rFonts w:ascii="Arial" w:hAnsi="Arial" w:cs="Arial"/>
          <w:sz w:val="22"/>
          <w:szCs w:val="22"/>
        </w:rPr>
        <w:t xml:space="preserve"> 1995</w:t>
      </w:r>
      <w:r>
        <w:rPr>
          <w:rFonts w:ascii="Arial" w:hAnsi="Arial" w:cs="Arial"/>
          <w:sz w:val="22"/>
          <w:szCs w:val="22"/>
        </w:rPr>
        <w:t>-2020,</w:t>
      </w:r>
      <w:r w:rsidRPr="00C975E6">
        <w:rPr>
          <w:rFonts w:ascii="Arial" w:hAnsi="Arial" w:cs="Arial"/>
          <w:sz w:val="22"/>
          <w:szCs w:val="22"/>
        </w:rPr>
        <w:t xml:space="preserve"> </w:t>
      </w:r>
      <w:r>
        <w:rPr>
          <w:rFonts w:ascii="Arial" w:hAnsi="Arial" w:cs="Arial"/>
          <w:sz w:val="22"/>
          <w:szCs w:val="22"/>
        </w:rPr>
        <w:t xml:space="preserve">nel nostro Paese </w:t>
      </w:r>
      <w:r w:rsidRPr="00C975E6">
        <w:rPr>
          <w:rFonts w:ascii="Arial" w:hAnsi="Arial" w:cs="Arial"/>
          <w:sz w:val="22"/>
          <w:szCs w:val="22"/>
        </w:rPr>
        <w:t xml:space="preserve">la produttività del capitale </w:t>
      </w:r>
      <w:r>
        <w:rPr>
          <w:rFonts w:ascii="Arial" w:hAnsi="Arial" w:cs="Arial"/>
          <w:sz w:val="22"/>
          <w:szCs w:val="22"/>
        </w:rPr>
        <w:t xml:space="preserve">ha </w:t>
      </w:r>
      <w:r w:rsidRPr="00C975E6">
        <w:rPr>
          <w:rFonts w:ascii="Arial" w:hAnsi="Arial" w:cs="Arial"/>
          <w:sz w:val="22"/>
          <w:szCs w:val="22"/>
        </w:rPr>
        <w:t>regi</w:t>
      </w:r>
      <w:r>
        <w:rPr>
          <w:rFonts w:ascii="Arial" w:hAnsi="Arial" w:cs="Arial"/>
          <w:sz w:val="22"/>
          <w:szCs w:val="22"/>
        </w:rPr>
        <w:t>strato un calo medio annuo dell’1</w:t>
      </w:r>
      <w:r w:rsidRPr="00C975E6">
        <w:rPr>
          <w:rFonts w:ascii="Arial" w:hAnsi="Arial" w:cs="Arial"/>
          <w:sz w:val="22"/>
          <w:szCs w:val="22"/>
        </w:rPr>
        <w:t>,</w:t>
      </w:r>
      <w:r>
        <w:rPr>
          <w:rFonts w:ascii="Arial" w:hAnsi="Arial" w:cs="Arial"/>
          <w:sz w:val="22"/>
          <w:szCs w:val="22"/>
        </w:rPr>
        <w:t>1</w:t>
      </w:r>
      <w:r w:rsidRPr="00C975E6">
        <w:rPr>
          <w:rFonts w:ascii="Arial" w:hAnsi="Arial" w:cs="Arial"/>
          <w:sz w:val="22"/>
          <w:szCs w:val="22"/>
        </w:rPr>
        <w:t>%</w:t>
      </w:r>
      <w:r>
        <w:rPr>
          <w:rFonts w:ascii="Arial" w:hAnsi="Arial" w:cs="Arial"/>
          <w:sz w:val="22"/>
          <w:szCs w:val="22"/>
        </w:rPr>
        <w:t>,</w:t>
      </w:r>
      <w:r w:rsidRPr="00C975E6">
        <w:rPr>
          <w:rFonts w:ascii="Arial" w:hAnsi="Arial" w:cs="Arial"/>
          <w:sz w:val="22"/>
          <w:szCs w:val="22"/>
        </w:rPr>
        <w:t xml:space="preserve"> risultante da un aum</w:t>
      </w:r>
      <w:r>
        <w:rPr>
          <w:rFonts w:ascii="Arial" w:hAnsi="Arial" w:cs="Arial"/>
          <w:sz w:val="22"/>
          <w:szCs w:val="22"/>
        </w:rPr>
        <w:t>ento dell’input di capitale (+1,3</w:t>
      </w:r>
      <w:r w:rsidRPr="00C975E6">
        <w:rPr>
          <w:rFonts w:ascii="Arial" w:hAnsi="Arial" w:cs="Arial"/>
          <w:sz w:val="22"/>
          <w:szCs w:val="22"/>
        </w:rPr>
        <w:t>%) superiore a quello del valore aggiunto (</w:t>
      </w:r>
      <w:r>
        <w:rPr>
          <w:rFonts w:ascii="Arial" w:hAnsi="Arial" w:cs="Arial"/>
          <w:sz w:val="22"/>
          <w:szCs w:val="22"/>
        </w:rPr>
        <w:t>+</w:t>
      </w:r>
      <w:r w:rsidRPr="00C975E6">
        <w:rPr>
          <w:rFonts w:ascii="Arial" w:hAnsi="Arial" w:cs="Arial"/>
          <w:sz w:val="22"/>
          <w:szCs w:val="22"/>
        </w:rPr>
        <w:t>0,</w:t>
      </w:r>
      <w:r>
        <w:rPr>
          <w:rFonts w:ascii="Arial" w:hAnsi="Arial" w:cs="Arial"/>
          <w:sz w:val="22"/>
          <w:szCs w:val="22"/>
        </w:rPr>
        <w:t>2</w:t>
      </w:r>
      <w:r w:rsidRPr="00C975E6">
        <w:rPr>
          <w:rFonts w:ascii="Arial" w:hAnsi="Arial" w:cs="Arial"/>
          <w:sz w:val="22"/>
          <w:szCs w:val="22"/>
        </w:rPr>
        <w:t>%)</w:t>
      </w:r>
      <w:r w:rsidRPr="00C975E6">
        <w:rPr>
          <w:rStyle w:val="Rimandonotadichiusura"/>
          <w:rFonts w:ascii="Arial" w:hAnsi="Arial" w:cs="Arial"/>
          <w:sz w:val="22"/>
          <w:szCs w:val="22"/>
        </w:rPr>
        <w:endnoteReference w:id="6"/>
      </w:r>
      <w:r>
        <w:rPr>
          <w:rFonts w:ascii="Arial" w:hAnsi="Arial" w:cs="Arial"/>
          <w:sz w:val="22"/>
          <w:szCs w:val="22"/>
        </w:rPr>
        <w:t xml:space="preserve"> (Figura 2)</w:t>
      </w:r>
      <w:r w:rsidRPr="00C975E6">
        <w:rPr>
          <w:rFonts w:ascii="Arial" w:hAnsi="Arial" w:cs="Arial"/>
          <w:sz w:val="22"/>
          <w:szCs w:val="22"/>
        </w:rPr>
        <w:t xml:space="preserve">. </w:t>
      </w:r>
      <w:r>
        <w:rPr>
          <w:rFonts w:ascii="Arial" w:hAnsi="Arial" w:cs="Arial"/>
          <w:sz w:val="22"/>
          <w:szCs w:val="22"/>
        </w:rPr>
        <w:t>L’esame della produttività</w:t>
      </w:r>
      <w:r w:rsidRPr="00C975E6">
        <w:rPr>
          <w:rFonts w:ascii="Arial" w:hAnsi="Arial" w:cs="Arial"/>
          <w:sz w:val="22"/>
          <w:szCs w:val="22"/>
        </w:rPr>
        <w:t xml:space="preserve"> per tipologia</w:t>
      </w:r>
      <w:r>
        <w:rPr>
          <w:rFonts w:ascii="Arial" w:hAnsi="Arial" w:cs="Arial"/>
          <w:sz w:val="22"/>
          <w:szCs w:val="22"/>
        </w:rPr>
        <w:t xml:space="preserve"> di capitale evidenzia come la discesa riguardi tutte le tipologie di input: </w:t>
      </w:r>
      <w:r w:rsidRPr="00C975E6">
        <w:rPr>
          <w:rFonts w:ascii="Arial" w:hAnsi="Arial" w:cs="Arial"/>
          <w:sz w:val="22"/>
          <w:szCs w:val="22"/>
        </w:rPr>
        <w:t xml:space="preserve">la componente </w:t>
      </w:r>
      <w:r>
        <w:rPr>
          <w:rFonts w:ascii="Arial" w:hAnsi="Arial" w:cs="Arial"/>
          <w:sz w:val="22"/>
          <w:szCs w:val="22"/>
        </w:rPr>
        <w:t>relativa</w:t>
      </w:r>
      <w:r w:rsidRPr="00C975E6">
        <w:rPr>
          <w:rFonts w:ascii="Arial" w:hAnsi="Arial" w:cs="Arial"/>
          <w:sz w:val="22"/>
          <w:szCs w:val="22"/>
        </w:rPr>
        <w:t xml:space="preserve"> </w:t>
      </w:r>
      <w:r>
        <w:rPr>
          <w:rFonts w:ascii="Arial" w:hAnsi="Arial" w:cs="Arial"/>
          <w:sz w:val="22"/>
          <w:szCs w:val="22"/>
        </w:rPr>
        <w:t>al</w:t>
      </w:r>
      <w:r w:rsidRPr="00C975E6">
        <w:rPr>
          <w:rFonts w:ascii="Arial" w:hAnsi="Arial" w:cs="Arial"/>
          <w:sz w:val="22"/>
          <w:szCs w:val="22"/>
        </w:rPr>
        <w:t xml:space="preserve">le tecnologie dell’informazione e della comunicazione è </w:t>
      </w:r>
      <w:r>
        <w:rPr>
          <w:rFonts w:ascii="Arial" w:hAnsi="Arial" w:cs="Arial"/>
          <w:sz w:val="22"/>
          <w:szCs w:val="22"/>
        </w:rPr>
        <w:t xml:space="preserve">diminuita del 2,8%; </w:t>
      </w:r>
      <w:r w:rsidRPr="00C975E6">
        <w:rPr>
          <w:rFonts w:ascii="Arial" w:hAnsi="Arial" w:cs="Arial"/>
          <w:sz w:val="22"/>
          <w:szCs w:val="22"/>
        </w:rPr>
        <w:t xml:space="preserve">la </w:t>
      </w:r>
      <w:r>
        <w:rPr>
          <w:rFonts w:ascii="Arial" w:hAnsi="Arial" w:cs="Arial"/>
          <w:sz w:val="22"/>
          <w:szCs w:val="22"/>
        </w:rPr>
        <w:t xml:space="preserve">produttività del capitale </w:t>
      </w:r>
      <w:r w:rsidRPr="00C975E6">
        <w:rPr>
          <w:rFonts w:ascii="Arial" w:hAnsi="Arial" w:cs="Arial"/>
          <w:sz w:val="22"/>
          <w:szCs w:val="22"/>
        </w:rPr>
        <w:t xml:space="preserve">immateriale non-ICT (che comprende la Ricerca e </w:t>
      </w:r>
      <w:r>
        <w:rPr>
          <w:rFonts w:ascii="Arial" w:hAnsi="Arial" w:cs="Arial"/>
          <w:sz w:val="22"/>
          <w:szCs w:val="22"/>
        </w:rPr>
        <w:t>s</w:t>
      </w:r>
      <w:r w:rsidRPr="00C975E6">
        <w:rPr>
          <w:rFonts w:ascii="Arial" w:hAnsi="Arial" w:cs="Arial"/>
          <w:sz w:val="22"/>
          <w:szCs w:val="22"/>
        </w:rPr>
        <w:t>viluppo)</w:t>
      </w:r>
      <w:r>
        <w:rPr>
          <w:rFonts w:ascii="Arial" w:hAnsi="Arial" w:cs="Arial"/>
          <w:sz w:val="22"/>
          <w:szCs w:val="22"/>
        </w:rPr>
        <w:t xml:space="preserve"> del 2,2%; quella del</w:t>
      </w:r>
      <w:r w:rsidRPr="00C975E6">
        <w:rPr>
          <w:rFonts w:ascii="Arial" w:hAnsi="Arial" w:cs="Arial"/>
          <w:sz w:val="22"/>
          <w:szCs w:val="22"/>
        </w:rPr>
        <w:t xml:space="preserve"> capitale materiale non-ICT</w:t>
      </w:r>
      <w:r>
        <w:rPr>
          <w:rFonts w:ascii="Arial" w:hAnsi="Arial" w:cs="Arial"/>
          <w:sz w:val="22"/>
          <w:szCs w:val="22"/>
        </w:rPr>
        <w:t xml:space="preserve"> dello 0,7</w:t>
      </w:r>
      <w:r w:rsidRPr="00C975E6">
        <w:rPr>
          <w:rFonts w:ascii="Arial" w:hAnsi="Arial" w:cs="Arial"/>
          <w:sz w:val="22"/>
          <w:szCs w:val="22"/>
        </w:rPr>
        <w:t xml:space="preserve">%. </w:t>
      </w:r>
    </w:p>
    <w:p w14:paraId="3D114C74" w14:textId="77777777" w:rsidR="000C7172" w:rsidRDefault="000C7172" w:rsidP="00B06014">
      <w:pPr>
        <w:pStyle w:val="Default"/>
        <w:spacing w:after="120"/>
        <w:jc w:val="both"/>
        <w:rPr>
          <w:rFonts w:ascii="Arial" w:hAnsi="Arial" w:cs="Arial"/>
          <w:color w:val="auto"/>
          <w:sz w:val="22"/>
          <w:szCs w:val="22"/>
        </w:rPr>
      </w:pPr>
      <w:r>
        <w:rPr>
          <w:rFonts w:ascii="Arial" w:hAnsi="Arial" w:cs="Arial"/>
          <w:color w:val="auto"/>
          <w:sz w:val="22"/>
          <w:szCs w:val="22"/>
        </w:rPr>
        <w:t xml:space="preserve">I risultati più recenti, relativi al periodo </w:t>
      </w:r>
      <w:r w:rsidRPr="00C975E6">
        <w:rPr>
          <w:rFonts w:ascii="Arial" w:hAnsi="Arial" w:cs="Arial"/>
          <w:color w:val="auto"/>
          <w:sz w:val="22"/>
          <w:szCs w:val="22"/>
        </w:rPr>
        <w:t>20</w:t>
      </w:r>
      <w:r>
        <w:rPr>
          <w:rFonts w:ascii="Arial" w:hAnsi="Arial" w:cs="Arial"/>
          <w:color w:val="auto"/>
          <w:sz w:val="22"/>
          <w:szCs w:val="22"/>
        </w:rPr>
        <w:t xml:space="preserve">14-2020, indicano anch’essi una diminuzione della produttività del capitale </w:t>
      </w:r>
      <w:r w:rsidRPr="00C975E6">
        <w:rPr>
          <w:rFonts w:ascii="Arial" w:hAnsi="Arial" w:cs="Arial"/>
          <w:color w:val="auto"/>
          <w:sz w:val="22"/>
          <w:szCs w:val="22"/>
        </w:rPr>
        <w:t>dell</w:t>
      </w:r>
      <w:r>
        <w:rPr>
          <w:rFonts w:ascii="Arial" w:hAnsi="Arial" w:cs="Arial"/>
          <w:color w:val="auto"/>
          <w:sz w:val="22"/>
          <w:szCs w:val="22"/>
        </w:rPr>
        <w:t>’1</w:t>
      </w:r>
      <w:r w:rsidRPr="00C975E6">
        <w:rPr>
          <w:rFonts w:ascii="Arial" w:hAnsi="Arial" w:cs="Arial"/>
          <w:color w:val="auto"/>
          <w:sz w:val="22"/>
          <w:szCs w:val="22"/>
        </w:rPr>
        <w:t>,</w:t>
      </w:r>
      <w:r>
        <w:rPr>
          <w:rFonts w:ascii="Arial" w:hAnsi="Arial" w:cs="Arial"/>
          <w:color w:val="auto"/>
          <w:sz w:val="22"/>
          <w:szCs w:val="22"/>
        </w:rPr>
        <w:t>1</w:t>
      </w:r>
      <w:r w:rsidRPr="00C975E6">
        <w:rPr>
          <w:rFonts w:ascii="Arial" w:hAnsi="Arial" w:cs="Arial"/>
          <w:color w:val="auto"/>
          <w:sz w:val="22"/>
          <w:szCs w:val="22"/>
        </w:rPr>
        <w:t>%</w:t>
      </w:r>
      <w:r>
        <w:rPr>
          <w:rFonts w:ascii="Arial" w:hAnsi="Arial" w:cs="Arial"/>
          <w:color w:val="auto"/>
          <w:sz w:val="22"/>
          <w:szCs w:val="22"/>
        </w:rPr>
        <w:t xml:space="preserve"> </w:t>
      </w:r>
      <w:r w:rsidRPr="00C975E6">
        <w:rPr>
          <w:rFonts w:ascii="Arial" w:hAnsi="Arial" w:cs="Arial"/>
          <w:color w:val="auto"/>
          <w:sz w:val="22"/>
          <w:szCs w:val="22"/>
        </w:rPr>
        <w:t xml:space="preserve">in media d’anno. </w:t>
      </w:r>
      <w:r>
        <w:rPr>
          <w:rFonts w:ascii="Arial" w:hAnsi="Arial" w:cs="Arial"/>
          <w:color w:val="auto"/>
          <w:sz w:val="22"/>
          <w:szCs w:val="22"/>
        </w:rPr>
        <w:t>In questa fase</w:t>
      </w:r>
      <w:r w:rsidRPr="00C975E6">
        <w:rPr>
          <w:rFonts w:ascii="Arial" w:hAnsi="Arial" w:cs="Arial"/>
          <w:color w:val="auto"/>
          <w:sz w:val="22"/>
          <w:szCs w:val="22"/>
        </w:rPr>
        <w:t xml:space="preserve">, </w:t>
      </w:r>
      <w:r>
        <w:rPr>
          <w:rFonts w:ascii="Arial" w:hAnsi="Arial" w:cs="Arial"/>
          <w:color w:val="auto"/>
          <w:sz w:val="22"/>
          <w:szCs w:val="22"/>
        </w:rPr>
        <w:t>si osserva una</w:t>
      </w:r>
      <w:r w:rsidRPr="00C975E6">
        <w:rPr>
          <w:rFonts w:ascii="Arial" w:hAnsi="Arial" w:cs="Arial"/>
          <w:color w:val="auto"/>
          <w:sz w:val="22"/>
          <w:szCs w:val="22"/>
        </w:rPr>
        <w:t xml:space="preserve"> crescita </w:t>
      </w:r>
      <w:r>
        <w:rPr>
          <w:rFonts w:ascii="Arial" w:hAnsi="Arial" w:cs="Arial"/>
          <w:color w:val="auto"/>
          <w:sz w:val="22"/>
          <w:szCs w:val="22"/>
        </w:rPr>
        <w:t xml:space="preserve">moderata </w:t>
      </w:r>
      <w:r w:rsidRPr="00C975E6">
        <w:rPr>
          <w:rFonts w:ascii="Arial" w:hAnsi="Arial" w:cs="Arial"/>
          <w:color w:val="auto"/>
          <w:sz w:val="22"/>
          <w:szCs w:val="22"/>
        </w:rPr>
        <w:t>dell’input di capitale (</w:t>
      </w:r>
      <w:r>
        <w:rPr>
          <w:rFonts w:ascii="Arial" w:hAnsi="Arial" w:cs="Arial"/>
          <w:color w:val="auto"/>
          <w:sz w:val="22"/>
          <w:szCs w:val="22"/>
        </w:rPr>
        <w:t>+0,3</w:t>
      </w:r>
      <w:r w:rsidRPr="00C975E6">
        <w:rPr>
          <w:rFonts w:ascii="Arial" w:hAnsi="Arial" w:cs="Arial"/>
          <w:color w:val="auto"/>
          <w:sz w:val="22"/>
          <w:szCs w:val="22"/>
        </w:rPr>
        <w:t xml:space="preserve">% in media d’anno) </w:t>
      </w:r>
      <w:r>
        <w:rPr>
          <w:rFonts w:ascii="Arial" w:hAnsi="Arial" w:cs="Arial"/>
          <w:color w:val="auto"/>
          <w:sz w:val="22"/>
          <w:szCs w:val="22"/>
        </w:rPr>
        <w:t xml:space="preserve">con un incremento molto più sostenuto del capitale ICT (+3,6%) e di quello immateriale non ICT (2,5%). </w:t>
      </w:r>
    </w:p>
    <w:p w14:paraId="5BAEC2D9" w14:textId="77777777" w:rsidR="000C7172" w:rsidRPr="00C975E6" w:rsidRDefault="000C7172" w:rsidP="00B06014">
      <w:pPr>
        <w:pStyle w:val="Default"/>
        <w:spacing w:after="120"/>
        <w:jc w:val="both"/>
        <w:rPr>
          <w:rFonts w:ascii="Arial" w:hAnsi="Arial" w:cs="Arial"/>
          <w:color w:val="auto"/>
          <w:sz w:val="22"/>
          <w:szCs w:val="22"/>
        </w:rPr>
      </w:pPr>
      <w:r>
        <w:rPr>
          <w:rFonts w:ascii="Arial" w:hAnsi="Arial" w:cs="Arial"/>
          <w:color w:val="auto"/>
          <w:sz w:val="22"/>
          <w:szCs w:val="22"/>
        </w:rPr>
        <w:t>Nel 2020, la forte diminuzione del valore aggiunto dell’11,8% associata al calo molto contenuto dell’input di capitale (-0,6%) determina una fortissima riduzione (-11,2%)</w:t>
      </w:r>
      <w:r w:rsidRPr="005A38FA">
        <w:rPr>
          <w:rFonts w:ascii="Arial" w:hAnsi="Arial" w:cs="Arial"/>
          <w:color w:val="auto"/>
          <w:sz w:val="22"/>
          <w:szCs w:val="22"/>
        </w:rPr>
        <w:t xml:space="preserve"> </w:t>
      </w:r>
      <w:r>
        <w:rPr>
          <w:rFonts w:ascii="Arial" w:hAnsi="Arial" w:cs="Arial"/>
          <w:color w:val="auto"/>
          <w:sz w:val="22"/>
          <w:szCs w:val="22"/>
        </w:rPr>
        <w:t xml:space="preserve">della produttività del capitale. </w:t>
      </w:r>
    </w:p>
    <w:p w14:paraId="5A75EE53" w14:textId="77777777" w:rsidR="00740042" w:rsidRDefault="00740042" w:rsidP="00B06014">
      <w:pPr>
        <w:pStyle w:val="Default"/>
        <w:tabs>
          <w:tab w:val="left" w:pos="8505"/>
        </w:tabs>
        <w:spacing w:after="120"/>
        <w:jc w:val="both"/>
        <w:rPr>
          <w:rFonts w:ascii="Arial" w:hAnsi="Arial" w:cs="Arial"/>
          <w:color w:val="auto"/>
          <w:sz w:val="22"/>
          <w:szCs w:val="22"/>
        </w:rPr>
      </w:pPr>
    </w:p>
    <w:p w14:paraId="7944CAC7" w14:textId="77777777" w:rsidR="00CD39C6" w:rsidRDefault="00CD39C6" w:rsidP="00B06014">
      <w:pPr>
        <w:pStyle w:val="Default"/>
        <w:tabs>
          <w:tab w:val="left" w:pos="8505"/>
        </w:tabs>
        <w:spacing w:after="120"/>
        <w:jc w:val="both"/>
        <w:rPr>
          <w:rFonts w:ascii="Arial" w:hAnsi="Arial" w:cs="Arial"/>
          <w:color w:val="auto"/>
          <w:sz w:val="22"/>
          <w:szCs w:val="22"/>
        </w:rPr>
      </w:pPr>
    </w:p>
    <w:p w14:paraId="5F243252" w14:textId="77777777" w:rsidR="005E06A4" w:rsidRDefault="005E06A4" w:rsidP="00B06014">
      <w:pPr>
        <w:pStyle w:val="Default"/>
        <w:tabs>
          <w:tab w:val="left" w:pos="8505"/>
        </w:tabs>
        <w:spacing w:after="120"/>
        <w:jc w:val="both"/>
        <w:rPr>
          <w:rFonts w:ascii="Arial" w:hAnsi="Arial" w:cs="Arial"/>
          <w:color w:val="auto"/>
          <w:sz w:val="22"/>
          <w:szCs w:val="22"/>
        </w:rPr>
      </w:pPr>
    </w:p>
    <w:p w14:paraId="0AAB61B6" w14:textId="77777777" w:rsidR="00740042" w:rsidRPr="00643153" w:rsidRDefault="00740042" w:rsidP="00B06014">
      <w:pPr>
        <w:pStyle w:val="Default"/>
        <w:spacing w:after="120"/>
        <w:jc w:val="both"/>
        <w:rPr>
          <w:rFonts w:ascii="Arial" w:hAnsi="Arial" w:cs="Arial"/>
          <w:color w:val="auto"/>
          <w:sz w:val="32"/>
        </w:rPr>
      </w:pPr>
    </w:p>
    <w:p w14:paraId="6BD04880" w14:textId="77777777" w:rsidR="00C86CB9" w:rsidRDefault="00D7591F" w:rsidP="00BB412F">
      <w:pPr>
        <w:pStyle w:val="Default"/>
        <w:jc w:val="both"/>
        <w:rPr>
          <w:rFonts w:ascii="Arial Narrow" w:hAnsi="Arial Narrow" w:cs="Arial"/>
          <w:b/>
          <w:iCs/>
          <w:noProof/>
          <w:color w:val="1F497D" w:themeColor="text2"/>
          <w:sz w:val="22"/>
          <w:szCs w:val="22"/>
        </w:rPr>
      </w:pPr>
      <w:r w:rsidRPr="00E80B57">
        <w:rPr>
          <w:rFonts w:ascii="Arial Black" w:hAnsi="Arial Black" w:cs="Arial"/>
          <w:iCs/>
          <w:noProof/>
          <w:color w:val="1F497D" w:themeColor="text2"/>
          <w:sz w:val="22"/>
          <w:szCs w:val="22"/>
        </w:rPr>
        <w:t xml:space="preserve">FIGURA </w:t>
      </w:r>
      <w:r w:rsidR="00C6186C">
        <w:rPr>
          <w:rFonts w:ascii="Arial Black" w:hAnsi="Arial Black" w:cs="Arial"/>
          <w:iCs/>
          <w:noProof/>
          <w:color w:val="1F497D" w:themeColor="text2"/>
          <w:sz w:val="22"/>
          <w:szCs w:val="22"/>
        </w:rPr>
        <w:t>2</w:t>
      </w:r>
      <w:r w:rsidRPr="00E80B57">
        <w:rPr>
          <w:rFonts w:ascii="Arial Black" w:hAnsi="Arial Black" w:cs="Arial"/>
          <w:iCs/>
          <w:noProof/>
          <w:color w:val="1F497D" w:themeColor="text2"/>
          <w:sz w:val="22"/>
          <w:szCs w:val="22"/>
        </w:rPr>
        <w:t>.</w:t>
      </w:r>
      <w:r w:rsidRPr="00167C86">
        <w:rPr>
          <w:rFonts w:ascii="Arial Narrow" w:hAnsi="Arial Narrow" w:cs="Arial"/>
          <w:b/>
          <w:iCs/>
          <w:noProof/>
          <w:color w:val="5F5F5F"/>
          <w:sz w:val="20"/>
          <w:szCs w:val="20"/>
        </w:rPr>
        <w:t xml:space="preserve"> </w:t>
      </w:r>
      <w:r w:rsidR="00C86CB9">
        <w:rPr>
          <w:rFonts w:ascii="Arial Narrow" w:hAnsi="Arial Narrow" w:cs="Arial"/>
          <w:b/>
          <w:iCs/>
          <w:noProof/>
          <w:color w:val="5F5F5F"/>
          <w:sz w:val="20"/>
          <w:szCs w:val="20"/>
        </w:rPr>
        <w:t xml:space="preserve"> </w:t>
      </w:r>
      <w:r w:rsidRPr="0012394C">
        <w:rPr>
          <w:rFonts w:ascii="Arial Narrow" w:hAnsi="Arial Narrow" w:cs="Arial"/>
          <w:b/>
          <w:iCs/>
          <w:noProof/>
          <w:color w:val="1F497D" w:themeColor="text2"/>
          <w:sz w:val="22"/>
          <w:szCs w:val="22"/>
        </w:rPr>
        <w:t>PRODUTTIVITÀ DEL CAPITALE, VALORE AGGIU</w:t>
      </w:r>
      <w:r>
        <w:rPr>
          <w:rFonts w:ascii="Arial Narrow" w:hAnsi="Arial Narrow" w:cs="Arial"/>
          <w:b/>
          <w:iCs/>
          <w:noProof/>
          <w:color w:val="1F497D" w:themeColor="text2"/>
          <w:sz w:val="22"/>
          <w:szCs w:val="22"/>
        </w:rPr>
        <w:t>NTO E INPUT DI CAPITALE</w:t>
      </w:r>
    </w:p>
    <w:p w14:paraId="307A37FC" w14:textId="77777777" w:rsidR="00D7591F" w:rsidRDefault="00C86CB9" w:rsidP="00977BD5">
      <w:pPr>
        <w:pStyle w:val="Default"/>
        <w:spacing w:after="240"/>
        <w:jc w:val="both"/>
        <w:rPr>
          <w:rFonts w:ascii="Arial Narrow" w:hAnsi="Arial Narrow" w:cs="Arial"/>
          <w:iCs/>
          <w:noProof/>
          <w:color w:val="1F497D" w:themeColor="text2"/>
          <w:sz w:val="22"/>
          <w:szCs w:val="22"/>
        </w:rPr>
      </w:pPr>
      <w:r w:rsidRPr="00C86CB9">
        <w:rPr>
          <w:rFonts w:ascii="Arial Narrow" w:hAnsi="Arial Narrow" w:cs="Arial"/>
          <w:iCs/>
          <w:noProof/>
          <w:color w:val="1F497D" w:themeColor="text2"/>
          <w:sz w:val="22"/>
          <w:szCs w:val="22"/>
        </w:rPr>
        <w:t>Anni</w:t>
      </w:r>
      <w:r>
        <w:rPr>
          <w:rFonts w:ascii="Arial Narrow" w:hAnsi="Arial Narrow" w:cs="Arial"/>
          <w:iCs/>
          <w:noProof/>
          <w:color w:val="1F497D" w:themeColor="text2"/>
          <w:sz w:val="22"/>
          <w:szCs w:val="22"/>
        </w:rPr>
        <w:t xml:space="preserve"> 1995</w:t>
      </w:r>
      <w:r w:rsidR="008E64B0">
        <w:rPr>
          <w:rFonts w:ascii="Arial Narrow" w:hAnsi="Arial Narrow" w:cs="Arial"/>
          <w:iCs/>
          <w:noProof/>
          <w:color w:val="1F497D" w:themeColor="text2"/>
          <w:sz w:val="22"/>
          <w:szCs w:val="22"/>
        </w:rPr>
        <w:t>-20</w:t>
      </w:r>
      <w:r w:rsidR="000C7172">
        <w:rPr>
          <w:rFonts w:ascii="Arial Narrow" w:hAnsi="Arial Narrow" w:cs="Arial"/>
          <w:iCs/>
          <w:noProof/>
          <w:color w:val="1F497D" w:themeColor="text2"/>
          <w:sz w:val="22"/>
          <w:szCs w:val="22"/>
        </w:rPr>
        <w:t>20</w:t>
      </w:r>
      <w:r w:rsidR="00D7591F">
        <w:rPr>
          <w:rFonts w:ascii="Arial Narrow" w:hAnsi="Arial Narrow" w:cs="Arial"/>
          <w:iCs/>
          <w:noProof/>
          <w:color w:val="1F497D" w:themeColor="text2"/>
          <w:sz w:val="22"/>
          <w:szCs w:val="22"/>
        </w:rPr>
        <w:t>, indici 2015</w:t>
      </w:r>
      <w:r w:rsidR="00D7591F" w:rsidRPr="0012394C">
        <w:rPr>
          <w:rFonts w:ascii="Arial Narrow" w:hAnsi="Arial Narrow" w:cs="Arial"/>
          <w:iCs/>
          <w:noProof/>
          <w:color w:val="1F497D" w:themeColor="text2"/>
          <w:sz w:val="22"/>
          <w:szCs w:val="22"/>
        </w:rPr>
        <w:t>=100</w:t>
      </w:r>
    </w:p>
    <w:p w14:paraId="5BC27E29" w14:textId="77777777" w:rsidR="004B30C9" w:rsidRDefault="000C7172" w:rsidP="00C6186C">
      <w:pPr>
        <w:pStyle w:val="Default"/>
        <w:spacing w:after="120"/>
        <w:jc w:val="both"/>
        <w:rPr>
          <w:rFonts w:ascii="Arial Narrow" w:hAnsi="Arial Narrow" w:cs="Arial"/>
          <w:iCs/>
          <w:noProof/>
          <w:color w:val="1F497D" w:themeColor="text2"/>
          <w:sz w:val="22"/>
          <w:szCs w:val="22"/>
        </w:rPr>
      </w:pPr>
      <w:r>
        <w:rPr>
          <w:noProof/>
        </w:rPr>
        <w:drawing>
          <wp:inline distT="0" distB="0" distL="0" distR="0" wp14:anchorId="23B27DD4" wp14:editId="1191EEE8">
            <wp:extent cx="6300470" cy="1946275"/>
            <wp:effectExtent l="0" t="0" r="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6ECCE6" w14:textId="77777777" w:rsidR="000C7172" w:rsidRDefault="000C7172">
      <w:pPr>
        <w:rPr>
          <w:rFonts w:ascii="Arial" w:hAnsi="Arial" w:cs="Arial"/>
          <w:color w:val="000000"/>
          <w:sz w:val="22"/>
          <w:szCs w:val="22"/>
        </w:rPr>
      </w:pPr>
      <w:r>
        <w:rPr>
          <w:rFonts w:ascii="Arial" w:hAnsi="Arial" w:cs="Arial"/>
          <w:sz w:val="22"/>
          <w:szCs w:val="22"/>
        </w:rPr>
        <w:br w:type="page"/>
      </w:r>
    </w:p>
    <w:p w14:paraId="68B783DF" w14:textId="77777777" w:rsidR="004B30C9" w:rsidRDefault="004B30C9">
      <w:pPr>
        <w:pStyle w:val="Default"/>
        <w:spacing w:after="120"/>
        <w:jc w:val="both"/>
        <w:rPr>
          <w:rFonts w:ascii="Arial" w:hAnsi="Arial" w:cs="Arial"/>
          <w:sz w:val="22"/>
          <w:szCs w:val="22"/>
        </w:rPr>
      </w:pPr>
    </w:p>
    <w:p w14:paraId="634AE690" w14:textId="77777777" w:rsidR="000C7172" w:rsidRPr="00D76661" w:rsidRDefault="000C7172" w:rsidP="000C7172">
      <w:pPr>
        <w:pStyle w:val="Default"/>
        <w:spacing w:after="120"/>
        <w:jc w:val="both"/>
        <w:rPr>
          <w:rFonts w:ascii="Arial" w:hAnsi="Arial" w:cs="Arial"/>
          <w:sz w:val="22"/>
          <w:szCs w:val="22"/>
        </w:rPr>
      </w:pPr>
      <w:r>
        <w:rPr>
          <w:rFonts w:ascii="Arial" w:hAnsi="Arial" w:cs="Arial"/>
          <w:sz w:val="22"/>
          <w:szCs w:val="22"/>
        </w:rPr>
        <w:t>L</w:t>
      </w:r>
      <w:r w:rsidRPr="00D76661">
        <w:rPr>
          <w:rFonts w:ascii="Arial" w:hAnsi="Arial" w:cs="Arial"/>
          <w:sz w:val="22"/>
          <w:szCs w:val="22"/>
        </w:rPr>
        <w:t>’intensità del capitale, misurata come rapporto tra input di capitale e ore lavorate, è aumentata in media d’anno dell’1</w:t>
      </w:r>
      <w:r>
        <w:rPr>
          <w:rFonts w:ascii="Arial" w:hAnsi="Arial" w:cs="Arial"/>
          <w:sz w:val="22"/>
          <w:szCs w:val="22"/>
        </w:rPr>
        <w:t>,5</w:t>
      </w:r>
      <w:r w:rsidRPr="00D76661">
        <w:rPr>
          <w:rFonts w:ascii="Arial" w:hAnsi="Arial" w:cs="Arial"/>
          <w:sz w:val="22"/>
          <w:szCs w:val="22"/>
        </w:rPr>
        <w:t>%</w:t>
      </w:r>
      <w:r>
        <w:rPr>
          <w:rFonts w:ascii="Arial" w:hAnsi="Arial" w:cs="Arial"/>
          <w:sz w:val="22"/>
          <w:szCs w:val="22"/>
        </w:rPr>
        <w:t xml:space="preserve"> nel periodo 1995-2020</w:t>
      </w:r>
      <w:r w:rsidRPr="00D76661">
        <w:rPr>
          <w:rFonts w:ascii="Arial" w:hAnsi="Arial" w:cs="Arial"/>
          <w:sz w:val="22"/>
          <w:szCs w:val="22"/>
        </w:rPr>
        <w:t>.</w:t>
      </w:r>
      <w:r>
        <w:rPr>
          <w:rFonts w:ascii="Arial" w:hAnsi="Arial" w:cs="Arial"/>
          <w:sz w:val="22"/>
          <w:szCs w:val="22"/>
        </w:rPr>
        <w:t xml:space="preserve"> </w:t>
      </w:r>
      <w:r w:rsidRPr="00D76661">
        <w:rPr>
          <w:rFonts w:ascii="Arial" w:hAnsi="Arial" w:cs="Arial"/>
          <w:sz w:val="22"/>
          <w:szCs w:val="22"/>
        </w:rPr>
        <w:t>La crescita riflette un aumento dell’input di capitale (</w:t>
      </w:r>
      <w:r>
        <w:rPr>
          <w:rFonts w:ascii="Arial" w:hAnsi="Arial" w:cs="Arial"/>
          <w:sz w:val="22"/>
          <w:szCs w:val="22"/>
        </w:rPr>
        <w:t>+</w:t>
      </w:r>
      <w:r w:rsidRPr="00D76661">
        <w:rPr>
          <w:rFonts w:ascii="Arial" w:hAnsi="Arial" w:cs="Arial"/>
          <w:sz w:val="22"/>
          <w:szCs w:val="22"/>
        </w:rPr>
        <w:t>1,</w:t>
      </w:r>
      <w:r>
        <w:rPr>
          <w:rFonts w:ascii="Arial" w:hAnsi="Arial" w:cs="Arial"/>
          <w:sz w:val="22"/>
          <w:szCs w:val="22"/>
        </w:rPr>
        <w:t>3</w:t>
      </w:r>
      <w:r w:rsidRPr="00D76661">
        <w:rPr>
          <w:rFonts w:ascii="Arial" w:hAnsi="Arial" w:cs="Arial"/>
          <w:sz w:val="22"/>
          <w:szCs w:val="22"/>
        </w:rPr>
        <w:t xml:space="preserve">%) associato a un </w:t>
      </w:r>
      <w:r>
        <w:rPr>
          <w:rFonts w:ascii="Arial" w:hAnsi="Arial" w:cs="Arial"/>
          <w:sz w:val="22"/>
          <w:szCs w:val="22"/>
        </w:rPr>
        <w:t xml:space="preserve">lieve calo </w:t>
      </w:r>
      <w:r w:rsidRPr="00D76661">
        <w:rPr>
          <w:rFonts w:ascii="Arial" w:hAnsi="Arial" w:cs="Arial"/>
          <w:sz w:val="22"/>
          <w:szCs w:val="22"/>
        </w:rPr>
        <w:t>delle ore lavorate (</w:t>
      </w:r>
      <w:r>
        <w:rPr>
          <w:rFonts w:ascii="Arial" w:hAnsi="Arial" w:cs="Arial"/>
          <w:sz w:val="22"/>
          <w:szCs w:val="22"/>
        </w:rPr>
        <w:t>-</w:t>
      </w:r>
      <w:r w:rsidRPr="00D76661">
        <w:rPr>
          <w:rFonts w:ascii="Arial" w:hAnsi="Arial" w:cs="Arial"/>
          <w:sz w:val="22"/>
          <w:szCs w:val="22"/>
        </w:rPr>
        <w:t>0,</w:t>
      </w:r>
      <w:r>
        <w:rPr>
          <w:rFonts w:ascii="Arial" w:hAnsi="Arial" w:cs="Arial"/>
          <w:sz w:val="22"/>
          <w:szCs w:val="22"/>
        </w:rPr>
        <w:t>2</w:t>
      </w:r>
      <w:r w:rsidRPr="00D76661">
        <w:rPr>
          <w:rFonts w:ascii="Arial" w:hAnsi="Arial" w:cs="Arial"/>
          <w:sz w:val="22"/>
          <w:szCs w:val="22"/>
        </w:rPr>
        <w:t>%).</w:t>
      </w:r>
      <w:r>
        <w:rPr>
          <w:rFonts w:ascii="Arial" w:hAnsi="Arial" w:cs="Arial"/>
          <w:sz w:val="22"/>
          <w:szCs w:val="22"/>
        </w:rPr>
        <w:t xml:space="preserve"> Il </w:t>
      </w:r>
      <w:proofErr w:type="gramStart"/>
      <w:r>
        <w:rPr>
          <w:rFonts w:ascii="Arial" w:hAnsi="Arial" w:cs="Arial"/>
          <w:sz w:val="22"/>
          <w:szCs w:val="22"/>
        </w:rPr>
        <w:t>sotto-periodo</w:t>
      </w:r>
      <w:proofErr w:type="gramEnd"/>
      <w:r>
        <w:rPr>
          <w:rFonts w:ascii="Arial" w:hAnsi="Arial" w:cs="Arial"/>
          <w:sz w:val="22"/>
          <w:szCs w:val="22"/>
        </w:rPr>
        <w:t xml:space="preserve"> 2014-2020 conferma una</w:t>
      </w:r>
      <w:r w:rsidRPr="00D76661">
        <w:rPr>
          <w:rFonts w:ascii="Arial" w:hAnsi="Arial" w:cs="Arial"/>
          <w:sz w:val="22"/>
          <w:szCs w:val="22"/>
        </w:rPr>
        <w:t xml:space="preserve"> dinamica </w:t>
      </w:r>
      <w:r>
        <w:rPr>
          <w:rFonts w:ascii="Arial" w:hAnsi="Arial" w:cs="Arial"/>
          <w:sz w:val="22"/>
          <w:szCs w:val="22"/>
        </w:rPr>
        <w:t>positiva dell’intensità del capitale, con una crescita dell’1,6% in media d’anno.</w:t>
      </w:r>
    </w:p>
    <w:p w14:paraId="4B7C1960" w14:textId="77777777" w:rsidR="000C7172" w:rsidRDefault="000C7172" w:rsidP="000C7172">
      <w:pPr>
        <w:pStyle w:val="Default"/>
        <w:spacing w:after="120"/>
        <w:jc w:val="both"/>
        <w:rPr>
          <w:rFonts w:ascii="Arial" w:hAnsi="Arial" w:cs="Arial"/>
          <w:color w:val="auto"/>
          <w:sz w:val="22"/>
          <w:szCs w:val="22"/>
        </w:rPr>
      </w:pPr>
      <w:r>
        <w:rPr>
          <w:rFonts w:ascii="Arial" w:hAnsi="Arial" w:cs="Arial"/>
          <w:color w:val="auto"/>
          <w:sz w:val="22"/>
          <w:szCs w:val="22"/>
        </w:rPr>
        <w:t>Nel 2020</w:t>
      </w:r>
      <w:r w:rsidRPr="00D76661">
        <w:rPr>
          <w:rFonts w:ascii="Arial" w:hAnsi="Arial" w:cs="Arial"/>
          <w:color w:val="auto"/>
          <w:sz w:val="22"/>
          <w:szCs w:val="22"/>
        </w:rPr>
        <w:t xml:space="preserve">, </w:t>
      </w:r>
      <w:r>
        <w:rPr>
          <w:rFonts w:ascii="Arial" w:hAnsi="Arial" w:cs="Arial"/>
          <w:color w:val="auto"/>
          <w:sz w:val="22"/>
          <w:szCs w:val="22"/>
        </w:rPr>
        <w:t>il forte incremento del</w:t>
      </w:r>
      <w:r w:rsidRPr="00D76661">
        <w:rPr>
          <w:rFonts w:ascii="Arial" w:hAnsi="Arial" w:cs="Arial"/>
          <w:color w:val="auto"/>
          <w:sz w:val="22"/>
          <w:szCs w:val="22"/>
        </w:rPr>
        <w:t>l’intensità di capitale</w:t>
      </w:r>
      <w:r>
        <w:rPr>
          <w:rFonts w:ascii="Arial" w:hAnsi="Arial" w:cs="Arial"/>
          <w:color w:val="auto"/>
          <w:sz w:val="22"/>
          <w:szCs w:val="22"/>
        </w:rPr>
        <w:t xml:space="preserve"> (+12,4%)</w:t>
      </w:r>
      <w:r w:rsidRPr="00D76661">
        <w:rPr>
          <w:rFonts w:ascii="Arial" w:hAnsi="Arial" w:cs="Arial"/>
          <w:color w:val="auto"/>
          <w:sz w:val="22"/>
          <w:szCs w:val="22"/>
        </w:rPr>
        <w:t xml:space="preserve"> </w:t>
      </w:r>
      <w:r>
        <w:rPr>
          <w:rFonts w:ascii="Arial" w:hAnsi="Arial" w:cs="Arial"/>
          <w:color w:val="auto"/>
          <w:sz w:val="22"/>
          <w:szCs w:val="22"/>
        </w:rPr>
        <w:t>risulta da una diminuzione</w:t>
      </w:r>
      <w:r w:rsidRPr="00D76661">
        <w:rPr>
          <w:rFonts w:ascii="Arial" w:hAnsi="Arial" w:cs="Arial"/>
          <w:color w:val="auto"/>
          <w:sz w:val="22"/>
          <w:szCs w:val="22"/>
        </w:rPr>
        <w:t xml:space="preserve"> dell’input di capitale (</w:t>
      </w:r>
      <w:r>
        <w:rPr>
          <w:rFonts w:ascii="Arial" w:hAnsi="Arial" w:cs="Arial"/>
          <w:color w:val="auto"/>
          <w:sz w:val="22"/>
          <w:szCs w:val="22"/>
        </w:rPr>
        <w:t>-0,6</w:t>
      </w:r>
      <w:r w:rsidRPr="00D76661">
        <w:rPr>
          <w:rFonts w:ascii="Arial" w:hAnsi="Arial" w:cs="Arial"/>
          <w:color w:val="auto"/>
          <w:sz w:val="22"/>
          <w:szCs w:val="22"/>
        </w:rPr>
        <w:t>%)</w:t>
      </w:r>
      <w:r>
        <w:rPr>
          <w:rFonts w:ascii="Arial" w:hAnsi="Arial" w:cs="Arial"/>
          <w:color w:val="auto"/>
          <w:sz w:val="22"/>
          <w:szCs w:val="22"/>
        </w:rPr>
        <w:t xml:space="preserve"> molto inferiore rispetto a quella </w:t>
      </w:r>
      <w:r w:rsidRPr="00D76661">
        <w:rPr>
          <w:rFonts w:ascii="Arial" w:hAnsi="Arial" w:cs="Arial"/>
          <w:color w:val="auto"/>
          <w:sz w:val="22"/>
          <w:szCs w:val="22"/>
        </w:rPr>
        <w:t>delle ore lavorate (</w:t>
      </w:r>
      <w:r>
        <w:rPr>
          <w:rFonts w:ascii="Arial" w:hAnsi="Arial" w:cs="Arial"/>
          <w:color w:val="auto"/>
          <w:sz w:val="22"/>
          <w:szCs w:val="22"/>
        </w:rPr>
        <w:t>-13,0</w:t>
      </w:r>
      <w:r w:rsidRPr="00D76661">
        <w:rPr>
          <w:rFonts w:ascii="Arial" w:hAnsi="Arial" w:cs="Arial"/>
          <w:color w:val="auto"/>
          <w:sz w:val="22"/>
          <w:szCs w:val="22"/>
        </w:rPr>
        <w:t xml:space="preserve">%). </w:t>
      </w:r>
    </w:p>
    <w:p w14:paraId="72E64366" w14:textId="77777777" w:rsidR="009B7948" w:rsidRDefault="009B7948" w:rsidP="009B7948">
      <w:pPr>
        <w:pStyle w:val="Default"/>
        <w:spacing w:after="120"/>
        <w:jc w:val="both"/>
        <w:rPr>
          <w:rFonts w:ascii="Arial" w:hAnsi="Arial" w:cs="Arial"/>
          <w:sz w:val="22"/>
          <w:szCs w:val="22"/>
        </w:rPr>
      </w:pPr>
    </w:p>
    <w:p w14:paraId="06B4A3DB" w14:textId="77777777" w:rsidR="000C7172" w:rsidRPr="00EE0CA3" w:rsidRDefault="000C7172" w:rsidP="000C7172">
      <w:pPr>
        <w:spacing w:after="200"/>
        <w:jc w:val="both"/>
        <w:outlineLvl w:val="0"/>
        <w:rPr>
          <w:rFonts w:ascii="Arial" w:hAnsi="Arial" w:cs="Arial"/>
          <w:b/>
          <w:color w:val="1F497D" w:themeColor="text2"/>
          <w:sz w:val="26"/>
          <w:szCs w:val="26"/>
        </w:rPr>
      </w:pPr>
      <w:r w:rsidRPr="00EE0CA3">
        <w:rPr>
          <w:rFonts w:ascii="Arial" w:hAnsi="Arial" w:cs="Arial"/>
          <w:b/>
          <w:color w:val="1F497D" w:themeColor="text2"/>
          <w:sz w:val="26"/>
          <w:szCs w:val="26"/>
        </w:rPr>
        <w:t>Produttività totale dei fattori</w:t>
      </w:r>
      <w:r>
        <w:rPr>
          <w:rFonts w:ascii="Arial" w:hAnsi="Arial" w:cs="Arial"/>
          <w:b/>
          <w:color w:val="1F497D" w:themeColor="text2"/>
          <w:sz w:val="26"/>
          <w:szCs w:val="26"/>
        </w:rPr>
        <w:t xml:space="preserve"> </w:t>
      </w:r>
      <w:r w:rsidRPr="00EE0CA3">
        <w:rPr>
          <w:rFonts w:ascii="Arial" w:hAnsi="Arial" w:cs="Arial"/>
          <w:b/>
          <w:color w:val="1F497D" w:themeColor="text2"/>
          <w:sz w:val="26"/>
          <w:szCs w:val="26"/>
        </w:rPr>
        <w:t xml:space="preserve">in calo </w:t>
      </w:r>
      <w:r>
        <w:rPr>
          <w:rFonts w:ascii="Arial" w:hAnsi="Arial" w:cs="Arial"/>
          <w:b/>
          <w:color w:val="1F497D" w:themeColor="text2"/>
          <w:sz w:val="26"/>
          <w:szCs w:val="26"/>
        </w:rPr>
        <w:t xml:space="preserve">nel 2020 </w:t>
      </w:r>
    </w:p>
    <w:p w14:paraId="5AFECF84" w14:textId="77777777" w:rsidR="000C7172" w:rsidRPr="00A8189D" w:rsidRDefault="000C7172" w:rsidP="000C7172">
      <w:pPr>
        <w:autoSpaceDE w:val="0"/>
        <w:autoSpaceDN w:val="0"/>
        <w:adjustRightInd w:val="0"/>
        <w:spacing w:after="120"/>
        <w:jc w:val="both"/>
        <w:rPr>
          <w:rFonts w:ascii="Arial" w:hAnsi="Arial" w:cs="Arial"/>
          <w:sz w:val="22"/>
          <w:szCs w:val="22"/>
        </w:rPr>
      </w:pPr>
      <w:r>
        <w:rPr>
          <w:rFonts w:ascii="Arial" w:hAnsi="Arial" w:cs="Arial"/>
          <w:sz w:val="22"/>
          <w:szCs w:val="22"/>
        </w:rPr>
        <w:t>L</w:t>
      </w:r>
      <w:r w:rsidRPr="00640C26">
        <w:rPr>
          <w:rFonts w:ascii="Arial" w:hAnsi="Arial" w:cs="Arial"/>
          <w:sz w:val="22"/>
          <w:szCs w:val="22"/>
        </w:rPr>
        <w:t xml:space="preserve">a produttività </w:t>
      </w:r>
      <w:r>
        <w:rPr>
          <w:rFonts w:ascii="Arial" w:hAnsi="Arial" w:cs="Arial"/>
          <w:sz w:val="22"/>
          <w:szCs w:val="22"/>
        </w:rPr>
        <w:t>totale dei fattori</w:t>
      </w:r>
      <w:r w:rsidRPr="00640C26">
        <w:rPr>
          <w:rFonts w:ascii="Arial" w:hAnsi="Arial" w:cs="Arial"/>
          <w:sz w:val="22"/>
          <w:szCs w:val="22"/>
        </w:rPr>
        <w:t xml:space="preserve"> (</w:t>
      </w:r>
      <w:r>
        <w:rPr>
          <w:rFonts w:ascii="Arial" w:hAnsi="Arial" w:cs="Arial"/>
          <w:sz w:val="22"/>
          <w:szCs w:val="22"/>
        </w:rPr>
        <w:t>PTF</w:t>
      </w:r>
      <w:r w:rsidRPr="00640C26">
        <w:rPr>
          <w:rFonts w:ascii="Arial" w:hAnsi="Arial" w:cs="Arial"/>
          <w:sz w:val="22"/>
          <w:szCs w:val="22"/>
        </w:rPr>
        <w:t>) riflette l'efficienza complessiva con cui gli input</w:t>
      </w:r>
      <w:r>
        <w:rPr>
          <w:rFonts w:ascii="Arial" w:hAnsi="Arial" w:cs="Arial"/>
          <w:sz w:val="22"/>
          <w:szCs w:val="22"/>
        </w:rPr>
        <w:t xml:space="preserve"> primari,</w:t>
      </w:r>
      <w:r w:rsidRPr="00640C26">
        <w:rPr>
          <w:rFonts w:ascii="Arial" w:hAnsi="Arial" w:cs="Arial"/>
          <w:sz w:val="22"/>
          <w:szCs w:val="22"/>
        </w:rPr>
        <w:t xml:space="preserve"> lavoro e capitale</w:t>
      </w:r>
      <w:r>
        <w:rPr>
          <w:rFonts w:ascii="Arial" w:hAnsi="Arial" w:cs="Arial"/>
          <w:sz w:val="22"/>
          <w:szCs w:val="22"/>
        </w:rPr>
        <w:t>, sono</w:t>
      </w:r>
      <w:r w:rsidRPr="00640C26">
        <w:rPr>
          <w:rFonts w:ascii="Arial" w:hAnsi="Arial" w:cs="Arial"/>
          <w:sz w:val="22"/>
          <w:szCs w:val="22"/>
        </w:rPr>
        <w:t xml:space="preserve"> utilizzati nel processo di produzione. La crescita della produttività del lavoro </w:t>
      </w:r>
      <w:r>
        <w:rPr>
          <w:rFonts w:ascii="Arial" w:hAnsi="Arial" w:cs="Arial"/>
          <w:sz w:val="22"/>
          <w:szCs w:val="22"/>
        </w:rPr>
        <w:t>indica</w:t>
      </w:r>
      <w:r w:rsidRPr="00640C26">
        <w:rPr>
          <w:rFonts w:ascii="Arial" w:hAnsi="Arial" w:cs="Arial"/>
          <w:sz w:val="22"/>
          <w:szCs w:val="22"/>
        </w:rPr>
        <w:t xml:space="preserve"> un livello più elevato di output per ogni</w:t>
      </w:r>
      <w:r>
        <w:rPr>
          <w:rFonts w:ascii="Arial" w:hAnsi="Arial" w:cs="Arial"/>
          <w:sz w:val="22"/>
          <w:szCs w:val="22"/>
        </w:rPr>
        <w:t xml:space="preserve"> </w:t>
      </w:r>
      <w:r w:rsidRPr="00640C26">
        <w:rPr>
          <w:rFonts w:ascii="Arial" w:hAnsi="Arial" w:cs="Arial"/>
          <w:sz w:val="22"/>
          <w:szCs w:val="22"/>
        </w:rPr>
        <w:t>ora lavorata</w:t>
      </w:r>
      <w:r>
        <w:rPr>
          <w:rFonts w:ascii="Arial" w:hAnsi="Arial" w:cs="Arial"/>
          <w:sz w:val="22"/>
          <w:szCs w:val="22"/>
        </w:rPr>
        <w:t>. Tale risultato</w:t>
      </w:r>
      <w:r w:rsidRPr="00640C26">
        <w:rPr>
          <w:rFonts w:ascii="Arial" w:hAnsi="Arial" w:cs="Arial"/>
          <w:sz w:val="22"/>
          <w:szCs w:val="22"/>
        </w:rPr>
        <w:t xml:space="preserve"> può essere ottenuto </w:t>
      </w:r>
      <w:r>
        <w:rPr>
          <w:rFonts w:ascii="Arial" w:hAnsi="Arial" w:cs="Arial"/>
          <w:sz w:val="22"/>
          <w:szCs w:val="22"/>
        </w:rPr>
        <w:t xml:space="preserve">utilizzando </w:t>
      </w:r>
      <w:r w:rsidRPr="00640C26">
        <w:rPr>
          <w:rFonts w:ascii="Arial" w:hAnsi="Arial" w:cs="Arial"/>
          <w:sz w:val="22"/>
          <w:szCs w:val="22"/>
        </w:rPr>
        <w:t>più capitale per</w:t>
      </w:r>
      <w:r>
        <w:rPr>
          <w:rFonts w:ascii="Arial" w:hAnsi="Arial" w:cs="Arial"/>
          <w:sz w:val="22"/>
          <w:szCs w:val="22"/>
        </w:rPr>
        <w:t xml:space="preserve"> ora lavorata (aumentando quindi l’intensità del capitale), </w:t>
      </w:r>
      <w:r w:rsidRPr="00640C26">
        <w:rPr>
          <w:rFonts w:ascii="Arial" w:hAnsi="Arial" w:cs="Arial"/>
          <w:sz w:val="22"/>
          <w:szCs w:val="22"/>
        </w:rPr>
        <w:t>o</w:t>
      </w:r>
      <w:r>
        <w:rPr>
          <w:rFonts w:ascii="Arial" w:hAnsi="Arial" w:cs="Arial"/>
          <w:sz w:val="22"/>
          <w:szCs w:val="22"/>
        </w:rPr>
        <w:t>ppure</w:t>
      </w:r>
      <w:r w:rsidRPr="00640C26">
        <w:rPr>
          <w:rFonts w:ascii="Arial" w:hAnsi="Arial" w:cs="Arial"/>
          <w:sz w:val="22"/>
          <w:szCs w:val="22"/>
        </w:rPr>
        <w:t xml:space="preserve"> migliorando l'efficienza complessiva con cui lavoro e capitale sono </w:t>
      </w:r>
      <w:r>
        <w:rPr>
          <w:rFonts w:ascii="Arial" w:hAnsi="Arial" w:cs="Arial"/>
          <w:sz w:val="22"/>
          <w:szCs w:val="22"/>
        </w:rPr>
        <w:t>impiegati</w:t>
      </w:r>
      <w:r w:rsidRPr="00640C26">
        <w:rPr>
          <w:rFonts w:ascii="Arial" w:hAnsi="Arial" w:cs="Arial"/>
          <w:sz w:val="22"/>
          <w:szCs w:val="22"/>
        </w:rPr>
        <w:t xml:space="preserve">, vale a dire </w:t>
      </w:r>
      <w:r>
        <w:rPr>
          <w:rFonts w:ascii="Arial" w:hAnsi="Arial" w:cs="Arial"/>
          <w:sz w:val="22"/>
          <w:szCs w:val="22"/>
        </w:rPr>
        <w:t>aumentando la PTF</w:t>
      </w:r>
      <w:r w:rsidRPr="00640C26">
        <w:rPr>
          <w:rFonts w:ascii="Arial" w:hAnsi="Arial" w:cs="Arial"/>
          <w:sz w:val="22"/>
          <w:szCs w:val="22"/>
        </w:rPr>
        <w:t>.</w:t>
      </w:r>
    </w:p>
    <w:p w14:paraId="7C6BD550" w14:textId="77777777" w:rsidR="00DE2FB0" w:rsidRDefault="000C7172">
      <w:pPr>
        <w:spacing w:after="120"/>
        <w:jc w:val="both"/>
        <w:rPr>
          <w:rFonts w:ascii="Arial" w:hAnsi="Arial" w:cs="Arial"/>
          <w:noProof/>
          <w:sz w:val="22"/>
          <w:szCs w:val="22"/>
        </w:rPr>
      </w:pPr>
      <w:r w:rsidRPr="00CF7005">
        <w:rPr>
          <w:rFonts w:ascii="Arial" w:hAnsi="Arial" w:cs="Arial"/>
          <w:noProof/>
          <w:sz w:val="22"/>
          <w:szCs w:val="22"/>
        </w:rPr>
        <w:t>La PTF, qui calcolata come rapporto tra l’indice di volume del valore aggiunto e quello dei fattori primari (lavoro e capitale)</w:t>
      </w:r>
      <w:r w:rsidRPr="00CF7005">
        <w:rPr>
          <w:rStyle w:val="Rimandonotadichiusura"/>
          <w:rFonts w:ascii="Arial" w:hAnsi="Arial" w:cs="Arial"/>
          <w:noProof/>
          <w:sz w:val="22"/>
          <w:szCs w:val="22"/>
        </w:rPr>
        <w:endnoteReference w:id="7"/>
      </w:r>
      <w:r w:rsidRPr="00CF7005">
        <w:rPr>
          <w:rFonts w:ascii="Arial" w:hAnsi="Arial" w:cs="Arial"/>
          <w:noProof/>
          <w:sz w:val="22"/>
          <w:szCs w:val="22"/>
        </w:rPr>
        <w:t>,</w:t>
      </w:r>
      <w:r w:rsidR="00723936">
        <w:rPr>
          <w:rFonts w:ascii="Arial" w:hAnsi="Arial" w:cs="Arial"/>
          <w:noProof/>
          <w:sz w:val="22"/>
          <w:szCs w:val="22"/>
        </w:rPr>
        <w:t xml:space="preserve"> </w:t>
      </w:r>
      <w:r w:rsidR="004F4AED">
        <w:rPr>
          <w:rFonts w:ascii="Arial" w:hAnsi="Arial" w:cs="Arial"/>
          <w:sz w:val="22"/>
          <w:szCs w:val="22"/>
        </w:rPr>
        <w:t xml:space="preserve">ha segnato un </w:t>
      </w:r>
      <w:r w:rsidR="004F4AED" w:rsidRPr="00071CE1">
        <w:rPr>
          <w:rFonts w:ascii="Arial" w:hAnsi="Arial" w:cs="Arial"/>
          <w:sz w:val="22"/>
          <w:szCs w:val="22"/>
        </w:rPr>
        <w:t>c</w:t>
      </w:r>
      <w:r w:rsidR="004F4AED">
        <w:rPr>
          <w:rFonts w:ascii="Arial" w:hAnsi="Arial" w:cs="Arial"/>
          <w:sz w:val="22"/>
          <w:szCs w:val="22"/>
        </w:rPr>
        <w:t xml:space="preserve">alo del 2,7% nel 2020, spiegato da una caduta sia </w:t>
      </w:r>
      <w:r w:rsidR="004F4AED" w:rsidRPr="00071CE1">
        <w:rPr>
          <w:rFonts w:ascii="Arial" w:hAnsi="Arial" w:cs="Arial"/>
          <w:sz w:val="22"/>
          <w:szCs w:val="22"/>
        </w:rPr>
        <w:t>del valore aggiunto</w:t>
      </w:r>
      <w:r w:rsidR="004F4AED">
        <w:rPr>
          <w:rFonts w:ascii="Arial" w:hAnsi="Arial" w:cs="Arial"/>
          <w:sz w:val="22"/>
          <w:szCs w:val="22"/>
        </w:rPr>
        <w:t xml:space="preserve"> (-11,8%) sia </w:t>
      </w:r>
      <w:r w:rsidR="004F4AED" w:rsidRPr="00071CE1">
        <w:rPr>
          <w:rFonts w:ascii="Arial" w:hAnsi="Arial" w:cs="Arial"/>
          <w:sz w:val="22"/>
          <w:szCs w:val="22"/>
        </w:rPr>
        <w:t>dell’impiego complessivo di capitale e lavoro</w:t>
      </w:r>
      <w:r w:rsidR="004F4AED">
        <w:rPr>
          <w:rFonts w:ascii="Arial" w:hAnsi="Arial" w:cs="Arial"/>
          <w:sz w:val="22"/>
          <w:szCs w:val="22"/>
        </w:rPr>
        <w:t xml:space="preserve"> (-9,1%). </w:t>
      </w:r>
      <w:r w:rsidR="004F4AED">
        <w:rPr>
          <w:rFonts w:ascii="Arial" w:hAnsi="Arial" w:cs="Arial"/>
          <w:noProof/>
          <w:sz w:val="22"/>
          <w:szCs w:val="22"/>
        </w:rPr>
        <w:t>N</w:t>
      </w:r>
      <w:r w:rsidRPr="00CF7005">
        <w:rPr>
          <w:rFonts w:ascii="Arial" w:hAnsi="Arial" w:cs="Arial"/>
          <w:noProof/>
          <w:sz w:val="22"/>
          <w:szCs w:val="22"/>
        </w:rPr>
        <w:t>el periodo 1995-2020</w:t>
      </w:r>
      <w:r w:rsidR="004F4AED">
        <w:rPr>
          <w:rFonts w:ascii="Arial" w:hAnsi="Arial" w:cs="Arial"/>
          <w:noProof/>
          <w:sz w:val="22"/>
          <w:szCs w:val="22"/>
        </w:rPr>
        <w:t xml:space="preserve"> la variazione è stata leggermente negativa e</w:t>
      </w:r>
      <w:r w:rsidRPr="00CF7005">
        <w:rPr>
          <w:rFonts w:ascii="Arial" w:hAnsi="Arial" w:cs="Arial"/>
          <w:noProof/>
          <w:sz w:val="22"/>
          <w:szCs w:val="22"/>
        </w:rPr>
        <w:t xml:space="preserve"> pari a -0,1%: l’incremento medio del valore aggiunto (</w:t>
      </w:r>
      <w:r w:rsidR="004F4AED">
        <w:rPr>
          <w:rFonts w:ascii="Arial" w:hAnsi="Arial" w:cs="Arial"/>
          <w:noProof/>
          <w:sz w:val="22"/>
          <w:szCs w:val="22"/>
        </w:rPr>
        <w:t>+</w:t>
      </w:r>
      <w:r w:rsidRPr="00CF7005">
        <w:rPr>
          <w:rFonts w:ascii="Arial" w:hAnsi="Arial" w:cs="Arial"/>
          <w:noProof/>
          <w:sz w:val="22"/>
          <w:szCs w:val="22"/>
        </w:rPr>
        <w:t>0,2% medio annuo) è quasi interamente att</w:t>
      </w:r>
      <w:r w:rsidR="00B800AC" w:rsidRPr="00CF7005">
        <w:rPr>
          <w:rFonts w:ascii="Arial" w:hAnsi="Arial" w:cs="Arial"/>
          <w:noProof/>
          <w:sz w:val="22"/>
          <w:szCs w:val="22"/>
        </w:rPr>
        <w:t>r</w:t>
      </w:r>
      <w:r w:rsidRPr="00CF7005">
        <w:rPr>
          <w:rFonts w:ascii="Arial" w:hAnsi="Arial" w:cs="Arial"/>
          <w:noProof/>
          <w:sz w:val="22"/>
          <w:szCs w:val="22"/>
        </w:rPr>
        <w:t>ibuibile all’impiego complessivo di capitale e lavoro (rispettivamente +0,5 punti percentuali il contributo del capitale e -0,2</w:t>
      </w:r>
      <w:r w:rsidR="004F4AED">
        <w:rPr>
          <w:rFonts w:ascii="Arial" w:hAnsi="Arial" w:cs="Arial"/>
          <w:noProof/>
          <w:sz w:val="22"/>
          <w:szCs w:val="22"/>
        </w:rPr>
        <w:t xml:space="preserve"> punti </w:t>
      </w:r>
      <w:r w:rsidRPr="00CF7005">
        <w:rPr>
          <w:rFonts w:ascii="Arial" w:hAnsi="Arial" w:cs="Arial"/>
          <w:noProof/>
          <w:sz w:val="22"/>
          <w:szCs w:val="22"/>
        </w:rPr>
        <w:t>quello del lavoro)</w:t>
      </w:r>
      <w:r w:rsidR="00483D0B" w:rsidRPr="00483D0B">
        <w:rPr>
          <w:rFonts w:ascii="Arial" w:hAnsi="Arial" w:cs="Arial"/>
          <w:noProof/>
          <w:sz w:val="22"/>
          <w:szCs w:val="22"/>
          <w:vertAlign w:val="superscript"/>
        </w:rPr>
        <w:endnoteReference w:id="8"/>
      </w:r>
      <w:r w:rsidRPr="00CF7005">
        <w:rPr>
          <w:rFonts w:ascii="Arial" w:hAnsi="Arial" w:cs="Arial"/>
          <w:noProof/>
          <w:sz w:val="22"/>
          <w:szCs w:val="22"/>
        </w:rPr>
        <w:t>.</w:t>
      </w:r>
    </w:p>
    <w:p w14:paraId="4FE36083" w14:textId="77777777" w:rsidR="004F4AED" w:rsidRDefault="000C7172" w:rsidP="004F4AED">
      <w:pPr>
        <w:pStyle w:val="Default"/>
        <w:spacing w:after="120"/>
        <w:jc w:val="both"/>
        <w:rPr>
          <w:rFonts w:ascii="Arial" w:hAnsi="Arial" w:cs="Arial"/>
          <w:sz w:val="22"/>
          <w:szCs w:val="22"/>
        </w:rPr>
      </w:pPr>
      <w:r w:rsidRPr="00071CE1">
        <w:rPr>
          <w:rFonts w:ascii="Arial" w:hAnsi="Arial" w:cs="Arial"/>
          <w:sz w:val="22"/>
          <w:szCs w:val="22"/>
        </w:rPr>
        <w:t xml:space="preserve">La dinamica è caratterizzata da andamenti </w:t>
      </w:r>
      <w:r>
        <w:rPr>
          <w:rFonts w:ascii="Arial" w:hAnsi="Arial" w:cs="Arial"/>
          <w:sz w:val="22"/>
          <w:szCs w:val="22"/>
        </w:rPr>
        <w:t xml:space="preserve">differenti nei </w:t>
      </w:r>
      <w:proofErr w:type="gramStart"/>
      <w:r>
        <w:rPr>
          <w:rFonts w:ascii="Arial" w:hAnsi="Arial" w:cs="Arial"/>
          <w:sz w:val="22"/>
          <w:szCs w:val="22"/>
        </w:rPr>
        <w:t>sotto-periodi</w:t>
      </w:r>
      <w:proofErr w:type="gramEnd"/>
      <w:r>
        <w:rPr>
          <w:rFonts w:ascii="Arial" w:hAnsi="Arial" w:cs="Arial"/>
          <w:sz w:val="22"/>
          <w:szCs w:val="22"/>
        </w:rPr>
        <w:t xml:space="preserve">. Nel periodo 2003-2009 si registra un calo della PTF dello 0,8% medio annuo, derivante </w:t>
      </w:r>
      <w:r w:rsidRPr="00071CE1">
        <w:rPr>
          <w:rFonts w:ascii="Arial" w:hAnsi="Arial" w:cs="Arial"/>
          <w:sz w:val="22"/>
          <w:szCs w:val="22"/>
        </w:rPr>
        <w:t>da una crescita dell’impiego complessivo dei fattori produttivi (</w:t>
      </w:r>
      <w:r>
        <w:rPr>
          <w:rFonts w:ascii="Arial" w:hAnsi="Arial" w:cs="Arial"/>
          <w:sz w:val="22"/>
          <w:szCs w:val="22"/>
        </w:rPr>
        <w:t>+</w:t>
      </w:r>
      <w:r w:rsidRPr="00071CE1">
        <w:rPr>
          <w:rFonts w:ascii="Arial" w:hAnsi="Arial" w:cs="Arial"/>
          <w:sz w:val="22"/>
          <w:szCs w:val="22"/>
        </w:rPr>
        <w:t xml:space="preserve">0,6%) a cui </w:t>
      </w:r>
      <w:r>
        <w:rPr>
          <w:rFonts w:ascii="Arial" w:hAnsi="Arial" w:cs="Arial"/>
          <w:sz w:val="22"/>
          <w:szCs w:val="22"/>
        </w:rPr>
        <w:t>fa riscontro</w:t>
      </w:r>
      <w:r w:rsidRPr="00071CE1">
        <w:rPr>
          <w:rFonts w:ascii="Arial" w:hAnsi="Arial" w:cs="Arial"/>
          <w:sz w:val="22"/>
          <w:szCs w:val="22"/>
        </w:rPr>
        <w:t xml:space="preserve"> una </w:t>
      </w:r>
      <w:r>
        <w:rPr>
          <w:rFonts w:ascii="Arial" w:hAnsi="Arial" w:cs="Arial"/>
          <w:sz w:val="22"/>
          <w:szCs w:val="22"/>
        </w:rPr>
        <w:t xml:space="preserve">lieve </w:t>
      </w:r>
      <w:r w:rsidRPr="00071CE1">
        <w:rPr>
          <w:rFonts w:ascii="Arial" w:hAnsi="Arial" w:cs="Arial"/>
          <w:sz w:val="22"/>
          <w:szCs w:val="22"/>
        </w:rPr>
        <w:t xml:space="preserve">diminuzione del valore aggiunto </w:t>
      </w:r>
      <w:r>
        <w:rPr>
          <w:rFonts w:ascii="Arial" w:hAnsi="Arial" w:cs="Arial"/>
          <w:sz w:val="22"/>
          <w:szCs w:val="22"/>
        </w:rPr>
        <w:t>(-</w:t>
      </w:r>
      <w:r w:rsidRPr="00071CE1">
        <w:rPr>
          <w:rFonts w:ascii="Arial" w:hAnsi="Arial" w:cs="Arial"/>
          <w:sz w:val="22"/>
          <w:szCs w:val="22"/>
        </w:rPr>
        <w:t>0,2%</w:t>
      </w:r>
      <w:r>
        <w:rPr>
          <w:rFonts w:ascii="Arial" w:hAnsi="Arial" w:cs="Arial"/>
          <w:sz w:val="22"/>
          <w:szCs w:val="22"/>
        </w:rPr>
        <w:t xml:space="preserve">). </w:t>
      </w:r>
    </w:p>
    <w:p w14:paraId="60FA6492" w14:textId="77777777" w:rsidR="004F4AED" w:rsidRDefault="000C7172" w:rsidP="000C7172">
      <w:pPr>
        <w:pStyle w:val="Default"/>
        <w:spacing w:after="120"/>
        <w:jc w:val="both"/>
        <w:rPr>
          <w:rFonts w:ascii="Arial" w:hAnsi="Arial" w:cs="Arial"/>
          <w:sz w:val="22"/>
          <w:szCs w:val="22"/>
        </w:rPr>
      </w:pPr>
      <w:r w:rsidRPr="00071CE1">
        <w:rPr>
          <w:rFonts w:ascii="Arial" w:hAnsi="Arial" w:cs="Arial"/>
          <w:sz w:val="22"/>
          <w:szCs w:val="22"/>
        </w:rPr>
        <w:t>Nel</w:t>
      </w:r>
      <w:r>
        <w:rPr>
          <w:rFonts w:ascii="Arial" w:hAnsi="Arial" w:cs="Arial"/>
          <w:sz w:val="22"/>
          <w:szCs w:val="22"/>
        </w:rPr>
        <w:t xml:space="preserve"> periodo 2009-2014 la PTF </w:t>
      </w:r>
      <w:r w:rsidR="00B800AC">
        <w:rPr>
          <w:rFonts w:ascii="Arial" w:hAnsi="Arial" w:cs="Arial"/>
          <w:sz w:val="22"/>
          <w:szCs w:val="22"/>
        </w:rPr>
        <w:t>è</w:t>
      </w:r>
      <w:r>
        <w:rPr>
          <w:rFonts w:ascii="Arial" w:hAnsi="Arial" w:cs="Arial"/>
          <w:sz w:val="22"/>
          <w:szCs w:val="22"/>
        </w:rPr>
        <w:t xml:space="preserve"> aumentata dello 0,6</w:t>
      </w:r>
      <w:r w:rsidRPr="00071CE1">
        <w:rPr>
          <w:rFonts w:ascii="Arial" w:hAnsi="Arial" w:cs="Arial"/>
          <w:sz w:val="22"/>
          <w:szCs w:val="22"/>
        </w:rPr>
        <w:t>% in media d’anno</w:t>
      </w:r>
      <w:r>
        <w:rPr>
          <w:rFonts w:ascii="Arial" w:hAnsi="Arial" w:cs="Arial"/>
          <w:sz w:val="22"/>
          <w:szCs w:val="22"/>
        </w:rPr>
        <w:t xml:space="preserve">, </w:t>
      </w:r>
      <w:r w:rsidRPr="00071CE1">
        <w:rPr>
          <w:rFonts w:ascii="Arial" w:hAnsi="Arial" w:cs="Arial"/>
          <w:sz w:val="22"/>
          <w:szCs w:val="22"/>
        </w:rPr>
        <w:t>per effetto di una diminuzione nell’impiego complessivo dei fattori produttivi (-1</w:t>
      </w:r>
      <w:r>
        <w:rPr>
          <w:rFonts w:ascii="Arial" w:hAnsi="Arial" w:cs="Arial"/>
          <w:sz w:val="22"/>
          <w:szCs w:val="22"/>
        </w:rPr>
        <w:t>,0</w:t>
      </w:r>
      <w:r w:rsidRPr="00071CE1">
        <w:rPr>
          <w:rFonts w:ascii="Arial" w:hAnsi="Arial" w:cs="Arial"/>
          <w:sz w:val="22"/>
          <w:szCs w:val="22"/>
        </w:rPr>
        <w:t xml:space="preserve">% l’indice composito del lavoro e del capitale) </w:t>
      </w:r>
      <w:r>
        <w:rPr>
          <w:rFonts w:ascii="Arial" w:hAnsi="Arial" w:cs="Arial"/>
          <w:sz w:val="22"/>
          <w:szCs w:val="22"/>
        </w:rPr>
        <w:t>maggiore di</w:t>
      </w:r>
      <w:r w:rsidRPr="00071CE1">
        <w:rPr>
          <w:rFonts w:ascii="Arial" w:hAnsi="Arial" w:cs="Arial"/>
          <w:sz w:val="22"/>
          <w:szCs w:val="22"/>
        </w:rPr>
        <w:t xml:space="preserve"> </w:t>
      </w:r>
      <w:r>
        <w:rPr>
          <w:rFonts w:ascii="Arial" w:hAnsi="Arial" w:cs="Arial"/>
          <w:sz w:val="22"/>
          <w:szCs w:val="22"/>
        </w:rPr>
        <w:t>quella del valore aggiunto (-0,4</w:t>
      </w:r>
      <w:r w:rsidRPr="00071CE1">
        <w:rPr>
          <w:rFonts w:ascii="Arial" w:hAnsi="Arial" w:cs="Arial"/>
          <w:sz w:val="22"/>
          <w:szCs w:val="22"/>
        </w:rPr>
        <w:t>%).</w:t>
      </w:r>
      <w:r>
        <w:rPr>
          <w:rFonts w:ascii="Arial" w:hAnsi="Arial" w:cs="Arial"/>
          <w:sz w:val="22"/>
          <w:szCs w:val="22"/>
        </w:rPr>
        <w:t xml:space="preserve"> </w:t>
      </w:r>
    </w:p>
    <w:p w14:paraId="00F10CDC" w14:textId="77777777" w:rsidR="000C7172" w:rsidRPr="00071CE1" w:rsidRDefault="000C7172" w:rsidP="000C7172">
      <w:pPr>
        <w:pStyle w:val="Default"/>
        <w:spacing w:after="120"/>
        <w:jc w:val="both"/>
        <w:rPr>
          <w:rFonts w:ascii="Arial" w:hAnsi="Arial" w:cs="Arial"/>
          <w:sz w:val="22"/>
          <w:szCs w:val="22"/>
        </w:rPr>
      </w:pPr>
      <w:r>
        <w:rPr>
          <w:rFonts w:ascii="Arial" w:hAnsi="Arial" w:cs="Arial"/>
          <w:sz w:val="22"/>
          <w:szCs w:val="22"/>
        </w:rPr>
        <w:t>Nel periodo 2014-2020, la PTF ha presentato invece una stazionarietà in media d’anno, con una diminuzione dell’impiego di fattori produttivi dello 0,8</w:t>
      </w:r>
      <w:r w:rsidRPr="00B95152">
        <w:rPr>
          <w:rFonts w:ascii="Arial" w:hAnsi="Arial" w:cs="Arial"/>
          <w:sz w:val="22"/>
          <w:szCs w:val="22"/>
        </w:rPr>
        <w:t>%</w:t>
      </w:r>
      <w:r>
        <w:rPr>
          <w:rFonts w:ascii="Arial" w:hAnsi="Arial" w:cs="Arial"/>
          <w:sz w:val="22"/>
          <w:szCs w:val="22"/>
        </w:rPr>
        <w:t xml:space="preserve"> </w:t>
      </w:r>
      <w:r>
        <w:rPr>
          <w:rFonts w:ascii="Arial" w:hAnsi="Arial" w:cs="Arial"/>
          <w:noProof/>
          <w:sz w:val="22"/>
          <w:szCs w:val="22"/>
        </w:rPr>
        <w:t>(+0,1% il contributo del capitale, -0,9% quello del lavoro)</w:t>
      </w:r>
      <w:r>
        <w:rPr>
          <w:rFonts w:ascii="Arial" w:hAnsi="Arial" w:cs="Arial"/>
          <w:sz w:val="22"/>
          <w:szCs w:val="22"/>
        </w:rPr>
        <w:t>.</w:t>
      </w:r>
    </w:p>
    <w:p w14:paraId="3A8702E7" w14:textId="77777777" w:rsidR="00CB66D4" w:rsidRDefault="00CB66D4" w:rsidP="00977BD5">
      <w:pPr>
        <w:spacing w:after="120"/>
        <w:jc w:val="both"/>
        <w:rPr>
          <w:rFonts w:ascii="Arial" w:hAnsi="Arial" w:cs="Arial"/>
          <w:sz w:val="22"/>
          <w:szCs w:val="22"/>
        </w:rPr>
      </w:pPr>
    </w:p>
    <w:p w14:paraId="68872D7C" w14:textId="77777777" w:rsidR="00FB167F" w:rsidRDefault="00FB167F" w:rsidP="00977BD5">
      <w:pPr>
        <w:spacing w:after="120"/>
        <w:jc w:val="both"/>
        <w:rPr>
          <w:rFonts w:ascii="Arial" w:hAnsi="Arial" w:cs="Arial"/>
          <w:sz w:val="22"/>
          <w:szCs w:val="22"/>
        </w:rPr>
      </w:pPr>
    </w:p>
    <w:p w14:paraId="24E8E3FC" w14:textId="77777777" w:rsidR="00FB167F" w:rsidRDefault="00FB167F" w:rsidP="00977BD5">
      <w:pPr>
        <w:spacing w:after="120"/>
        <w:jc w:val="both"/>
        <w:rPr>
          <w:rFonts w:ascii="Arial" w:hAnsi="Arial" w:cs="Arial"/>
          <w:sz w:val="22"/>
          <w:szCs w:val="22"/>
        </w:rPr>
      </w:pPr>
    </w:p>
    <w:p w14:paraId="157F10A4" w14:textId="77777777" w:rsidR="00FB167F" w:rsidRDefault="00FB167F" w:rsidP="00977BD5">
      <w:pPr>
        <w:spacing w:after="120"/>
        <w:jc w:val="both"/>
        <w:rPr>
          <w:rFonts w:ascii="Arial" w:hAnsi="Arial" w:cs="Arial"/>
          <w:sz w:val="22"/>
          <w:szCs w:val="22"/>
        </w:rPr>
      </w:pPr>
    </w:p>
    <w:p w14:paraId="46AE321A" w14:textId="77777777" w:rsidR="00B800AC" w:rsidRPr="005E06A4" w:rsidRDefault="00B800AC" w:rsidP="00977BD5">
      <w:pPr>
        <w:spacing w:after="120"/>
        <w:jc w:val="both"/>
        <w:rPr>
          <w:rFonts w:ascii="Arial" w:hAnsi="Arial" w:cs="Arial"/>
          <w:sz w:val="28"/>
          <w:szCs w:val="36"/>
        </w:rPr>
      </w:pPr>
    </w:p>
    <w:p w14:paraId="23C4F713" w14:textId="77777777" w:rsidR="00283CE4" w:rsidRPr="005D02DA" w:rsidRDefault="00CC1DBD" w:rsidP="00977BD5">
      <w:pPr>
        <w:jc w:val="both"/>
        <w:rPr>
          <w:rFonts w:ascii="Arial Narrow" w:hAnsi="Arial Narrow" w:cs="Arial"/>
          <w:b/>
          <w:iCs/>
          <w:noProof/>
          <w:color w:val="1F497D" w:themeColor="text2"/>
          <w:sz w:val="22"/>
          <w:szCs w:val="22"/>
        </w:rPr>
      </w:pPr>
      <w:r>
        <w:rPr>
          <w:rFonts w:ascii="Arial Black" w:hAnsi="Arial Black" w:cs="Arial"/>
          <w:iCs/>
          <w:noProof/>
          <w:color w:val="1F497D" w:themeColor="text2"/>
          <w:sz w:val="22"/>
          <w:szCs w:val="22"/>
        </w:rPr>
        <w:t>F</w:t>
      </w:r>
      <w:r w:rsidR="00283CE4">
        <w:rPr>
          <w:rFonts w:ascii="Arial Black" w:hAnsi="Arial Black" w:cs="Arial"/>
          <w:iCs/>
          <w:noProof/>
          <w:color w:val="1F497D" w:themeColor="text2"/>
          <w:sz w:val="22"/>
          <w:szCs w:val="22"/>
        </w:rPr>
        <w:t xml:space="preserve">IGURA </w:t>
      </w:r>
      <w:r w:rsidR="00C6186C">
        <w:rPr>
          <w:rFonts w:ascii="Arial Black" w:hAnsi="Arial Black" w:cs="Arial"/>
          <w:iCs/>
          <w:noProof/>
          <w:color w:val="1F497D" w:themeColor="text2"/>
          <w:sz w:val="22"/>
          <w:szCs w:val="22"/>
        </w:rPr>
        <w:t>3</w:t>
      </w:r>
      <w:r w:rsidR="00283CE4" w:rsidRPr="005D02DA">
        <w:rPr>
          <w:rFonts w:ascii="Arial Black" w:hAnsi="Arial Black" w:cs="Arial"/>
          <w:iCs/>
          <w:noProof/>
          <w:color w:val="1F497D" w:themeColor="text2"/>
          <w:sz w:val="22"/>
          <w:szCs w:val="22"/>
        </w:rPr>
        <w:t>.</w:t>
      </w:r>
      <w:r w:rsidR="00283CE4" w:rsidRPr="005D02DA">
        <w:rPr>
          <w:rFonts w:ascii="Arial Narrow" w:hAnsi="Arial Narrow" w:cs="Arial"/>
          <w:b/>
          <w:iCs/>
          <w:noProof/>
          <w:color w:val="1F497D" w:themeColor="text2"/>
          <w:sz w:val="22"/>
          <w:szCs w:val="22"/>
        </w:rPr>
        <w:t xml:space="preserve"> VALORE AG</w:t>
      </w:r>
      <w:r w:rsidR="00283CE4">
        <w:rPr>
          <w:rFonts w:ascii="Arial Narrow" w:hAnsi="Arial Narrow" w:cs="Arial"/>
          <w:b/>
          <w:iCs/>
          <w:noProof/>
          <w:color w:val="1F497D" w:themeColor="text2"/>
          <w:sz w:val="22"/>
          <w:szCs w:val="22"/>
        </w:rPr>
        <w:t>GIUNTO E MISURE DI PRODUTTIVITÀ</w:t>
      </w:r>
      <w:r w:rsidR="006817C8">
        <w:rPr>
          <w:rFonts w:ascii="Arial Narrow" w:hAnsi="Arial Narrow" w:cs="Arial"/>
          <w:b/>
          <w:iCs/>
          <w:noProof/>
          <w:color w:val="1F497D" w:themeColor="text2"/>
          <w:sz w:val="22"/>
          <w:szCs w:val="22"/>
        </w:rPr>
        <w:t xml:space="preserve"> </w:t>
      </w:r>
    </w:p>
    <w:p w14:paraId="56474F65" w14:textId="77777777" w:rsidR="00DE2FB0" w:rsidRDefault="006433D3">
      <w:pPr>
        <w:spacing w:after="120"/>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t>Anni 1996-20</w:t>
      </w:r>
      <w:r w:rsidR="000C7172">
        <w:rPr>
          <w:rFonts w:ascii="Arial Narrow" w:hAnsi="Arial Narrow" w:cs="Arial"/>
          <w:iCs/>
          <w:noProof/>
          <w:color w:val="1F497D" w:themeColor="text2"/>
          <w:sz w:val="22"/>
          <w:szCs w:val="22"/>
        </w:rPr>
        <w:t>20</w:t>
      </w:r>
      <w:r w:rsidR="00283CE4" w:rsidRPr="005D02DA">
        <w:rPr>
          <w:rFonts w:ascii="Arial Narrow" w:hAnsi="Arial Narrow" w:cs="Arial"/>
          <w:iCs/>
          <w:noProof/>
          <w:color w:val="1F497D" w:themeColor="text2"/>
          <w:sz w:val="22"/>
          <w:szCs w:val="22"/>
        </w:rPr>
        <w:t>, variazioni percentuali</w:t>
      </w:r>
      <w:r w:rsidR="00283CE4">
        <w:rPr>
          <w:rFonts w:ascii="Arial Narrow" w:hAnsi="Arial Narrow" w:cs="Arial"/>
          <w:iCs/>
          <w:noProof/>
          <w:color w:val="1F497D" w:themeColor="text2"/>
          <w:sz w:val="22"/>
          <w:szCs w:val="22"/>
        </w:rPr>
        <w:t xml:space="preserve"> </w:t>
      </w:r>
    </w:p>
    <w:p w14:paraId="08BDB813" w14:textId="77777777" w:rsidR="00DE2FB0" w:rsidRDefault="000C7172">
      <w:pPr>
        <w:spacing w:after="120"/>
        <w:rPr>
          <w:rFonts w:ascii="Arial Narrow" w:hAnsi="Arial Narrow" w:cs="Arial"/>
          <w:iCs/>
          <w:noProof/>
          <w:color w:val="1F497D" w:themeColor="text2"/>
          <w:sz w:val="22"/>
          <w:szCs w:val="22"/>
        </w:rPr>
      </w:pPr>
      <w:r>
        <w:rPr>
          <w:noProof/>
        </w:rPr>
        <w:drawing>
          <wp:inline distT="0" distB="0" distL="0" distR="0" wp14:anchorId="2686F94C" wp14:editId="2316A93C">
            <wp:extent cx="6300470" cy="2349500"/>
            <wp:effectExtent l="0" t="0" r="5080"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B800AC">
        <w:rPr>
          <w:rFonts w:ascii="Arial Narrow" w:hAnsi="Arial Narrow" w:cs="Arial"/>
          <w:iCs/>
          <w:noProof/>
          <w:color w:val="1F497D" w:themeColor="text2"/>
          <w:sz w:val="22"/>
          <w:szCs w:val="22"/>
        </w:rPr>
        <w:br w:type="page"/>
      </w:r>
    </w:p>
    <w:p w14:paraId="714B7755" w14:textId="77777777" w:rsidR="00DE2FB0" w:rsidRDefault="00DE2FB0">
      <w:pPr>
        <w:spacing w:after="120"/>
        <w:rPr>
          <w:rFonts w:ascii="Arial" w:hAnsi="Arial" w:cs="Arial"/>
          <w:iCs/>
          <w:noProof/>
          <w:color w:val="1F497D" w:themeColor="text2"/>
          <w:sz w:val="22"/>
          <w:szCs w:val="22"/>
        </w:rPr>
      </w:pPr>
    </w:p>
    <w:p w14:paraId="772DEE30" w14:textId="77777777" w:rsidR="00D209F8" w:rsidRPr="00EE0CA3" w:rsidRDefault="00D74180" w:rsidP="00D209F8">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C</w:t>
      </w:r>
      <w:r w:rsidR="00D209F8">
        <w:rPr>
          <w:rFonts w:ascii="Arial" w:hAnsi="Arial" w:cs="Arial"/>
          <w:b/>
          <w:color w:val="1F497D" w:themeColor="text2"/>
          <w:sz w:val="26"/>
          <w:szCs w:val="26"/>
        </w:rPr>
        <w:t xml:space="preserve">rescita </w:t>
      </w:r>
      <w:r w:rsidR="00D209F8" w:rsidRPr="00EE0CA3">
        <w:rPr>
          <w:rFonts w:ascii="Arial" w:hAnsi="Arial" w:cs="Arial"/>
          <w:b/>
          <w:color w:val="1F497D" w:themeColor="text2"/>
          <w:sz w:val="26"/>
          <w:szCs w:val="26"/>
        </w:rPr>
        <w:t>del valore aggiunto</w:t>
      </w:r>
      <w:r w:rsidR="00D209F8">
        <w:rPr>
          <w:rFonts w:ascii="Arial" w:hAnsi="Arial" w:cs="Arial"/>
          <w:b/>
          <w:color w:val="1F497D" w:themeColor="text2"/>
          <w:sz w:val="26"/>
          <w:szCs w:val="26"/>
        </w:rPr>
        <w:t>: maggiore contributo del capitale rispetto al lavoro</w:t>
      </w:r>
    </w:p>
    <w:p w14:paraId="3817A073" w14:textId="77777777" w:rsidR="00D209F8" w:rsidRDefault="00D209F8" w:rsidP="00D209F8">
      <w:pPr>
        <w:autoSpaceDE w:val="0"/>
        <w:autoSpaceDN w:val="0"/>
        <w:adjustRightInd w:val="0"/>
        <w:spacing w:after="120"/>
        <w:jc w:val="both"/>
        <w:rPr>
          <w:rFonts w:ascii="Arial" w:hAnsi="Arial" w:cs="Arial"/>
          <w:sz w:val="22"/>
          <w:szCs w:val="22"/>
        </w:rPr>
      </w:pPr>
      <w:r w:rsidRPr="00CF7005">
        <w:rPr>
          <w:rFonts w:ascii="Arial" w:hAnsi="Arial" w:cs="Arial"/>
          <w:sz w:val="22"/>
          <w:szCs w:val="22"/>
        </w:rPr>
        <w:t>L’approccio di contabilità della crescita</w:t>
      </w:r>
      <w:r w:rsidRPr="00CF7005">
        <w:rPr>
          <w:rStyle w:val="Rimandonotadichiusura"/>
          <w:rFonts w:ascii="Arial" w:hAnsi="Arial" w:cs="Arial"/>
          <w:sz w:val="22"/>
          <w:szCs w:val="22"/>
        </w:rPr>
        <w:endnoteReference w:id="9"/>
      </w:r>
      <w:r w:rsidRPr="00CF7005">
        <w:rPr>
          <w:rFonts w:ascii="Arial" w:hAnsi="Arial" w:cs="Arial"/>
          <w:sz w:val="22"/>
          <w:szCs w:val="22"/>
        </w:rPr>
        <w:t xml:space="preserve"> consente di scomporre la dinamica del valore aggiunto nei</w:t>
      </w:r>
      <w:r w:rsidRPr="00A8189D">
        <w:rPr>
          <w:rFonts w:ascii="Arial" w:hAnsi="Arial" w:cs="Arial"/>
          <w:sz w:val="22"/>
          <w:szCs w:val="22"/>
        </w:rPr>
        <w:t xml:space="preserve"> contributi </w:t>
      </w:r>
      <w:r w:rsidRPr="00CF7005">
        <w:rPr>
          <w:rFonts w:ascii="Arial" w:hAnsi="Arial" w:cs="Arial"/>
          <w:sz w:val="22"/>
          <w:szCs w:val="22"/>
        </w:rPr>
        <w:t>derivanti dall’utilizzo dei fattori produttivi primari (capitale e lavoro) e dalla produttività totale dei fattori (Figura 4).</w:t>
      </w:r>
    </w:p>
    <w:p w14:paraId="7D731CBD" w14:textId="77777777" w:rsidR="000B2835" w:rsidRDefault="000B2835" w:rsidP="000B2835">
      <w:pPr>
        <w:autoSpaceDE w:val="0"/>
        <w:autoSpaceDN w:val="0"/>
        <w:adjustRightInd w:val="0"/>
        <w:spacing w:after="120"/>
        <w:jc w:val="both"/>
        <w:rPr>
          <w:rFonts w:ascii="Arial" w:hAnsi="Arial" w:cs="Arial"/>
          <w:sz w:val="22"/>
          <w:szCs w:val="22"/>
        </w:rPr>
      </w:pPr>
      <w:r>
        <w:rPr>
          <w:rFonts w:ascii="Arial" w:hAnsi="Arial" w:cs="Arial"/>
          <w:sz w:val="22"/>
          <w:szCs w:val="22"/>
        </w:rPr>
        <w:t>Nel 2020</w:t>
      </w:r>
      <w:r w:rsidRPr="00B8328F">
        <w:rPr>
          <w:rFonts w:ascii="Arial" w:hAnsi="Arial" w:cs="Arial"/>
          <w:sz w:val="22"/>
          <w:szCs w:val="22"/>
        </w:rPr>
        <w:t xml:space="preserve">, alla </w:t>
      </w:r>
      <w:r>
        <w:rPr>
          <w:rFonts w:ascii="Arial" w:hAnsi="Arial" w:cs="Arial"/>
          <w:sz w:val="22"/>
          <w:szCs w:val="22"/>
        </w:rPr>
        <w:t xml:space="preserve">forte </w:t>
      </w:r>
      <w:r w:rsidRPr="00B8328F">
        <w:rPr>
          <w:rFonts w:ascii="Arial" w:hAnsi="Arial" w:cs="Arial"/>
          <w:sz w:val="22"/>
          <w:szCs w:val="22"/>
        </w:rPr>
        <w:t xml:space="preserve">dinamica </w:t>
      </w:r>
      <w:r>
        <w:rPr>
          <w:rFonts w:ascii="Arial" w:hAnsi="Arial" w:cs="Arial"/>
          <w:sz w:val="22"/>
          <w:szCs w:val="22"/>
        </w:rPr>
        <w:t>negativa</w:t>
      </w:r>
      <w:r w:rsidRPr="00B8328F">
        <w:rPr>
          <w:rFonts w:ascii="Arial" w:hAnsi="Arial" w:cs="Arial"/>
          <w:sz w:val="22"/>
          <w:szCs w:val="22"/>
        </w:rPr>
        <w:t xml:space="preserve"> </w:t>
      </w:r>
      <w:r>
        <w:rPr>
          <w:rFonts w:ascii="Arial" w:hAnsi="Arial" w:cs="Arial"/>
          <w:sz w:val="22"/>
          <w:szCs w:val="22"/>
        </w:rPr>
        <w:t>del valore aggiunto hanno contribuito negativamente sia il fattore lavoro sia il fattore capitale (rispettivamente per -8</w:t>
      </w:r>
      <w:r w:rsidRPr="00B8328F">
        <w:rPr>
          <w:rFonts w:ascii="Arial" w:hAnsi="Arial" w:cs="Arial"/>
          <w:sz w:val="22"/>
          <w:szCs w:val="22"/>
        </w:rPr>
        <w:t>,</w:t>
      </w:r>
      <w:r>
        <w:rPr>
          <w:rFonts w:ascii="Arial" w:hAnsi="Arial" w:cs="Arial"/>
          <w:sz w:val="22"/>
          <w:szCs w:val="22"/>
        </w:rPr>
        <w:t>9</w:t>
      </w:r>
      <w:r w:rsidRPr="00B8328F">
        <w:rPr>
          <w:rFonts w:ascii="Arial" w:hAnsi="Arial" w:cs="Arial"/>
          <w:sz w:val="22"/>
          <w:szCs w:val="22"/>
        </w:rPr>
        <w:t xml:space="preserve"> </w:t>
      </w:r>
      <w:r>
        <w:rPr>
          <w:rFonts w:ascii="Arial" w:hAnsi="Arial" w:cs="Arial"/>
          <w:sz w:val="22"/>
          <w:szCs w:val="22"/>
        </w:rPr>
        <w:t xml:space="preserve">e -0,2 </w:t>
      </w:r>
      <w:r w:rsidRPr="00B8328F">
        <w:rPr>
          <w:rFonts w:ascii="Arial" w:hAnsi="Arial" w:cs="Arial"/>
          <w:sz w:val="22"/>
          <w:szCs w:val="22"/>
        </w:rPr>
        <w:t>punti percentuali</w:t>
      </w:r>
      <w:r>
        <w:rPr>
          <w:rFonts w:ascii="Arial" w:hAnsi="Arial" w:cs="Arial"/>
          <w:sz w:val="22"/>
          <w:szCs w:val="22"/>
        </w:rPr>
        <w:t xml:space="preserve">); anche l’apporto della PTF è risultato negativo (-2,7%). </w:t>
      </w:r>
    </w:p>
    <w:p w14:paraId="44226B02" w14:textId="77777777" w:rsidR="00D209F8" w:rsidRDefault="00D209F8" w:rsidP="00D209F8">
      <w:pPr>
        <w:autoSpaceDE w:val="0"/>
        <w:autoSpaceDN w:val="0"/>
        <w:adjustRightInd w:val="0"/>
        <w:spacing w:after="120"/>
        <w:jc w:val="both"/>
        <w:rPr>
          <w:rFonts w:ascii="Arial" w:hAnsi="Arial" w:cs="Arial"/>
          <w:sz w:val="22"/>
          <w:szCs w:val="22"/>
        </w:rPr>
      </w:pPr>
      <w:r w:rsidRPr="00CF7005">
        <w:rPr>
          <w:rFonts w:ascii="Arial" w:hAnsi="Arial" w:cs="Arial"/>
          <w:sz w:val="22"/>
          <w:szCs w:val="22"/>
        </w:rPr>
        <w:t xml:space="preserve">Nel periodo 1995-2020, il lieve aumento medio del valore aggiunto (+0,2%) è da imputare esclusivamente all’accumulazione di capitale </w:t>
      </w:r>
      <w:r w:rsidR="006D7674" w:rsidRPr="00CF7005">
        <w:rPr>
          <w:rFonts w:ascii="Arial" w:hAnsi="Arial" w:cs="Arial"/>
          <w:sz w:val="22"/>
          <w:szCs w:val="22"/>
        </w:rPr>
        <w:t>-</w:t>
      </w:r>
      <w:r w:rsidRPr="00CF7005">
        <w:rPr>
          <w:rFonts w:ascii="Arial" w:hAnsi="Arial" w:cs="Arial"/>
          <w:sz w:val="22"/>
          <w:szCs w:val="22"/>
        </w:rPr>
        <w:t xml:space="preserve"> che ha contribuito alla dinamica per 0,5 punti percentuali </w:t>
      </w:r>
      <w:r w:rsidR="006D7674" w:rsidRPr="00CF7005">
        <w:rPr>
          <w:rFonts w:ascii="Arial" w:hAnsi="Arial" w:cs="Arial"/>
          <w:sz w:val="22"/>
          <w:szCs w:val="22"/>
        </w:rPr>
        <w:t>-</w:t>
      </w:r>
      <w:r w:rsidRPr="00CF7005">
        <w:rPr>
          <w:rFonts w:ascii="Arial" w:hAnsi="Arial" w:cs="Arial"/>
          <w:sz w:val="22"/>
          <w:szCs w:val="22"/>
        </w:rPr>
        <w:t xml:space="preserve"> mentre il contributo del fattore lavoro è risultato negativo (-0,2 punti percentuali) (Figura 4)</w:t>
      </w:r>
      <w:r w:rsidRPr="00CF7005">
        <w:rPr>
          <w:rStyle w:val="Rimandonotadichiusura"/>
          <w:rFonts w:ascii="Arial" w:hAnsi="Arial" w:cs="Arial"/>
          <w:sz w:val="22"/>
          <w:szCs w:val="22"/>
        </w:rPr>
        <w:endnoteReference w:id="10"/>
      </w:r>
      <w:r w:rsidRPr="00CF7005">
        <w:rPr>
          <w:rFonts w:ascii="Arial" w:hAnsi="Arial" w:cs="Arial"/>
          <w:sz w:val="22"/>
          <w:szCs w:val="22"/>
        </w:rPr>
        <w:t>. Anche la PTF ha fornito un contribuito negativo. A sua volta, l’apporto del capitale è dovuto principalmente alla componente materiale non-ICT (+0,3 punti percentuali) mentre minore è risultato il contributo alla crescita della componente ICT e di quella immateriale non-ICT.</w:t>
      </w:r>
    </w:p>
    <w:p w14:paraId="776FF860" w14:textId="77777777" w:rsidR="006D7674" w:rsidRDefault="00D209F8" w:rsidP="00D209F8">
      <w:pPr>
        <w:spacing w:after="120"/>
        <w:jc w:val="both"/>
        <w:rPr>
          <w:rFonts w:ascii="Arial" w:hAnsi="Arial" w:cs="Arial"/>
          <w:sz w:val="22"/>
          <w:szCs w:val="22"/>
        </w:rPr>
      </w:pPr>
      <w:r w:rsidRPr="00F65541">
        <w:rPr>
          <w:rFonts w:ascii="Arial" w:hAnsi="Arial" w:cs="Arial"/>
          <w:sz w:val="22"/>
          <w:szCs w:val="22"/>
        </w:rPr>
        <w:t>Nel periodo 200</w:t>
      </w:r>
      <w:r>
        <w:rPr>
          <w:rFonts w:ascii="Arial" w:hAnsi="Arial" w:cs="Arial"/>
          <w:sz w:val="22"/>
          <w:szCs w:val="22"/>
        </w:rPr>
        <w:t>9</w:t>
      </w:r>
      <w:r w:rsidRPr="00F65541">
        <w:rPr>
          <w:rFonts w:ascii="Arial" w:hAnsi="Arial" w:cs="Arial"/>
          <w:sz w:val="22"/>
          <w:szCs w:val="22"/>
        </w:rPr>
        <w:t>-20</w:t>
      </w:r>
      <w:r>
        <w:rPr>
          <w:rFonts w:ascii="Arial" w:hAnsi="Arial" w:cs="Arial"/>
          <w:sz w:val="22"/>
          <w:szCs w:val="22"/>
        </w:rPr>
        <w:t>14</w:t>
      </w:r>
      <w:r w:rsidRPr="00F65541">
        <w:rPr>
          <w:rFonts w:ascii="Arial" w:hAnsi="Arial" w:cs="Arial"/>
          <w:sz w:val="22"/>
          <w:szCs w:val="22"/>
        </w:rPr>
        <w:t xml:space="preserve"> la contrazione del valore aggiunto è </w:t>
      </w:r>
      <w:r>
        <w:rPr>
          <w:rFonts w:ascii="Arial" w:hAnsi="Arial" w:cs="Arial"/>
          <w:sz w:val="22"/>
          <w:szCs w:val="22"/>
        </w:rPr>
        <w:t xml:space="preserve">spiegata da contributi negativi sia </w:t>
      </w:r>
      <w:r w:rsidRPr="00F65541">
        <w:rPr>
          <w:rFonts w:ascii="Arial" w:hAnsi="Arial" w:cs="Arial"/>
          <w:sz w:val="22"/>
          <w:szCs w:val="22"/>
        </w:rPr>
        <w:t>d</w:t>
      </w:r>
      <w:r>
        <w:rPr>
          <w:rFonts w:ascii="Arial" w:hAnsi="Arial" w:cs="Arial"/>
          <w:sz w:val="22"/>
          <w:szCs w:val="22"/>
        </w:rPr>
        <w:t>el</w:t>
      </w:r>
      <w:r w:rsidRPr="00F65541">
        <w:rPr>
          <w:rFonts w:ascii="Arial" w:hAnsi="Arial" w:cs="Arial"/>
          <w:sz w:val="22"/>
          <w:szCs w:val="22"/>
        </w:rPr>
        <w:t xml:space="preserve"> lavoro </w:t>
      </w:r>
      <w:r>
        <w:rPr>
          <w:rFonts w:ascii="Arial" w:hAnsi="Arial" w:cs="Arial"/>
          <w:sz w:val="22"/>
          <w:szCs w:val="22"/>
        </w:rPr>
        <w:t>sia del</w:t>
      </w:r>
      <w:r w:rsidRPr="00F65541">
        <w:rPr>
          <w:rFonts w:ascii="Arial" w:hAnsi="Arial" w:cs="Arial"/>
          <w:sz w:val="22"/>
          <w:szCs w:val="22"/>
        </w:rPr>
        <w:t xml:space="preserve"> capitale (rispettivament</w:t>
      </w:r>
      <w:r>
        <w:rPr>
          <w:rFonts w:ascii="Arial" w:hAnsi="Arial" w:cs="Arial"/>
          <w:sz w:val="22"/>
          <w:szCs w:val="22"/>
        </w:rPr>
        <w:t>e -0,9 e -0,1 punti percentuali),</w:t>
      </w:r>
      <w:r w:rsidRPr="00F65541">
        <w:rPr>
          <w:rFonts w:ascii="Arial" w:hAnsi="Arial" w:cs="Arial"/>
          <w:sz w:val="22"/>
          <w:szCs w:val="22"/>
        </w:rPr>
        <w:t xml:space="preserve"> mentre la </w:t>
      </w:r>
      <w:r>
        <w:rPr>
          <w:rFonts w:ascii="Arial" w:hAnsi="Arial" w:cs="Arial"/>
          <w:sz w:val="22"/>
          <w:szCs w:val="22"/>
        </w:rPr>
        <w:t>PTF</w:t>
      </w:r>
      <w:r w:rsidRPr="00F65541">
        <w:rPr>
          <w:rFonts w:ascii="Arial" w:hAnsi="Arial" w:cs="Arial"/>
          <w:sz w:val="22"/>
          <w:szCs w:val="22"/>
        </w:rPr>
        <w:t xml:space="preserve"> ha fornito un co</w:t>
      </w:r>
      <w:r>
        <w:rPr>
          <w:rFonts w:ascii="Arial" w:hAnsi="Arial" w:cs="Arial"/>
          <w:sz w:val="22"/>
          <w:szCs w:val="22"/>
        </w:rPr>
        <w:t>n</w:t>
      </w:r>
      <w:r w:rsidRPr="00F65541">
        <w:rPr>
          <w:rFonts w:ascii="Arial" w:hAnsi="Arial" w:cs="Arial"/>
          <w:sz w:val="22"/>
          <w:szCs w:val="22"/>
        </w:rPr>
        <w:t xml:space="preserve">tributo </w:t>
      </w:r>
      <w:r>
        <w:rPr>
          <w:rFonts w:ascii="Arial" w:hAnsi="Arial" w:cs="Arial"/>
          <w:sz w:val="22"/>
          <w:szCs w:val="22"/>
        </w:rPr>
        <w:t>positivo</w:t>
      </w:r>
      <w:r w:rsidRPr="00F65541">
        <w:rPr>
          <w:rFonts w:ascii="Arial" w:hAnsi="Arial" w:cs="Arial"/>
          <w:sz w:val="22"/>
          <w:szCs w:val="22"/>
        </w:rPr>
        <w:t xml:space="preserve"> (</w:t>
      </w:r>
      <w:r>
        <w:rPr>
          <w:rFonts w:ascii="Arial" w:hAnsi="Arial" w:cs="Arial"/>
          <w:sz w:val="22"/>
          <w:szCs w:val="22"/>
        </w:rPr>
        <w:t>+</w:t>
      </w:r>
      <w:r w:rsidRPr="00F65541">
        <w:rPr>
          <w:rFonts w:ascii="Arial" w:hAnsi="Arial" w:cs="Arial"/>
          <w:sz w:val="22"/>
          <w:szCs w:val="22"/>
        </w:rPr>
        <w:t>0,</w:t>
      </w:r>
      <w:r>
        <w:rPr>
          <w:rFonts w:ascii="Arial" w:hAnsi="Arial" w:cs="Arial"/>
          <w:sz w:val="22"/>
          <w:szCs w:val="22"/>
        </w:rPr>
        <w:t>6</w:t>
      </w:r>
      <w:r w:rsidRPr="00F65541">
        <w:rPr>
          <w:rFonts w:ascii="Arial" w:hAnsi="Arial" w:cs="Arial"/>
          <w:sz w:val="22"/>
          <w:szCs w:val="22"/>
        </w:rPr>
        <w:t xml:space="preserve"> punti percentuali).</w:t>
      </w:r>
    </w:p>
    <w:p w14:paraId="1D98741D" w14:textId="77777777" w:rsidR="00D209F8" w:rsidRPr="00B8328F" w:rsidRDefault="00D209F8" w:rsidP="00D209F8">
      <w:pPr>
        <w:spacing w:after="120"/>
        <w:jc w:val="both"/>
        <w:rPr>
          <w:rFonts w:ascii="Arial" w:hAnsi="Arial" w:cs="Arial"/>
          <w:sz w:val="22"/>
          <w:szCs w:val="22"/>
        </w:rPr>
      </w:pPr>
      <w:r w:rsidRPr="00B8328F">
        <w:rPr>
          <w:rFonts w:ascii="Arial" w:hAnsi="Arial" w:cs="Arial"/>
          <w:sz w:val="22"/>
          <w:szCs w:val="22"/>
        </w:rPr>
        <w:t>Nel periodo 20</w:t>
      </w:r>
      <w:r>
        <w:rPr>
          <w:rFonts w:ascii="Arial" w:hAnsi="Arial" w:cs="Arial"/>
          <w:sz w:val="22"/>
          <w:szCs w:val="22"/>
        </w:rPr>
        <w:t>14-2020, invece, la contrazione</w:t>
      </w:r>
      <w:r w:rsidRPr="00B8328F">
        <w:rPr>
          <w:rFonts w:ascii="Arial" w:hAnsi="Arial" w:cs="Arial"/>
          <w:sz w:val="22"/>
          <w:szCs w:val="22"/>
        </w:rPr>
        <w:t xml:space="preserve"> del valore aggiunto</w:t>
      </w:r>
      <w:r>
        <w:rPr>
          <w:rFonts w:ascii="Arial" w:hAnsi="Arial" w:cs="Arial"/>
          <w:sz w:val="22"/>
          <w:szCs w:val="22"/>
        </w:rPr>
        <w:t xml:space="preserve"> (-0,8% in media d’anno) è </w:t>
      </w:r>
      <w:r w:rsidRPr="00B8328F">
        <w:rPr>
          <w:rFonts w:ascii="Arial" w:hAnsi="Arial" w:cs="Arial"/>
          <w:sz w:val="22"/>
          <w:szCs w:val="22"/>
        </w:rPr>
        <w:t xml:space="preserve">spiegata </w:t>
      </w:r>
      <w:r>
        <w:rPr>
          <w:rFonts w:ascii="Arial" w:hAnsi="Arial" w:cs="Arial"/>
          <w:sz w:val="22"/>
          <w:szCs w:val="22"/>
        </w:rPr>
        <w:t xml:space="preserve">esclusivamente </w:t>
      </w:r>
      <w:r w:rsidRPr="00B8328F">
        <w:rPr>
          <w:rFonts w:ascii="Arial" w:hAnsi="Arial" w:cs="Arial"/>
          <w:sz w:val="22"/>
          <w:szCs w:val="22"/>
        </w:rPr>
        <w:t>da</w:t>
      </w:r>
      <w:r>
        <w:rPr>
          <w:rFonts w:ascii="Arial" w:hAnsi="Arial" w:cs="Arial"/>
          <w:sz w:val="22"/>
          <w:szCs w:val="22"/>
        </w:rPr>
        <w:t>l contributo negativo</w:t>
      </w:r>
      <w:r w:rsidRPr="00B8328F">
        <w:rPr>
          <w:rFonts w:ascii="Arial" w:hAnsi="Arial" w:cs="Arial"/>
          <w:sz w:val="22"/>
          <w:szCs w:val="22"/>
        </w:rPr>
        <w:t xml:space="preserve"> (</w:t>
      </w:r>
      <w:r>
        <w:rPr>
          <w:rFonts w:ascii="Arial" w:hAnsi="Arial" w:cs="Arial"/>
          <w:sz w:val="22"/>
          <w:szCs w:val="22"/>
        </w:rPr>
        <w:t>-0,9</w:t>
      </w:r>
      <w:r w:rsidRPr="00B8328F">
        <w:rPr>
          <w:rFonts w:ascii="Arial" w:hAnsi="Arial" w:cs="Arial"/>
          <w:sz w:val="22"/>
          <w:szCs w:val="22"/>
        </w:rPr>
        <w:t xml:space="preserve"> punt</w:t>
      </w:r>
      <w:r>
        <w:rPr>
          <w:rFonts w:ascii="Arial" w:hAnsi="Arial" w:cs="Arial"/>
          <w:sz w:val="22"/>
          <w:szCs w:val="22"/>
        </w:rPr>
        <w:t>i</w:t>
      </w:r>
      <w:r w:rsidRPr="00B8328F">
        <w:rPr>
          <w:rFonts w:ascii="Arial" w:hAnsi="Arial" w:cs="Arial"/>
          <w:sz w:val="22"/>
          <w:szCs w:val="22"/>
        </w:rPr>
        <w:t xml:space="preserve"> percentual</w:t>
      </w:r>
      <w:r>
        <w:rPr>
          <w:rFonts w:ascii="Arial" w:hAnsi="Arial" w:cs="Arial"/>
          <w:sz w:val="22"/>
          <w:szCs w:val="22"/>
        </w:rPr>
        <w:t>i</w:t>
      </w:r>
      <w:r w:rsidRPr="00B8328F">
        <w:rPr>
          <w:rFonts w:ascii="Arial" w:hAnsi="Arial" w:cs="Arial"/>
          <w:sz w:val="22"/>
          <w:szCs w:val="22"/>
        </w:rPr>
        <w:t xml:space="preserve">) del fattore lavoro </w:t>
      </w:r>
      <w:r>
        <w:rPr>
          <w:rFonts w:ascii="Arial" w:hAnsi="Arial" w:cs="Arial"/>
          <w:sz w:val="22"/>
          <w:szCs w:val="22"/>
        </w:rPr>
        <w:t>mentre</w:t>
      </w:r>
      <w:r w:rsidR="000B2835">
        <w:rPr>
          <w:rFonts w:ascii="Arial" w:hAnsi="Arial" w:cs="Arial"/>
          <w:sz w:val="22"/>
          <w:szCs w:val="22"/>
        </w:rPr>
        <w:t xml:space="preserve"> risulta debolmente positivo </w:t>
      </w:r>
      <w:r w:rsidR="000B2835" w:rsidRPr="00B8328F">
        <w:rPr>
          <w:rFonts w:ascii="Arial" w:hAnsi="Arial" w:cs="Arial"/>
          <w:sz w:val="22"/>
          <w:szCs w:val="22"/>
        </w:rPr>
        <w:t>(</w:t>
      </w:r>
      <w:r w:rsidR="000B2835">
        <w:rPr>
          <w:rFonts w:ascii="Arial" w:hAnsi="Arial" w:cs="Arial"/>
          <w:sz w:val="22"/>
          <w:szCs w:val="22"/>
        </w:rPr>
        <w:t>+</w:t>
      </w:r>
      <w:r w:rsidR="000B2835" w:rsidRPr="00B8328F">
        <w:rPr>
          <w:rFonts w:ascii="Arial" w:hAnsi="Arial" w:cs="Arial"/>
          <w:sz w:val="22"/>
          <w:szCs w:val="22"/>
        </w:rPr>
        <w:t>0,</w:t>
      </w:r>
      <w:r w:rsidR="000B2835">
        <w:rPr>
          <w:rFonts w:ascii="Arial" w:hAnsi="Arial" w:cs="Arial"/>
          <w:sz w:val="22"/>
          <w:szCs w:val="22"/>
        </w:rPr>
        <w:t>1</w:t>
      </w:r>
      <w:r w:rsidR="000B2835" w:rsidRPr="00B8328F">
        <w:rPr>
          <w:rFonts w:ascii="Arial" w:hAnsi="Arial" w:cs="Arial"/>
          <w:sz w:val="22"/>
          <w:szCs w:val="22"/>
        </w:rPr>
        <w:t xml:space="preserve"> punti percentuali)</w:t>
      </w:r>
      <w:r>
        <w:rPr>
          <w:rFonts w:ascii="Arial" w:hAnsi="Arial" w:cs="Arial"/>
          <w:sz w:val="22"/>
          <w:szCs w:val="22"/>
        </w:rPr>
        <w:t xml:space="preserve"> il contributo del fattore capitale</w:t>
      </w:r>
      <w:r w:rsidR="000B2835">
        <w:rPr>
          <w:rFonts w:ascii="Arial" w:hAnsi="Arial" w:cs="Arial"/>
          <w:sz w:val="22"/>
          <w:szCs w:val="22"/>
        </w:rPr>
        <w:t xml:space="preserve"> e</w:t>
      </w:r>
      <w:r>
        <w:rPr>
          <w:rFonts w:ascii="Arial" w:hAnsi="Arial" w:cs="Arial"/>
          <w:sz w:val="22"/>
          <w:szCs w:val="22"/>
        </w:rPr>
        <w:t xml:space="preserve"> nullo quello </w:t>
      </w:r>
      <w:r w:rsidR="00126BF6">
        <w:rPr>
          <w:rFonts w:ascii="Arial" w:hAnsi="Arial" w:cs="Arial"/>
          <w:sz w:val="22"/>
          <w:szCs w:val="22"/>
        </w:rPr>
        <w:br/>
      </w:r>
      <w:r>
        <w:rPr>
          <w:rFonts w:ascii="Arial" w:hAnsi="Arial" w:cs="Arial"/>
          <w:sz w:val="22"/>
          <w:szCs w:val="22"/>
        </w:rPr>
        <w:t>della PTF</w:t>
      </w:r>
      <w:r w:rsidRPr="00B8328F">
        <w:rPr>
          <w:rFonts w:ascii="Arial" w:hAnsi="Arial" w:cs="Arial"/>
          <w:sz w:val="22"/>
          <w:szCs w:val="22"/>
        </w:rPr>
        <w:t>.</w:t>
      </w:r>
    </w:p>
    <w:p w14:paraId="7CAB2C1C" w14:textId="77777777" w:rsidR="00D209F8" w:rsidRDefault="00D209F8" w:rsidP="00D209F8">
      <w:pPr>
        <w:autoSpaceDE w:val="0"/>
        <w:autoSpaceDN w:val="0"/>
        <w:adjustRightInd w:val="0"/>
        <w:spacing w:after="120"/>
        <w:jc w:val="both"/>
        <w:rPr>
          <w:rFonts w:ascii="Arial" w:hAnsi="Arial" w:cs="Arial"/>
          <w:sz w:val="22"/>
          <w:szCs w:val="22"/>
        </w:rPr>
      </w:pPr>
    </w:p>
    <w:p w14:paraId="4DC83B7C" w14:textId="77777777" w:rsidR="00FC1531" w:rsidRDefault="00FC1531" w:rsidP="00FC1531">
      <w:pPr>
        <w:autoSpaceDE w:val="0"/>
        <w:autoSpaceDN w:val="0"/>
        <w:adjustRightInd w:val="0"/>
        <w:spacing w:after="120"/>
        <w:jc w:val="both"/>
        <w:rPr>
          <w:rFonts w:ascii="Arial" w:hAnsi="Arial" w:cs="Arial"/>
          <w:sz w:val="22"/>
          <w:szCs w:val="22"/>
        </w:rPr>
      </w:pPr>
    </w:p>
    <w:p w14:paraId="159EF411" w14:textId="77777777" w:rsidR="00FC1531" w:rsidRDefault="00FC1531" w:rsidP="00FC1531">
      <w:pPr>
        <w:autoSpaceDE w:val="0"/>
        <w:autoSpaceDN w:val="0"/>
        <w:adjustRightInd w:val="0"/>
        <w:spacing w:after="120"/>
        <w:jc w:val="both"/>
        <w:rPr>
          <w:rFonts w:ascii="Arial" w:hAnsi="Arial" w:cs="Arial"/>
          <w:sz w:val="22"/>
          <w:szCs w:val="22"/>
        </w:rPr>
      </w:pPr>
    </w:p>
    <w:p w14:paraId="0E05F8DC" w14:textId="77777777" w:rsidR="005D1CBE" w:rsidRPr="00977BD5" w:rsidRDefault="005D1CBE" w:rsidP="00977BD5">
      <w:pPr>
        <w:autoSpaceDE w:val="0"/>
        <w:autoSpaceDN w:val="0"/>
        <w:adjustRightInd w:val="0"/>
        <w:spacing w:after="120"/>
        <w:jc w:val="both"/>
        <w:rPr>
          <w:rFonts w:ascii="Arial" w:hAnsi="Arial" w:cs="Arial"/>
          <w:sz w:val="22"/>
          <w:szCs w:val="22"/>
        </w:rPr>
      </w:pPr>
    </w:p>
    <w:p w14:paraId="1628CABE" w14:textId="77777777" w:rsidR="005D1CBE" w:rsidRPr="00977BD5" w:rsidRDefault="005D1CBE" w:rsidP="00977BD5">
      <w:pPr>
        <w:autoSpaceDE w:val="0"/>
        <w:autoSpaceDN w:val="0"/>
        <w:adjustRightInd w:val="0"/>
        <w:spacing w:after="120"/>
        <w:jc w:val="both"/>
        <w:rPr>
          <w:rFonts w:ascii="Arial" w:hAnsi="Arial" w:cs="Arial"/>
          <w:sz w:val="22"/>
          <w:szCs w:val="22"/>
        </w:rPr>
      </w:pPr>
    </w:p>
    <w:p w14:paraId="35F6A50E" w14:textId="77777777" w:rsidR="00283CE4" w:rsidRPr="00977BD5" w:rsidRDefault="00283CE4" w:rsidP="00977BD5">
      <w:pPr>
        <w:autoSpaceDE w:val="0"/>
        <w:autoSpaceDN w:val="0"/>
        <w:adjustRightInd w:val="0"/>
        <w:spacing w:after="120"/>
        <w:jc w:val="both"/>
        <w:rPr>
          <w:rFonts w:ascii="Arial" w:hAnsi="Arial" w:cs="Arial"/>
          <w:sz w:val="22"/>
          <w:szCs w:val="22"/>
        </w:rPr>
      </w:pPr>
    </w:p>
    <w:p w14:paraId="5226CF3E" w14:textId="77777777" w:rsidR="00AC76A2" w:rsidRPr="00977BD5" w:rsidRDefault="00AC76A2" w:rsidP="00977BD5">
      <w:pPr>
        <w:autoSpaceDE w:val="0"/>
        <w:autoSpaceDN w:val="0"/>
        <w:adjustRightInd w:val="0"/>
        <w:spacing w:after="120"/>
        <w:jc w:val="both"/>
        <w:rPr>
          <w:rFonts w:ascii="Arial" w:hAnsi="Arial" w:cs="Arial"/>
          <w:sz w:val="22"/>
          <w:szCs w:val="22"/>
        </w:rPr>
      </w:pPr>
    </w:p>
    <w:p w14:paraId="35E97077" w14:textId="77777777" w:rsidR="00283CE4" w:rsidRPr="00977BD5" w:rsidRDefault="00283CE4" w:rsidP="00977BD5">
      <w:pPr>
        <w:autoSpaceDE w:val="0"/>
        <w:autoSpaceDN w:val="0"/>
        <w:adjustRightInd w:val="0"/>
        <w:spacing w:after="120"/>
        <w:jc w:val="both"/>
        <w:rPr>
          <w:rFonts w:ascii="Arial" w:hAnsi="Arial" w:cs="Arial"/>
          <w:sz w:val="22"/>
          <w:szCs w:val="22"/>
        </w:rPr>
      </w:pPr>
    </w:p>
    <w:p w14:paraId="578C5122" w14:textId="77777777" w:rsidR="00983ED9" w:rsidRDefault="00983ED9" w:rsidP="00977BD5">
      <w:pPr>
        <w:autoSpaceDE w:val="0"/>
        <w:autoSpaceDN w:val="0"/>
        <w:adjustRightInd w:val="0"/>
        <w:spacing w:after="120"/>
        <w:jc w:val="both"/>
        <w:rPr>
          <w:rFonts w:ascii="Arial" w:hAnsi="Arial" w:cs="Arial"/>
          <w:sz w:val="22"/>
          <w:szCs w:val="22"/>
        </w:rPr>
      </w:pPr>
    </w:p>
    <w:p w14:paraId="3D115F44" w14:textId="77777777" w:rsidR="00681FBE" w:rsidRDefault="00681FBE" w:rsidP="00977BD5">
      <w:pPr>
        <w:autoSpaceDE w:val="0"/>
        <w:autoSpaceDN w:val="0"/>
        <w:adjustRightInd w:val="0"/>
        <w:spacing w:after="120"/>
        <w:jc w:val="both"/>
        <w:rPr>
          <w:rFonts w:ascii="Arial" w:hAnsi="Arial" w:cs="Arial"/>
        </w:rPr>
      </w:pPr>
    </w:p>
    <w:p w14:paraId="5E808C57" w14:textId="77777777" w:rsidR="00FB167F" w:rsidRPr="00126BF6" w:rsidRDefault="00FB167F" w:rsidP="00977BD5">
      <w:pPr>
        <w:autoSpaceDE w:val="0"/>
        <w:autoSpaceDN w:val="0"/>
        <w:adjustRightInd w:val="0"/>
        <w:spacing w:after="120"/>
        <w:jc w:val="both"/>
        <w:rPr>
          <w:rFonts w:ascii="Arial" w:hAnsi="Arial" w:cs="Arial"/>
        </w:rPr>
      </w:pPr>
    </w:p>
    <w:p w14:paraId="0494E13E" w14:textId="77777777" w:rsidR="006D7674" w:rsidRPr="005E06A4" w:rsidRDefault="006D7674" w:rsidP="00977BD5">
      <w:pPr>
        <w:autoSpaceDE w:val="0"/>
        <w:autoSpaceDN w:val="0"/>
        <w:adjustRightInd w:val="0"/>
        <w:spacing w:after="120"/>
        <w:jc w:val="both"/>
        <w:rPr>
          <w:rFonts w:ascii="Arial" w:hAnsi="Arial" w:cs="Arial"/>
          <w:sz w:val="14"/>
          <w:szCs w:val="40"/>
        </w:rPr>
      </w:pPr>
    </w:p>
    <w:p w14:paraId="5E91AFC2" w14:textId="77777777" w:rsidR="00CA14FD" w:rsidRPr="00E14C9B" w:rsidRDefault="00B15087" w:rsidP="00F312FD">
      <w:pPr>
        <w:rPr>
          <w:rFonts w:ascii="Arial" w:hAnsi="Arial" w:cs="Arial"/>
          <w:b/>
          <w:color w:val="1F497D" w:themeColor="text2"/>
          <w:sz w:val="26"/>
          <w:szCs w:val="26"/>
        </w:rPr>
      </w:pPr>
      <w:r w:rsidRPr="00E14C9B">
        <w:rPr>
          <w:rFonts w:ascii="Arial Black" w:hAnsi="Arial Black" w:cs="Arial"/>
          <w:iCs/>
          <w:noProof/>
          <w:color w:val="1F497D" w:themeColor="text2"/>
          <w:sz w:val="22"/>
          <w:szCs w:val="22"/>
        </w:rPr>
        <w:t xml:space="preserve">FIGURA </w:t>
      </w:r>
      <w:r w:rsidR="00FE72F1" w:rsidRPr="00E14C9B">
        <w:rPr>
          <w:rFonts w:ascii="Arial Black" w:hAnsi="Arial Black" w:cs="Arial"/>
          <w:iCs/>
          <w:noProof/>
          <w:color w:val="1F497D" w:themeColor="text2"/>
          <w:sz w:val="22"/>
          <w:szCs w:val="22"/>
        </w:rPr>
        <w:t>4</w:t>
      </w:r>
      <w:r w:rsidRPr="00E14C9B">
        <w:rPr>
          <w:rFonts w:ascii="Arial Narrow" w:hAnsi="Arial Narrow" w:cs="Arial"/>
          <w:b/>
          <w:iCs/>
          <w:noProof/>
          <w:color w:val="1F497D" w:themeColor="text2"/>
          <w:sz w:val="22"/>
          <w:szCs w:val="22"/>
        </w:rPr>
        <w:t xml:space="preserve">. </w:t>
      </w:r>
      <w:r w:rsidR="00AE03EF" w:rsidRPr="00E14C9B">
        <w:rPr>
          <w:rFonts w:ascii="Arial Narrow" w:hAnsi="Arial Narrow" w:cs="Arial"/>
          <w:b/>
          <w:iCs/>
          <w:noProof/>
          <w:color w:val="1F497D" w:themeColor="text2"/>
          <w:sz w:val="22"/>
          <w:szCs w:val="22"/>
        </w:rPr>
        <w:t>CONTRIBUTI ALLA CRESCITA DEL VALORE AGGIUNTO</w:t>
      </w:r>
    </w:p>
    <w:p w14:paraId="16109413" w14:textId="77777777" w:rsidR="00DE2FB0" w:rsidRDefault="007D3A37">
      <w:pPr>
        <w:pStyle w:val="Paragrafoelenco"/>
        <w:autoSpaceDE w:val="0"/>
        <w:autoSpaceDN w:val="0"/>
        <w:adjustRightInd w:val="0"/>
        <w:spacing w:after="120"/>
        <w:ind w:left="0"/>
        <w:contextualSpacing w:val="0"/>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t>Anni 1995-2020, t</w:t>
      </w:r>
      <w:r w:rsidR="0004769F" w:rsidRPr="00E14C9B">
        <w:rPr>
          <w:rFonts w:ascii="Arial Narrow" w:hAnsi="Arial Narrow" w:cs="Arial"/>
          <w:iCs/>
          <w:noProof/>
          <w:color w:val="1F497D" w:themeColor="text2"/>
          <w:sz w:val="22"/>
          <w:szCs w:val="22"/>
        </w:rPr>
        <w:t>assi di variazione medi annui</w:t>
      </w:r>
    </w:p>
    <w:p w14:paraId="150D5447" w14:textId="77777777" w:rsidR="000C7172" w:rsidRDefault="00D209F8" w:rsidP="006D7674">
      <w:pPr>
        <w:rPr>
          <w:rFonts w:ascii="Arial Narrow" w:hAnsi="Arial Narrow" w:cs="Arial"/>
          <w:iCs/>
          <w:noProof/>
          <w:color w:val="1F497D" w:themeColor="text2"/>
          <w:sz w:val="22"/>
          <w:szCs w:val="22"/>
        </w:rPr>
      </w:pPr>
      <w:r>
        <w:rPr>
          <w:noProof/>
        </w:rPr>
        <w:drawing>
          <wp:inline distT="0" distB="0" distL="0" distR="0" wp14:anchorId="3767275B" wp14:editId="0B5DAF9E">
            <wp:extent cx="6299835" cy="2336800"/>
            <wp:effectExtent l="0" t="0" r="5715" b="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C7172">
        <w:rPr>
          <w:rFonts w:ascii="Arial Narrow" w:hAnsi="Arial Narrow" w:cs="Arial"/>
          <w:iCs/>
          <w:noProof/>
          <w:color w:val="1F497D" w:themeColor="text2"/>
          <w:sz w:val="22"/>
          <w:szCs w:val="22"/>
        </w:rPr>
        <w:br w:type="page"/>
      </w:r>
    </w:p>
    <w:p w14:paraId="3B66E430" w14:textId="77777777" w:rsidR="006F04AB" w:rsidRPr="00A03E3B" w:rsidRDefault="006F04AB" w:rsidP="006F04AB">
      <w:pPr>
        <w:autoSpaceDE w:val="0"/>
        <w:autoSpaceDN w:val="0"/>
        <w:adjustRightInd w:val="0"/>
        <w:spacing w:after="120"/>
        <w:jc w:val="both"/>
        <w:rPr>
          <w:rFonts w:ascii="Arial" w:hAnsi="Arial" w:cs="Arial"/>
          <w:bCs/>
          <w:color w:val="1F497D" w:themeColor="text2"/>
          <w:sz w:val="22"/>
          <w:szCs w:val="22"/>
        </w:rPr>
      </w:pPr>
    </w:p>
    <w:p w14:paraId="754CC858" w14:textId="77777777" w:rsidR="00E14C9B" w:rsidRPr="00EE0CA3" w:rsidRDefault="00E14C9B" w:rsidP="00E14C9B">
      <w:pPr>
        <w:pStyle w:val="Default"/>
        <w:spacing w:after="200"/>
        <w:jc w:val="both"/>
        <w:rPr>
          <w:rFonts w:ascii="Arial" w:hAnsi="Arial" w:cs="Arial"/>
          <w:b/>
          <w:color w:val="1F497D" w:themeColor="text2"/>
          <w:sz w:val="26"/>
          <w:szCs w:val="26"/>
        </w:rPr>
      </w:pPr>
      <w:r>
        <w:rPr>
          <w:rFonts w:ascii="Arial" w:hAnsi="Arial" w:cs="Arial"/>
          <w:b/>
          <w:color w:val="1F497D" w:themeColor="text2"/>
          <w:sz w:val="26"/>
          <w:szCs w:val="26"/>
        </w:rPr>
        <w:t>P</w:t>
      </w:r>
      <w:r w:rsidRPr="00EE0CA3">
        <w:rPr>
          <w:rFonts w:ascii="Arial" w:hAnsi="Arial" w:cs="Arial"/>
          <w:b/>
          <w:color w:val="1F497D" w:themeColor="text2"/>
          <w:sz w:val="26"/>
          <w:szCs w:val="26"/>
        </w:rPr>
        <w:t>roduttività del lavoro</w:t>
      </w:r>
      <w:r>
        <w:rPr>
          <w:rFonts w:ascii="Arial" w:hAnsi="Arial" w:cs="Arial"/>
          <w:b/>
          <w:color w:val="1F497D" w:themeColor="text2"/>
          <w:sz w:val="26"/>
          <w:szCs w:val="26"/>
        </w:rPr>
        <w:t xml:space="preserve">: positivo il contributo del capitale per ora lavorata </w:t>
      </w:r>
    </w:p>
    <w:p w14:paraId="1DAEE00A" w14:textId="77777777" w:rsidR="00E14C9B" w:rsidRDefault="00E14C9B" w:rsidP="00E14C9B">
      <w:pPr>
        <w:autoSpaceDE w:val="0"/>
        <w:autoSpaceDN w:val="0"/>
        <w:adjustRightInd w:val="0"/>
        <w:spacing w:after="200"/>
        <w:jc w:val="both"/>
        <w:rPr>
          <w:rFonts w:ascii="Arial" w:hAnsi="Arial" w:cs="Arial"/>
          <w:sz w:val="22"/>
          <w:szCs w:val="22"/>
        </w:rPr>
      </w:pPr>
      <w:r w:rsidRPr="00F65541">
        <w:rPr>
          <w:rFonts w:ascii="Arial" w:hAnsi="Arial" w:cs="Arial"/>
          <w:sz w:val="22"/>
          <w:szCs w:val="22"/>
        </w:rPr>
        <w:t>L’a</w:t>
      </w:r>
      <w:r>
        <w:rPr>
          <w:rFonts w:ascii="Arial" w:hAnsi="Arial" w:cs="Arial"/>
          <w:sz w:val="22"/>
          <w:szCs w:val="22"/>
        </w:rPr>
        <w:t>n</w:t>
      </w:r>
      <w:r w:rsidRPr="00F65541">
        <w:rPr>
          <w:rFonts w:ascii="Arial" w:hAnsi="Arial" w:cs="Arial"/>
          <w:sz w:val="22"/>
          <w:szCs w:val="22"/>
        </w:rPr>
        <w:t>alisi di contabilità della crescita consente</w:t>
      </w:r>
      <w:r>
        <w:rPr>
          <w:rFonts w:ascii="Arial" w:hAnsi="Arial" w:cs="Arial"/>
          <w:sz w:val="22"/>
          <w:szCs w:val="22"/>
        </w:rPr>
        <w:t xml:space="preserve"> anche</w:t>
      </w:r>
      <w:r w:rsidRPr="00F65541">
        <w:rPr>
          <w:rFonts w:ascii="Arial" w:hAnsi="Arial" w:cs="Arial"/>
          <w:sz w:val="22"/>
          <w:szCs w:val="22"/>
        </w:rPr>
        <w:t xml:space="preserve"> di scomporre la dinamica della produttività del lavoro nei contributi derivanti da variazioni del capitale per ora lavorata (ovvero intensità di capitale o </w:t>
      </w:r>
      <w:r w:rsidRPr="00EE0CA3">
        <w:rPr>
          <w:rFonts w:ascii="Arial" w:hAnsi="Arial" w:cs="Arial"/>
          <w:i/>
          <w:sz w:val="22"/>
          <w:szCs w:val="22"/>
        </w:rPr>
        <w:t xml:space="preserve">capital </w:t>
      </w:r>
      <w:proofErr w:type="spellStart"/>
      <w:r w:rsidRPr="00EE0CA3">
        <w:rPr>
          <w:rFonts w:ascii="Arial" w:hAnsi="Arial" w:cs="Arial"/>
          <w:i/>
          <w:sz w:val="22"/>
          <w:szCs w:val="22"/>
        </w:rPr>
        <w:t>deepening</w:t>
      </w:r>
      <w:proofErr w:type="spellEnd"/>
      <w:r w:rsidRPr="00F65541">
        <w:rPr>
          <w:rFonts w:ascii="Arial" w:hAnsi="Arial" w:cs="Arial"/>
          <w:sz w:val="22"/>
          <w:szCs w:val="22"/>
        </w:rPr>
        <w:t xml:space="preserve">) e della </w:t>
      </w:r>
      <w:r>
        <w:rPr>
          <w:rFonts w:ascii="Arial" w:hAnsi="Arial" w:cs="Arial"/>
          <w:sz w:val="22"/>
          <w:szCs w:val="22"/>
        </w:rPr>
        <w:t>PTF</w:t>
      </w:r>
      <w:r w:rsidRPr="00F65541">
        <w:rPr>
          <w:rFonts w:ascii="Arial" w:hAnsi="Arial" w:cs="Arial"/>
          <w:sz w:val="22"/>
          <w:szCs w:val="22"/>
        </w:rPr>
        <w:t>.</w:t>
      </w:r>
    </w:p>
    <w:p w14:paraId="58D5B413" w14:textId="77777777" w:rsidR="000B2835" w:rsidRDefault="000B2835" w:rsidP="000B2835">
      <w:pPr>
        <w:autoSpaceDE w:val="0"/>
        <w:autoSpaceDN w:val="0"/>
        <w:adjustRightInd w:val="0"/>
        <w:spacing w:after="120"/>
        <w:jc w:val="both"/>
        <w:rPr>
          <w:rFonts w:ascii="Arial" w:hAnsi="Arial" w:cs="Arial"/>
          <w:sz w:val="22"/>
          <w:szCs w:val="22"/>
        </w:rPr>
      </w:pPr>
      <w:r>
        <w:rPr>
          <w:rFonts w:ascii="Arial" w:hAnsi="Arial" w:cs="Arial"/>
          <w:sz w:val="22"/>
          <w:szCs w:val="22"/>
        </w:rPr>
        <w:t>Nel 2020</w:t>
      </w:r>
      <w:r w:rsidRPr="00F65541">
        <w:rPr>
          <w:rFonts w:ascii="Arial" w:hAnsi="Arial" w:cs="Arial"/>
          <w:sz w:val="22"/>
          <w:szCs w:val="22"/>
        </w:rPr>
        <w:t xml:space="preserve"> </w:t>
      </w:r>
      <w:r>
        <w:rPr>
          <w:rFonts w:ascii="Arial" w:hAnsi="Arial" w:cs="Arial"/>
          <w:sz w:val="22"/>
          <w:szCs w:val="22"/>
        </w:rPr>
        <w:t>la crescita</w:t>
      </w:r>
      <w:r w:rsidRPr="00F65541">
        <w:rPr>
          <w:rFonts w:ascii="Arial" w:hAnsi="Arial" w:cs="Arial"/>
          <w:sz w:val="22"/>
          <w:szCs w:val="22"/>
        </w:rPr>
        <w:t xml:space="preserve"> della produttività del lavoro (</w:t>
      </w:r>
      <w:r>
        <w:rPr>
          <w:rFonts w:ascii="Arial" w:hAnsi="Arial" w:cs="Arial"/>
          <w:sz w:val="22"/>
          <w:szCs w:val="22"/>
        </w:rPr>
        <w:t>+1</w:t>
      </w:r>
      <w:r w:rsidRPr="00F65541">
        <w:rPr>
          <w:rFonts w:ascii="Arial" w:hAnsi="Arial" w:cs="Arial"/>
          <w:sz w:val="22"/>
          <w:szCs w:val="22"/>
        </w:rPr>
        <w:t>,</w:t>
      </w:r>
      <w:r>
        <w:rPr>
          <w:rFonts w:ascii="Arial" w:hAnsi="Arial" w:cs="Arial"/>
          <w:sz w:val="22"/>
          <w:szCs w:val="22"/>
        </w:rPr>
        <w:t>3</w:t>
      </w:r>
      <w:r w:rsidRPr="00F65541">
        <w:rPr>
          <w:rFonts w:ascii="Arial" w:hAnsi="Arial" w:cs="Arial"/>
          <w:sz w:val="22"/>
          <w:szCs w:val="22"/>
        </w:rPr>
        <w:t xml:space="preserve">%) </w:t>
      </w:r>
      <w:r>
        <w:rPr>
          <w:rFonts w:ascii="Arial" w:hAnsi="Arial" w:cs="Arial"/>
          <w:sz w:val="22"/>
          <w:szCs w:val="22"/>
        </w:rPr>
        <w:t>è spiegata esclusivamente dal forte contributo positivo del capitale per ora lavorata (4,0 punti percentuali) a fronte dell’ampio apporto negativo della PTF (-2,7 punti).</w:t>
      </w:r>
      <w:r w:rsidRPr="00F65541">
        <w:rPr>
          <w:rFonts w:ascii="Arial" w:hAnsi="Arial" w:cs="Arial"/>
          <w:sz w:val="22"/>
          <w:szCs w:val="22"/>
        </w:rPr>
        <w:t xml:space="preserve"> </w:t>
      </w:r>
    </w:p>
    <w:p w14:paraId="196A31F1" w14:textId="77777777" w:rsidR="00E14C9B" w:rsidRDefault="00E14C9B" w:rsidP="00E14C9B">
      <w:pPr>
        <w:autoSpaceDE w:val="0"/>
        <w:autoSpaceDN w:val="0"/>
        <w:adjustRightInd w:val="0"/>
        <w:spacing w:after="120"/>
        <w:jc w:val="both"/>
        <w:rPr>
          <w:rFonts w:ascii="Arial" w:hAnsi="Arial" w:cs="Arial"/>
          <w:sz w:val="22"/>
          <w:szCs w:val="22"/>
        </w:rPr>
      </w:pPr>
      <w:r>
        <w:rPr>
          <w:rFonts w:ascii="Arial" w:hAnsi="Arial" w:cs="Arial"/>
          <w:sz w:val="22"/>
          <w:szCs w:val="22"/>
        </w:rPr>
        <w:t>Tra il 1995 e il 2020</w:t>
      </w:r>
      <w:r w:rsidRPr="00F65541">
        <w:rPr>
          <w:rFonts w:ascii="Arial" w:hAnsi="Arial" w:cs="Arial"/>
          <w:sz w:val="22"/>
          <w:szCs w:val="22"/>
        </w:rPr>
        <w:t xml:space="preserve"> la crescita media annua della produttività del lavoro è stata </w:t>
      </w:r>
      <w:r>
        <w:rPr>
          <w:rFonts w:ascii="Arial" w:hAnsi="Arial" w:cs="Arial"/>
          <w:sz w:val="22"/>
          <w:szCs w:val="22"/>
        </w:rPr>
        <w:t>de</w:t>
      </w:r>
      <w:r w:rsidRPr="00F65541">
        <w:rPr>
          <w:rFonts w:ascii="Arial" w:hAnsi="Arial" w:cs="Arial"/>
          <w:sz w:val="22"/>
          <w:szCs w:val="22"/>
        </w:rPr>
        <w:t>llo 0,</w:t>
      </w:r>
      <w:r>
        <w:rPr>
          <w:rFonts w:ascii="Arial" w:hAnsi="Arial" w:cs="Arial"/>
          <w:sz w:val="22"/>
          <w:szCs w:val="22"/>
        </w:rPr>
        <w:t>4</w:t>
      </w:r>
      <w:r w:rsidRPr="00F65541">
        <w:rPr>
          <w:rFonts w:ascii="Arial" w:hAnsi="Arial" w:cs="Arial"/>
          <w:sz w:val="22"/>
          <w:szCs w:val="22"/>
        </w:rPr>
        <w:t>%</w:t>
      </w:r>
      <w:r>
        <w:rPr>
          <w:rFonts w:ascii="Arial" w:hAnsi="Arial" w:cs="Arial"/>
          <w:sz w:val="22"/>
          <w:szCs w:val="22"/>
        </w:rPr>
        <w:t xml:space="preserve"> (Figura 5)</w:t>
      </w:r>
      <w:r w:rsidRPr="00F65541">
        <w:rPr>
          <w:rFonts w:ascii="Arial" w:hAnsi="Arial" w:cs="Arial"/>
          <w:sz w:val="22"/>
          <w:szCs w:val="22"/>
        </w:rPr>
        <w:t>. Il capitale per ora lavorata ha contrib</w:t>
      </w:r>
      <w:r>
        <w:rPr>
          <w:rFonts w:ascii="Arial" w:hAnsi="Arial" w:cs="Arial"/>
          <w:sz w:val="22"/>
          <w:szCs w:val="22"/>
        </w:rPr>
        <w:t>uito positivamente per 0,5</w:t>
      </w:r>
      <w:r w:rsidRPr="00F65541">
        <w:rPr>
          <w:rFonts w:ascii="Arial" w:hAnsi="Arial" w:cs="Arial"/>
          <w:sz w:val="22"/>
          <w:szCs w:val="22"/>
        </w:rPr>
        <w:t xml:space="preserve"> punti percentuali</w:t>
      </w:r>
      <w:r>
        <w:rPr>
          <w:rFonts w:ascii="Arial" w:hAnsi="Arial" w:cs="Arial"/>
          <w:sz w:val="22"/>
          <w:szCs w:val="22"/>
        </w:rPr>
        <w:t xml:space="preserve"> e</w:t>
      </w:r>
      <w:r w:rsidRPr="00F65541">
        <w:rPr>
          <w:rFonts w:ascii="Arial" w:hAnsi="Arial" w:cs="Arial"/>
          <w:sz w:val="22"/>
          <w:szCs w:val="22"/>
        </w:rPr>
        <w:t xml:space="preserve"> la produttività totale dei fattori ha</w:t>
      </w:r>
      <w:r>
        <w:rPr>
          <w:rFonts w:ascii="Arial" w:hAnsi="Arial" w:cs="Arial"/>
          <w:sz w:val="22"/>
          <w:szCs w:val="22"/>
        </w:rPr>
        <w:t xml:space="preserve"> invece</w:t>
      </w:r>
      <w:r w:rsidRPr="00F65541">
        <w:rPr>
          <w:rFonts w:ascii="Arial" w:hAnsi="Arial" w:cs="Arial"/>
          <w:sz w:val="22"/>
          <w:szCs w:val="22"/>
        </w:rPr>
        <w:t xml:space="preserve"> </w:t>
      </w:r>
      <w:r>
        <w:rPr>
          <w:rFonts w:ascii="Arial" w:hAnsi="Arial" w:cs="Arial"/>
          <w:sz w:val="22"/>
          <w:szCs w:val="22"/>
        </w:rPr>
        <w:t>fornito</w:t>
      </w:r>
      <w:r w:rsidRPr="00F65541">
        <w:rPr>
          <w:rFonts w:ascii="Arial" w:hAnsi="Arial" w:cs="Arial"/>
          <w:sz w:val="22"/>
          <w:szCs w:val="22"/>
        </w:rPr>
        <w:t xml:space="preserve"> </w:t>
      </w:r>
      <w:r>
        <w:rPr>
          <w:rFonts w:ascii="Arial" w:hAnsi="Arial" w:cs="Arial"/>
          <w:sz w:val="22"/>
          <w:szCs w:val="22"/>
        </w:rPr>
        <w:t>un</w:t>
      </w:r>
      <w:r w:rsidRPr="00F65541">
        <w:rPr>
          <w:rFonts w:ascii="Arial" w:hAnsi="Arial" w:cs="Arial"/>
          <w:sz w:val="22"/>
          <w:szCs w:val="22"/>
        </w:rPr>
        <w:t xml:space="preserve"> </w:t>
      </w:r>
      <w:r>
        <w:rPr>
          <w:rFonts w:ascii="Arial" w:hAnsi="Arial" w:cs="Arial"/>
          <w:sz w:val="22"/>
          <w:szCs w:val="22"/>
        </w:rPr>
        <w:t>apporto negativo</w:t>
      </w:r>
      <w:r w:rsidRPr="00F65541">
        <w:rPr>
          <w:rFonts w:ascii="Arial" w:hAnsi="Arial" w:cs="Arial"/>
          <w:sz w:val="22"/>
          <w:szCs w:val="22"/>
        </w:rPr>
        <w:t xml:space="preserve">. Il contributo del </w:t>
      </w:r>
      <w:r>
        <w:rPr>
          <w:rFonts w:ascii="Arial" w:hAnsi="Arial" w:cs="Arial"/>
          <w:sz w:val="22"/>
          <w:szCs w:val="22"/>
        </w:rPr>
        <w:t>capitale materiale non-ICT è stato pari a 0,3</w:t>
      </w:r>
      <w:r w:rsidRPr="00F65541">
        <w:rPr>
          <w:rFonts w:ascii="Arial" w:hAnsi="Arial" w:cs="Arial"/>
          <w:sz w:val="22"/>
          <w:szCs w:val="22"/>
        </w:rPr>
        <w:t xml:space="preserve"> punti percentuali</w:t>
      </w:r>
      <w:r>
        <w:rPr>
          <w:rFonts w:ascii="Arial" w:hAnsi="Arial" w:cs="Arial"/>
          <w:sz w:val="22"/>
          <w:szCs w:val="22"/>
        </w:rPr>
        <w:t>, mentre sia il capitale</w:t>
      </w:r>
      <w:r w:rsidRPr="00F65541">
        <w:rPr>
          <w:rFonts w:ascii="Arial" w:hAnsi="Arial" w:cs="Arial"/>
          <w:sz w:val="22"/>
          <w:szCs w:val="22"/>
        </w:rPr>
        <w:t xml:space="preserve"> ICT</w:t>
      </w:r>
      <w:r>
        <w:rPr>
          <w:rFonts w:ascii="Arial" w:hAnsi="Arial" w:cs="Arial"/>
          <w:sz w:val="22"/>
          <w:szCs w:val="22"/>
        </w:rPr>
        <w:t xml:space="preserve"> sia quello immateriale non-ICT hanno fornito un contributo </w:t>
      </w:r>
      <w:r w:rsidRPr="00F65541">
        <w:rPr>
          <w:rFonts w:ascii="Arial" w:hAnsi="Arial" w:cs="Arial"/>
          <w:sz w:val="22"/>
          <w:szCs w:val="22"/>
        </w:rPr>
        <w:t xml:space="preserve">pari a 0,1 </w:t>
      </w:r>
      <w:r>
        <w:rPr>
          <w:rFonts w:ascii="Arial" w:hAnsi="Arial" w:cs="Arial"/>
          <w:sz w:val="22"/>
          <w:szCs w:val="22"/>
        </w:rPr>
        <w:t>punti percentuali</w:t>
      </w:r>
      <w:r w:rsidRPr="00F65541">
        <w:rPr>
          <w:rFonts w:ascii="Arial" w:hAnsi="Arial" w:cs="Arial"/>
          <w:sz w:val="22"/>
          <w:szCs w:val="22"/>
        </w:rPr>
        <w:t>.</w:t>
      </w:r>
    </w:p>
    <w:p w14:paraId="1A0AB9C1" w14:textId="77777777" w:rsidR="00E14C9B" w:rsidRDefault="00E14C9B" w:rsidP="00E14C9B">
      <w:pPr>
        <w:autoSpaceDE w:val="0"/>
        <w:autoSpaceDN w:val="0"/>
        <w:adjustRightInd w:val="0"/>
        <w:spacing w:after="120"/>
        <w:jc w:val="both"/>
        <w:rPr>
          <w:rFonts w:ascii="Arial" w:hAnsi="Arial" w:cs="Arial"/>
          <w:sz w:val="22"/>
          <w:szCs w:val="22"/>
        </w:rPr>
      </w:pPr>
      <w:r w:rsidRPr="00F65541">
        <w:rPr>
          <w:rFonts w:ascii="Arial" w:hAnsi="Arial" w:cs="Arial"/>
          <w:sz w:val="22"/>
          <w:szCs w:val="22"/>
        </w:rPr>
        <w:t>Nel periodo 200</w:t>
      </w:r>
      <w:r>
        <w:rPr>
          <w:rFonts w:ascii="Arial" w:hAnsi="Arial" w:cs="Arial"/>
          <w:sz w:val="22"/>
          <w:szCs w:val="22"/>
        </w:rPr>
        <w:t>9</w:t>
      </w:r>
      <w:r w:rsidRPr="00F65541">
        <w:rPr>
          <w:rFonts w:ascii="Arial" w:hAnsi="Arial" w:cs="Arial"/>
          <w:sz w:val="22"/>
          <w:szCs w:val="22"/>
        </w:rPr>
        <w:t>-2014 la crescita della produttività del lavoro (</w:t>
      </w:r>
      <w:r w:rsidR="000B2835">
        <w:rPr>
          <w:rFonts w:ascii="Arial" w:hAnsi="Arial" w:cs="Arial"/>
          <w:sz w:val="22"/>
          <w:szCs w:val="22"/>
        </w:rPr>
        <w:t>+</w:t>
      </w:r>
      <w:r w:rsidRPr="00F65541">
        <w:rPr>
          <w:rFonts w:ascii="Arial" w:hAnsi="Arial" w:cs="Arial"/>
          <w:sz w:val="22"/>
          <w:szCs w:val="22"/>
        </w:rPr>
        <w:t>0,</w:t>
      </w:r>
      <w:r>
        <w:rPr>
          <w:rFonts w:ascii="Arial" w:hAnsi="Arial" w:cs="Arial"/>
          <w:sz w:val="22"/>
          <w:szCs w:val="22"/>
        </w:rPr>
        <w:t>9</w:t>
      </w:r>
      <w:r w:rsidRPr="00F65541">
        <w:rPr>
          <w:rFonts w:ascii="Arial" w:hAnsi="Arial" w:cs="Arial"/>
          <w:sz w:val="22"/>
          <w:szCs w:val="22"/>
        </w:rPr>
        <w:t>% in media d’anno) è la risultante di un contributo positivo dell’intensità di capitale (0,</w:t>
      </w:r>
      <w:r>
        <w:rPr>
          <w:rFonts w:ascii="Arial" w:hAnsi="Arial" w:cs="Arial"/>
          <w:sz w:val="22"/>
          <w:szCs w:val="22"/>
        </w:rPr>
        <w:t>3</w:t>
      </w:r>
      <w:r w:rsidRPr="00F65541">
        <w:rPr>
          <w:rFonts w:ascii="Arial" w:hAnsi="Arial" w:cs="Arial"/>
          <w:sz w:val="22"/>
          <w:szCs w:val="22"/>
        </w:rPr>
        <w:t xml:space="preserve"> punti percentuali) e di un </w:t>
      </w:r>
      <w:r>
        <w:rPr>
          <w:rFonts w:ascii="Arial" w:hAnsi="Arial" w:cs="Arial"/>
          <w:sz w:val="22"/>
          <w:szCs w:val="22"/>
        </w:rPr>
        <w:t xml:space="preserve">maggior apporto </w:t>
      </w:r>
      <w:r w:rsidRPr="00F65541">
        <w:rPr>
          <w:rFonts w:ascii="Arial" w:hAnsi="Arial" w:cs="Arial"/>
          <w:sz w:val="22"/>
          <w:szCs w:val="22"/>
        </w:rPr>
        <w:t xml:space="preserve">della </w:t>
      </w:r>
      <w:r>
        <w:rPr>
          <w:rFonts w:ascii="Arial" w:hAnsi="Arial" w:cs="Arial"/>
          <w:sz w:val="22"/>
          <w:szCs w:val="22"/>
        </w:rPr>
        <w:t>PTF</w:t>
      </w:r>
      <w:r w:rsidRPr="00F65541">
        <w:rPr>
          <w:rFonts w:ascii="Arial" w:hAnsi="Arial" w:cs="Arial"/>
          <w:sz w:val="22"/>
          <w:szCs w:val="22"/>
        </w:rPr>
        <w:t xml:space="preserve"> (0,</w:t>
      </w:r>
      <w:r>
        <w:rPr>
          <w:rFonts w:ascii="Arial" w:hAnsi="Arial" w:cs="Arial"/>
          <w:sz w:val="22"/>
          <w:szCs w:val="22"/>
        </w:rPr>
        <w:t>6</w:t>
      </w:r>
      <w:r w:rsidRPr="00F65541">
        <w:rPr>
          <w:rFonts w:ascii="Arial" w:hAnsi="Arial" w:cs="Arial"/>
          <w:sz w:val="22"/>
          <w:szCs w:val="22"/>
        </w:rPr>
        <w:t xml:space="preserve"> punti percentuali). </w:t>
      </w:r>
    </w:p>
    <w:p w14:paraId="2884D45E" w14:textId="77777777" w:rsidR="00E14C9B" w:rsidRDefault="00E14C9B" w:rsidP="00E14C9B">
      <w:pPr>
        <w:autoSpaceDE w:val="0"/>
        <w:autoSpaceDN w:val="0"/>
        <w:adjustRightInd w:val="0"/>
        <w:spacing w:after="120"/>
        <w:jc w:val="both"/>
        <w:rPr>
          <w:rFonts w:ascii="Arial" w:hAnsi="Arial" w:cs="Arial"/>
          <w:sz w:val="22"/>
          <w:szCs w:val="22"/>
        </w:rPr>
      </w:pPr>
      <w:r>
        <w:rPr>
          <w:rFonts w:ascii="Arial" w:hAnsi="Arial" w:cs="Arial"/>
          <w:sz w:val="22"/>
          <w:szCs w:val="22"/>
        </w:rPr>
        <w:t>Nel periodo più recente (2014-2020)</w:t>
      </w:r>
      <w:r w:rsidRPr="00F65541">
        <w:rPr>
          <w:rFonts w:ascii="Arial" w:hAnsi="Arial" w:cs="Arial"/>
          <w:sz w:val="22"/>
          <w:szCs w:val="22"/>
        </w:rPr>
        <w:t xml:space="preserve">, la produttività del lavoro </w:t>
      </w:r>
      <w:r>
        <w:rPr>
          <w:rFonts w:ascii="Arial" w:hAnsi="Arial" w:cs="Arial"/>
          <w:sz w:val="22"/>
          <w:szCs w:val="22"/>
        </w:rPr>
        <w:t xml:space="preserve">ha </w:t>
      </w:r>
      <w:r w:rsidRPr="00F65541">
        <w:rPr>
          <w:rFonts w:ascii="Arial" w:hAnsi="Arial" w:cs="Arial"/>
          <w:sz w:val="22"/>
          <w:szCs w:val="22"/>
        </w:rPr>
        <w:t>segna</w:t>
      </w:r>
      <w:r>
        <w:rPr>
          <w:rFonts w:ascii="Arial" w:hAnsi="Arial" w:cs="Arial"/>
          <w:sz w:val="22"/>
          <w:szCs w:val="22"/>
        </w:rPr>
        <w:t>to una crescita media annua dello 0,5</w:t>
      </w:r>
      <w:r w:rsidRPr="00F65541">
        <w:rPr>
          <w:rFonts w:ascii="Arial" w:hAnsi="Arial" w:cs="Arial"/>
          <w:sz w:val="22"/>
          <w:szCs w:val="22"/>
        </w:rPr>
        <w:t>%</w:t>
      </w:r>
      <w:r>
        <w:rPr>
          <w:rFonts w:ascii="Arial" w:hAnsi="Arial" w:cs="Arial"/>
          <w:sz w:val="22"/>
          <w:szCs w:val="22"/>
        </w:rPr>
        <w:t>, con un contributo positivo</w:t>
      </w:r>
      <w:r w:rsidRPr="00F65541">
        <w:rPr>
          <w:rFonts w:ascii="Arial" w:hAnsi="Arial" w:cs="Arial"/>
          <w:sz w:val="22"/>
          <w:szCs w:val="22"/>
        </w:rPr>
        <w:t xml:space="preserve"> del</w:t>
      </w:r>
      <w:r>
        <w:rPr>
          <w:rFonts w:ascii="Arial" w:hAnsi="Arial" w:cs="Arial"/>
          <w:sz w:val="22"/>
          <w:szCs w:val="22"/>
        </w:rPr>
        <w:t xml:space="preserve"> capitale per ora lavorata (0,5 punti percentuali) e nullo </w:t>
      </w:r>
      <w:r w:rsidR="00E56207">
        <w:rPr>
          <w:rFonts w:ascii="Arial" w:hAnsi="Arial" w:cs="Arial"/>
          <w:sz w:val="22"/>
          <w:szCs w:val="22"/>
        </w:rPr>
        <w:br/>
      </w:r>
      <w:r>
        <w:rPr>
          <w:rFonts w:ascii="Arial" w:hAnsi="Arial" w:cs="Arial"/>
          <w:sz w:val="22"/>
          <w:szCs w:val="22"/>
        </w:rPr>
        <w:t>della</w:t>
      </w:r>
      <w:r w:rsidRPr="00F65541">
        <w:rPr>
          <w:rFonts w:ascii="Arial" w:hAnsi="Arial" w:cs="Arial"/>
          <w:sz w:val="22"/>
          <w:szCs w:val="22"/>
        </w:rPr>
        <w:t xml:space="preserve"> </w:t>
      </w:r>
      <w:r>
        <w:rPr>
          <w:rFonts w:ascii="Arial" w:hAnsi="Arial" w:cs="Arial"/>
          <w:sz w:val="22"/>
          <w:szCs w:val="22"/>
        </w:rPr>
        <w:t>PTF.</w:t>
      </w:r>
      <w:r w:rsidRPr="00F65541">
        <w:rPr>
          <w:rFonts w:ascii="Arial" w:hAnsi="Arial" w:cs="Arial"/>
          <w:sz w:val="22"/>
          <w:szCs w:val="22"/>
        </w:rPr>
        <w:t xml:space="preserve"> </w:t>
      </w:r>
    </w:p>
    <w:p w14:paraId="0AD3D6EB" w14:textId="77777777" w:rsidR="00A73DB2" w:rsidRPr="00977BD5" w:rsidRDefault="00A73DB2" w:rsidP="00977BD5">
      <w:pPr>
        <w:autoSpaceDE w:val="0"/>
        <w:autoSpaceDN w:val="0"/>
        <w:adjustRightInd w:val="0"/>
        <w:spacing w:after="120"/>
        <w:jc w:val="both"/>
        <w:rPr>
          <w:rFonts w:ascii="Arial" w:hAnsi="Arial" w:cs="Arial"/>
          <w:sz w:val="22"/>
          <w:szCs w:val="22"/>
        </w:rPr>
      </w:pPr>
    </w:p>
    <w:p w14:paraId="7BE8B4C2" w14:textId="77777777" w:rsidR="005D1CBE" w:rsidRPr="00977BD5" w:rsidRDefault="005D1CBE" w:rsidP="00977BD5">
      <w:pPr>
        <w:autoSpaceDE w:val="0"/>
        <w:autoSpaceDN w:val="0"/>
        <w:adjustRightInd w:val="0"/>
        <w:spacing w:after="120"/>
        <w:jc w:val="both"/>
        <w:rPr>
          <w:rFonts w:ascii="Arial" w:hAnsi="Arial" w:cs="Arial"/>
          <w:sz w:val="22"/>
          <w:szCs w:val="22"/>
        </w:rPr>
      </w:pPr>
    </w:p>
    <w:p w14:paraId="296B69F1" w14:textId="77777777" w:rsidR="005D1CBE" w:rsidRPr="00977BD5" w:rsidRDefault="005D1CBE" w:rsidP="00977BD5">
      <w:pPr>
        <w:autoSpaceDE w:val="0"/>
        <w:autoSpaceDN w:val="0"/>
        <w:adjustRightInd w:val="0"/>
        <w:spacing w:after="120"/>
        <w:jc w:val="both"/>
        <w:rPr>
          <w:rFonts w:ascii="Arial" w:hAnsi="Arial" w:cs="Arial"/>
          <w:sz w:val="22"/>
          <w:szCs w:val="22"/>
        </w:rPr>
      </w:pPr>
    </w:p>
    <w:p w14:paraId="18CC18F2" w14:textId="77777777" w:rsidR="005D1CBE" w:rsidRPr="00977BD5" w:rsidRDefault="005D1CBE" w:rsidP="00977BD5">
      <w:pPr>
        <w:autoSpaceDE w:val="0"/>
        <w:autoSpaceDN w:val="0"/>
        <w:adjustRightInd w:val="0"/>
        <w:spacing w:after="120"/>
        <w:jc w:val="both"/>
        <w:rPr>
          <w:rFonts w:ascii="Arial" w:hAnsi="Arial" w:cs="Arial"/>
          <w:sz w:val="22"/>
          <w:szCs w:val="22"/>
        </w:rPr>
      </w:pPr>
    </w:p>
    <w:p w14:paraId="68E5BFF2" w14:textId="77777777" w:rsidR="00531049" w:rsidRPr="00977BD5" w:rsidRDefault="00531049" w:rsidP="00977BD5">
      <w:pPr>
        <w:autoSpaceDE w:val="0"/>
        <w:autoSpaceDN w:val="0"/>
        <w:adjustRightInd w:val="0"/>
        <w:spacing w:after="120"/>
        <w:jc w:val="both"/>
        <w:rPr>
          <w:rFonts w:ascii="Arial" w:hAnsi="Arial" w:cs="Arial"/>
          <w:sz w:val="22"/>
          <w:szCs w:val="22"/>
        </w:rPr>
      </w:pPr>
    </w:p>
    <w:p w14:paraId="5101A46B" w14:textId="77777777" w:rsidR="00531049" w:rsidRDefault="00531049" w:rsidP="00977BD5">
      <w:pPr>
        <w:autoSpaceDE w:val="0"/>
        <w:autoSpaceDN w:val="0"/>
        <w:adjustRightInd w:val="0"/>
        <w:spacing w:after="120"/>
        <w:jc w:val="both"/>
        <w:rPr>
          <w:rFonts w:ascii="Arial" w:hAnsi="Arial" w:cs="Arial"/>
          <w:sz w:val="22"/>
          <w:szCs w:val="22"/>
        </w:rPr>
      </w:pPr>
    </w:p>
    <w:p w14:paraId="470D803A" w14:textId="77777777" w:rsidR="00E14C9B" w:rsidRDefault="00E14C9B" w:rsidP="00977BD5">
      <w:pPr>
        <w:autoSpaceDE w:val="0"/>
        <w:autoSpaceDN w:val="0"/>
        <w:adjustRightInd w:val="0"/>
        <w:spacing w:after="120"/>
        <w:jc w:val="both"/>
        <w:rPr>
          <w:rFonts w:ascii="Arial" w:hAnsi="Arial" w:cs="Arial"/>
          <w:sz w:val="22"/>
          <w:szCs w:val="22"/>
        </w:rPr>
      </w:pPr>
    </w:p>
    <w:p w14:paraId="6BFD055D" w14:textId="77777777" w:rsidR="00E14C9B" w:rsidRPr="00977BD5" w:rsidRDefault="00E14C9B" w:rsidP="00977BD5">
      <w:pPr>
        <w:autoSpaceDE w:val="0"/>
        <w:autoSpaceDN w:val="0"/>
        <w:adjustRightInd w:val="0"/>
        <w:spacing w:after="120"/>
        <w:jc w:val="both"/>
        <w:rPr>
          <w:rFonts w:ascii="Arial" w:hAnsi="Arial" w:cs="Arial"/>
          <w:sz w:val="22"/>
          <w:szCs w:val="22"/>
        </w:rPr>
      </w:pPr>
    </w:p>
    <w:p w14:paraId="64C3A7E2" w14:textId="77777777" w:rsidR="00D7591F" w:rsidRPr="00977BD5" w:rsidRDefault="00D7591F" w:rsidP="00977BD5">
      <w:pPr>
        <w:autoSpaceDE w:val="0"/>
        <w:autoSpaceDN w:val="0"/>
        <w:adjustRightInd w:val="0"/>
        <w:spacing w:after="120"/>
        <w:jc w:val="both"/>
        <w:rPr>
          <w:rFonts w:ascii="Arial" w:hAnsi="Arial" w:cs="Arial"/>
          <w:sz w:val="22"/>
          <w:szCs w:val="22"/>
        </w:rPr>
      </w:pPr>
    </w:p>
    <w:p w14:paraId="410C86E8" w14:textId="77777777" w:rsidR="00615215" w:rsidRDefault="00615215" w:rsidP="00977BD5">
      <w:pPr>
        <w:autoSpaceDE w:val="0"/>
        <w:autoSpaceDN w:val="0"/>
        <w:adjustRightInd w:val="0"/>
        <w:spacing w:after="120"/>
        <w:jc w:val="both"/>
        <w:rPr>
          <w:rFonts w:ascii="Arial" w:hAnsi="Arial" w:cs="Arial"/>
          <w:sz w:val="22"/>
          <w:szCs w:val="22"/>
        </w:rPr>
      </w:pPr>
    </w:p>
    <w:p w14:paraId="18A04B26" w14:textId="77777777" w:rsidR="007D3A37" w:rsidRDefault="007D3A37" w:rsidP="00977BD5">
      <w:pPr>
        <w:autoSpaceDE w:val="0"/>
        <w:autoSpaceDN w:val="0"/>
        <w:adjustRightInd w:val="0"/>
        <w:spacing w:after="120"/>
        <w:jc w:val="both"/>
        <w:rPr>
          <w:rFonts w:ascii="Arial" w:hAnsi="Arial" w:cs="Arial"/>
          <w:sz w:val="22"/>
          <w:szCs w:val="22"/>
        </w:rPr>
      </w:pPr>
    </w:p>
    <w:p w14:paraId="586FB49D" w14:textId="77777777" w:rsidR="00FB167F" w:rsidRDefault="00FB167F" w:rsidP="00977BD5">
      <w:pPr>
        <w:autoSpaceDE w:val="0"/>
        <w:autoSpaceDN w:val="0"/>
        <w:adjustRightInd w:val="0"/>
        <w:spacing w:after="120"/>
        <w:jc w:val="both"/>
        <w:rPr>
          <w:rFonts w:ascii="Arial" w:hAnsi="Arial" w:cs="Arial"/>
          <w:sz w:val="22"/>
          <w:szCs w:val="22"/>
        </w:rPr>
      </w:pPr>
    </w:p>
    <w:p w14:paraId="5070D3A2" w14:textId="77777777" w:rsidR="00DE2FB0" w:rsidRDefault="00DE2FB0">
      <w:pPr>
        <w:autoSpaceDE w:val="0"/>
        <w:autoSpaceDN w:val="0"/>
        <w:adjustRightInd w:val="0"/>
        <w:jc w:val="both"/>
        <w:rPr>
          <w:rFonts w:ascii="Arial" w:hAnsi="Arial" w:cs="Arial"/>
          <w:sz w:val="20"/>
          <w:szCs w:val="22"/>
        </w:rPr>
      </w:pPr>
    </w:p>
    <w:p w14:paraId="1373DD93" w14:textId="77777777" w:rsidR="0060521F" w:rsidRDefault="005B28F8" w:rsidP="0060521F">
      <w:pPr>
        <w:tabs>
          <w:tab w:val="left" w:pos="900"/>
        </w:tabs>
        <w:rPr>
          <w:rFonts w:ascii="Arial Narrow" w:hAnsi="Arial Narrow" w:cs="Arial"/>
          <w:b/>
          <w:iCs/>
          <w:noProof/>
          <w:color w:val="1F497D" w:themeColor="text2"/>
          <w:sz w:val="22"/>
          <w:szCs w:val="22"/>
        </w:rPr>
      </w:pPr>
      <w:r w:rsidRPr="00E80B57">
        <w:rPr>
          <w:rFonts w:ascii="Arial Black" w:hAnsi="Arial Black" w:cs="Arial"/>
          <w:iCs/>
          <w:noProof/>
          <w:color w:val="1F497D" w:themeColor="text2"/>
          <w:sz w:val="22"/>
          <w:szCs w:val="22"/>
        </w:rPr>
        <w:t xml:space="preserve">FIGURA </w:t>
      </w:r>
      <w:r w:rsidR="00FE72F1">
        <w:rPr>
          <w:rFonts w:ascii="Arial Black" w:hAnsi="Arial Black" w:cs="Arial"/>
          <w:iCs/>
          <w:noProof/>
          <w:color w:val="1F497D" w:themeColor="text2"/>
          <w:sz w:val="22"/>
          <w:szCs w:val="22"/>
        </w:rPr>
        <w:t>5</w:t>
      </w:r>
      <w:r>
        <w:rPr>
          <w:rFonts w:ascii="Arial Narrow" w:hAnsi="Arial Narrow" w:cs="Arial"/>
          <w:b/>
          <w:iCs/>
          <w:noProof/>
          <w:color w:val="1F497D" w:themeColor="text2"/>
          <w:sz w:val="22"/>
          <w:szCs w:val="22"/>
        </w:rPr>
        <w:t>.</w:t>
      </w:r>
      <w:r w:rsidR="00813E0B" w:rsidRPr="00813E0B">
        <w:t xml:space="preserve"> </w:t>
      </w:r>
      <w:r w:rsidR="006D3F5F" w:rsidRPr="006D3F5F">
        <w:rPr>
          <w:rFonts w:ascii="Arial Narrow" w:hAnsi="Arial Narrow" w:cs="Arial"/>
          <w:b/>
          <w:iCs/>
          <w:noProof/>
          <w:color w:val="1F497D" w:themeColor="text2"/>
          <w:sz w:val="22"/>
          <w:szCs w:val="22"/>
        </w:rPr>
        <w:t>CONTRIBUTI ALLA CRESCITA DELLA PRODUTTIVITÀ DEL LAVORO</w:t>
      </w:r>
    </w:p>
    <w:p w14:paraId="5F07FD35" w14:textId="77777777" w:rsidR="00DE2FB0" w:rsidRDefault="007D3A37">
      <w:pPr>
        <w:pStyle w:val="Paragrafoelenco"/>
        <w:autoSpaceDE w:val="0"/>
        <w:autoSpaceDN w:val="0"/>
        <w:adjustRightInd w:val="0"/>
        <w:spacing w:after="120"/>
        <w:ind w:left="0"/>
        <w:contextualSpacing w:val="0"/>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t>Anni 1995-2020, t</w:t>
      </w:r>
      <w:r w:rsidRPr="00E14C9B">
        <w:rPr>
          <w:rFonts w:ascii="Arial Narrow" w:hAnsi="Arial Narrow" w:cs="Arial"/>
          <w:iCs/>
          <w:noProof/>
          <w:color w:val="1F497D" w:themeColor="text2"/>
          <w:sz w:val="22"/>
          <w:szCs w:val="22"/>
        </w:rPr>
        <w:t>assi</w:t>
      </w:r>
      <w:r w:rsidR="00FA1DB6" w:rsidRPr="00FA1DB6">
        <w:rPr>
          <w:rFonts w:ascii="Arial Narrow" w:hAnsi="Arial Narrow" w:cs="Arial"/>
          <w:iCs/>
          <w:noProof/>
          <w:color w:val="1F497D" w:themeColor="text2"/>
          <w:sz w:val="22"/>
          <w:szCs w:val="22"/>
        </w:rPr>
        <w:t xml:space="preserve"> di variazione medi annui</w:t>
      </w:r>
    </w:p>
    <w:p w14:paraId="5089CBEB" w14:textId="77777777" w:rsidR="006F04AB" w:rsidRDefault="00E14C9B">
      <w:pPr>
        <w:rPr>
          <w:rFonts w:ascii="Arial" w:hAnsi="Arial" w:cs="Arial"/>
          <w:color w:val="1F497D" w:themeColor="text2"/>
          <w:sz w:val="22"/>
          <w:szCs w:val="26"/>
        </w:rPr>
      </w:pPr>
      <w:r>
        <w:rPr>
          <w:noProof/>
        </w:rPr>
        <w:drawing>
          <wp:inline distT="0" distB="0" distL="0" distR="0" wp14:anchorId="242706E8" wp14:editId="0840C934">
            <wp:extent cx="6300000" cy="2520000"/>
            <wp:effectExtent l="0" t="0" r="0" b="0"/>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6F04AB">
        <w:rPr>
          <w:rFonts w:ascii="Arial" w:hAnsi="Arial" w:cs="Arial"/>
          <w:color w:val="1F497D" w:themeColor="text2"/>
          <w:sz w:val="22"/>
          <w:szCs w:val="26"/>
        </w:rPr>
        <w:br w:type="page"/>
      </w:r>
    </w:p>
    <w:p w14:paraId="5160E544" w14:textId="77777777" w:rsidR="0049059A" w:rsidRPr="00977BD5" w:rsidRDefault="0049059A" w:rsidP="00615215">
      <w:pPr>
        <w:autoSpaceDE w:val="0"/>
        <w:autoSpaceDN w:val="0"/>
        <w:adjustRightInd w:val="0"/>
        <w:spacing w:after="120"/>
        <w:jc w:val="both"/>
        <w:rPr>
          <w:rFonts w:ascii="Arial" w:hAnsi="Arial" w:cs="Arial"/>
          <w:color w:val="1F497D" w:themeColor="text2"/>
          <w:sz w:val="22"/>
          <w:szCs w:val="26"/>
        </w:rPr>
      </w:pPr>
    </w:p>
    <w:p w14:paraId="0D4834F4" w14:textId="77777777" w:rsidR="00E14C9B" w:rsidRDefault="00E14C9B" w:rsidP="00E14C9B">
      <w:pPr>
        <w:autoSpaceDE w:val="0"/>
        <w:autoSpaceDN w:val="0"/>
        <w:adjustRightInd w:val="0"/>
        <w:spacing w:after="120"/>
        <w:jc w:val="both"/>
        <w:rPr>
          <w:rFonts w:ascii="Arial" w:hAnsi="Arial" w:cs="Arial"/>
          <w:b/>
          <w:color w:val="1F497D" w:themeColor="text2"/>
          <w:sz w:val="26"/>
          <w:szCs w:val="26"/>
        </w:rPr>
      </w:pPr>
      <w:r w:rsidRPr="00154424">
        <w:rPr>
          <w:rFonts w:ascii="Arial" w:hAnsi="Arial" w:cs="Arial"/>
          <w:b/>
          <w:color w:val="1F497D" w:themeColor="text2"/>
          <w:sz w:val="26"/>
          <w:szCs w:val="26"/>
        </w:rPr>
        <w:t xml:space="preserve">Nel 2020 produttività del lavoro in crescita </w:t>
      </w:r>
      <w:r>
        <w:rPr>
          <w:rFonts w:ascii="Arial" w:hAnsi="Arial" w:cs="Arial"/>
          <w:b/>
          <w:color w:val="1F497D" w:themeColor="text2"/>
          <w:sz w:val="26"/>
          <w:szCs w:val="26"/>
        </w:rPr>
        <w:t>soprattutto nei servizi</w:t>
      </w:r>
    </w:p>
    <w:p w14:paraId="2624208D" w14:textId="77777777" w:rsidR="000B2835" w:rsidRDefault="000B2835" w:rsidP="000B2835">
      <w:pPr>
        <w:autoSpaceDE w:val="0"/>
        <w:autoSpaceDN w:val="0"/>
        <w:adjustRightInd w:val="0"/>
        <w:spacing w:after="120"/>
        <w:jc w:val="both"/>
        <w:rPr>
          <w:rFonts w:ascii="Arial" w:hAnsi="Arial" w:cs="Arial"/>
          <w:sz w:val="22"/>
          <w:szCs w:val="22"/>
        </w:rPr>
      </w:pPr>
      <w:r>
        <w:rPr>
          <w:rFonts w:ascii="Arial" w:hAnsi="Arial" w:cs="Arial"/>
          <w:sz w:val="22"/>
          <w:szCs w:val="22"/>
        </w:rPr>
        <w:t>Nel 2020</w:t>
      </w:r>
      <w:r w:rsidRPr="002624A2">
        <w:rPr>
          <w:rFonts w:ascii="Arial" w:hAnsi="Arial" w:cs="Arial"/>
          <w:sz w:val="22"/>
          <w:szCs w:val="22"/>
        </w:rPr>
        <w:t xml:space="preserve"> la produttività </w:t>
      </w:r>
      <w:r>
        <w:rPr>
          <w:rFonts w:ascii="Arial" w:hAnsi="Arial" w:cs="Arial"/>
          <w:sz w:val="22"/>
          <w:szCs w:val="22"/>
        </w:rPr>
        <w:t xml:space="preserve">del lavoro </w:t>
      </w:r>
      <w:r w:rsidRPr="002624A2">
        <w:rPr>
          <w:rFonts w:ascii="Arial" w:hAnsi="Arial" w:cs="Arial"/>
          <w:sz w:val="22"/>
          <w:szCs w:val="22"/>
        </w:rPr>
        <w:t xml:space="preserve">è aumentata </w:t>
      </w:r>
      <w:r>
        <w:rPr>
          <w:rFonts w:ascii="Arial" w:hAnsi="Arial" w:cs="Arial"/>
          <w:sz w:val="22"/>
          <w:szCs w:val="22"/>
        </w:rPr>
        <w:t>marcatamente</w:t>
      </w:r>
      <w:r w:rsidRPr="002624A2">
        <w:rPr>
          <w:rFonts w:ascii="Arial" w:hAnsi="Arial" w:cs="Arial"/>
          <w:sz w:val="22"/>
          <w:szCs w:val="22"/>
        </w:rPr>
        <w:t xml:space="preserve"> nel settore delle </w:t>
      </w:r>
      <w:r>
        <w:rPr>
          <w:rFonts w:ascii="Arial" w:hAnsi="Arial" w:cs="Arial"/>
          <w:sz w:val="22"/>
          <w:szCs w:val="22"/>
        </w:rPr>
        <w:t>A</w:t>
      </w:r>
      <w:r w:rsidRPr="002624A2">
        <w:rPr>
          <w:rFonts w:ascii="Arial" w:hAnsi="Arial" w:cs="Arial"/>
          <w:sz w:val="22"/>
          <w:szCs w:val="22"/>
        </w:rPr>
        <w:t xml:space="preserve">ttività </w:t>
      </w:r>
      <w:r>
        <w:rPr>
          <w:rFonts w:ascii="Arial" w:hAnsi="Arial" w:cs="Arial"/>
          <w:sz w:val="22"/>
          <w:szCs w:val="22"/>
        </w:rPr>
        <w:t>finanziarie e assicurative (6,3%), nei Servizi di informazione e comunicazione, nel settore dell’Istruzione, sanità e assistenza sociale (5,7%) e, in misura più contenuta, nelle Costruzioni (2,8%). Il calo</w:t>
      </w:r>
      <w:r w:rsidRPr="002624A2">
        <w:rPr>
          <w:rFonts w:ascii="Arial" w:hAnsi="Arial" w:cs="Arial"/>
          <w:sz w:val="22"/>
          <w:szCs w:val="22"/>
        </w:rPr>
        <w:t xml:space="preserve"> più significativ</w:t>
      </w:r>
      <w:r>
        <w:rPr>
          <w:rFonts w:ascii="Arial" w:hAnsi="Arial" w:cs="Arial"/>
          <w:sz w:val="22"/>
          <w:szCs w:val="22"/>
        </w:rPr>
        <w:t>o si è registrato in Agricoltura (-3,9%). Nell’Industria in senso stretto, la produttività del lavoro ha segnato una debole crescita (+0,1%), dopo tassi di crescita medi annui decisamente più marcati negli anni precedenti.</w:t>
      </w:r>
    </w:p>
    <w:p w14:paraId="530185A2" w14:textId="77777777" w:rsidR="00E14C9B" w:rsidRDefault="00E14C9B" w:rsidP="00E14C9B">
      <w:pPr>
        <w:autoSpaceDE w:val="0"/>
        <w:autoSpaceDN w:val="0"/>
        <w:adjustRightInd w:val="0"/>
        <w:spacing w:after="120"/>
        <w:jc w:val="both"/>
        <w:rPr>
          <w:rFonts w:ascii="Arial" w:hAnsi="Arial" w:cs="Arial"/>
          <w:sz w:val="22"/>
          <w:szCs w:val="22"/>
        </w:rPr>
      </w:pPr>
      <w:r w:rsidRPr="002624A2">
        <w:rPr>
          <w:rFonts w:ascii="Arial" w:hAnsi="Arial" w:cs="Arial"/>
          <w:sz w:val="22"/>
          <w:szCs w:val="22"/>
        </w:rPr>
        <w:t>Nel</w:t>
      </w:r>
      <w:r>
        <w:rPr>
          <w:rFonts w:ascii="Arial" w:hAnsi="Arial" w:cs="Arial"/>
          <w:sz w:val="22"/>
          <w:szCs w:val="22"/>
        </w:rPr>
        <w:t xml:space="preserve">l’arco del periodo 1995-2020 </w:t>
      </w:r>
      <w:r w:rsidRPr="002624A2">
        <w:rPr>
          <w:rFonts w:ascii="Arial" w:hAnsi="Arial" w:cs="Arial"/>
          <w:sz w:val="22"/>
          <w:szCs w:val="22"/>
        </w:rPr>
        <w:t xml:space="preserve">i settori di attività economica che </w:t>
      </w:r>
      <w:r>
        <w:rPr>
          <w:rFonts w:ascii="Arial" w:hAnsi="Arial" w:cs="Arial"/>
          <w:sz w:val="22"/>
          <w:szCs w:val="22"/>
        </w:rPr>
        <w:t xml:space="preserve">hanno </w:t>
      </w:r>
      <w:r w:rsidRPr="002624A2">
        <w:rPr>
          <w:rFonts w:ascii="Arial" w:hAnsi="Arial" w:cs="Arial"/>
          <w:sz w:val="22"/>
          <w:szCs w:val="22"/>
        </w:rPr>
        <w:t>registra</w:t>
      </w:r>
      <w:r>
        <w:rPr>
          <w:rFonts w:ascii="Arial" w:hAnsi="Arial" w:cs="Arial"/>
          <w:sz w:val="22"/>
          <w:szCs w:val="22"/>
        </w:rPr>
        <w:t>to</w:t>
      </w:r>
      <w:r w:rsidRPr="002624A2">
        <w:rPr>
          <w:rFonts w:ascii="Arial" w:hAnsi="Arial" w:cs="Arial"/>
          <w:sz w:val="22"/>
          <w:szCs w:val="22"/>
        </w:rPr>
        <w:t xml:space="preserve"> i tassi di crescita</w:t>
      </w:r>
      <w:r>
        <w:rPr>
          <w:rFonts w:ascii="Arial" w:hAnsi="Arial" w:cs="Arial"/>
          <w:sz w:val="22"/>
          <w:szCs w:val="22"/>
        </w:rPr>
        <w:t xml:space="preserve"> medi annui</w:t>
      </w:r>
      <w:r w:rsidR="000B2835">
        <w:rPr>
          <w:rFonts w:ascii="Arial" w:hAnsi="Arial" w:cs="Arial"/>
          <w:sz w:val="22"/>
          <w:szCs w:val="22"/>
        </w:rPr>
        <w:t xml:space="preserve"> </w:t>
      </w:r>
      <w:r w:rsidR="000B2835" w:rsidRPr="002624A2">
        <w:rPr>
          <w:rFonts w:ascii="Arial" w:hAnsi="Arial" w:cs="Arial"/>
          <w:sz w:val="22"/>
          <w:szCs w:val="22"/>
        </w:rPr>
        <w:t>più elevati</w:t>
      </w:r>
      <w:r w:rsidRPr="002624A2">
        <w:rPr>
          <w:rFonts w:ascii="Arial" w:hAnsi="Arial" w:cs="Arial"/>
          <w:sz w:val="22"/>
          <w:szCs w:val="22"/>
        </w:rPr>
        <w:t xml:space="preserve"> della produttività del lavoro sono </w:t>
      </w:r>
      <w:r>
        <w:rPr>
          <w:rFonts w:ascii="Arial" w:hAnsi="Arial" w:cs="Arial"/>
          <w:sz w:val="22"/>
          <w:szCs w:val="22"/>
        </w:rPr>
        <w:t xml:space="preserve">stati </w:t>
      </w:r>
      <w:r w:rsidRPr="002624A2">
        <w:rPr>
          <w:rFonts w:ascii="Arial" w:hAnsi="Arial" w:cs="Arial"/>
          <w:sz w:val="22"/>
          <w:szCs w:val="22"/>
        </w:rPr>
        <w:t xml:space="preserve">i </w:t>
      </w:r>
      <w:r w:rsidR="00F0014A">
        <w:rPr>
          <w:rFonts w:ascii="Arial" w:hAnsi="Arial" w:cs="Arial"/>
          <w:sz w:val="22"/>
          <w:szCs w:val="22"/>
        </w:rPr>
        <w:t>S</w:t>
      </w:r>
      <w:r w:rsidRPr="002624A2">
        <w:rPr>
          <w:rFonts w:ascii="Arial" w:hAnsi="Arial" w:cs="Arial"/>
          <w:sz w:val="22"/>
          <w:szCs w:val="22"/>
        </w:rPr>
        <w:t>ervizi d’informazione e comunicazione (</w:t>
      </w:r>
      <w:r w:rsidR="000B2835">
        <w:rPr>
          <w:rFonts w:ascii="Arial" w:hAnsi="Arial" w:cs="Arial"/>
          <w:sz w:val="22"/>
          <w:szCs w:val="22"/>
        </w:rPr>
        <w:t>+</w:t>
      </w:r>
      <w:r w:rsidRPr="002624A2">
        <w:rPr>
          <w:rFonts w:ascii="Arial" w:hAnsi="Arial" w:cs="Arial"/>
          <w:sz w:val="22"/>
          <w:szCs w:val="22"/>
        </w:rPr>
        <w:t>2,</w:t>
      </w:r>
      <w:r>
        <w:rPr>
          <w:rFonts w:ascii="Arial" w:hAnsi="Arial" w:cs="Arial"/>
          <w:sz w:val="22"/>
          <w:szCs w:val="22"/>
        </w:rPr>
        <w:t>2</w:t>
      </w:r>
      <w:r w:rsidRPr="002624A2">
        <w:rPr>
          <w:rFonts w:ascii="Arial" w:hAnsi="Arial" w:cs="Arial"/>
          <w:sz w:val="22"/>
          <w:szCs w:val="22"/>
        </w:rPr>
        <w:t xml:space="preserve">%), le </w:t>
      </w:r>
      <w:r w:rsidR="00F0014A">
        <w:rPr>
          <w:rFonts w:ascii="Arial" w:hAnsi="Arial" w:cs="Arial"/>
          <w:sz w:val="22"/>
          <w:szCs w:val="22"/>
        </w:rPr>
        <w:t>A</w:t>
      </w:r>
      <w:r w:rsidRPr="002624A2">
        <w:rPr>
          <w:rFonts w:ascii="Arial" w:hAnsi="Arial" w:cs="Arial"/>
          <w:sz w:val="22"/>
          <w:szCs w:val="22"/>
        </w:rPr>
        <w:t>ttività finanziarie e assicurative (</w:t>
      </w:r>
      <w:r w:rsidR="000B2835">
        <w:rPr>
          <w:rFonts w:ascii="Arial" w:hAnsi="Arial" w:cs="Arial"/>
          <w:sz w:val="22"/>
          <w:szCs w:val="22"/>
        </w:rPr>
        <w:t>+</w:t>
      </w:r>
      <w:r w:rsidRPr="002624A2">
        <w:rPr>
          <w:rFonts w:ascii="Arial" w:hAnsi="Arial" w:cs="Arial"/>
          <w:sz w:val="22"/>
          <w:szCs w:val="22"/>
        </w:rPr>
        <w:t>1,</w:t>
      </w:r>
      <w:r>
        <w:rPr>
          <w:rFonts w:ascii="Arial" w:hAnsi="Arial" w:cs="Arial"/>
          <w:sz w:val="22"/>
          <w:szCs w:val="22"/>
        </w:rPr>
        <w:t>6%) e l’</w:t>
      </w:r>
      <w:r w:rsidR="00F0014A">
        <w:rPr>
          <w:rFonts w:ascii="Arial" w:hAnsi="Arial" w:cs="Arial"/>
          <w:sz w:val="22"/>
          <w:szCs w:val="22"/>
        </w:rPr>
        <w:t>A</w:t>
      </w:r>
      <w:r>
        <w:rPr>
          <w:rFonts w:ascii="Arial" w:hAnsi="Arial" w:cs="Arial"/>
          <w:sz w:val="22"/>
          <w:szCs w:val="22"/>
        </w:rPr>
        <w:t>gricoltura (</w:t>
      </w:r>
      <w:r w:rsidR="000B2835">
        <w:rPr>
          <w:rFonts w:ascii="Arial" w:hAnsi="Arial" w:cs="Arial"/>
          <w:sz w:val="22"/>
          <w:szCs w:val="22"/>
        </w:rPr>
        <w:t>+</w:t>
      </w:r>
      <w:r>
        <w:rPr>
          <w:rFonts w:ascii="Arial" w:hAnsi="Arial" w:cs="Arial"/>
          <w:sz w:val="22"/>
          <w:szCs w:val="22"/>
        </w:rPr>
        <w:t>1,2</w:t>
      </w:r>
      <w:r w:rsidRPr="002624A2">
        <w:rPr>
          <w:rFonts w:ascii="Arial" w:hAnsi="Arial" w:cs="Arial"/>
          <w:sz w:val="22"/>
          <w:szCs w:val="22"/>
        </w:rPr>
        <w:t xml:space="preserve">%). Variazioni negative </w:t>
      </w:r>
      <w:r>
        <w:rPr>
          <w:rFonts w:ascii="Arial" w:hAnsi="Arial" w:cs="Arial"/>
          <w:sz w:val="22"/>
          <w:szCs w:val="22"/>
        </w:rPr>
        <w:t xml:space="preserve">hanno </w:t>
      </w:r>
      <w:r w:rsidRPr="002624A2">
        <w:rPr>
          <w:rFonts w:ascii="Arial" w:hAnsi="Arial" w:cs="Arial"/>
          <w:sz w:val="22"/>
          <w:szCs w:val="22"/>
        </w:rPr>
        <w:t>caratterizza</w:t>
      </w:r>
      <w:r>
        <w:rPr>
          <w:rFonts w:ascii="Arial" w:hAnsi="Arial" w:cs="Arial"/>
          <w:sz w:val="22"/>
          <w:szCs w:val="22"/>
        </w:rPr>
        <w:t>t</w:t>
      </w:r>
      <w:r w:rsidRPr="002624A2">
        <w:rPr>
          <w:rFonts w:ascii="Arial" w:hAnsi="Arial" w:cs="Arial"/>
          <w:sz w:val="22"/>
          <w:szCs w:val="22"/>
        </w:rPr>
        <w:t xml:space="preserve">o il settore </w:t>
      </w:r>
      <w:r>
        <w:rPr>
          <w:rFonts w:ascii="Arial" w:hAnsi="Arial" w:cs="Arial"/>
          <w:sz w:val="22"/>
          <w:szCs w:val="22"/>
        </w:rPr>
        <w:t xml:space="preserve">delle </w:t>
      </w:r>
      <w:r w:rsidR="00F0014A">
        <w:rPr>
          <w:rFonts w:ascii="Arial" w:hAnsi="Arial" w:cs="Arial"/>
          <w:sz w:val="22"/>
          <w:szCs w:val="22"/>
        </w:rPr>
        <w:t>A</w:t>
      </w:r>
      <w:r>
        <w:rPr>
          <w:rFonts w:ascii="Arial" w:hAnsi="Arial" w:cs="Arial"/>
          <w:sz w:val="22"/>
          <w:szCs w:val="22"/>
        </w:rPr>
        <w:t>ttività professionali (-1</w:t>
      </w:r>
      <w:r w:rsidRPr="002624A2">
        <w:rPr>
          <w:rFonts w:ascii="Arial" w:hAnsi="Arial" w:cs="Arial"/>
          <w:sz w:val="22"/>
          <w:szCs w:val="22"/>
        </w:rPr>
        <w:t>,</w:t>
      </w:r>
      <w:r>
        <w:rPr>
          <w:rFonts w:ascii="Arial" w:hAnsi="Arial" w:cs="Arial"/>
          <w:sz w:val="22"/>
          <w:szCs w:val="22"/>
        </w:rPr>
        <w:t>9</w:t>
      </w:r>
      <w:r w:rsidRPr="002624A2">
        <w:rPr>
          <w:rFonts w:ascii="Arial" w:hAnsi="Arial" w:cs="Arial"/>
          <w:sz w:val="22"/>
          <w:szCs w:val="22"/>
        </w:rPr>
        <w:t xml:space="preserve">%), </w:t>
      </w:r>
      <w:r>
        <w:rPr>
          <w:rFonts w:ascii="Arial" w:hAnsi="Arial" w:cs="Arial"/>
          <w:sz w:val="22"/>
          <w:szCs w:val="22"/>
        </w:rPr>
        <w:t>quello del</w:t>
      </w:r>
      <w:r w:rsidRPr="002624A2">
        <w:rPr>
          <w:rFonts w:ascii="Arial" w:hAnsi="Arial" w:cs="Arial"/>
          <w:sz w:val="22"/>
          <w:szCs w:val="22"/>
        </w:rPr>
        <w:t xml:space="preserve">le </w:t>
      </w:r>
      <w:r w:rsidR="00F0014A">
        <w:rPr>
          <w:rFonts w:ascii="Arial" w:hAnsi="Arial" w:cs="Arial"/>
          <w:sz w:val="22"/>
          <w:szCs w:val="22"/>
        </w:rPr>
        <w:t>C</w:t>
      </w:r>
      <w:r w:rsidRPr="002624A2">
        <w:rPr>
          <w:rFonts w:ascii="Arial" w:hAnsi="Arial" w:cs="Arial"/>
          <w:sz w:val="22"/>
          <w:szCs w:val="22"/>
        </w:rPr>
        <w:t>ostruzioni (-1,</w:t>
      </w:r>
      <w:r>
        <w:rPr>
          <w:rFonts w:ascii="Arial" w:hAnsi="Arial" w:cs="Arial"/>
          <w:sz w:val="22"/>
          <w:szCs w:val="22"/>
        </w:rPr>
        <w:t>0</w:t>
      </w:r>
      <w:r w:rsidRPr="002624A2">
        <w:rPr>
          <w:rFonts w:ascii="Arial" w:hAnsi="Arial" w:cs="Arial"/>
          <w:sz w:val="22"/>
          <w:szCs w:val="22"/>
        </w:rPr>
        <w:t xml:space="preserve">%) e </w:t>
      </w:r>
      <w:r>
        <w:rPr>
          <w:rFonts w:ascii="Arial" w:hAnsi="Arial" w:cs="Arial"/>
          <w:sz w:val="22"/>
          <w:szCs w:val="22"/>
        </w:rPr>
        <w:t xml:space="preserve">il settore </w:t>
      </w:r>
      <w:r w:rsidRPr="002624A2">
        <w:rPr>
          <w:rFonts w:ascii="Arial" w:hAnsi="Arial" w:cs="Arial"/>
          <w:sz w:val="22"/>
          <w:szCs w:val="22"/>
        </w:rPr>
        <w:t>dell’</w:t>
      </w:r>
      <w:r w:rsidR="00F0014A">
        <w:rPr>
          <w:rFonts w:ascii="Arial" w:hAnsi="Arial" w:cs="Arial"/>
          <w:sz w:val="22"/>
          <w:szCs w:val="22"/>
        </w:rPr>
        <w:t>I</w:t>
      </w:r>
      <w:r w:rsidRPr="002624A2">
        <w:rPr>
          <w:rFonts w:ascii="Arial" w:hAnsi="Arial" w:cs="Arial"/>
          <w:sz w:val="22"/>
          <w:szCs w:val="22"/>
        </w:rPr>
        <w:t>struzione, sanità e servizi sociali (-</w:t>
      </w:r>
      <w:r>
        <w:rPr>
          <w:rFonts w:ascii="Arial" w:hAnsi="Arial" w:cs="Arial"/>
          <w:sz w:val="22"/>
          <w:szCs w:val="22"/>
        </w:rPr>
        <w:t>1</w:t>
      </w:r>
      <w:r w:rsidRPr="002624A2">
        <w:rPr>
          <w:rFonts w:ascii="Arial" w:hAnsi="Arial" w:cs="Arial"/>
          <w:sz w:val="22"/>
          <w:szCs w:val="22"/>
        </w:rPr>
        <w:t>,</w:t>
      </w:r>
      <w:r>
        <w:rPr>
          <w:rFonts w:ascii="Arial" w:hAnsi="Arial" w:cs="Arial"/>
          <w:sz w:val="22"/>
          <w:szCs w:val="22"/>
        </w:rPr>
        <w:t>2</w:t>
      </w:r>
      <w:r w:rsidRPr="002624A2">
        <w:rPr>
          <w:rFonts w:ascii="Arial" w:hAnsi="Arial" w:cs="Arial"/>
          <w:sz w:val="22"/>
          <w:szCs w:val="22"/>
        </w:rPr>
        <w:t>%). Il comparto dell’</w:t>
      </w:r>
      <w:r w:rsidR="00F0014A">
        <w:rPr>
          <w:rFonts w:ascii="Arial" w:hAnsi="Arial" w:cs="Arial"/>
          <w:sz w:val="22"/>
          <w:szCs w:val="22"/>
        </w:rPr>
        <w:t>I</w:t>
      </w:r>
      <w:r w:rsidRPr="002624A2">
        <w:rPr>
          <w:rFonts w:ascii="Arial" w:hAnsi="Arial" w:cs="Arial"/>
          <w:sz w:val="22"/>
          <w:szCs w:val="22"/>
        </w:rPr>
        <w:t xml:space="preserve">ndustria in senso stretto </w:t>
      </w:r>
      <w:r>
        <w:rPr>
          <w:rFonts w:ascii="Arial" w:hAnsi="Arial" w:cs="Arial"/>
          <w:sz w:val="22"/>
          <w:szCs w:val="22"/>
        </w:rPr>
        <w:t xml:space="preserve">ha </w:t>
      </w:r>
      <w:r w:rsidRPr="002624A2">
        <w:rPr>
          <w:rFonts w:ascii="Arial" w:hAnsi="Arial" w:cs="Arial"/>
          <w:sz w:val="22"/>
          <w:szCs w:val="22"/>
        </w:rPr>
        <w:t>segna</w:t>
      </w:r>
      <w:r>
        <w:rPr>
          <w:rFonts w:ascii="Arial" w:hAnsi="Arial" w:cs="Arial"/>
          <w:sz w:val="22"/>
          <w:szCs w:val="22"/>
        </w:rPr>
        <w:t>to</w:t>
      </w:r>
      <w:r w:rsidRPr="002624A2">
        <w:rPr>
          <w:rFonts w:ascii="Arial" w:hAnsi="Arial" w:cs="Arial"/>
          <w:sz w:val="22"/>
          <w:szCs w:val="22"/>
        </w:rPr>
        <w:t xml:space="preserve"> un incremento medio annuo dell</w:t>
      </w:r>
      <w:r>
        <w:rPr>
          <w:rFonts w:ascii="Arial" w:hAnsi="Arial" w:cs="Arial"/>
          <w:sz w:val="22"/>
          <w:szCs w:val="22"/>
        </w:rPr>
        <w:t>o 0</w:t>
      </w:r>
      <w:r w:rsidRPr="002624A2">
        <w:rPr>
          <w:rFonts w:ascii="Arial" w:hAnsi="Arial" w:cs="Arial"/>
          <w:sz w:val="22"/>
          <w:szCs w:val="22"/>
        </w:rPr>
        <w:t>,</w:t>
      </w:r>
      <w:r>
        <w:rPr>
          <w:rFonts w:ascii="Arial" w:hAnsi="Arial" w:cs="Arial"/>
          <w:sz w:val="22"/>
          <w:szCs w:val="22"/>
        </w:rPr>
        <w:t>8</w:t>
      </w:r>
      <w:r w:rsidRPr="002624A2">
        <w:rPr>
          <w:rFonts w:ascii="Arial" w:hAnsi="Arial" w:cs="Arial"/>
          <w:sz w:val="22"/>
          <w:szCs w:val="22"/>
        </w:rPr>
        <w:t>% (</w:t>
      </w:r>
      <w:r>
        <w:rPr>
          <w:rFonts w:ascii="Arial" w:hAnsi="Arial" w:cs="Arial"/>
          <w:sz w:val="22"/>
          <w:szCs w:val="22"/>
        </w:rPr>
        <w:t>Figura</w:t>
      </w:r>
      <w:r w:rsidRPr="002624A2">
        <w:rPr>
          <w:rFonts w:ascii="Arial" w:hAnsi="Arial" w:cs="Arial"/>
          <w:sz w:val="22"/>
          <w:szCs w:val="22"/>
        </w:rPr>
        <w:t xml:space="preserve"> 6).</w:t>
      </w:r>
      <w:r w:rsidR="000B2835">
        <w:rPr>
          <w:rFonts w:ascii="Arial" w:hAnsi="Arial" w:cs="Arial"/>
          <w:sz w:val="22"/>
          <w:szCs w:val="22"/>
        </w:rPr>
        <w:t xml:space="preserve"> </w:t>
      </w:r>
    </w:p>
    <w:p w14:paraId="7C706B78" w14:textId="77777777" w:rsidR="00CD39C6" w:rsidRDefault="00CD39C6" w:rsidP="00CD39C6">
      <w:pPr>
        <w:autoSpaceDE w:val="0"/>
        <w:autoSpaceDN w:val="0"/>
        <w:adjustRightInd w:val="0"/>
        <w:spacing w:after="120"/>
        <w:jc w:val="both"/>
        <w:rPr>
          <w:rFonts w:ascii="Arial" w:hAnsi="Arial" w:cs="Arial"/>
          <w:sz w:val="22"/>
          <w:szCs w:val="22"/>
        </w:rPr>
      </w:pPr>
      <w:r>
        <w:rPr>
          <w:rFonts w:ascii="Arial" w:hAnsi="Arial" w:cs="Arial"/>
          <w:sz w:val="22"/>
          <w:szCs w:val="22"/>
        </w:rPr>
        <w:t>In termini di contributi alla crescita complessiva della produttività del lavoro</w:t>
      </w:r>
      <w:r>
        <w:rPr>
          <w:rStyle w:val="Rimandonotadichiusura"/>
          <w:rFonts w:ascii="Arial" w:hAnsi="Arial" w:cs="Arial"/>
          <w:sz w:val="22"/>
          <w:szCs w:val="22"/>
        </w:rPr>
        <w:endnoteReference w:id="11"/>
      </w:r>
      <w:r>
        <w:rPr>
          <w:rFonts w:ascii="Arial" w:hAnsi="Arial" w:cs="Arial"/>
          <w:sz w:val="22"/>
          <w:szCs w:val="22"/>
        </w:rPr>
        <w:t>, i settori che tra il 1995 e il 2020 hanno fornito l’apporto m</w:t>
      </w:r>
      <w:r w:rsidR="00CC568C">
        <w:rPr>
          <w:rFonts w:ascii="Arial" w:hAnsi="Arial" w:cs="Arial"/>
          <w:sz w:val="22"/>
          <w:szCs w:val="22"/>
        </w:rPr>
        <w:t>aggiore sono stati quello dell’I</w:t>
      </w:r>
      <w:r>
        <w:rPr>
          <w:rFonts w:ascii="Arial" w:hAnsi="Arial" w:cs="Arial"/>
          <w:sz w:val="22"/>
          <w:szCs w:val="22"/>
        </w:rPr>
        <w:t>ndustria in s</w:t>
      </w:r>
      <w:r w:rsidR="00CC568C">
        <w:rPr>
          <w:rFonts w:ascii="Arial" w:hAnsi="Arial" w:cs="Arial"/>
          <w:sz w:val="22"/>
          <w:szCs w:val="22"/>
        </w:rPr>
        <w:t>enso stretto e del C</w:t>
      </w:r>
      <w:r>
        <w:rPr>
          <w:rFonts w:ascii="Arial" w:hAnsi="Arial" w:cs="Arial"/>
          <w:sz w:val="22"/>
          <w:szCs w:val="22"/>
        </w:rPr>
        <w:t>ommercio, trasporti, alberghi e pubblici esercizi (entrambi con +0,2 punti percentuali in media annua) (</w:t>
      </w:r>
      <w:r w:rsidR="00CC568C">
        <w:rPr>
          <w:rFonts w:ascii="Arial" w:hAnsi="Arial" w:cs="Arial"/>
          <w:sz w:val="22"/>
          <w:szCs w:val="22"/>
        </w:rPr>
        <w:t>Figura 6B). Anche le A</w:t>
      </w:r>
      <w:r>
        <w:rPr>
          <w:rFonts w:ascii="Arial" w:hAnsi="Arial" w:cs="Arial"/>
          <w:sz w:val="22"/>
          <w:szCs w:val="22"/>
        </w:rPr>
        <w:t>ttività</w:t>
      </w:r>
      <w:r w:rsidR="00CC568C">
        <w:rPr>
          <w:rFonts w:ascii="Arial" w:hAnsi="Arial" w:cs="Arial"/>
          <w:sz w:val="22"/>
          <w:szCs w:val="22"/>
        </w:rPr>
        <w:t xml:space="preserve"> finanziarie e assicurative, i S</w:t>
      </w:r>
      <w:r>
        <w:rPr>
          <w:rFonts w:ascii="Arial" w:hAnsi="Arial" w:cs="Arial"/>
          <w:sz w:val="22"/>
          <w:szCs w:val="22"/>
        </w:rPr>
        <w:t>ervizi di informazione e comunicazione e il settore agricolo hanno contribuito positivamente, mentre è risu</w:t>
      </w:r>
      <w:r w:rsidR="00CC568C">
        <w:rPr>
          <w:rFonts w:ascii="Arial" w:hAnsi="Arial" w:cs="Arial"/>
          <w:sz w:val="22"/>
          <w:szCs w:val="22"/>
        </w:rPr>
        <w:t>ltato negativo l’apporto delle A</w:t>
      </w:r>
      <w:r>
        <w:rPr>
          <w:rFonts w:ascii="Arial" w:hAnsi="Arial" w:cs="Arial"/>
          <w:sz w:val="22"/>
          <w:szCs w:val="22"/>
        </w:rPr>
        <w:t>ttività professionali</w:t>
      </w:r>
      <w:r w:rsidR="00CC568C">
        <w:rPr>
          <w:rFonts w:ascii="Arial" w:hAnsi="Arial" w:cs="Arial"/>
          <w:sz w:val="22"/>
          <w:szCs w:val="22"/>
        </w:rPr>
        <w:t xml:space="preserve"> (-0,2 punti percentuali), dei S</w:t>
      </w:r>
      <w:r>
        <w:rPr>
          <w:rFonts w:ascii="Arial" w:hAnsi="Arial" w:cs="Arial"/>
          <w:sz w:val="22"/>
          <w:szCs w:val="22"/>
        </w:rPr>
        <w:t>ervizi privati di istruzione, sanit</w:t>
      </w:r>
      <w:r w:rsidR="00CC568C">
        <w:rPr>
          <w:rFonts w:ascii="Arial" w:hAnsi="Arial" w:cs="Arial"/>
          <w:sz w:val="22"/>
          <w:szCs w:val="22"/>
        </w:rPr>
        <w:t>à e assistenza sociale e delle C</w:t>
      </w:r>
      <w:r>
        <w:rPr>
          <w:rFonts w:ascii="Arial" w:hAnsi="Arial" w:cs="Arial"/>
          <w:sz w:val="22"/>
          <w:szCs w:val="22"/>
        </w:rPr>
        <w:t xml:space="preserve">ostruzioni (-0,1 punti percentuali). </w:t>
      </w:r>
    </w:p>
    <w:p w14:paraId="7FD7CFB4" w14:textId="77777777" w:rsidR="00CD39C6" w:rsidRDefault="00CD39C6" w:rsidP="00CD39C6">
      <w:pPr>
        <w:jc w:val="both"/>
        <w:rPr>
          <w:rFonts w:ascii="Arial" w:hAnsi="Arial" w:cs="Arial"/>
          <w:sz w:val="22"/>
          <w:szCs w:val="22"/>
        </w:rPr>
      </w:pPr>
      <w:r>
        <w:rPr>
          <w:rFonts w:ascii="Arial" w:hAnsi="Arial" w:cs="Arial"/>
          <w:sz w:val="22"/>
          <w:szCs w:val="22"/>
        </w:rPr>
        <w:t>La crescita della produttività del lavoro regi</w:t>
      </w:r>
      <w:r w:rsidR="00CC568C">
        <w:rPr>
          <w:rFonts w:ascii="Arial" w:hAnsi="Arial" w:cs="Arial"/>
          <w:sz w:val="22"/>
          <w:szCs w:val="22"/>
        </w:rPr>
        <w:t xml:space="preserve">strata nel 2020 (+1,3%) è </w:t>
      </w:r>
      <w:r>
        <w:rPr>
          <w:rFonts w:ascii="Arial" w:hAnsi="Arial" w:cs="Arial"/>
          <w:sz w:val="22"/>
          <w:szCs w:val="22"/>
        </w:rPr>
        <w:t>dovuta principalmente ai contributi positivi per 0,6 punti percentuali delle attività del commercio, trasporti, alberghi e pubblici esercizi, per 0,4 punti dell’istruzione, sanità e assistenza sociale, e per 0,3</w:t>
      </w:r>
      <w:r w:rsidR="000B2835">
        <w:rPr>
          <w:rFonts w:ascii="Arial" w:hAnsi="Arial" w:cs="Arial"/>
          <w:sz w:val="22"/>
          <w:szCs w:val="22"/>
        </w:rPr>
        <w:t xml:space="preserve"> punti</w:t>
      </w:r>
      <w:r>
        <w:rPr>
          <w:rFonts w:ascii="Arial" w:hAnsi="Arial" w:cs="Arial"/>
          <w:sz w:val="22"/>
          <w:szCs w:val="22"/>
        </w:rPr>
        <w:t xml:space="preserve"> delle costruzioni. Più deboli i contributi positivi degli altri settori, con l’unic</w:t>
      </w:r>
      <w:r w:rsidR="00CC568C">
        <w:rPr>
          <w:rFonts w:ascii="Arial" w:hAnsi="Arial" w:cs="Arial"/>
          <w:sz w:val="22"/>
          <w:szCs w:val="22"/>
        </w:rPr>
        <w:t>a eccezione rappresentata dall’I</w:t>
      </w:r>
      <w:r>
        <w:rPr>
          <w:rFonts w:ascii="Arial" w:hAnsi="Arial" w:cs="Arial"/>
          <w:sz w:val="22"/>
          <w:szCs w:val="22"/>
        </w:rPr>
        <w:t xml:space="preserve">ndustria in senso stretto, il cui contributo è risultato fortemente negativo (-0,9 punti percentuali). </w:t>
      </w:r>
    </w:p>
    <w:p w14:paraId="15482900" w14:textId="77777777" w:rsidR="00615215" w:rsidRPr="00615215" w:rsidRDefault="00615215" w:rsidP="00276CE3">
      <w:pPr>
        <w:spacing w:after="120"/>
        <w:jc w:val="both"/>
        <w:rPr>
          <w:rFonts w:ascii="Arial" w:hAnsi="Arial" w:cs="Arial"/>
          <w:sz w:val="22"/>
          <w:szCs w:val="22"/>
        </w:rPr>
      </w:pPr>
    </w:p>
    <w:p w14:paraId="0C599B2D" w14:textId="77777777" w:rsidR="00E56D9B" w:rsidRDefault="00E56D9B" w:rsidP="00276CE3">
      <w:pPr>
        <w:spacing w:after="120"/>
        <w:jc w:val="both"/>
        <w:rPr>
          <w:rFonts w:ascii="Arial" w:hAnsi="Arial" w:cs="Arial"/>
          <w:sz w:val="22"/>
          <w:szCs w:val="22"/>
        </w:rPr>
      </w:pPr>
    </w:p>
    <w:p w14:paraId="64A2CD56" w14:textId="77777777" w:rsidR="00E56D9B" w:rsidRDefault="00E56D9B" w:rsidP="00276CE3">
      <w:pPr>
        <w:spacing w:after="120"/>
        <w:jc w:val="both"/>
        <w:rPr>
          <w:rFonts w:ascii="Arial" w:hAnsi="Arial" w:cs="Arial"/>
          <w:sz w:val="22"/>
          <w:szCs w:val="22"/>
        </w:rPr>
      </w:pPr>
    </w:p>
    <w:p w14:paraId="54AC3ABA" w14:textId="77777777" w:rsidR="00E56D9B" w:rsidRDefault="00E56D9B" w:rsidP="00276CE3">
      <w:pPr>
        <w:spacing w:after="120"/>
        <w:jc w:val="both"/>
        <w:rPr>
          <w:rFonts w:ascii="Arial" w:hAnsi="Arial" w:cs="Arial"/>
          <w:sz w:val="22"/>
          <w:szCs w:val="22"/>
        </w:rPr>
      </w:pPr>
    </w:p>
    <w:p w14:paraId="6E55CD48" w14:textId="77777777" w:rsidR="00E56D9B" w:rsidRDefault="00E56D9B" w:rsidP="00276CE3">
      <w:pPr>
        <w:spacing w:after="120"/>
        <w:jc w:val="both"/>
        <w:rPr>
          <w:rFonts w:ascii="Arial" w:hAnsi="Arial" w:cs="Arial"/>
          <w:sz w:val="22"/>
          <w:szCs w:val="22"/>
        </w:rPr>
      </w:pPr>
    </w:p>
    <w:p w14:paraId="6CB12995" w14:textId="77777777" w:rsidR="00276CE3" w:rsidRDefault="00276CE3" w:rsidP="00276CE3">
      <w:pPr>
        <w:spacing w:after="120"/>
        <w:jc w:val="both"/>
        <w:rPr>
          <w:rFonts w:ascii="Arial" w:hAnsi="Arial" w:cs="Arial"/>
          <w:sz w:val="22"/>
          <w:szCs w:val="22"/>
        </w:rPr>
      </w:pPr>
    </w:p>
    <w:p w14:paraId="63951EA8" w14:textId="77777777" w:rsidR="00276CE3" w:rsidRDefault="00276CE3" w:rsidP="00276CE3">
      <w:pPr>
        <w:spacing w:after="120"/>
        <w:jc w:val="both"/>
        <w:rPr>
          <w:rFonts w:ascii="Arial" w:hAnsi="Arial" w:cs="Arial"/>
          <w:sz w:val="22"/>
          <w:szCs w:val="22"/>
        </w:rPr>
      </w:pPr>
    </w:p>
    <w:p w14:paraId="6AC5F1AA" w14:textId="77777777" w:rsidR="00F0014A" w:rsidRDefault="00F0014A" w:rsidP="00276CE3">
      <w:pPr>
        <w:spacing w:after="120"/>
        <w:jc w:val="both"/>
        <w:rPr>
          <w:rFonts w:ascii="Arial" w:hAnsi="Arial" w:cs="Arial"/>
          <w:sz w:val="22"/>
          <w:szCs w:val="22"/>
        </w:rPr>
      </w:pPr>
    </w:p>
    <w:p w14:paraId="46D4F068" w14:textId="77777777" w:rsidR="00D25835" w:rsidRPr="005E06A4" w:rsidRDefault="00D25835" w:rsidP="00276CE3">
      <w:pPr>
        <w:spacing w:after="120"/>
        <w:jc w:val="both"/>
        <w:rPr>
          <w:rFonts w:ascii="Arial" w:hAnsi="Arial" w:cs="Arial"/>
          <w:sz w:val="16"/>
          <w:szCs w:val="22"/>
        </w:rPr>
      </w:pPr>
    </w:p>
    <w:p w14:paraId="7217A41D" w14:textId="77777777" w:rsidR="00DE2FB0" w:rsidRDefault="00615215">
      <w:pPr>
        <w:tabs>
          <w:tab w:val="left" w:pos="900"/>
        </w:tabs>
        <w:rPr>
          <w:rFonts w:ascii="Arial Narrow" w:hAnsi="Arial Narrow" w:cs="Arial"/>
          <w:iCs/>
          <w:noProof/>
          <w:color w:val="1F497D" w:themeColor="text2"/>
          <w:sz w:val="22"/>
          <w:szCs w:val="22"/>
        </w:rPr>
      </w:pPr>
      <w:r w:rsidRPr="00E80B57">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6</w:t>
      </w:r>
      <w:r>
        <w:rPr>
          <w:rFonts w:ascii="Arial Narrow" w:hAnsi="Arial Narrow" w:cs="Arial"/>
          <w:b/>
          <w:iCs/>
          <w:noProof/>
          <w:color w:val="1F497D" w:themeColor="text2"/>
          <w:sz w:val="22"/>
          <w:szCs w:val="22"/>
        </w:rPr>
        <w:t>.</w:t>
      </w:r>
      <w:r w:rsidRPr="00813E0B">
        <w:t xml:space="preserve"> </w:t>
      </w:r>
      <w:r w:rsidR="00CD39C6">
        <w:rPr>
          <w:rFonts w:ascii="Arial Narrow" w:hAnsi="Arial Narrow" w:cs="Arial"/>
          <w:b/>
          <w:iCs/>
          <w:noProof/>
          <w:color w:val="1F497D" w:themeColor="text2"/>
          <w:sz w:val="22"/>
          <w:szCs w:val="22"/>
        </w:rPr>
        <w:t>PRODUTTIVITÀ DEL LAVORO: DINAMICHE SETTORIALI (A) E CONTRIBUTI ALLA CRESCITA DELLA PRODUTTIVITÀ DEL LAVORO PER SETTORE (B</w:t>
      </w:r>
      <w:r w:rsidR="005E06A4">
        <w:rPr>
          <w:rFonts w:ascii="Arial Narrow" w:hAnsi="Arial Narrow" w:cs="Arial"/>
          <w:b/>
          <w:iCs/>
          <w:noProof/>
          <w:color w:val="1F497D" w:themeColor="text2"/>
          <w:sz w:val="22"/>
          <w:szCs w:val="22"/>
        </w:rPr>
        <w:t>)</w:t>
      </w:r>
      <w:r w:rsidR="00CD39C6">
        <w:rPr>
          <w:rFonts w:ascii="Arial Narrow" w:hAnsi="Arial Narrow" w:cs="Arial"/>
          <w:iCs/>
          <w:noProof/>
          <w:color w:val="1F497D" w:themeColor="text2"/>
          <w:sz w:val="22"/>
          <w:szCs w:val="22"/>
        </w:rPr>
        <w:t xml:space="preserve">. </w:t>
      </w:r>
      <w:r w:rsidR="006D1348">
        <w:rPr>
          <w:rFonts w:ascii="Arial Narrow" w:hAnsi="Arial Narrow" w:cs="Arial"/>
          <w:iCs/>
          <w:noProof/>
          <w:color w:val="1F497D" w:themeColor="text2"/>
          <w:sz w:val="22"/>
          <w:szCs w:val="22"/>
        </w:rPr>
        <w:t>Anni 2014-2020, t</w:t>
      </w:r>
      <w:r w:rsidRPr="0053322A">
        <w:rPr>
          <w:rFonts w:ascii="Arial Narrow" w:hAnsi="Arial Narrow" w:cs="Arial"/>
          <w:iCs/>
          <w:noProof/>
          <w:color w:val="1F497D" w:themeColor="text2"/>
          <w:sz w:val="22"/>
          <w:szCs w:val="22"/>
        </w:rPr>
        <w:t xml:space="preserve">assi di </w:t>
      </w:r>
      <w:r>
        <w:rPr>
          <w:rFonts w:ascii="Arial Narrow" w:hAnsi="Arial Narrow" w:cs="Arial"/>
          <w:iCs/>
          <w:noProof/>
          <w:color w:val="1F497D" w:themeColor="text2"/>
          <w:sz w:val="22"/>
          <w:szCs w:val="22"/>
        </w:rPr>
        <w:t xml:space="preserve">variazione </w:t>
      </w:r>
      <w:r w:rsidRPr="0053322A">
        <w:rPr>
          <w:rFonts w:ascii="Arial Narrow" w:hAnsi="Arial Narrow" w:cs="Arial"/>
          <w:iCs/>
          <w:noProof/>
          <w:color w:val="1F497D" w:themeColor="text2"/>
          <w:sz w:val="22"/>
          <w:szCs w:val="22"/>
        </w:rPr>
        <w:t>medi annu</w:t>
      </w:r>
      <w:r>
        <w:rPr>
          <w:rFonts w:ascii="Arial Narrow" w:hAnsi="Arial Narrow" w:cs="Arial"/>
          <w:iCs/>
          <w:noProof/>
          <w:color w:val="1F497D" w:themeColor="text2"/>
          <w:sz w:val="22"/>
          <w:szCs w:val="22"/>
        </w:rPr>
        <w: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CD39C6" w:rsidRPr="00EE7F83" w14:paraId="4F4D1D9D" w14:textId="77777777" w:rsidTr="00D25835">
        <w:tc>
          <w:tcPr>
            <w:tcW w:w="4956" w:type="dxa"/>
          </w:tcPr>
          <w:p w14:paraId="0FFFE0AD" w14:textId="77777777" w:rsidR="00DE2FB0" w:rsidRDefault="00483D0B">
            <w:pPr>
              <w:pStyle w:val="Paragrafoelenco"/>
              <w:autoSpaceDE w:val="0"/>
              <w:autoSpaceDN w:val="0"/>
              <w:adjustRightInd w:val="0"/>
              <w:ind w:left="0"/>
              <w:contextualSpacing w:val="0"/>
              <w:jc w:val="center"/>
              <w:rPr>
                <w:rFonts w:ascii="Arial Narrow" w:hAnsi="Arial Narrow" w:cs="Arial"/>
                <w:iCs/>
                <w:noProof/>
                <w:color w:val="1F497D" w:themeColor="text2"/>
                <w:sz w:val="16"/>
                <w:szCs w:val="16"/>
              </w:rPr>
            </w:pPr>
            <w:r w:rsidRPr="00483D0B">
              <w:rPr>
                <w:rFonts w:ascii="Arial Narrow" w:hAnsi="Arial Narrow" w:cs="Arial"/>
                <w:iCs/>
                <w:noProof/>
                <w:color w:val="1F497D" w:themeColor="text2"/>
                <w:sz w:val="16"/>
                <w:szCs w:val="16"/>
              </w:rPr>
              <w:t>A</w:t>
            </w:r>
          </w:p>
        </w:tc>
        <w:tc>
          <w:tcPr>
            <w:tcW w:w="4956" w:type="dxa"/>
          </w:tcPr>
          <w:p w14:paraId="665B154D" w14:textId="77777777" w:rsidR="00DE2FB0" w:rsidRDefault="00483D0B">
            <w:pPr>
              <w:pStyle w:val="Paragrafoelenco"/>
              <w:autoSpaceDE w:val="0"/>
              <w:autoSpaceDN w:val="0"/>
              <w:adjustRightInd w:val="0"/>
              <w:ind w:left="0"/>
              <w:contextualSpacing w:val="0"/>
              <w:jc w:val="center"/>
              <w:rPr>
                <w:rFonts w:ascii="Arial Narrow" w:hAnsi="Arial Narrow" w:cs="Arial"/>
                <w:iCs/>
                <w:noProof/>
                <w:color w:val="1F497D" w:themeColor="text2"/>
                <w:sz w:val="16"/>
                <w:szCs w:val="16"/>
              </w:rPr>
            </w:pPr>
            <w:r w:rsidRPr="00483D0B">
              <w:rPr>
                <w:rFonts w:ascii="Arial Narrow" w:hAnsi="Arial Narrow" w:cs="Arial"/>
                <w:iCs/>
                <w:noProof/>
                <w:color w:val="1F497D" w:themeColor="text2"/>
                <w:sz w:val="16"/>
                <w:szCs w:val="16"/>
              </w:rPr>
              <w:t>B</w:t>
            </w:r>
          </w:p>
        </w:tc>
      </w:tr>
      <w:tr w:rsidR="00CD39C6" w14:paraId="098C86C8" w14:textId="77777777" w:rsidTr="00D25835">
        <w:tc>
          <w:tcPr>
            <w:tcW w:w="4956" w:type="dxa"/>
          </w:tcPr>
          <w:p w14:paraId="5C75E66D" w14:textId="77777777" w:rsidR="00CD39C6" w:rsidRDefault="00DE2FB0">
            <w:pPr>
              <w:pStyle w:val="Paragrafoelenco"/>
              <w:autoSpaceDE w:val="0"/>
              <w:autoSpaceDN w:val="0"/>
              <w:adjustRightInd w:val="0"/>
              <w:spacing w:after="120"/>
              <w:ind w:left="0"/>
              <w:contextualSpacing w:val="0"/>
              <w:rPr>
                <w:rFonts w:ascii="Arial Narrow" w:hAnsi="Arial Narrow" w:cs="Arial"/>
                <w:iCs/>
                <w:noProof/>
                <w:color w:val="1F497D" w:themeColor="text2"/>
                <w:sz w:val="22"/>
                <w:szCs w:val="22"/>
              </w:rPr>
            </w:pPr>
            <w:r>
              <w:rPr>
                <w:noProof/>
              </w:rPr>
              <w:drawing>
                <wp:inline distT="0" distB="0" distL="0" distR="0" wp14:anchorId="387377FA" wp14:editId="40CE927A">
                  <wp:extent cx="3095625" cy="2286000"/>
                  <wp:effectExtent l="0" t="0" r="0" b="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956" w:type="dxa"/>
          </w:tcPr>
          <w:p w14:paraId="3215CDFF" w14:textId="77777777" w:rsidR="00CD39C6" w:rsidRDefault="00DE2FB0">
            <w:pPr>
              <w:pStyle w:val="Paragrafoelenco"/>
              <w:autoSpaceDE w:val="0"/>
              <w:autoSpaceDN w:val="0"/>
              <w:adjustRightInd w:val="0"/>
              <w:spacing w:after="120"/>
              <w:ind w:left="0"/>
              <w:contextualSpacing w:val="0"/>
              <w:rPr>
                <w:rFonts w:ascii="Arial Narrow" w:hAnsi="Arial Narrow" w:cs="Arial"/>
                <w:iCs/>
                <w:noProof/>
                <w:color w:val="1F497D" w:themeColor="text2"/>
                <w:sz w:val="22"/>
                <w:szCs w:val="22"/>
              </w:rPr>
            </w:pPr>
            <w:r>
              <w:rPr>
                <w:noProof/>
              </w:rPr>
              <w:drawing>
                <wp:inline distT="0" distB="0" distL="0" distR="0" wp14:anchorId="4FD6384C" wp14:editId="683A9D9D">
                  <wp:extent cx="3095625" cy="2286000"/>
                  <wp:effectExtent l="0" t="0" r="0" b="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6F1B63A5" w14:textId="77777777" w:rsidR="00DE2FB0" w:rsidRDefault="00DE2FB0">
      <w:pPr>
        <w:autoSpaceDE w:val="0"/>
        <w:autoSpaceDN w:val="0"/>
        <w:adjustRightInd w:val="0"/>
        <w:spacing w:after="120"/>
        <w:jc w:val="both"/>
        <w:rPr>
          <w:rFonts w:ascii="Arial" w:hAnsi="Arial" w:cs="Arial"/>
          <w:sz w:val="22"/>
          <w:szCs w:val="22"/>
        </w:rPr>
      </w:pPr>
    </w:p>
    <w:p w14:paraId="08CAAB9A" w14:textId="77777777" w:rsidR="000A2167" w:rsidRPr="00615215" w:rsidRDefault="000A2167" w:rsidP="00615215">
      <w:pPr>
        <w:rPr>
          <w:rFonts w:ascii="Arial" w:hAnsi="Arial" w:cs="Arial"/>
          <w:sz w:val="22"/>
          <w:szCs w:val="22"/>
        </w:rPr>
        <w:sectPr w:rsidR="000A2167" w:rsidRPr="00615215" w:rsidSect="001B745D">
          <w:headerReference w:type="default" r:id="rId19"/>
          <w:footerReference w:type="default" r:id="rId20"/>
          <w:pgSz w:w="11906" w:h="16838" w:code="9"/>
          <w:pgMar w:top="567" w:right="992" w:bottom="714" w:left="992" w:header="0" w:footer="0" w:gutter="0"/>
          <w:cols w:space="430"/>
          <w:docGrid w:linePitch="360"/>
        </w:sectPr>
      </w:pPr>
    </w:p>
    <w:p w14:paraId="6225F3C2" w14:textId="77777777" w:rsidR="00DE2FB0" w:rsidRDefault="00DE2FB0">
      <w:pPr>
        <w:autoSpaceDE w:val="0"/>
        <w:autoSpaceDN w:val="0"/>
        <w:adjustRightInd w:val="0"/>
        <w:spacing w:after="120"/>
        <w:jc w:val="both"/>
        <w:outlineLvl w:val="0"/>
        <w:rPr>
          <w:rFonts w:ascii="Georgia" w:hAnsi="Georgia" w:cs="Arial"/>
          <w:bCs/>
          <w:color w:val="1F497D" w:themeColor="text2"/>
          <w:sz w:val="52"/>
          <w:szCs w:val="52"/>
        </w:rPr>
      </w:pPr>
    </w:p>
    <w:p w14:paraId="650537E2" w14:textId="77777777" w:rsidR="00DE2FB0" w:rsidRDefault="00194E59">
      <w:pPr>
        <w:autoSpaceDE w:val="0"/>
        <w:autoSpaceDN w:val="0"/>
        <w:adjustRightInd w:val="0"/>
        <w:spacing w:after="120"/>
        <w:jc w:val="both"/>
        <w:outlineLvl w:val="0"/>
        <w:rPr>
          <w:rFonts w:ascii="Georgia" w:hAnsi="Georgia" w:cs="Arial"/>
          <w:bCs/>
          <w:color w:val="1F497D" w:themeColor="text2"/>
          <w:sz w:val="52"/>
          <w:szCs w:val="52"/>
        </w:rPr>
      </w:pPr>
      <w:r w:rsidRPr="00546215">
        <w:rPr>
          <w:rFonts w:ascii="Georgia" w:hAnsi="Georgia" w:cs="Arial"/>
          <w:bCs/>
          <w:color w:val="1F497D" w:themeColor="text2"/>
          <w:sz w:val="52"/>
          <w:szCs w:val="52"/>
        </w:rPr>
        <w:t>Glossario</w:t>
      </w:r>
    </w:p>
    <w:p w14:paraId="143DD436" w14:textId="77777777" w:rsidR="00DE2FB0" w:rsidRDefault="00194E59">
      <w:pPr>
        <w:autoSpaceDE w:val="0"/>
        <w:autoSpaceDN w:val="0"/>
        <w:adjustRightInd w:val="0"/>
        <w:spacing w:after="120"/>
        <w:jc w:val="both"/>
        <w:rPr>
          <w:rFonts w:ascii="Arial" w:hAnsi="Arial" w:cs="Arial"/>
          <w:b/>
          <w:bCs/>
          <w:color w:val="000000"/>
          <w:sz w:val="20"/>
          <w:szCs w:val="20"/>
        </w:rPr>
      </w:pPr>
      <w:r w:rsidRPr="00546215">
        <w:rPr>
          <w:rFonts w:ascii="Arial" w:hAnsi="Arial" w:cs="Arial"/>
          <w:b/>
          <w:bCs/>
          <w:color w:val="1F497D" w:themeColor="text2"/>
          <w:sz w:val="22"/>
          <w:szCs w:val="22"/>
        </w:rPr>
        <w:t>Beni capitali ICT</w:t>
      </w:r>
      <w:r>
        <w:rPr>
          <w:rFonts w:ascii="Arial" w:hAnsi="Arial" w:cs="Arial"/>
          <w:b/>
          <w:bCs/>
          <w:color w:val="1F497D" w:themeColor="text2"/>
          <w:sz w:val="22"/>
          <w:szCs w:val="22"/>
        </w:rPr>
        <w:t xml:space="preserve"> </w:t>
      </w:r>
      <w:r w:rsidRPr="00A9064D">
        <w:rPr>
          <w:rFonts w:ascii="Arial" w:hAnsi="Arial" w:cs="Arial"/>
          <w:b/>
          <w:bCs/>
          <w:color w:val="1F497D" w:themeColor="text2"/>
          <w:sz w:val="22"/>
          <w:szCs w:val="22"/>
        </w:rPr>
        <w:t>(</w:t>
      </w:r>
      <w:r w:rsidR="00483D0B" w:rsidRPr="00483D0B">
        <w:rPr>
          <w:rFonts w:ascii="Arial" w:hAnsi="Arial" w:cs="Arial"/>
          <w:b/>
          <w:bCs/>
          <w:i/>
          <w:iCs/>
          <w:color w:val="1F497D" w:themeColor="text2"/>
          <w:sz w:val="22"/>
          <w:szCs w:val="22"/>
        </w:rPr>
        <w:t xml:space="preserve">Information and </w:t>
      </w:r>
      <w:proofErr w:type="spellStart"/>
      <w:r w:rsidR="00483D0B" w:rsidRPr="00483D0B">
        <w:rPr>
          <w:rFonts w:ascii="Arial" w:hAnsi="Arial" w:cs="Arial"/>
          <w:b/>
          <w:bCs/>
          <w:i/>
          <w:iCs/>
          <w:color w:val="1F497D" w:themeColor="text2"/>
          <w:sz w:val="22"/>
          <w:szCs w:val="22"/>
        </w:rPr>
        <w:t>Communication</w:t>
      </w:r>
      <w:proofErr w:type="spellEnd"/>
      <w:r w:rsidR="00483D0B" w:rsidRPr="00483D0B">
        <w:rPr>
          <w:rFonts w:ascii="Arial" w:hAnsi="Arial" w:cs="Arial"/>
          <w:b/>
          <w:bCs/>
          <w:i/>
          <w:iCs/>
          <w:color w:val="1F497D" w:themeColor="text2"/>
          <w:sz w:val="22"/>
          <w:szCs w:val="22"/>
        </w:rPr>
        <w:t xml:space="preserve"> Technologies</w:t>
      </w:r>
      <w:r w:rsidRPr="00A9064D">
        <w:rPr>
          <w:rFonts w:ascii="Arial" w:hAnsi="Arial" w:cs="Arial"/>
          <w:b/>
          <w:bCs/>
          <w:color w:val="1F497D" w:themeColor="text2"/>
          <w:sz w:val="22"/>
          <w:szCs w:val="22"/>
        </w:rPr>
        <w:t>)</w:t>
      </w:r>
      <w:r w:rsidRPr="00546215">
        <w:rPr>
          <w:rFonts w:ascii="Arial" w:hAnsi="Arial" w:cs="Arial"/>
          <w:b/>
          <w:bCs/>
          <w:color w:val="1F497D" w:themeColor="text2"/>
          <w:sz w:val="22"/>
          <w:szCs w:val="22"/>
        </w:rPr>
        <w:t>:</w:t>
      </w:r>
      <w:r>
        <w:rPr>
          <w:rFonts w:ascii="Arial" w:hAnsi="Arial" w:cs="Arial"/>
          <w:b/>
          <w:bCs/>
          <w:color w:val="000000"/>
          <w:sz w:val="20"/>
          <w:szCs w:val="20"/>
        </w:rPr>
        <w:t xml:space="preserve"> </w:t>
      </w:r>
      <w:r>
        <w:rPr>
          <w:rFonts w:ascii="Arial" w:hAnsi="Arial" w:cs="Arial"/>
          <w:color w:val="000000"/>
          <w:sz w:val="20"/>
          <w:szCs w:val="20"/>
        </w:rPr>
        <w:t xml:space="preserve">beni capitali che incorporano la tecnologia dell’informazione e della comunicazione, ossia </w:t>
      </w:r>
      <w:r w:rsidR="00483D0B" w:rsidRPr="00483D0B">
        <w:rPr>
          <w:rFonts w:ascii="Arial" w:hAnsi="Arial" w:cs="Arial"/>
          <w:i/>
          <w:iCs/>
          <w:sz w:val="20"/>
          <w:szCs w:val="20"/>
        </w:rPr>
        <w:t>hardware</w:t>
      </w:r>
      <w:r>
        <w:rPr>
          <w:rFonts w:ascii="Arial" w:hAnsi="Arial" w:cs="Arial"/>
          <w:sz w:val="20"/>
          <w:szCs w:val="20"/>
        </w:rPr>
        <w:t xml:space="preserve">, </w:t>
      </w:r>
      <w:r w:rsidR="00483D0B" w:rsidRPr="00483D0B">
        <w:rPr>
          <w:rFonts w:ascii="Arial" w:hAnsi="Arial" w:cs="Arial"/>
          <w:i/>
          <w:iCs/>
          <w:sz w:val="20"/>
          <w:szCs w:val="20"/>
        </w:rPr>
        <w:t>software</w:t>
      </w:r>
      <w:r>
        <w:rPr>
          <w:rFonts w:ascii="Arial" w:hAnsi="Arial" w:cs="Arial"/>
          <w:sz w:val="20"/>
          <w:szCs w:val="20"/>
        </w:rPr>
        <w:t xml:space="preserve"> e </w:t>
      </w:r>
      <w:r w:rsidR="00483D0B" w:rsidRPr="00483D0B">
        <w:rPr>
          <w:rFonts w:ascii="Arial" w:hAnsi="Arial" w:cs="Arial"/>
          <w:i/>
          <w:iCs/>
          <w:sz w:val="20"/>
          <w:szCs w:val="20"/>
        </w:rPr>
        <w:t>databases</w:t>
      </w:r>
      <w:r>
        <w:rPr>
          <w:rFonts w:ascii="Arial" w:hAnsi="Arial" w:cs="Arial"/>
          <w:sz w:val="20"/>
          <w:szCs w:val="20"/>
        </w:rPr>
        <w:t>, e apparati per le comunicazioni.</w:t>
      </w:r>
    </w:p>
    <w:p w14:paraId="2302DFCE" w14:textId="77777777" w:rsidR="00DE2FB0" w:rsidRDefault="00194E59">
      <w:pPr>
        <w:pStyle w:val="Titolo6"/>
        <w:spacing w:before="0" w:after="120"/>
        <w:jc w:val="both"/>
        <w:rPr>
          <w:rFonts w:ascii="Arial" w:hAnsi="Arial" w:cs="Arial"/>
          <w:b w:val="0"/>
          <w:bCs w:val="0"/>
          <w:color w:val="000000"/>
        </w:rPr>
      </w:pPr>
      <w:r w:rsidRPr="00546215">
        <w:rPr>
          <w:rFonts w:ascii="Arial" w:hAnsi="Arial" w:cs="Arial"/>
          <w:color w:val="1F497D" w:themeColor="text2"/>
        </w:rPr>
        <w:t>Beni capitali materiali non ICT:</w:t>
      </w:r>
      <w:r w:rsidRPr="00C62FA5">
        <w:rPr>
          <w:rFonts w:ascii="Arial" w:hAnsi="Arial" w:cs="Arial"/>
          <w:color w:val="000000"/>
        </w:rPr>
        <w:t xml:space="preserve"> </w:t>
      </w:r>
      <w:r w:rsidRPr="00855A1A">
        <w:rPr>
          <w:rFonts w:ascii="Arial" w:hAnsi="Arial" w:cs="Arial"/>
          <w:b w:val="0"/>
          <w:color w:val="000000"/>
          <w:sz w:val="20"/>
          <w:szCs w:val="20"/>
        </w:rPr>
        <w:t>includono piantagioni e pesca; bestiame; fabbricati non residenziali e opere del genio civile e i relativi costi di trasferimento di proprietà; mezzi di trasporto su strada; altri mezzi di trasporto; mobili; altre macchine e attrezzature.</w:t>
      </w:r>
      <w:r w:rsidRPr="00C62FA5">
        <w:rPr>
          <w:rFonts w:ascii="Arial" w:hAnsi="Arial" w:cs="Arial"/>
          <w:b w:val="0"/>
          <w:bCs w:val="0"/>
          <w:color w:val="000000"/>
        </w:rPr>
        <w:t xml:space="preserve"> </w:t>
      </w:r>
    </w:p>
    <w:p w14:paraId="4050A08D" w14:textId="77777777" w:rsidR="00DE2FB0" w:rsidRDefault="00194E59">
      <w:pPr>
        <w:autoSpaceDE w:val="0"/>
        <w:autoSpaceDN w:val="0"/>
        <w:adjustRightInd w:val="0"/>
        <w:spacing w:after="120"/>
        <w:jc w:val="both"/>
        <w:rPr>
          <w:rFonts w:ascii="Arial" w:hAnsi="Arial" w:cs="Arial"/>
          <w:bCs/>
          <w:color w:val="000000"/>
          <w:sz w:val="20"/>
          <w:szCs w:val="20"/>
        </w:rPr>
      </w:pPr>
      <w:r w:rsidRPr="00546215">
        <w:rPr>
          <w:rFonts w:ascii="Arial" w:hAnsi="Arial" w:cs="Arial"/>
          <w:b/>
          <w:bCs/>
          <w:color w:val="1F497D" w:themeColor="text2"/>
          <w:sz w:val="22"/>
          <w:szCs w:val="22"/>
        </w:rPr>
        <w:t>Beni capitali immateriali non ICT:</w:t>
      </w:r>
      <w:r w:rsidRPr="005465C4">
        <w:rPr>
          <w:rFonts w:ascii="Arial" w:hAnsi="Arial" w:cs="Arial"/>
          <w:bCs/>
          <w:color w:val="000000"/>
          <w:sz w:val="20"/>
          <w:szCs w:val="20"/>
        </w:rPr>
        <w:t xml:space="preserve"> includono </w:t>
      </w:r>
      <w:r>
        <w:rPr>
          <w:rFonts w:ascii="Arial" w:hAnsi="Arial" w:cs="Arial"/>
          <w:bCs/>
          <w:color w:val="000000"/>
          <w:sz w:val="20"/>
          <w:szCs w:val="20"/>
        </w:rPr>
        <w:t xml:space="preserve">i prodotti della proprietà intellettuale diversi dal software, ossia ricerca e sviluppo, </w:t>
      </w:r>
      <w:r w:rsidRPr="005465C4">
        <w:rPr>
          <w:rFonts w:ascii="Arial" w:hAnsi="Arial" w:cs="Arial"/>
          <w:bCs/>
          <w:color w:val="000000"/>
          <w:sz w:val="20"/>
          <w:szCs w:val="20"/>
        </w:rPr>
        <w:t>prospezioni minerarie</w:t>
      </w:r>
      <w:r>
        <w:rPr>
          <w:rFonts w:ascii="Arial" w:hAnsi="Arial" w:cs="Arial"/>
          <w:bCs/>
          <w:color w:val="000000"/>
          <w:sz w:val="20"/>
          <w:szCs w:val="20"/>
        </w:rPr>
        <w:t xml:space="preserve"> e</w:t>
      </w:r>
      <w:r w:rsidRPr="005465C4">
        <w:rPr>
          <w:rFonts w:ascii="Arial" w:hAnsi="Arial" w:cs="Arial"/>
          <w:bCs/>
          <w:color w:val="000000"/>
          <w:sz w:val="20"/>
          <w:szCs w:val="20"/>
        </w:rPr>
        <w:t xml:space="preserve"> originali di opere artistiche, letterarie o di intrattenimento.</w:t>
      </w:r>
    </w:p>
    <w:p w14:paraId="702C1C55" w14:textId="77777777" w:rsidR="00DE2FB0" w:rsidRDefault="00194E59">
      <w:pPr>
        <w:autoSpaceDE w:val="0"/>
        <w:autoSpaceDN w:val="0"/>
        <w:adjustRightInd w:val="0"/>
        <w:spacing w:after="120"/>
        <w:jc w:val="both"/>
        <w:rPr>
          <w:rFonts w:ascii="Arial" w:hAnsi="Arial" w:cs="Arial"/>
          <w:color w:val="000000"/>
          <w:sz w:val="20"/>
          <w:szCs w:val="20"/>
        </w:rPr>
      </w:pPr>
      <w:r w:rsidRPr="00546215">
        <w:rPr>
          <w:rFonts w:ascii="Arial" w:hAnsi="Arial" w:cs="Arial"/>
          <w:b/>
          <w:bCs/>
          <w:color w:val="1F497D" w:themeColor="text2"/>
          <w:sz w:val="22"/>
          <w:szCs w:val="22"/>
        </w:rPr>
        <w:t>Contabilità della crescita:</w:t>
      </w:r>
      <w:r>
        <w:rPr>
          <w:rFonts w:ascii="Arial" w:hAnsi="Arial" w:cs="Arial"/>
          <w:color w:val="000000"/>
          <w:sz w:val="20"/>
          <w:szCs w:val="20"/>
        </w:rPr>
        <w:t xml:space="preserve"> lega la teoria economica, la contabilità nazionale e le misure di produttività in un quadro coerente utilizzando una funzione di produzione neoclassica che mette in relazione l’output, i fattori produttivi e il progresso tecnico.</w:t>
      </w:r>
    </w:p>
    <w:p w14:paraId="6747E449" w14:textId="77777777" w:rsidR="00DE2FB0" w:rsidRDefault="00194E59">
      <w:pPr>
        <w:autoSpaceDE w:val="0"/>
        <w:autoSpaceDN w:val="0"/>
        <w:adjustRightInd w:val="0"/>
        <w:spacing w:after="120"/>
        <w:jc w:val="both"/>
        <w:rPr>
          <w:rFonts w:ascii="Arial" w:hAnsi="Arial" w:cs="Arial"/>
          <w:sz w:val="20"/>
          <w:szCs w:val="20"/>
        </w:rPr>
      </w:pPr>
      <w:r w:rsidRPr="00546215">
        <w:rPr>
          <w:rFonts w:ascii="Arial" w:hAnsi="Arial" w:cs="Arial"/>
          <w:b/>
          <w:bCs/>
          <w:color w:val="1F497D" w:themeColor="text2"/>
          <w:sz w:val="22"/>
          <w:szCs w:val="22"/>
        </w:rPr>
        <w:t xml:space="preserve">Contributo dell’intensità di capitale: </w:t>
      </w:r>
      <w:r>
        <w:rPr>
          <w:rFonts w:ascii="Arial" w:hAnsi="Arial" w:cs="Arial"/>
          <w:sz w:val="20"/>
          <w:szCs w:val="20"/>
        </w:rPr>
        <w:t xml:space="preserve">corrisponde alla variazione del capitale per ora lavorata, ponderata con la quota di remunerazione del capitale rispetto al reddito complessivo. È una delle determinanti della variazione della produttività del lavoro. Dato che la quota di remunerazione del capitale rispetto al reddito complessivo è sempre inferiore al cento per cento, il contributo dell’intensità di capitale è sempre inferiore alla sua variazione. </w:t>
      </w:r>
    </w:p>
    <w:p w14:paraId="4C0DA4A7" w14:textId="77777777" w:rsidR="00DE2FB0" w:rsidRDefault="00194E59">
      <w:pPr>
        <w:autoSpaceDE w:val="0"/>
        <w:autoSpaceDN w:val="0"/>
        <w:adjustRightInd w:val="0"/>
        <w:spacing w:after="120"/>
        <w:jc w:val="both"/>
        <w:rPr>
          <w:rFonts w:ascii="Arial" w:hAnsi="Arial" w:cs="Arial"/>
          <w:color w:val="000000"/>
          <w:sz w:val="20"/>
          <w:szCs w:val="20"/>
        </w:rPr>
      </w:pPr>
      <w:r w:rsidRPr="00546215">
        <w:rPr>
          <w:rFonts w:ascii="Arial" w:hAnsi="Arial" w:cs="Arial"/>
          <w:b/>
          <w:bCs/>
          <w:color w:val="1F497D" w:themeColor="text2"/>
          <w:sz w:val="22"/>
          <w:szCs w:val="22"/>
        </w:rPr>
        <w:t xml:space="preserve">Contributo del capitale: </w:t>
      </w:r>
      <w:r>
        <w:rPr>
          <w:rFonts w:ascii="Arial" w:hAnsi="Arial" w:cs="Arial"/>
          <w:color w:val="000000"/>
          <w:sz w:val="20"/>
          <w:szCs w:val="20"/>
        </w:rPr>
        <w:t>il contributo del capitale alla variazione del valore aggiunto corrisponde al rapporto tra redditi da capitale e valore aggiunto per la variazione dell’input di capitale.</w:t>
      </w:r>
    </w:p>
    <w:p w14:paraId="4272763B" w14:textId="77777777" w:rsidR="00DE2FB0" w:rsidRDefault="00194E59">
      <w:pPr>
        <w:autoSpaceDE w:val="0"/>
        <w:autoSpaceDN w:val="0"/>
        <w:adjustRightInd w:val="0"/>
        <w:spacing w:after="120"/>
        <w:jc w:val="both"/>
        <w:rPr>
          <w:rFonts w:ascii="Arial" w:hAnsi="Arial" w:cs="Arial"/>
          <w:b/>
          <w:bCs/>
          <w:color w:val="000000"/>
          <w:sz w:val="20"/>
          <w:szCs w:val="20"/>
        </w:rPr>
      </w:pPr>
      <w:r w:rsidRPr="00546215">
        <w:rPr>
          <w:rFonts w:ascii="Arial" w:hAnsi="Arial" w:cs="Arial"/>
          <w:b/>
          <w:bCs/>
          <w:color w:val="1F497D" w:themeColor="text2"/>
          <w:sz w:val="22"/>
          <w:szCs w:val="22"/>
        </w:rPr>
        <w:t>Contributo del lavoro:</w:t>
      </w:r>
      <w:r>
        <w:rPr>
          <w:rFonts w:ascii="Arial" w:hAnsi="Arial" w:cs="Arial"/>
          <w:color w:val="000000"/>
          <w:sz w:val="20"/>
          <w:szCs w:val="20"/>
        </w:rPr>
        <w:t xml:space="preserve"> il contributo del lavoro alla variazione del valore aggiunto corrisponde al rapporto tra redditi da lavoro e valore aggiunto per la variazione delle ore lavorate.</w:t>
      </w:r>
    </w:p>
    <w:p w14:paraId="3C2E8DED" w14:textId="77777777" w:rsidR="00DE2FB0" w:rsidRDefault="00194E59">
      <w:pPr>
        <w:pStyle w:val="Titolo5"/>
        <w:spacing w:before="0" w:after="120"/>
        <w:jc w:val="both"/>
        <w:rPr>
          <w:rFonts w:ascii="Arial" w:hAnsi="Arial" w:cs="Arial"/>
          <w:iCs/>
          <w:color w:val="000000"/>
          <w:sz w:val="20"/>
          <w:szCs w:val="20"/>
        </w:rPr>
      </w:pPr>
      <w:r w:rsidRPr="00546215">
        <w:rPr>
          <w:rFonts w:ascii="Arial" w:eastAsia="Times New Roman" w:hAnsi="Arial" w:cs="Arial"/>
          <w:b/>
          <w:bCs/>
          <w:color w:val="1F497D" w:themeColor="text2"/>
          <w:sz w:val="22"/>
          <w:szCs w:val="22"/>
        </w:rPr>
        <w:t>Indice di volume:</w:t>
      </w:r>
      <w:r w:rsidRPr="00FA076D">
        <w:rPr>
          <w:rFonts w:ascii="Arial" w:hAnsi="Arial" w:cs="Arial"/>
          <w:iCs/>
          <w:color w:val="000000"/>
          <w:sz w:val="20"/>
          <w:szCs w:val="20"/>
        </w:rPr>
        <w:t xml:space="preserve"> indi</w:t>
      </w:r>
      <w:r>
        <w:rPr>
          <w:rFonts w:ascii="Arial" w:hAnsi="Arial" w:cs="Arial"/>
          <w:iCs/>
          <w:color w:val="000000"/>
          <w:sz w:val="20"/>
          <w:szCs w:val="20"/>
        </w:rPr>
        <w:t>c</w:t>
      </w:r>
      <w:r w:rsidRPr="00FA076D">
        <w:rPr>
          <w:rFonts w:ascii="Arial" w:hAnsi="Arial" w:cs="Arial"/>
          <w:iCs/>
          <w:color w:val="000000"/>
          <w:sz w:val="20"/>
          <w:szCs w:val="20"/>
        </w:rPr>
        <w:t xml:space="preserve">a la dinamica </w:t>
      </w:r>
      <w:r>
        <w:rPr>
          <w:rFonts w:ascii="Arial" w:hAnsi="Arial" w:cs="Arial"/>
          <w:iCs/>
          <w:color w:val="000000"/>
          <w:sz w:val="20"/>
          <w:szCs w:val="20"/>
        </w:rPr>
        <w:t xml:space="preserve">in termini </w:t>
      </w:r>
      <w:r w:rsidRPr="00FA076D">
        <w:rPr>
          <w:rFonts w:ascii="Arial" w:hAnsi="Arial" w:cs="Arial"/>
          <w:iCs/>
          <w:color w:val="000000"/>
          <w:sz w:val="20"/>
          <w:szCs w:val="20"/>
        </w:rPr>
        <w:t>real</w:t>
      </w:r>
      <w:r>
        <w:rPr>
          <w:rFonts w:ascii="Arial" w:hAnsi="Arial" w:cs="Arial"/>
          <w:iCs/>
          <w:color w:val="000000"/>
          <w:sz w:val="20"/>
          <w:szCs w:val="20"/>
        </w:rPr>
        <w:t>i</w:t>
      </w:r>
      <w:r w:rsidRPr="00FA076D">
        <w:rPr>
          <w:rFonts w:ascii="Arial" w:hAnsi="Arial" w:cs="Arial"/>
          <w:iCs/>
          <w:color w:val="000000"/>
          <w:sz w:val="20"/>
          <w:szCs w:val="20"/>
        </w:rPr>
        <w:t xml:space="preserve"> dell’aggregato.</w:t>
      </w:r>
    </w:p>
    <w:p w14:paraId="6107846D" w14:textId="77777777" w:rsidR="00DE2FB0" w:rsidRDefault="00194E59">
      <w:pPr>
        <w:autoSpaceDE w:val="0"/>
        <w:autoSpaceDN w:val="0"/>
        <w:adjustRightInd w:val="0"/>
        <w:spacing w:after="120"/>
        <w:jc w:val="both"/>
        <w:rPr>
          <w:rFonts w:ascii="Arial" w:hAnsi="Arial" w:cs="Arial"/>
          <w:color w:val="000000"/>
          <w:sz w:val="20"/>
          <w:szCs w:val="20"/>
        </w:rPr>
      </w:pPr>
      <w:r w:rsidRPr="00546215">
        <w:rPr>
          <w:rFonts w:ascii="Arial" w:hAnsi="Arial" w:cs="Arial"/>
          <w:b/>
          <w:bCs/>
          <w:color w:val="1F497D" w:themeColor="text2"/>
          <w:sz w:val="22"/>
          <w:szCs w:val="22"/>
        </w:rPr>
        <w:t>Input di capitale</w:t>
      </w:r>
      <w:r>
        <w:rPr>
          <w:rFonts w:ascii="Arial" w:hAnsi="Arial" w:cs="Arial"/>
          <w:b/>
          <w:bCs/>
          <w:color w:val="000000"/>
          <w:sz w:val="20"/>
          <w:szCs w:val="20"/>
        </w:rPr>
        <w:t xml:space="preserve"> </w:t>
      </w:r>
      <w:r w:rsidR="00483D0B" w:rsidRPr="00483D0B">
        <w:rPr>
          <w:rFonts w:ascii="Arial" w:hAnsi="Arial" w:cs="Arial"/>
          <w:b/>
          <w:bCs/>
          <w:color w:val="1F497D" w:themeColor="text2"/>
          <w:sz w:val="22"/>
          <w:szCs w:val="22"/>
        </w:rPr>
        <w:t>(o servizi resi dal capitale)</w:t>
      </w:r>
      <w:r>
        <w:rPr>
          <w:rFonts w:ascii="Arial" w:hAnsi="Arial" w:cs="Arial"/>
          <w:b/>
          <w:bCs/>
          <w:color w:val="000000"/>
          <w:sz w:val="20"/>
          <w:szCs w:val="20"/>
        </w:rPr>
        <w:t xml:space="preserve">: </w:t>
      </w:r>
      <w:r>
        <w:rPr>
          <w:rFonts w:ascii="Arial" w:hAnsi="Arial" w:cs="Arial"/>
          <w:color w:val="000000"/>
          <w:sz w:val="20"/>
          <w:szCs w:val="20"/>
        </w:rPr>
        <w:t xml:space="preserve">è misurato dal flusso di servizi produttivi forniti dallo </w:t>
      </w:r>
      <w:r w:rsidR="00483D0B" w:rsidRPr="00483D0B">
        <w:rPr>
          <w:rFonts w:ascii="Arial" w:hAnsi="Arial" w:cs="Arial"/>
          <w:i/>
          <w:iCs/>
          <w:color w:val="000000"/>
          <w:sz w:val="20"/>
          <w:szCs w:val="20"/>
        </w:rPr>
        <w:t>stock</w:t>
      </w:r>
      <w:r>
        <w:rPr>
          <w:rFonts w:ascii="Arial" w:hAnsi="Arial" w:cs="Arial"/>
          <w:color w:val="000000"/>
          <w:sz w:val="20"/>
          <w:szCs w:val="20"/>
        </w:rPr>
        <w:t xml:space="preserve"> esistente di beni capitali. </w:t>
      </w:r>
    </w:p>
    <w:p w14:paraId="787046CD" w14:textId="77777777" w:rsidR="00DE2FB0" w:rsidRDefault="00194E59">
      <w:pPr>
        <w:autoSpaceDE w:val="0"/>
        <w:autoSpaceDN w:val="0"/>
        <w:adjustRightInd w:val="0"/>
        <w:spacing w:after="120"/>
        <w:jc w:val="both"/>
        <w:rPr>
          <w:rFonts w:ascii="Arial" w:hAnsi="Arial" w:cs="Arial"/>
          <w:b/>
          <w:bCs/>
          <w:color w:val="000000"/>
          <w:sz w:val="20"/>
          <w:szCs w:val="20"/>
        </w:rPr>
      </w:pPr>
      <w:r w:rsidRPr="00546215">
        <w:rPr>
          <w:rFonts w:ascii="Arial" w:hAnsi="Arial" w:cs="Arial"/>
          <w:b/>
          <w:bCs/>
          <w:color w:val="1F497D" w:themeColor="text2"/>
          <w:sz w:val="22"/>
          <w:szCs w:val="22"/>
        </w:rPr>
        <w:t>Input di lavoro:</w:t>
      </w:r>
      <w:r>
        <w:rPr>
          <w:rFonts w:ascii="Arial" w:hAnsi="Arial" w:cs="Arial"/>
          <w:b/>
          <w:bCs/>
          <w:color w:val="000000"/>
          <w:sz w:val="20"/>
          <w:szCs w:val="20"/>
        </w:rPr>
        <w:t xml:space="preserve"> </w:t>
      </w:r>
      <w:r>
        <w:rPr>
          <w:rFonts w:ascii="Arial" w:hAnsi="Arial" w:cs="Arial"/>
          <w:color w:val="000000"/>
          <w:sz w:val="20"/>
          <w:szCs w:val="20"/>
        </w:rPr>
        <w:t>espresso in termini di ore lavorate.</w:t>
      </w:r>
    </w:p>
    <w:p w14:paraId="06591452" w14:textId="77777777" w:rsidR="00DE2FB0" w:rsidRDefault="00194E59">
      <w:pPr>
        <w:autoSpaceDE w:val="0"/>
        <w:autoSpaceDN w:val="0"/>
        <w:adjustRightInd w:val="0"/>
        <w:spacing w:after="120"/>
        <w:jc w:val="both"/>
        <w:rPr>
          <w:rFonts w:ascii="Arial" w:hAnsi="Arial" w:cs="Arial"/>
          <w:color w:val="000000"/>
          <w:sz w:val="20"/>
          <w:szCs w:val="20"/>
        </w:rPr>
      </w:pPr>
      <w:r w:rsidRPr="00546215">
        <w:rPr>
          <w:rFonts w:ascii="Arial" w:hAnsi="Arial" w:cs="Arial"/>
          <w:b/>
          <w:bCs/>
          <w:color w:val="1F497D" w:themeColor="text2"/>
          <w:sz w:val="22"/>
          <w:szCs w:val="22"/>
        </w:rPr>
        <w:t xml:space="preserve">Intensità di capitale (o </w:t>
      </w:r>
      <w:r w:rsidR="00483D0B" w:rsidRPr="00483D0B">
        <w:rPr>
          <w:rFonts w:ascii="Arial" w:hAnsi="Arial" w:cs="Arial"/>
          <w:b/>
          <w:bCs/>
          <w:i/>
          <w:iCs/>
          <w:color w:val="1F497D" w:themeColor="text2"/>
          <w:sz w:val="22"/>
          <w:szCs w:val="22"/>
        </w:rPr>
        <w:t xml:space="preserve">capital </w:t>
      </w:r>
      <w:proofErr w:type="spellStart"/>
      <w:r w:rsidR="00483D0B" w:rsidRPr="00483D0B">
        <w:rPr>
          <w:rFonts w:ascii="Arial" w:hAnsi="Arial" w:cs="Arial"/>
          <w:b/>
          <w:bCs/>
          <w:i/>
          <w:iCs/>
          <w:color w:val="1F497D" w:themeColor="text2"/>
          <w:sz w:val="22"/>
          <w:szCs w:val="22"/>
        </w:rPr>
        <w:t>deepening</w:t>
      </w:r>
      <w:proofErr w:type="spellEnd"/>
      <w:r w:rsidRPr="00546215">
        <w:rPr>
          <w:rFonts w:ascii="Arial" w:hAnsi="Arial" w:cs="Arial"/>
          <w:b/>
          <w:bCs/>
          <w:color w:val="1F497D" w:themeColor="text2"/>
          <w:sz w:val="22"/>
          <w:szCs w:val="22"/>
        </w:rPr>
        <w:t>):</w:t>
      </w:r>
      <w:r w:rsidRPr="004E0ACD">
        <w:rPr>
          <w:rFonts w:ascii="Arial" w:hAnsi="Arial" w:cs="Arial"/>
          <w:b/>
          <w:bCs/>
          <w:color w:val="000000"/>
          <w:sz w:val="20"/>
          <w:szCs w:val="20"/>
        </w:rPr>
        <w:t xml:space="preserve"> </w:t>
      </w:r>
      <w:r w:rsidRPr="00A544B3">
        <w:rPr>
          <w:rFonts w:ascii="Arial" w:hAnsi="Arial" w:cs="Arial"/>
          <w:bCs/>
          <w:color w:val="000000"/>
          <w:sz w:val="20"/>
          <w:szCs w:val="20"/>
        </w:rPr>
        <w:t>misura la</w:t>
      </w:r>
      <w:r w:rsidRPr="004E0ACD">
        <w:rPr>
          <w:rFonts w:ascii="Arial" w:hAnsi="Arial" w:cs="Arial"/>
          <w:color w:val="000000"/>
          <w:sz w:val="20"/>
          <w:szCs w:val="20"/>
        </w:rPr>
        <w:t xml:space="preserve"> quantità di capitale impiegata per ora lavorata.</w:t>
      </w:r>
    </w:p>
    <w:p w14:paraId="226D4C5B" w14:textId="77777777" w:rsidR="00DE2FB0" w:rsidRDefault="00194E59">
      <w:pPr>
        <w:autoSpaceDE w:val="0"/>
        <w:autoSpaceDN w:val="0"/>
        <w:adjustRightInd w:val="0"/>
        <w:spacing w:after="120"/>
        <w:jc w:val="both"/>
        <w:rPr>
          <w:rFonts w:ascii="Arial" w:hAnsi="Arial" w:cs="Arial"/>
          <w:b/>
          <w:bCs/>
          <w:color w:val="000000"/>
          <w:sz w:val="20"/>
          <w:szCs w:val="20"/>
        </w:rPr>
      </w:pPr>
      <w:r w:rsidRPr="00546215">
        <w:rPr>
          <w:rFonts w:ascii="Arial" w:hAnsi="Arial" w:cs="Arial"/>
          <w:b/>
          <w:bCs/>
          <w:color w:val="1F497D" w:themeColor="text2"/>
          <w:sz w:val="22"/>
          <w:szCs w:val="22"/>
        </w:rPr>
        <w:t xml:space="preserve">Investimenti per branca proprietaria: </w:t>
      </w:r>
      <w:r>
        <w:rPr>
          <w:rFonts w:ascii="Arial" w:hAnsi="Arial" w:cs="Arial"/>
          <w:color w:val="000000"/>
          <w:sz w:val="20"/>
          <w:szCs w:val="20"/>
        </w:rPr>
        <w:t>investimenti classificati secondo il settore economico che li acquisisce.</w:t>
      </w:r>
    </w:p>
    <w:p w14:paraId="56170C3C" w14:textId="77777777" w:rsidR="00DE2FB0" w:rsidRDefault="00194E59">
      <w:pPr>
        <w:autoSpaceDE w:val="0"/>
        <w:autoSpaceDN w:val="0"/>
        <w:adjustRightInd w:val="0"/>
        <w:spacing w:after="120"/>
        <w:jc w:val="both"/>
        <w:rPr>
          <w:rFonts w:ascii="Arial" w:hAnsi="Arial" w:cs="Arial"/>
          <w:color w:val="000000"/>
          <w:sz w:val="20"/>
          <w:szCs w:val="20"/>
        </w:rPr>
      </w:pPr>
      <w:r w:rsidRPr="00546215">
        <w:rPr>
          <w:rFonts w:ascii="Arial" w:hAnsi="Arial" w:cs="Arial"/>
          <w:b/>
          <w:bCs/>
          <w:color w:val="1F497D" w:themeColor="text2"/>
          <w:sz w:val="22"/>
          <w:szCs w:val="22"/>
        </w:rPr>
        <w:t>Produttività:</w:t>
      </w:r>
      <w:r w:rsidRPr="00050F1B">
        <w:rPr>
          <w:rFonts w:ascii="Arial" w:hAnsi="Arial" w:cs="Arial"/>
          <w:b/>
          <w:bCs/>
          <w:color w:val="000000"/>
          <w:sz w:val="20"/>
          <w:szCs w:val="20"/>
        </w:rPr>
        <w:t xml:space="preserve"> </w:t>
      </w:r>
      <w:r w:rsidRPr="00A544B3">
        <w:rPr>
          <w:rFonts w:ascii="Arial" w:hAnsi="Arial" w:cs="Arial"/>
          <w:bCs/>
          <w:color w:val="000000"/>
          <w:sz w:val="20"/>
          <w:szCs w:val="20"/>
        </w:rPr>
        <w:t>r</w:t>
      </w:r>
      <w:r w:rsidRPr="00A544B3">
        <w:rPr>
          <w:rFonts w:ascii="Arial" w:hAnsi="Arial" w:cs="Arial"/>
          <w:color w:val="000000"/>
          <w:sz w:val="20"/>
          <w:szCs w:val="20"/>
        </w:rPr>
        <w:t>a</w:t>
      </w:r>
      <w:r w:rsidRPr="00050F1B">
        <w:rPr>
          <w:rFonts w:ascii="Arial" w:hAnsi="Arial" w:cs="Arial"/>
          <w:color w:val="000000"/>
          <w:sz w:val="20"/>
          <w:szCs w:val="20"/>
        </w:rPr>
        <w:t>pporto tra volume dell</w:t>
      </w:r>
      <w:r w:rsidRPr="00C843C2">
        <w:rPr>
          <w:rFonts w:ascii="Arial" w:hAnsi="Arial" w:cs="Arial"/>
          <w:color w:val="000000"/>
          <w:sz w:val="20"/>
          <w:szCs w:val="20"/>
        </w:rPr>
        <w:t>’</w:t>
      </w:r>
      <w:r w:rsidRPr="00050F1B">
        <w:rPr>
          <w:rFonts w:ascii="Arial" w:hAnsi="Arial" w:cs="Arial"/>
          <w:color w:val="000000"/>
          <w:sz w:val="20"/>
          <w:szCs w:val="20"/>
        </w:rPr>
        <w:t>output</w:t>
      </w:r>
      <w:r>
        <w:rPr>
          <w:rFonts w:ascii="Arial" w:hAnsi="Arial" w:cs="Arial"/>
          <w:color w:val="000000"/>
          <w:sz w:val="20"/>
          <w:szCs w:val="20"/>
        </w:rPr>
        <w:t xml:space="preserve"> e</w:t>
      </w:r>
      <w:r w:rsidRPr="00050F1B">
        <w:rPr>
          <w:rFonts w:ascii="Arial" w:hAnsi="Arial" w:cs="Arial"/>
          <w:color w:val="000000"/>
          <w:sz w:val="20"/>
          <w:szCs w:val="20"/>
        </w:rPr>
        <w:t xml:space="preserve"> volume di uno o più fattori </w:t>
      </w:r>
      <w:r>
        <w:rPr>
          <w:rFonts w:ascii="Arial" w:hAnsi="Arial" w:cs="Arial"/>
          <w:color w:val="000000"/>
          <w:sz w:val="20"/>
          <w:szCs w:val="20"/>
        </w:rPr>
        <w:t>impiegati nel</w:t>
      </w:r>
      <w:r w:rsidRPr="00050F1B">
        <w:rPr>
          <w:rFonts w:ascii="Arial" w:hAnsi="Arial" w:cs="Arial"/>
          <w:color w:val="000000"/>
          <w:sz w:val="20"/>
          <w:szCs w:val="20"/>
        </w:rPr>
        <w:t>la sua produzione. Può essere calcolata (produttività parziale)</w:t>
      </w:r>
      <w:r>
        <w:rPr>
          <w:rFonts w:ascii="Arial" w:hAnsi="Arial" w:cs="Arial"/>
          <w:color w:val="000000"/>
          <w:sz w:val="20"/>
          <w:szCs w:val="20"/>
        </w:rPr>
        <w:t xml:space="preserve"> </w:t>
      </w:r>
      <w:r w:rsidRPr="00050F1B">
        <w:rPr>
          <w:rFonts w:ascii="Arial" w:hAnsi="Arial" w:cs="Arial"/>
          <w:color w:val="000000"/>
          <w:sz w:val="20"/>
          <w:szCs w:val="20"/>
        </w:rPr>
        <w:t xml:space="preserve">rispetto a </w:t>
      </w:r>
      <w:r>
        <w:rPr>
          <w:rFonts w:ascii="Arial" w:hAnsi="Arial" w:cs="Arial"/>
          <w:color w:val="000000"/>
          <w:sz w:val="20"/>
          <w:szCs w:val="20"/>
        </w:rPr>
        <w:t>singoli</w:t>
      </w:r>
      <w:r w:rsidRPr="00050F1B">
        <w:rPr>
          <w:rFonts w:ascii="Arial" w:hAnsi="Arial" w:cs="Arial"/>
          <w:color w:val="000000"/>
          <w:sz w:val="20"/>
          <w:szCs w:val="20"/>
        </w:rPr>
        <w:t xml:space="preserve"> fattori </w:t>
      </w:r>
      <w:r>
        <w:rPr>
          <w:rFonts w:ascii="Arial" w:hAnsi="Arial" w:cs="Arial"/>
          <w:color w:val="000000"/>
          <w:sz w:val="20"/>
          <w:szCs w:val="20"/>
        </w:rPr>
        <w:t>utilizzati nel processo produttivo</w:t>
      </w:r>
      <w:r w:rsidR="00EA5609">
        <w:rPr>
          <w:rFonts w:ascii="Arial" w:hAnsi="Arial" w:cs="Arial"/>
          <w:color w:val="000000"/>
          <w:sz w:val="20"/>
          <w:szCs w:val="20"/>
        </w:rPr>
        <w:t xml:space="preserve"> </w:t>
      </w:r>
      <w:r>
        <w:rPr>
          <w:rFonts w:ascii="Arial" w:hAnsi="Arial" w:cs="Arial"/>
          <w:color w:val="000000"/>
          <w:sz w:val="20"/>
          <w:szCs w:val="20"/>
        </w:rPr>
        <w:t>(</w:t>
      </w:r>
      <w:r w:rsidRPr="00050F1B">
        <w:rPr>
          <w:rFonts w:ascii="Arial" w:hAnsi="Arial" w:cs="Arial"/>
          <w:color w:val="000000"/>
          <w:sz w:val="20"/>
          <w:szCs w:val="20"/>
        </w:rPr>
        <w:t xml:space="preserve">lavoro, capitale </w:t>
      </w:r>
      <w:r>
        <w:rPr>
          <w:rFonts w:ascii="Arial" w:hAnsi="Arial" w:cs="Arial"/>
          <w:color w:val="000000"/>
          <w:sz w:val="20"/>
          <w:szCs w:val="20"/>
        </w:rPr>
        <w:t>o</w:t>
      </w:r>
      <w:r w:rsidRPr="00050F1B">
        <w:rPr>
          <w:rFonts w:ascii="Arial" w:hAnsi="Arial" w:cs="Arial"/>
          <w:color w:val="000000"/>
          <w:sz w:val="20"/>
          <w:szCs w:val="20"/>
        </w:rPr>
        <w:t xml:space="preserve"> input intermedi</w:t>
      </w:r>
      <w:r>
        <w:rPr>
          <w:rFonts w:ascii="Arial" w:hAnsi="Arial" w:cs="Arial"/>
          <w:color w:val="000000"/>
          <w:sz w:val="20"/>
          <w:szCs w:val="20"/>
        </w:rPr>
        <w:t>)</w:t>
      </w:r>
      <w:r w:rsidRPr="00050F1B">
        <w:rPr>
          <w:rFonts w:ascii="Arial" w:hAnsi="Arial" w:cs="Arial"/>
          <w:color w:val="000000"/>
          <w:sz w:val="20"/>
          <w:szCs w:val="20"/>
        </w:rPr>
        <w:t xml:space="preserve">, o </w:t>
      </w:r>
      <w:r>
        <w:rPr>
          <w:rFonts w:ascii="Arial" w:hAnsi="Arial" w:cs="Arial"/>
          <w:color w:val="000000"/>
          <w:sz w:val="20"/>
          <w:szCs w:val="20"/>
        </w:rPr>
        <w:t>rispetto a</w:t>
      </w:r>
      <w:r w:rsidRPr="00050F1B">
        <w:rPr>
          <w:rFonts w:ascii="Arial" w:hAnsi="Arial" w:cs="Arial"/>
          <w:color w:val="000000"/>
          <w:sz w:val="20"/>
          <w:szCs w:val="20"/>
        </w:rPr>
        <w:t xml:space="preserve"> tutti i fattori utilizzati, </w:t>
      </w:r>
      <w:r>
        <w:rPr>
          <w:rFonts w:ascii="Arial" w:hAnsi="Arial" w:cs="Arial"/>
          <w:color w:val="000000"/>
          <w:sz w:val="20"/>
          <w:szCs w:val="20"/>
        </w:rPr>
        <w:t>a</w:t>
      </w:r>
      <w:r w:rsidRPr="00050F1B">
        <w:rPr>
          <w:rFonts w:ascii="Arial" w:hAnsi="Arial" w:cs="Arial"/>
          <w:color w:val="000000"/>
          <w:sz w:val="20"/>
          <w:szCs w:val="20"/>
        </w:rPr>
        <w:t xml:space="preserve"> loro combinazion</w:t>
      </w:r>
      <w:r>
        <w:rPr>
          <w:rFonts w:ascii="Arial" w:hAnsi="Arial" w:cs="Arial"/>
          <w:color w:val="000000"/>
          <w:sz w:val="20"/>
          <w:szCs w:val="20"/>
        </w:rPr>
        <w:t>i</w:t>
      </w:r>
      <w:r w:rsidRPr="00050F1B">
        <w:rPr>
          <w:rFonts w:ascii="Arial" w:hAnsi="Arial" w:cs="Arial"/>
          <w:color w:val="000000"/>
          <w:sz w:val="20"/>
          <w:szCs w:val="20"/>
        </w:rPr>
        <w:t xml:space="preserve"> </w:t>
      </w:r>
      <w:r>
        <w:rPr>
          <w:rFonts w:ascii="Arial" w:hAnsi="Arial" w:cs="Arial"/>
          <w:color w:val="000000"/>
          <w:sz w:val="20"/>
          <w:szCs w:val="20"/>
        </w:rPr>
        <w:t>o</w:t>
      </w:r>
      <w:r w:rsidRPr="00050F1B">
        <w:rPr>
          <w:rFonts w:ascii="Arial" w:hAnsi="Arial" w:cs="Arial"/>
          <w:color w:val="000000"/>
          <w:sz w:val="20"/>
          <w:szCs w:val="20"/>
        </w:rPr>
        <w:t xml:space="preserve"> legami (produttività totale dei fattori o multifattoriale).</w:t>
      </w:r>
    </w:p>
    <w:p w14:paraId="4D3D3715" w14:textId="77777777" w:rsidR="00DE2FB0" w:rsidRDefault="00194E59">
      <w:pPr>
        <w:autoSpaceDE w:val="0"/>
        <w:autoSpaceDN w:val="0"/>
        <w:adjustRightInd w:val="0"/>
        <w:spacing w:after="120"/>
        <w:jc w:val="both"/>
        <w:rPr>
          <w:rFonts w:ascii="Arial" w:hAnsi="Arial" w:cs="Arial"/>
          <w:b/>
          <w:bCs/>
          <w:color w:val="000000"/>
          <w:sz w:val="20"/>
          <w:szCs w:val="20"/>
        </w:rPr>
      </w:pPr>
      <w:r w:rsidRPr="00546215">
        <w:rPr>
          <w:rFonts w:ascii="Arial" w:hAnsi="Arial" w:cs="Arial"/>
          <w:b/>
          <w:bCs/>
          <w:color w:val="1F497D" w:themeColor="text2"/>
          <w:sz w:val="22"/>
          <w:szCs w:val="22"/>
        </w:rPr>
        <w:t>Produttività del capitale:</w:t>
      </w:r>
      <w:r>
        <w:rPr>
          <w:rFonts w:ascii="Arial" w:hAnsi="Arial" w:cs="Arial"/>
          <w:b/>
          <w:bCs/>
          <w:color w:val="000000"/>
          <w:sz w:val="20"/>
          <w:szCs w:val="20"/>
        </w:rPr>
        <w:t xml:space="preserve"> </w:t>
      </w:r>
      <w:r>
        <w:rPr>
          <w:rFonts w:ascii="Arial" w:hAnsi="Arial" w:cs="Arial"/>
          <w:noProof/>
          <w:sz w:val="20"/>
          <w:szCs w:val="20"/>
        </w:rPr>
        <w:t xml:space="preserve">rapporto tra l’indice di volume del valore aggiunto e l’indice di volume dei flussi dei servizi resi dallo </w:t>
      </w:r>
      <w:r w:rsidR="00483D0B" w:rsidRPr="00483D0B">
        <w:rPr>
          <w:rFonts w:ascii="Arial" w:hAnsi="Arial" w:cs="Arial"/>
          <w:i/>
          <w:iCs/>
          <w:noProof/>
          <w:sz w:val="20"/>
          <w:szCs w:val="20"/>
        </w:rPr>
        <w:t>stock</w:t>
      </w:r>
      <w:r>
        <w:rPr>
          <w:rFonts w:ascii="Arial" w:hAnsi="Arial" w:cs="Arial"/>
          <w:noProof/>
          <w:sz w:val="20"/>
          <w:szCs w:val="20"/>
        </w:rPr>
        <w:t xml:space="preserve"> esistente di capitale, ossia valore aggiunto per unità di input di capitale.</w:t>
      </w:r>
    </w:p>
    <w:p w14:paraId="4076FFF0" w14:textId="77777777" w:rsidR="00DE2FB0" w:rsidRDefault="00194E59">
      <w:pPr>
        <w:autoSpaceDE w:val="0"/>
        <w:autoSpaceDN w:val="0"/>
        <w:adjustRightInd w:val="0"/>
        <w:spacing w:after="120"/>
        <w:jc w:val="both"/>
        <w:rPr>
          <w:rFonts w:ascii="Arial" w:hAnsi="Arial" w:cs="Arial"/>
          <w:color w:val="000000"/>
          <w:sz w:val="20"/>
          <w:szCs w:val="20"/>
        </w:rPr>
      </w:pPr>
      <w:r w:rsidRPr="00546215">
        <w:rPr>
          <w:rFonts w:ascii="Arial" w:hAnsi="Arial" w:cs="Arial"/>
          <w:b/>
          <w:bCs/>
          <w:color w:val="1F497D" w:themeColor="text2"/>
          <w:sz w:val="22"/>
          <w:szCs w:val="22"/>
        </w:rPr>
        <w:t xml:space="preserve">Produttività del lavoro: </w:t>
      </w:r>
      <w:r>
        <w:rPr>
          <w:rFonts w:ascii="Arial" w:hAnsi="Arial" w:cs="Arial"/>
          <w:color w:val="000000"/>
          <w:sz w:val="20"/>
          <w:szCs w:val="20"/>
        </w:rPr>
        <w:t>rapporto tra l’indice di volume del valore aggiunto e l’indice di volume dell’input di lavoro, ossia valore aggiunto per ora lavorata.</w:t>
      </w:r>
    </w:p>
    <w:p w14:paraId="304575D3" w14:textId="77777777" w:rsidR="00DE2FB0" w:rsidRDefault="00194E59">
      <w:pPr>
        <w:autoSpaceDE w:val="0"/>
        <w:autoSpaceDN w:val="0"/>
        <w:adjustRightInd w:val="0"/>
        <w:spacing w:after="120"/>
        <w:jc w:val="both"/>
        <w:rPr>
          <w:rFonts w:ascii="Arial" w:hAnsi="Arial" w:cs="Arial"/>
          <w:color w:val="000000"/>
          <w:sz w:val="20"/>
          <w:szCs w:val="20"/>
        </w:rPr>
      </w:pPr>
      <w:r w:rsidRPr="00546215">
        <w:rPr>
          <w:rFonts w:ascii="Arial" w:hAnsi="Arial" w:cs="Arial"/>
          <w:b/>
          <w:bCs/>
          <w:color w:val="1F497D" w:themeColor="text2"/>
          <w:sz w:val="22"/>
          <w:szCs w:val="22"/>
        </w:rPr>
        <w:t>Produttività totale dei fattori:</w:t>
      </w:r>
      <w:r w:rsidRPr="003B20E4">
        <w:rPr>
          <w:rFonts w:ascii="Arial" w:hAnsi="Arial" w:cs="Arial"/>
          <w:color w:val="000000"/>
          <w:sz w:val="20"/>
          <w:szCs w:val="20"/>
        </w:rPr>
        <w:t xml:space="preserve"> rapporto tra </w:t>
      </w:r>
      <w:r w:rsidRPr="00050F1B">
        <w:rPr>
          <w:rFonts w:ascii="Arial" w:hAnsi="Arial" w:cs="Arial"/>
          <w:color w:val="000000"/>
          <w:sz w:val="20"/>
          <w:szCs w:val="20"/>
        </w:rPr>
        <w:t>la misura di volume del valore aggiunto e una misura di volume dell</w:t>
      </w:r>
      <w:r w:rsidRPr="00C843C2">
        <w:rPr>
          <w:rFonts w:ascii="Arial" w:hAnsi="Arial" w:cs="Arial"/>
          <w:color w:val="000000"/>
          <w:sz w:val="20"/>
          <w:szCs w:val="20"/>
        </w:rPr>
        <w:t>’</w:t>
      </w:r>
      <w:r w:rsidRPr="00050F1B">
        <w:rPr>
          <w:rFonts w:ascii="Arial" w:hAnsi="Arial" w:cs="Arial"/>
          <w:color w:val="000000"/>
          <w:sz w:val="20"/>
          <w:szCs w:val="20"/>
        </w:rPr>
        <w:t>impiego complessivo dei servizi del capitale e del lavoro</w:t>
      </w:r>
      <w:r w:rsidRPr="003B20E4">
        <w:rPr>
          <w:rFonts w:ascii="Arial" w:hAnsi="Arial" w:cs="Arial"/>
          <w:color w:val="000000"/>
          <w:sz w:val="20"/>
          <w:szCs w:val="20"/>
        </w:rPr>
        <w:t>.</w:t>
      </w:r>
    </w:p>
    <w:p w14:paraId="73C5FF1C" w14:textId="77777777" w:rsidR="00DE2FB0" w:rsidRDefault="00194E59">
      <w:pPr>
        <w:pStyle w:val="Default"/>
        <w:spacing w:after="120"/>
        <w:jc w:val="both"/>
        <w:rPr>
          <w:rFonts w:ascii="Arial" w:hAnsi="Arial" w:cs="Arial"/>
          <w:sz w:val="20"/>
          <w:szCs w:val="20"/>
        </w:rPr>
      </w:pPr>
      <w:r w:rsidRPr="00546215">
        <w:rPr>
          <w:rFonts w:ascii="Arial" w:hAnsi="Arial" w:cs="Arial"/>
          <w:b/>
          <w:bCs/>
          <w:color w:val="1F497D" w:themeColor="text2"/>
          <w:sz w:val="22"/>
          <w:szCs w:val="22"/>
        </w:rPr>
        <w:t>Ore lavorate:</w:t>
      </w:r>
      <w:r w:rsidRPr="00656466">
        <w:rPr>
          <w:rFonts w:ascii="Arial" w:hAnsi="Arial" w:cs="Arial"/>
          <w:sz w:val="20"/>
          <w:szCs w:val="20"/>
        </w:rPr>
        <w:t xml:space="preserve"> </w:t>
      </w:r>
      <w:r>
        <w:rPr>
          <w:rFonts w:ascii="Arial" w:hAnsi="Arial" w:cs="Arial"/>
          <w:sz w:val="20"/>
          <w:szCs w:val="20"/>
        </w:rPr>
        <w:t>monte</w:t>
      </w:r>
      <w:r w:rsidRPr="0029085F">
        <w:rPr>
          <w:rFonts w:ascii="Arial" w:hAnsi="Arial" w:cs="Arial"/>
          <w:sz w:val="20"/>
          <w:szCs w:val="20"/>
        </w:rPr>
        <w:t xml:space="preserve"> ore effettivamente lavorate, retribuite e non retribuite, in qualsiasi posizione professionale (dipendente e indipendente), purché finalizzate alla produzione d</w:t>
      </w:r>
      <w:r>
        <w:rPr>
          <w:rFonts w:ascii="Arial" w:hAnsi="Arial" w:cs="Arial"/>
          <w:sz w:val="20"/>
          <w:szCs w:val="20"/>
        </w:rPr>
        <w:t>i</w:t>
      </w:r>
      <w:r w:rsidRPr="0029085F">
        <w:rPr>
          <w:rFonts w:ascii="Arial" w:hAnsi="Arial" w:cs="Arial"/>
          <w:sz w:val="20"/>
          <w:szCs w:val="20"/>
        </w:rPr>
        <w:t xml:space="preserve"> reddito. Rientrano nel calcolo le ore effettivamente lavorate durante il normale orario di lavoro, le ore lavorate in aggiunta alle ore abituali (straordinario), il tempo che si impiega in attività quali la preparazione del posto di lavoro e quello corrispondente a brevi periodi di riposo sul lavoro. </w:t>
      </w:r>
      <w:r>
        <w:rPr>
          <w:rFonts w:ascii="Arial" w:hAnsi="Arial" w:cs="Arial"/>
          <w:sz w:val="20"/>
          <w:szCs w:val="20"/>
        </w:rPr>
        <w:t xml:space="preserve">Sono </w:t>
      </w:r>
      <w:r w:rsidRPr="0029085F">
        <w:rPr>
          <w:rFonts w:ascii="Arial" w:hAnsi="Arial" w:cs="Arial"/>
          <w:sz w:val="20"/>
          <w:szCs w:val="20"/>
        </w:rPr>
        <w:t>esclu</w:t>
      </w:r>
      <w:r>
        <w:rPr>
          <w:rFonts w:ascii="Arial" w:hAnsi="Arial" w:cs="Arial"/>
          <w:sz w:val="20"/>
          <w:szCs w:val="20"/>
        </w:rPr>
        <w:t>se</w:t>
      </w:r>
      <w:r w:rsidRPr="0029085F">
        <w:rPr>
          <w:rFonts w:ascii="Arial" w:hAnsi="Arial" w:cs="Arial"/>
          <w:sz w:val="20"/>
          <w:szCs w:val="20"/>
        </w:rPr>
        <w:t xml:space="preserve"> le ore pagate ma non effettivamente lavorate </w:t>
      </w:r>
      <w:r>
        <w:rPr>
          <w:rFonts w:ascii="Arial" w:hAnsi="Arial" w:cs="Arial"/>
          <w:sz w:val="20"/>
          <w:szCs w:val="20"/>
        </w:rPr>
        <w:t>(</w:t>
      </w:r>
      <w:r w:rsidRPr="0029085F">
        <w:rPr>
          <w:rFonts w:ascii="Arial" w:hAnsi="Arial" w:cs="Arial"/>
          <w:sz w:val="20"/>
          <w:szCs w:val="20"/>
        </w:rPr>
        <w:t>ferie annuali, festività e assenze per malattia</w:t>
      </w:r>
      <w:r>
        <w:rPr>
          <w:rFonts w:ascii="Arial" w:hAnsi="Arial" w:cs="Arial"/>
          <w:sz w:val="20"/>
          <w:szCs w:val="20"/>
        </w:rPr>
        <w:t>, eccetera</w:t>
      </w:r>
      <w:r w:rsidRPr="0029085F">
        <w:rPr>
          <w:rFonts w:ascii="Arial" w:hAnsi="Arial" w:cs="Arial"/>
          <w:sz w:val="20"/>
          <w:szCs w:val="20"/>
        </w:rPr>
        <w:t>), le pause per i pasti e il tragitto tra casa e lavoro.</w:t>
      </w:r>
    </w:p>
    <w:p w14:paraId="0DD8BEC0" w14:textId="77777777" w:rsidR="00DE2FB0" w:rsidRDefault="00194E59">
      <w:pPr>
        <w:pStyle w:val="Default"/>
        <w:spacing w:after="120"/>
        <w:jc w:val="both"/>
        <w:rPr>
          <w:rFonts w:ascii="Arial" w:hAnsi="Arial" w:cs="Arial"/>
          <w:sz w:val="20"/>
          <w:szCs w:val="20"/>
        </w:rPr>
      </w:pPr>
      <w:r w:rsidRPr="00546215">
        <w:rPr>
          <w:rFonts w:ascii="Arial" w:hAnsi="Arial" w:cs="Arial"/>
          <w:b/>
          <w:bCs/>
          <w:color w:val="1F497D" w:themeColor="text2"/>
          <w:sz w:val="22"/>
          <w:szCs w:val="22"/>
        </w:rPr>
        <w:t>Reddito complessivo:</w:t>
      </w:r>
      <w:r>
        <w:rPr>
          <w:rFonts w:ascii="Arial" w:hAnsi="Arial" w:cs="Arial"/>
          <w:sz w:val="20"/>
          <w:szCs w:val="20"/>
        </w:rPr>
        <w:t xml:space="preserve"> somma delle remunerazioni dei fattori primari (capitale e lavoro), uguale al valore aggiunto ai prezzi base.</w:t>
      </w:r>
    </w:p>
    <w:p w14:paraId="4F1A7CAD" w14:textId="77777777" w:rsidR="00DE2FB0" w:rsidRDefault="00194E59">
      <w:pPr>
        <w:autoSpaceDE w:val="0"/>
        <w:autoSpaceDN w:val="0"/>
        <w:adjustRightInd w:val="0"/>
        <w:spacing w:after="120"/>
        <w:jc w:val="both"/>
        <w:rPr>
          <w:rFonts w:ascii="Arial" w:hAnsi="Arial" w:cs="Arial"/>
          <w:color w:val="000000"/>
          <w:sz w:val="20"/>
          <w:szCs w:val="20"/>
        </w:rPr>
      </w:pPr>
      <w:r w:rsidRPr="00546215">
        <w:rPr>
          <w:rFonts w:ascii="Arial" w:hAnsi="Arial" w:cs="Arial"/>
          <w:b/>
          <w:bCs/>
          <w:color w:val="1F497D" w:themeColor="text2"/>
          <w:sz w:val="22"/>
          <w:szCs w:val="22"/>
        </w:rPr>
        <w:t>Remunerazione del capitale:</w:t>
      </w:r>
      <w:r>
        <w:rPr>
          <w:rFonts w:ascii="Arial" w:hAnsi="Arial" w:cs="Arial"/>
          <w:b/>
          <w:bCs/>
          <w:color w:val="000000"/>
          <w:sz w:val="20"/>
          <w:szCs w:val="20"/>
        </w:rPr>
        <w:t xml:space="preserve"> </w:t>
      </w:r>
      <w:r w:rsidRPr="00050F1B">
        <w:rPr>
          <w:rFonts w:ascii="Arial" w:hAnsi="Arial" w:cs="Arial"/>
          <w:sz w:val="20"/>
          <w:szCs w:val="20"/>
        </w:rPr>
        <w:t xml:space="preserve">valore aggiunto </w:t>
      </w:r>
      <w:r>
        <w:rPr>
          <w:rFonts w:ascii="Arial" w:hAnsi="Arial" w:cs="Arial"/>
          <w:sz w:val="20"/>
          <w:szCs w:val="20"/>
        </w:rPr>
        <w:t xml:space="preserve">meno remunerazione del </w:t>
      </w:r>
      <w:r w:rsidRPr="00050F1B">
        <w:rPr>
          <w:rFonts w:ascii="Arial" w:hAnsi="Arial" w:cs="Arial"/>
          <w:sz w:val="20"/>
          <w:szCs w:val="20"/>
        </w:rPr>
        <w:t>lavoro</w:t>
      </w:r>
      <w:r>
        <w:rPr>
          <w:rFonts w:ascii="Arial" w:hAnsi="Arial" w:cs="Arial"/>
          <w:sz w:val="20"/>
          <w:szCs w:val="20"/>
        </w:rPr>
        <w:t>; c</w:t>
      </w:r>
      <w:r w:rsidRPr="00050F1B">
        <w:rPr>
          <w:rFonts w:ascii="Arial" w:hAnsi="Arial" w:cs="Arial"/>
          <w:sz w:val="20"/>
          <w:szCs w:val="20"/>
        </w:rPr>
        <w:t>omprende tutti gli altri redditi generati dal processo produttivo</w:t>
      </w:r>
      <w:r>
        <w:rPr>
          <w:rFonts w:ascii="Arial" w:hAnsi="Arial" w:cs="Arial"/>
          <w:sz w:val="20"/>
          <w:szCs w:val="20"/>
        </w:rPr>
        <w:t>,</w:t>
      </w:r>
      <w:r w:rsidRPr="00050F1B">
        <w:rPr>
          <w:rFonts w:ascii="Arial" w:hAnsi="Arial" w:cs="Arial"/>
          <w:sz w:val="20"/>
          <w:szCs w:val="20"/>
        </w:rPr>
        <w:t xml:space="preserve"> oltre gli ammortamenti.</w:t>
      </w:r>
    </w:p>
    <w:p w14:paraId="462DEA24" w14:textId="77777777" w:rsidR="00DE2FB0" w:rsidRDefault="00194E59">
      <w:pPr>
        <w:pStyle w:val="Default"/>
        <w:spacing w:after="120"/>
        <w:jc w:val="both"/>
        <w:rPr>
          <w:rFonts w:ascii="Arial" w:hAnsi="Arial" w:cs="Arial"/>
          <w:sz w:val="20"/>
          <w:szCs w:val="20"/>
        </w:rPr>
      </w:pPr>
      <w:r w:rsidRPr="00546215">
        <w:rPr>
          <w:rFonts w:ascii="Arial" w:hAnsi="Arial" w:cs="Arial"/>
          <w:b/>
          <w:bCs/>
          <w:color w:val="1F497D" w:themeColor="text2"/>
          <w:sz w:val="22"/>
          <w:szCs w:val="22"/>
        </w:rPr>
        <w:t>Remunerazione del lavoro</w:t>
      </w:r>
      <w:r w:rsidRPr="00050F1B">
        <w:rPr>
          <w:rFonts w:ascii="Arial" w:hAnsi="Arial" w:cs="Arial"/>
          <w:b/>
          <w:bCs/>
          <w:sz w:val="20"/>
          <w:szCs w:val="20"/>
        </w:rPr>
        <w:t>:</w:t>
      </w:r>
      <w:r w:rsidRPr="00050F1B">
        <w:rPr>
          <w:rFonts w:ascii="Arial" w:hAnsi="Arial" w:cs="Arial"/>
          <w:sz w:val="20"/>
          <w:szCs w:val="20"/>
        </w:rPr>
        <w:t xml:space="preserve"> somma dei redditi da lavoro dipendente</w:t>
      </w:r>
      <w:r>
        <w:rPr>
          <w:rFonts w:ascii="Arial" w:hAnsi="Arial" w:cs="Arial"/>
          <w:sz w:val="20"/>
          <w:szCs w:val="20"/>
        </w:rPr>
        <w:t>, dei</w:t>
      </w:r>
      <w:r w:rsidRPr="00050F1B">
        <w:rPr>
          <w:rFonts w:ascii="Arial" w:hAnsi="Arial" w:cs="Arial"/>
          <w:sz w:val="20"/>
          <w:szCs w:val="20"/>
        </w:rPr>
        <w:t xml:space="preserve"> redditi da lavoro indipendente</w:t>
      </w:r>
      <w:r>
        <w:rPr>
          <w:rFonts w:ascii="Arial" w:hAnsi="Arial" w:cs="Arial"/>
          <w:sz w:val="20"/>
          <w:szCs w:val="20"/>
        </w:rPr>
        <w:t xml:space="preserve"> e di una quota delle imposte nette sulla produzione</w:t>
      </w:r>
      <w:r w:rsidRPr="00050F1B">
        <w:rPr>
          <w:rFonts w:ascii="Arial" w:hAnsi="Arial" w:cs="Arial"/>
          <w:sz w:val="20"/>
          <w:szCs w:val="20"/>
        </w:rPr>
        <w:t xml:space="preserve">. </w:t>
      </w:r>
      <w:r>
        <w:rPr>
          <w:rFonts w:ascii="Arial" w:hAnsi="Arial" w:cs="Arial"/>
          <w:sz w:val="20"/>
          <w:szCs w:val="20"/>
        </w:rPr>
        <w:t>I redditi da lavoro indipendente sono</w:t>
      </w:r>
      <w:r w:rsidRPr="00050F1B">
        <w:rPr>
          <w:rFonts w:ascii="Arial" w:hAnsi="Arial" w:cs="Arial"/>
          <w:sz w:val="20"/>
          <w:szCs w:val="20"/>
        </w:rPr>
        <w:t xml:space="preserve"> calcolati come prodotto tra il reddito da lavoro dipendente per ora lavorata e le ore lavorate degli occupati indipendenti. Il complesso dei redditi da lavoro dipendente comprende sia le retribuzioni lorde sia i contributi sociali, effettivi e/o figurativi</w:t>
      </w:r>
      <w:r w:rsidRPr="00AC30EB">
        <w:rPr>
          <w:rFonts w:ascii="Arial" w:hAnsi="Arial" w:cs="Arial"/>
          <w:sz w:val="20"/>
          <w:szCs w:val="20"/>
        </w:rPr>
        <w:t>.</w:t>
      </w:r>
    </w:p>
    <w:p w14:paraId="6A7C3321" w14:textId="77777777" w:rsidR="00DE2FB0" w:rsidRDefault="00483D0B">
      <w:pPr>
        <w:autoSpaceDE w:val="0"/>
        <w:autoSpaceDN w:val="0"/>
        <w:adjustRightInd w:val="0"/>
        <w:spacing w:after="120"/>
        <w:jc w:val="both"/>
        <w:rPr>
          <w:rFonts w:ascii="Arial" w:hAnsi="Arial" w:cs="Arial"/>
          <w:sz w:val="20"/>
          <w:szCs w:val="20"/>
        </w:rPr>
      </w:pPr>
      <w:r w:rsidRPr="00483D0B">
        <w:rPr>
          <w:rFonts w:ascii="Arial" w:hAnsi="Arial" w:cs="Arial"/>
          <w:b/>
          <w:bCs/>
          <w:i/>
          <w:iCs/>
          <w:color w:val="1F497D" w:themeColor="text2"/>
          <w:sz w:val="22"/>
          <w:szCs w:val="22"/>
        </w:rPr>
        <w:t>Stock</w:t>
      </w:r>
      <w:r w:rsidR="00194E59" w:rsidRPr="00546215">
        <w:rPr>
          <w:rFonts w:ascii="Arial" w:hAnsi="Arial" w:cs="Arial"/>
          <w:b/>
          <w:bCs/>
          <w:color w:val="1F497D" w:themeColor="text2"/>
          <w:sz w:val="22"/>
          <w:szCs w:val="22"/>
        </w:rPr>
        <w:t xml:space="preserve"> di capitale:</w:t>
      </w:r>
      <w:r w:rsidR="00194E59">
        <w:rPr>
          <w:rFonts w:ascii="Arial" w:hAnsi="Arial" w:cs="Arial"/>
          <w:b/>
          <w:bCs/>
          <w:color w:val="000000"/>
          <w:sz w:val="20"/>
          <w:szCs w:val="20"/>
        </w:rPr>
        <w:t xml:space="preserve"> </w:t>
      </w:r>
      <w:r w:rsidR="00194E59" w:rsidRPr="00050F1B">
        <w:rPr>
          <w:rFonts w:ascii="Arial" w:hAnsi="Arial" w:cs="Arial"/>
          <w:sz w:val="20"/>
          <w:szCs w:val="20"/>
        </w:rPr>
        <w:t>somma degli investimenti effettuati nell</w:t>
      </w:r>
      <w:r w:rsidR="00194E59" w:rsidRPr="00C843C2">
        <w:rPr>
          <w:rFonts w:ascii="Arial" w:hAnsi="Arial" w:cs="Arial"/>
          <w:sz w:val="20"/>
          <w:szCs w:val="20"/>
        </w:rPr>
        <w:t>’</w:t>
      </w:r>
      <w:r w:rsidR="00194E59" w:rsidRPr="00050F1B">
        <w:rPr>
          <w:rFonts w:ascii="Arial" w:hAnsi="Arial" w:cs="Arial"/>
          <w:sz w:val="20"/>
          <w:szCs w:val="20"/>
        </w:rPr>
        <w:t>anno corrente e negli anni passati, ponderata con pesi che riflettono la progressiva perdita d</w:t>
      </w:r>
      <w:r w:rsidR="00194E59" w:rsidRPr="00C843C2">
        <w:rPr>
          <w:rFonts w:ascii="Arial" w:hAnsi="Arial" w:cs="Arial"/>
          <w:sz w:val="20"/>
          <w:szCs w:val="20"/>
        </w:rPr>
        <w:t>’</w:t>
      </w:r>
      <w:r w:rsidR="00194E59" w:rsidRPr="00050F1B">
        <w:rPr>
          <w:rFonts w:ascii="Arial" w:hAnsi="Arial" w:cs="Arial"/>
          <w:sz w:val="20"/>
          <w:szCs w:val="20"/>
        </w:rPr>
        <w:t>efficienza che il bene subisce nel corso del tempo per effetto dell</w:t>
      </w:r>
      <w:r w:rsidR="00194E59" w:rsidRPr="00C843C2">
        <w:rPr>
          <w:rFonts w:ascii="Arial" w:hAnsi="Arial" w:cs="Arial"/>
          <w:sz w:val="20"/>
          <w:szCs w:val="20"/>
        </w:rPr>
        <w:t>’</w:t>
      </w:r>
      <w:r w:rsidR="00194E59" w:rsidRPr="00050F1B">
        <w:rPr>
          <w:rFonts w:ascii="Arial" w:hAnsi="Arial" w:cs="Arial"/>
          <w:sz w:val="20"/>
          <w:szCs w:val="20"/>
        </w:rPr>
        <w:t xml:space="preserve">usura e del logorio e il processo di </w:t>
      </w:r>
      <w:r w:rsidR="00194E59">
        <w:rPr>
          <w:rFonts w:ascii="Arial" w:hAnsi="Arial" w:cs="Arial"/>
          <w:sz w:val="20"/>
          <w:szCs w:val="20"/>
        </w:rPr>
        <w:t xml:space="preserve">progressivo </w:t>
      </w:r>
      <w:r w:rsidR="00194E59" w:rsidRPr="00050F1B">
        <w:rPr>
          <w:rFonts w:ascii="Arial" w:hAnsi="Arial" w:cs="Arial"/>
          <w:sz w:val="20"/>
          <w:szCs w:val="20"/>
        </w:rPr>
        <w:t xml:space="preserve">ritiro dei beni capitali dal processo produttivo. </w:t>
      </w:r>
      <w:r w:rsidR="00194E59">
        <w:rPr>
          <w:rFonts w:ascii="Arial" w:hAnsi="Arial" w:cs="Arial"/>
          <w:sz w:val="20"/>
          <w:szCs w:val="20"/>
        </w:rPr>
        <w:t>M</w:t>
      </w:r>
      <w:r w:rsidR="00194E59" w:rsidRPr="00050F1B">
        <w:rPr>
          <w:rFonts w:ascii="Arial" w:hAnsi="Arial" w:cs="Arial"/>
          <w:sz w:val="20"/>
          <w:szCs w:val="20"/>
        </w:rPr>
        <w:t>isura la capacità residua di erogare un flusso di servizi produttivi da parte dei beni capitali acquistati nel passato e non ancora ritirati dal processo produttivo.</w:t>
      </w:r>
    </w:p>
    <w:p w14:paraId="39C260D7" w14:textId="77777777" w:rsidR="00DE2FB0" w:rsidRDefault="00194E59">
      <w:pPr>
        <w:autoSpaceDE w:val="0"/>
        <w:autoSpaceDN w:val="0"/>
        <w:adjustRightInd w:val="0"/>
        <w:spacing w:after="120"/>
        <w:jc w:val="both"/>
        <w:rPr>
          <w:rFonts w:ascii="Arial" w:hAnsi="Arial" w:cs="Arial"/>
          <w:sz w:val="20"/>
          <w:szCs w:val="20"/>
        </w:rPr>
      </w:pPr>
      <w:r w:rsidRPr="00546215">
        <w:rPr>
          <w:rFonts w:ascii="Arial" w:hAnsi="Arial" w:cs="Arial"/>
          <w:b/>
          <w:bCs/>
          <w:color w:val="1F497D" w:themeColor="text2"/>
          <w:sz w:val="22"/>
          <w:szCs w:val="22"/>
        </w:rPr>
        <w:t>Valore aggiunto ai prezzi base:</w:t>
      </w:r>
      <w:r w:rsidRPr="00656466">
        <w:rPr>
          <w:rFonts w:ascii="Arial" w:hAnsi="Arial" w:cs="Arial"/>
          <w:b/>
          <w:bCs/>
          <w:color w:val="000000"/>
          <w:sz w:val="20"/>
          <w:szCs w:val="20"/>
        </w:rPr>
        <w:t xml:space="preserve"> </w:t>
      </w:r>
      <w:r w:rsidRPr="00656466">
        <w:rPr>
          <w:rFonts w:ascii="Arial" w:hAnsi="Arial" w:cs="Arial"/>
          <w:sz w:val="20"/>
          <w:szCs w:val="20"/>
        </w:rPr>
        <w:t>differenza tra il valore della produzione di beni e servizi e il valore dei costi intermedi sostenuti a fronte di tale produzione. La produzione è valutata ai prezzi base, cioè al netto delle imposte sui prodotti e al lordo dei contributi ai prodotti e i costi intermedi ai prezzi di acquisto. Corrisponde alla somma delle retribuzioni dei fattori produttivi e degli ammortamenti.</w:t>
      </w:r>
      <w:r>
        <w:rPr>
          <w:rFonts w:ascii="Arial" w:hAnsi="Arial" w:cs="Arial"/>
          <w:sz w:val="20"/>
          <w:szCs w:val="20"/>
        </w:rPr>
        <w:t xml:space="preserve"> </w:t>
      </w:r>
    </w:p>
    <w:p w14:paraId="7109E880" w14:textId="77777777" w:rsidR="00DE2FB0" w:rsidRDefault="00DE2FB0">
      <w:pPr>
        <w:pStyle w:val="Titolo3"/>
        <w:spacing w:before="0" w:beforeAutospacing="0" w:after="120" w:afterAutospacing="0"/>
        <w:rPr>
          <w:rFonts w:ascii="Georgia" w:hAnsi="Georgia" w:cs="Arial"/>
          <w:b w:val="0"/>
          <w:color w:val="1F497D" w:themeColor="text2"/>
          <w:sz w:val="48"/>
          <w:szCs w:val="48"/>
        </w:rPr>
      </w:pPr>
    </w:p>
    <w:p w14:paraId="242972E2" w14:textId="77777777" w:rsidR="00DE2FB0" w:rsidRDefault="00194E59">
      <w:pPr>
        <w:pStyle w:val="Titolo3"/>
        <w:spacing w:before="0" w:beforeAutospacing="0" w:after="120" w:afterAutospacing="0"/>
        <w:rPr>
          <w:rFonts w:ascii="Georgia" w:hAnsi="Georgia" w:cs="Arial"/>
          <w:b w:val="0"/>
          <w:color w:val="1F497D" w:themeColor="text2"/>
          <w:sz w:val="48"/>
          <w:szCs w:val="48"/>
        </w:rPr>
      </w:pPr>
      <w:r w:rsidRPr="0007346F">
        <w:rPr>
          <w:rFonts w:ascii="Georgia" w:hAnsi="Georgia" w:cs="Arial"/>
          <w:b w:val="0"/>
          <w:color w:val="1F497D" w:themeColor="text2"/>
          <w:sz w:val="48"/>
          <w:szCs w:val="48"/>
        </w:rPr>
        <w:t>Nota metodologica</w:t>
      </w:r>
    </w:p>
    <w:p w14:paraId="65290FA8" w14:textId="77777777" w:rsidR="00DE2FB0" w:rsidRDefault="00194E59">
      <w:pPr>
        <w:spacing w:after="120"/>
        <w:jc w:val="both"/>
        <w:rPr>
          <w:rFonts w:ascii="Arial" w:hAnsi="Arial" w:cs="Arial"/>
          <w:sz w:val="20"/>
          <w:szCs w:val="20"/>
        </w:rPr>
      </w:pPr>
      <w:r w:rsidRPr="003D50E4">
        <w:rPr>
          <w:rFonts w:ascii="Arial" w:hAnsi="Arial" w:cs="Arial"/>
          <w:sz w:val="20"/>
          <w:szCs w:val="20"/>
        </w:rPr>
        <w:t xml:space="preserve">Nel report sono presentate le stime </w:t>
      </w:r>
      <w:r>
        <w:rPr>
          <w:rFonts w:ascii="Arial" w:hAnsi="Arial" w:cs="Arial"/>
          <w:sz w:val="20"/>
          <w:szCs w:val="20"/>
        </w:rPr>
        <w:t>sulle</w:t>
      </w:r>
      <w:r w:rsidRPr="003D50E4">
        <w:rPr>
          <w:rFonts w:ascii="Arial" w:hAnsi="Arial" w:cs="Arial"/>
          <w:sz w:val="20"/>
          <w:szCs w:val="20"/>
        </w:rPr>
        <w:t xml:space="preserve"> misure di produttività coerenti con le serie d</w:t>
      </w:r>
      <w:r>
        <w:rPr>
          <w:rFonts w:ascii="Arial" w:hAnsi="Arial" w:cs="Arial"/>
          <w:sz w:val="20"/>
          <w:szCs w:val="20"/>
        </w:rPr>
        <w:t>ei conti</w:t>
      </w:r>
      <w:r w:rsidRPr="003D50E4">
        <w:rPr>
          <w:rFonts w:ascii="Arial" w:hAnsi="Arial" w:cs="Arial"/>
          <w:sz w:val="20"/>
          <w:szCs w:val="20"/>
        </w:rPr>
        <w:t xml:space="preserve"> nazional</w:t>
      </w:r>
      <w:r>
        <w:rPr>
          <w:rFonts w:ascii="Arial" w:hAnsi="Arial" w:cs="Arial"/>
          <w:sz w:val="20"/>
          <w:szCs w:val="20"/>
        </w:rPr>
        <w:t>i diffuse il 22 settembre 2020</w:t>
      </w:r>
      <w:r w:rsidRPr="003D50E4">
        <w:rPr>
          <w:rFonts w:ascii="Arial" w:hAnsi="Arial" w:cs="Arial"/>
          <w:sz w:val="20"/>
          <w:szCs w:val="20"/>
        </w:rPr>
        <w:t xml:space="preserve">. Il database </w:t>
      </w:r>
      <w:r>
        <w:rPr>
          <w:rFonts w:ascii="Arial" w:hAnsi="Arial" w:cs="Arial"/>
          <w:sz w:val="20"/>
          <w:szCs w:val="20"/>
        </w:rPr>
        <w:t>completo è disponibile nel data-</w:t>
      </w:r>
      <w:proofErr w:type="spellStart"/>
      <w:r w:rsidRPr="003D50E4">
        <w:rPr>
          <w:rFonts w:ascii="Arial" w:hAnsi="Arial" w:cs="Arial"/>
          <w:sz w:val="20"/>
          <w:szCs w:val="20"/>
        </w:rPr>
        <w:t>warehouse</w:t>
      </w:r>
      <w:proofErr w:type="spellEnd"/>
      <w:r w:rsidRPr="003D50E4">
        <w:rPr>
          <w:rFonts w:ascii="Arial" w:hAnsi="Arial" w:cs="Arial"/>
          <w:sz w:val="20"/>
          <w:szCs w:val="20"/>
        </w:rPr>
        <w:t xml:space="preserve"> </w:t>
      </w:r>
      <w:proofErr w:type="spellStart"/>
      <w:r w:rsidRPr="003D50E4">
        <w:rPr>
          <w:rFonts w:ascii="Arial" w:hAnsi="Arial" w:cs="Arial"/>
          <w:sz w:val="20"/>
          <w:szCs w:val="20"/>
        </w:rPr>
        <w:t>I.Stat</w:t>
      </w:r>
      <w:proofErr w:type="spellEnd"/>
      <w:r w:rsidRPr="003D50E4">
        <w:rPr>
          <w:rFonts w:ascii="Arial" w:hAnsi="Arial" w:cs="Arial"/>
          <w:sz w:val="20"/>
          <w:szCs w:val="20"/>
        </w:rPr>
        <w:t xml:space="preserve"> all’indirizzo http://dati.istat.it</w:t>
      </w:r>
      <w:r>
        <w:rPr>
          <w:rFonts w:ascii="Arial" w:hAnsi="Arial" w:cs="Arial"/>
          <w:sz w:val="20"/>
          <w:szCs w:val="20"/>
        </w:rPr>
        <w:t>)</w:t>
      </w:r>
      <w:r w:rsidRPr="003D50E4">
        <w:rPr>
          <w:rFonts w:ascii="Arial" w:hAnsi="Arial" w:cs="Arial"/>
          <w:sz w:val="20"/>
          <w:szCs w:val="20"/>
        </w:rPr>
        <w:t xml:space="preserve">. </w:t>
      </w:r>
      <w:r>
        <w:rPr>
          <w:rFonts w:ascii="Arial" w:hAnsi="Arial" w:cs="Arial"/>
          <w:sz w:val="20"/>
          <w:szCs w:val="20"/>
        </w:rPr>
        <w:t>Il prossimo aggiornamento delle stime è previsto a</w:t>
      </w:r>
      <w:r w:rsidRPr="003D50E4">
        <w:rPr>
          <w:rFonts w:ascii="Arial" w:hAnsi="Arial" w:cs="Arial"/>
          <w:sz w:val="20"/>
          <w:szCs w:val="20"/>
        </w:rPr>
        <w:t xml:space="preserve"> marzo</w:t>
      </w:r>
      <w:r>
        <w:rPr>
          <w:rFonts w:ascii="Arial" w:hAnsi="Arial" w:cs="Arial"/>
          <w:sz w:val="20"/>
          <w:szCs w:val="20"/>
        </w:rPr>
        <w:t xml:space="preserve"> 2021,</w:t>
      </w:r>
      <w:r w:rsidRPr="003D50E4">
        <w:rPr>
          <w:rFonts w:ascii="Arial" w:hAnsi="Arial" w:cs="Arial"/>
          <w:sz w:val="20"/>
          <w:szCs w:val="20"/>
        </w:rPr>
        <w:t xml:space="preserve"> successivamente al</w:t>
      </w:r>
      <w:r>
        <w:rPr>
          <w:rFonts w:ascii="Arial" w:hAnsi="Arial" w:cs="Arial"/>
          <w:sz w:val="20"/>
          <w:szCs w:val="20"/>
        </w:rPr>
        <w:t xml:space="preserve"> rilascio del</w:t>
      </w:r>
      <w:r w:rsidRPr="003D50E4">
        <w:rPr>
          <w:rFonts w:ascii="Arial" w:hAnsi="Arial" w:cs="Arial"/>
          <w:sz w:val="20"/>
          <w:szCs w:val="20"/>
        </w:rPr>
        <w:t xml:space="preserve">la </w:t>
      </w:r>
      <w:r>
        <w:rPr>
          <w:rFonts w:ascii="Arial" w:hAnsi="Arial" w:cs="Arial"/>
          <w:sz w:val="20"/>
          <w:szCs w:val="20"/>
        </w:rPr>
        <w:t>prima versione</w:t>
      </w:r>
      <w:r w:rsidRPr="003D50E4">
        <w:rPr>
          <w:rFonts w:ascii="Arial" w:hAnsi="Arial" w:cs="Arial"/>
          <w:sz w:val="20"/>
          <w:szCs w:val="20"/>
        </w:rPr>
        <w:t xml:space="preserve"> dei conti nazionali</w:t>
      </w:r>
      <w:r>
        <w:rPr>
          <w:rFonts w:ascii="Arial" w:hAnsi="Arial" w:cs="Arial"/>
          <w:sz w:val="20"/>
          <w:szCs w:val="20"/>
        </w:rPr>
        <w:t xml:space="preserve"> per il 2020</w:t>
      </w:r>
      <w:r w:rsidRPr="003D50E4">
        <w:rPr>
          <w:rFonts w:ascii="Arial" w:hAnsi="Arial" w:cs="Arial"/>
          <w:sz w:val="20"/>
          <w:szCs w:val="20"/>
        </w:rPr>
        <w:t xml:space="preserve">. </w:t>
      </w:r>
    </w:p>
    <w:p w14:paraId="734A8BC6" w14:textId="77777777" w:rsidR="00DE2FB0" w:rsidRDefault="00194E59">
      <w:pPr>
        <w:spacing w:after="120"/>
        <w:jc w:val="both"/>
        <w:rPr>
          <w:rFonts w:ascii="Arial" w:hAnsi="Arial" w:cs="Arial"/>
          <w:sz w:val="20"/>
          <w:szCs w:val="20"/>
        </w:rPr>
      </w:pPr>
      <w:r w:rsidRPr="005D248B">
        <w:rPr>
          <w:rFonts w:ascii="Arial" w:hAnsi="Arial" w:cs="Arial"/>
          <w:sz w:val="20"/>
          <w:szCs w:val="20"/>
        </w:rPr>
        <w:t>In questa nota si descrive il modello teorico di riferimento</w:t>
      </w:r>
      <w:r>
        <w:rPr>
          <w:rFonts w:ascii="Arial" w:hAnsi="Arial" w:cs="Arial"/>
          <w:sz w:val="20"/>
          <w:szCs w:val="20"/>
        </w:rPr>
        <w:t xml:space="preserve"> e</w:t>
      </w:r>
      <w:r w:rsidRPr="005D248B">
        <w:rPr>
          <w:rFonts w:ascii="Arial" w:hAnsi="Arial" w:cs="Arial"/>
          <w:sz w:val="20"/>
          <w:szCs w:val="20"/>
        </w:rPr>
        <w:t xml:space="preserve"> la metodologia di calcolo delle misure di produttività diffuse dall’Istat</w:t>
      </w:r>
      <w:r w:rsidRPr="005D248B">
        <w:rPr>
          <w:rStyle w:val="Rimandonotaapidipagina"/>
          <w:rFonts w:ascii="Arial" w:hAnsi="Arial" w:cs="Arial"/>
          <w:sz w:val="20"/>
          <w:szCs w:val="20"/>
        </w:rPr>
        <w:footnoteReference w:id="1"/>
      </w:r>
      <w:r w:rsidRPr="005D248B">
        <w:rPr>
          <w:rFonts w:ascii="Arial" w:hAnsi="Arial" w:cs="Arial"/>
          <w:sz w:val="20"/>
          <w:szCs w:val="20"/>
        </w:rPr>
        <w:t>.</w:t>
      </w:r>
      <w:r>
        <w:rPr>
          <w:rFonts w:ascii="Arial" w:hAnsi="Arial" w:cs="Arial"/>
          <w:sz w:val="20"/>
          <w:szCs w:val="20"/>
        </w:rPr>
        <w:t xml:space="preserve"> </w:t>
      </w:r>
    </w:p>
    <w:p w14:paraId="0DE132C7" w14:textId="77777777" w:rsidR="00DE2FB0" w:rsidRDefault="00194E59">
      <w:pPr>
        <w:spacing w:after="120"/>
        <w:jc w:val="both"/>
        <w:rPr>
          <w:rFonts w:ascii="Arial" w:hAnsi="Arial" w:cs="Arial"/>
          <w:b/>
          <w:bCs/>
          <w:color w:val="1F497D" w:themeColor="text2"/>
          <w:sz w:val="22"/>
          <w:szCs w:val="22"/>
        </w:rPr>
      </w:pPr>
      <w:r w:rsidRPr="00EF36D6">
        <w:rPr>
          <w:rFonts w:ascii="Arial" w:hAnsi="Arial" w:cs="Arial"/>
          <w:b/>
          <w:bCs/>
          <w:color w:val="1F497D" w:themeColor="text2"/>
          <w:sz w:val="22"/>
          <w:szCs w:val="22"/>
        </w:rPr>
        <w:t>Il modello di contabilità della crescita</w:t>
      </w:r>
    </w:p>
    <w:p w14:paraId="1365BBE9" w14:textId="77777777" w:rsidR="00DE2FB0" w:rsidRDefault="00194E59">
      <w:pPr>
        <w:spacing w:after="120"/>
        <w:jc w:val="both"/>
        <w:rPr>
          <w:rFonts w:ascii="Arial" w:hAnsi="Arial" w:cs="Arial"/>
          <w:sz w:val="20"/>
          <w:szCs w:val="20"/>
        </w:rPr>
      </w:pPr>
      <w:r w:rsidRPr="005D248B">
        <w:rPr>
          <w:rFonts w:ascii="Arial" w:hAnsi="Arial" w:cs="Arial"/>
          <w:sz w:val="20"/>
          <w:szCs w:val="20"/>
        </w:rPr>
        <w:t>L’approccio della contabilità della crescita utilizza uno specifico modello teorico per identificare misure empiriche in grado di approssimare indici di output, input e produttività all’interno degli schemi di contabilità nazionale.</w:t>
      </w:r>
      <w:r>
        <w:rPr>
          <w:rFonts w:ascii="Arial" w:hAnsi="Arial" w:cs="Arial"/>
          <w:sz w:val="20"/>
          <w:szCs w:val="20"/>
        </w:rPr>
        <w:t xml:space="preserve"> </w:t>
      </w:r>
      <w:r w:rsidRPr="005D248B">
        <w:rPr>
          <w:rFonts w:ascii="Arial" w:hAnsi="Arial" w:cs="Arial"/>
          <w:sz w:val="20"/>
          <w:szCs w:val="20"/>
        </w:rPr>
        <w:t>Il quadro teorico di riferimento deriva dalla teoria neoclassica della produzione, secondo cui è possibile rappresentare la tecnologia in termini di una funzione di produzione, continua e differenziabile, che pone in relazione l’output, i fattori produttivi e il progresso tecnico.</w:t>
      </w:r>
    </w:p>
    <w:p w14:paraId="40E6954A" w14:textId="77777777" w:rsidR="00DE2FB0" w:rsidRDefault="00194E59">
      <w:pPr>
        <w:spacing w:after="120"/>
        <w:jc w:val="both"/>
        <w:rPr>
          <w:rFonts w:ascii="Arial" w:hAnsi="Arial" w:cs="Arial"/>
          <w:sz w:val="20"/>
          <w:szCs w:val="20"/>
        </w:rPr>
      </w:pPr>
      <w:r w:rsidRPr="005D248B">
        <w:rPr>
          <w:rFonts w:ascii="Arial" w:hAnsi="Arial" w:cs="Arial"/>
          <w:sz w:val="20"/>
          <w:szCs w:val="20"/>
        </w:rPr>
        <w:t>Nell’ambito della contabilità della crescita si segue una metodologia di tipo non parametrico, definendo la funzione di produzione in forma implicita. Il modello standard di contabilità della crescita ricorre, inoltre, all’adozione di una varietà di ipotesi restrittive: la perfetta concorrenza dei mercati, i rendimenti di scala costanti della tecnologia di produzione (a livello sia aggregato, sia di singolo settore), la cosiddetta Hicks-</w:t>
      </w:r>
      <w:proofErr w:type="spellStart"/>
      <w:r w:rsidRPr="005D248B">
        <w:rPr>
          <w:rFonts w:ascii="Arial" w:hAnsi="Arial" w:cs="Arial"/>
          <w:sz w:val="20"/>
          <w:szCs w:val="20"/>
        </w:rPr>
        <w:t>neutrality</w:t>
      </w:r>
      <w:proofErr w:type="spellEnd"/>
      <w:r w:rsidRPr="005D248B">
        <w:rPr>
          <w:rFonts w:ascii="Arial" w:hAnsi="Arial" w:cs="Arial"/>
          <w:sz w:val="20"/>
          <w:szCs w:val="20"/>
        </w:rPr>
        <w:t xml:space="preserve"> del progresso tecnico (ovvero l’ipotesi che il progresso tecnico faccia variare nella stessa proporzione la produttività marginale dei fattori), l’assenza di costi di aggiustamento (in questo modo si esclude l’esistenza di fattori quasi-fissi e si ipotizza che le imprese siano sempre in un equilibrio di lungo periodo). </w:t>
      </w:r>
    </w:p>
    <w:p w14:paraId="68FA01D6" w14:textId="77777777" w:rsidR="00DE2FB0" w:rsidRDefault="00194E59">
      <w:pPr>
        <w:spacing w:after="120"/>
        <w:jc w:val="both"/>
        <w:rPr>
          <w:rFonts w:ascii="Arial" w:hAnsi="Arial" w:cs="Arial"/>
          <w:sz w:val="20"/>
          <w:szCs w:val="20"/>
        </w:rPr>
      </w:pPr>
      <w:r w:rsidRPr="005D248B">
        <w:rPr>
          <w:rFonts w:ascii="Arial" w:hAnsi="Arial" w:cs="Arial"/>
          <w:sz w:val="20"/>
          <w:szCs w:val="20"/>
        </w:rPr>
        <w:t xml:space="preserve">Considerando il valore aggiunto (Y) come misura </w:t>
      </w:r>
      <w:r>
        <w:rPr>
          <w:rFonts w:ascii="Arial" w:hAnsi="Arial" w:cs="Arial"/>
          <w:sz w:val="20"/>
          <w:szCs w:val="20"/>
        </w:rPr>
        <w:t>dell’output</w:t>
      </w:r>
      <w:r w:rsidRPr="005D248B">
        <w:rPr>
          <w:rFonts w:ascii="Arial" w:hAnsi="Arial" w:cs="Arial"/>
          <w:sz w:val="20"/>
          <w:szCs w:val="20"/>
        </w:rPr>
        <w:t>, la funzione di produzione assume la forma:</w:t>
      </w:r>
    </w:p>
    <w:p w14:paraId="5A25534B" w14:textId="77777777" w:rsidR="00194E59" w:rsidRDefault="00194E59" w:rsidP="00194E59">
      <w:pPr>
        <w:jc w:val="center"/>
        <w:rPr>
          <w:rFonts w:ascii="Arial" w:hAnsi="Arial" w:cs="Arial"/>
          <w:sz w:val="20"/>
          <w:szCs w:val="20"/>
        </w:rPr>
      </w:pPr>
      <w:r w:rsidRPr="005D248B">
        <w:rPr>
          <w:rFonts w:ascii="Arial" w:hAnsi="Arial" w:cs="Arial"/>
          <w:sz w:val="20"/>
          <w:szCs w:val="20"/>
        </w:rPr>
        <w:t>(1)</w:t>
      </w:r>
      <w:r w:rsidRPr="005D248B">
        <w:rPr>
          <w:rFonts w:ascii="Arial" w:hAnsi="Arial" w:cs="Arial"/>
          <w:sz w:val="20"/>
          <w:szCs w:val="20"/>
        </w:rPr>
        <w:tab/>
      </w:r>
      <w:r w:rsidRPr="005D248B">
        <w:rPr>
          <w:rFonts w:ascii="Arial" w:hAnsi="Arial" w:cs="Arial"/>
          <w:noProof/>
          <w:position w:val="-12"/>
          <w:sz w:val="20"/>
          <w:szCs w:val="20"/>
        </w:rPr>
        <w:object w:dxaOrig="1660" w:dyaOrig="380" w14:anchorId="2BBD8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4pt;height:22pt;mso-width-percent:0;mso-height-percent:0;mso-width-percent:0;mso-height-percent:0" o:ole="" fillcolor="window">
            <v:imagedata r:id="rId21" o:title=""/>
          </v:shape>
          <o:OLEObject Type="Embed" ProgID="Equation.3" ShapeID="_x0000_i1025" DrawAspect="Content" ObjectID="_1700909230" r:id="rId22"/>
        </w:object>
      </w:r>
      <w:r w:rsidRPr="005D248B">
        <w:rPr>
          <w:rFonts w:ascii="Arial" w:hAnsi="Arial" w:cs="Arial"/>
          <w:sz w:val="20"/>
          <w:szCs w:val="20"/>
        </w:rPr>
        <w:t>,</w:t>
      </w:r>
    </w:p>
    <w:p w14:paraId="64F95B4E" w14:textId="77777777" w:rsidR="00194E59" w:rsidRPr="005D248B" w:rsidRDefault="00194E59" w:rsidP="00194E59">
      <w:pPr>
        <w:jc w:val="center"/>
        <w:rPr>
          <w:rFonts w:ascii="Arial" w:hAnsi="Arial" w:cs="Arial"/>
          <w:sz w:val="20"/>
          <w:szCs w:val="20"/>
        </w:rPr>
      </w:pPr>
    </w:p>
    <w:p w14:paraId="4D30B13A"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dove </w:t>
      </w:r>
      <w:r w:rsidRPr="005D248B">
        <w:rPr>
          <w:rFonts w:ascii="Arial" w:hAnsi="Arial" w:cs="Arial"/>
          <w:i/>
          <w:iCs/>
          <w:sz w:val="20"/>
          <w:szCs w:val="20"/>
        </w:rPr>
        <w:t>K</w:t>
      </w:r>
      <w:r w:rsidRPr="005D248B">
        <w:rPr>
          <w:rFonts w:ascii="Arial" w:hAnsi="Arial" w:cs="Arial"/>
          <w:sz w:val="20"/>
          <w:szCs w:val="20"/>
        </w:rPr>
        <w:t xml:space="preserve"> e </w:t>
      </w:r>
      <w:r w:rsidRPr="005D248B">
        <w:rPr>
          <w:rFonts w:ascii="Arial" w:hAnsi="Arial" w:cs="Arial"/>
          <w:i/>
          <w:iCs/>
          <w:sz w:val="20"/>
          <w:szCs w:val="20"/>
        </w:rPr>
        <w:t>L</w:t>
      </w:r>
      <w:r w:rsidRPr="005D248B">
        <w:rPr>
          <w:rFonts w:ascii="Arial" w:hAnsi="Arial" w:cs="Arial"/>
          <w:sz w:val="20"/>
          <w:szCs w:val="20"/>
        </w:rPr>
        <w:t xml:space="preserve"> rappresentano, rispettivamente, l’input di capitale e di lavoro e </w:t>
      </w:r>
      <w:proofErr w:type="spellStart"/>
      <w:r w:rsidRPr="005D248B">
        <w:rPr>
          <w:rFonts w:ascii="Arial" w:hAnsi="Arial" w:cs="Arial"/>
          <w:i/>
          <w:iCs/>
          <w:sz w:val="20"/>
          <w:szCs w:val="20"/>
        </w:rPr>
        <w:t>A</w:t>
      </w:r>
      <w:r w:rsidRPr="005D248B">
        <w:rPr>
          <w:rFonts w:ascii="Arial" w:hAnsi="Arial" w:cs="Arial"/>
          <w:i/>
          <w:iCs/>
          <w:sz w:val="20"/>
          <w:szCs w:val="20"/>
          <w:vertAlign w:val="superscript"/>
        </w:rPr>
        <w:t>v</w:t>
      </w:r>
      <w:proofErr w:type="spellEnd"/>
      <w:r w:rsidRPr="005D248B">
        <w:rPr>
          <w:rFonts w:ascii="Arial" w:hAnsi="Arial" w:cs="Arial"/>
          <w:i/>
          <w:iCs/>
          <w:sz w:val="20"/>
          <w:szCs w:val="20"/>
          <w:vertAlign w:val="superscript"/>
        </w:rPr>
        <w:t xml:space="preserve"> </w:t>
      </w:r>
      <w:r w:rsidRPr="005D248B">
        <w:rPr>
          <w:rFonts w:ascii="Arial" w:hAnsi="Arial" w:cs="Arial"/>
          <w:sz w:val="20"/>
          <w:szCs w:val="20"/>
        </w:rPr>
        <w:t xml:space="preserve">è il parametro che identifica gli spostamenti di tipo </w:t>
      </w:r>
      <w:r w:rsidRPr="0040679B">
        <w:rPr>
          <w:rFonts w:ascii="Arial" w:hAnsi="Arial" w:cs="Arial"/>
          <w:i/>
          <w:sz w:val="20"/>
          <w:szCs w:val="20"/>
        </w:rPr>
        <w:t>Hicks-</w:t>
      </w:r>
      <w:proofErr w:type="spellStart"/>
      <w:r w:rsidRPr="0040679B">
        <w:rPr>
          <w:rFonts w:ascii="Arial" w:hAnsi="Arial" w:cs="Arial"/>
          <w:i/>
          <w:sz w:val="20"/>
          <w:szCs w:val="20"/>
        </w:rPr>
        <w:t>neutral</w:t>
      </w:r>
      <w:proofErr w:type="spellEnd"/>
      <w:r w:rsidRPr="005D248B">
        <w:rPr>
          <w:rFonts w:ascii="Arial" w:hAnsi="Arial" w:cs="Arial"/>
          <w:sz w:val="20"/>
          <w:szCs w:val="20"/>
        </w:rPr>
        <w:t xml:space="preserve"> della funzione di produzione nel corso del tempo.</w:t>
      </w:r>
    </w:p>
    <w:p w14:paraId="600BDB81"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Dalla differenziazione logaritmica della (1), la dinamica dell’output può essere espressa come somma dei tassi di crescita dei fattori, ponderati per le rispettive elasticità, nonché del progresso tecnico:</w:t>
      </w:r>
    </w:p>
    <w:p w14:paraId="41F0D11C" w14:textId="77777777" w:rsidR="00194E59" w:rsidRDefault="00194E59" w:rsidP="00194E59">
      <w:pPr>
        <w:jc w:val="center"/>
        <w:rPr>
          <w:rFonts w:ascii="Arial" w:hAnsi="Arial" w:cs="Arial"/>
          <w:sz w:val="20"/>
          <w:szCs w:val="20"/>
        </w:rPr>
      </w:pPr>
      <w:r w:rsidRPr="005D248B">
        <w:rPr>
          <w:rFonts w:ascii="Arial" w:hAnsi="Arial" w:cs="Arial"/>
          <w:sz w:val="20"/>
          <w:szCs w:val="20"/>
        </w:rPr>
        <w:t>(2)</w:t>
      </w:r>
      <w:r w:rsidRPr="005D248B">
        <w:rPr>
          <w:rFonts w:ascii="Arial" w:hAnsi="Arial" w:cs="Arial"/>
          <w:sz w:val="20"/>
          <w:szCs w:val="20"/>
        </w:rPr>
        <w:tab/>
      </w:r>
      <w:r w:rsidRPr="005D248B">
        <w:rPr>
          <w:rFonts w:ascii="Arial" w:hAnsi="Arial" w:cs="Arial"/>
          <w:noProof/>
          <w:position w:val="-30"/>
          <w:sz w:val="20"/>
          <w:szCs w:val="20"/>
        </w:rPr>
        <w:object w:dxaOrig="2680" w:dyaOrig="859" w14:anchorId="1FF1E140">
          <v:shape id="_x0000_i1026" type="#_x0000_t75" alt="" style="width:153.5pt;height:50.5pt;mso-width-percent:0;mso-height-percent:0;mso-width-percent:0;mso-height-percent:0" o:ole="" fillcolor="window">
            <v:imagedata r:id="rId23" o:title=""/>
          </v:shape>
          <o:OLEObject Type="Embed" ProgID="Equation.3" ShapeID="_x0000_i1026" DrawAspect="Content" ObjectID="_1700909231" r:id="rId24"/>
        </w:object>
      </w:r>
      <w:r w:rsidRPr="005D248B">
        <w:rPr>
          <w:rFonts w:ascii="Arial" w:hAnsi="Arial" w:cs="Arial"/>
          <w:sz w:val="20"/>
          <w:szCs w:val="20"/>
        </w:rPr>
        <w:t>,</w:t>
      </w:r>
    </w:p>
    <w:p w14:paraId="4E92F291" w14:textId="77777777" w:rsidR="00194E59" w:rsidRPr="005D248B" w:rsidRDefault="00194E59" w:rsidP="00194E59">
      <w:pPr>
        <w:jc w:val="center"/>
        <w:rPr>
          <w:rFonts w:ascii="Arial" w:hAnsi="Arial" w:cs="Arial"/>
          <w:sz w:val="20"/>
          <w:szCs w:val="20"/>
        </w:rPr>
      </w:pPr>
    </w:p>
    <w:p w14:paraId="767084E1"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dove </w:t>
      </w:r>
      <w:proofErr w:type="spellStart"/>
      <w:r w:rsidRPr="005D248B">
        <w:rPr>
          <w:rFonts w:ascii="Arial" w:hAnsi="Arial" w:cs="Arial"/>
          <w:i/>
          <w:iCs/>
          <w:sz w:val="20"/>
          <w:szCs w:val="20"/>
        </w:rPr>
        <w:t>svk</w:t>
      </w:r>
      <w:proofErr w:type="spellEnd"/>
      <w:r w:rsidRPr="005D248B">
        <w:rPr>
          <w:rFonts w:ascii="Arial" w:hAnsi="Arial" w:cs="Arial"/>
          <w:sz w:val="20"/>
          <w:szCs w:val="20"/>
        </w:rPr>
        <w:t xml:space="preserve"> e </w:t>
      </w:r>
      <w:proofErr w:type="spellStart"/>
      <w:r w:rsidRPr="005D248B">
        <w:rPr>
          <w:rFonts w:ascii="Arial" w:hAnsi="Arial" w:cs="Arial"/>
          <w:i/>
          <w:iCs/>
          <w:sz w:val="20"/>
          <w:szCs w:val="20"/>
        </w:rPr>
        <w:t>svl</w:t>
      </w:r>
      <w:proofErr w:type="spellEnd"/>
      <w:r w:rsidRPr="005D248B">
        <w:rPr>
          <w:rFonts w:ascii="Arial" w:hAnsi="Arial" w:cs="Arial"/>
          <w:sz w:val="20"/>
          <w:szCs w:val="20"/>
        </w:rPr>
        <w:t xml:space="preserve"> rappresentano le elasticità dell’output rispetto ai singoli input.</w:t>
      </w:r>
    </w:p>
    <w:p w14:paraId="55A6B4A2"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Le ipotesi adottate implicano che l’elasticità dell’output rispetto ad ogni fattore produttivo </w:t>
      </w:r>
      <w:r>
        <w:rPr>
          <w:rFonts w:ascii="Arial" w:hAnsi="Arial" w:cs="Arial"/>
          <w:sz w:val="20"/>
          <w:szCs w:val="20"/>
        </w:rPr>
        <w:t>sia</w:t>
      </w:r>
      <w:r w:rsidRPr="005D248B">
        <w:rPr>
          <w:rFonts w:ascii="Arial" w:hAnsi="Arial" w:cs="Arial"/>
          <w:sz w:val="20"/>
          <w:szCs w:val="20"/>
        </w:rPr>
        <w:t xml:space="preserve"> uguale alla quota del costo di quel fattore sul valore dell’output; quest’ultimo, nell’ipotesi di concorrenza perfetta, coincide con quello del costo totale sostenuto per l’impiego degli input, cosicché la somma di tutte le quote è pari all’unità, ovvero:</w:t>
      </w:r>
    </w:p>
    <w:p w14:paraId="776C7F4B" w14:textId="77777777" w:rsidR="00194E59" w:rsidRPr="005D248B" w:rsidRDefault="00194E59" w:rsidP="00194E59">
      <w:pPr>
        <w:jc w:val="both"/>
        <w:rPr>
          <w:rFonts w:ascii="Arial" w:hAnsi="Arial" w:cs="Arial"/>
          <w:sz w:val="20"/>
          <w:szCs w:val="20"/>
        </w:rPr>
      </w:pPr>
    </w:p>
    <w:p w14:paraId="185C5549" w14:textId="77777777" w:rsidR="00194E59" w:rsidRPr="005D248B" w:rsidRDefault="00194E59" w:rsidP="00194E59">
      <w:pPr>
        <w:jc w:val="center"/>
        <w:rPr>
          <w:rFonts w:ascii="Arial" w:hAnsi="Arial" w:cs="Arial"/>
          <w:sz w:val="20"/>
          <w:szCs w:val="20"/>
        </w:rPr>
      </w:pPr>
      <w:r w:rsidRPr="005D248B">
        <w:rPr>
          <w:rFonts w:ascii="Arial" w:hAnsi="Arial" w:cs="Arial"/>
          <w:noProof/>
          <w:position w:val="-30"/>
          <w:sz w:val="20"/>
          <w:szCs w:val="20"/>
        </w:rPr>
        <w:object w:dxaOrig="1380" w:dyaOrig="700" w14:anchorId="1D5B24F3">
          <v:shape id="_x0000_i1027" type="#_x0000_t75" alt="" style="width:1in;height:37pt;mso-width-percent:0;mso-height-percent:0;mso-width-percent:0;mso-height-percent:0" o:ole="" fillcolor="window">
            <v:imagedata r:id="rId25" o:title=""/>
          </v:shape>
          <o:OLEObject Type="Embed" ProgID="Equation.3" ShapeID="_x0000_i1027" DrawAspect="Content" ObjectID="_1700909232" r:id="rId26"/>
        </w:object>
      </w:r>
      <w:r w:rsidRPr="005D248B">
        <w:rPr>
          <w:rFonts w:ascii="Arial" w:hAnsi="Arial" w:cs="Arial"/>
          <w:sz w:val="20"/>
          <w:szCs w:val="20"/>
        </w:rPr>
        <w:t>,</w:t>
      </w:r>
    </w:p>
    <w:p w14:paraId="2940A0DF" w14:textId="77777777" w:rsidR="00194E59" w:rsidRPr="005D248B" w:rsidRDefault="00194E59" w:rsidP="00194E59">
      <w:pPr>
        <w:jc w:val="center"/>
        <w:rPr>
          <w:rFonts w:ascii="Arial" w:hAnsi="Arial" w:cs="Arial"/>
          <w:sz w:val="20"/>
          <w:szCs w:val="20"/>
        </w:rPr>
      </w:pPr>
    </w:p>
    <w:p w14:paraId="2F684C33" w14:textId="77777777" w:rsidR="00194E59" w:rsidRPr="005D248B" w:rsidRDefault="00194E59" w:rsidP="00194E59">
      <w:pPr>
        <w:jc w:val="center"/>
        <w:rPr>
          <w:rFonts w:ascii="Arial" w:hAnsi="Arial" w:cs="Arial"/>
          <w:sz w:val="20"/>
          <w:szCs w:val="20"/>
        </w:rPr>
      </w:pPr>
      <w:r w:rsidRPr="005D248B">
        <w:rPr>
          <w:rFonts w:ascii="Arial" w:hAnsi="Arial" w:cs="Arial"/>
          <w:noProof/>
          <w:position w:val="-30"/>
          <w:sz w:val="20"/>
          <w:szCs w:val="20"/>
        </w:rPr>
        <w:object w:dxaOrig="1320" w:dyaOrig="700" w14:anchorId="4CA549CE">
          <v:shape id="_x0000_i1028" type="#_x0000_t75" alt="" style="width:64pt;height:37pt;mso-width-percent:0;mso-height-percent:0;mso-width-percent:0;mso-height-percent:0" o:ole="" fillcolor="window">
            <v:imagedata r:id="rId27" o:title=""/>
          </v:shape>
          <o:OLEObject Type="Embed" ProgID="Equation.3" ShapeID="_x0000_i1028" DrawAspect="Content" ObjectID="_1700909233" r:id="rId28"/>
        </w:object>
      </w:r>
      <w:r w:rsidRPr="005D248B">
        <w:rPr>
          <w:rFonts w:ascii="Arial" w:hAnsi="Arial" w:cs="Arial"/>
          <w:sz w:val="20"/>
          <w:szCs w:val="20"/>
        </w:rPr>
        <w:t>,</w:t>
      </w:r>
    </w:p>
    <w:p w14:paraId="4F401B6A" w14:textId="77777777" w:rsidR="00194E59" w:rsidRPr="005D248B" w:rsidRDefault="00194E59" w:rsidP="00194E59">
      <w:pPr>
        <w:jc w:val="center"/>
        <w:rPr>
          <w:rFonts w:ascii="Arial" w:hAnsi="Arial" w:cs="Arial"/>
          <w:sz w:val="20"/>
          <w:szCs w:val="20"/>
        </w:rPr>
      </w:pPr>
    </w:p>
    <w:p w14:paraId="69689802" w14:textId="77777777" w:rsidR="00194E59" w:rsidRPr="005D248B" w:rsidRDefault="00194E59" w:rsidP="00194E59">
      <w:pPr>
        <w:jc w:val="center"/>
        <w:rPr>
          <w:rFonts w:ascii="Arial" w:hAnsi="Arial" w:cs="Arial"/>
          <w:sz w:val="20"/>
          <w:szCs w:val="20"/>
        </w:rPr>
      </w:pPr>
      <w:r w:rsidRPr="005D248B">
        <w:rPr>
          <w:rFonts w:ascii="Arial" w:hAnsi="Arial" w:cs="Arial"/>
          <w:noProof/>
          <w:position w:val="-12"/>
          <w:sz w:val="20"/>
          <w:szCs w:val="20"/>
        </w:rPr>
        <w:object w:dxaOrig="2120" w:dyaOrig="360" w14:anchorId="7C0D4145">
          <v:shape id="_x0000_i1029" type="#_x0000_t75" alt="" style="width:129.5pt;height:21.5pt;mso-width-percent:0;mso-height-percent:0;mso-width-percent:0;mso-height-percent:0" o:ole="" fillcolor="window">
            <v:imagedata r:id="rId29" o:title=""/>
          </v:shape>
          <o:OLEObject Type="Embed" ProgID="Equation.3" ShapeID="_x0000_i1029" DrawAspect="Content" ObjectID="_1700909234" r:id="rId30"/>
        </w:object>
      </w:r>
      <w:r w:rsidRPr="005D248B">
        <w:rPr>
          <w:rFonts w:ascii="Arial" w:hAnsi="Arial" w:cs="Arial"/>
          <w:sz w:val="20"/>
          <w:szCs w:val="20"/>
        </w:rPr>
        <w:t>,</w:t>
      </w:r>
    </w:p>
    <w:p w14:paraId="6C9C7125" w14:textId="77777777" w:rsidR="00194E59" w:rsidRPr="005D248B" w:rsidRDefault="00194E59" w:rsidP="00194E59">
      <w:pPr>
        <w:jc w:val="both"/>
        <w:rPr>
          <w:rFonts w:ascii="Arial" w:hAnsi="Arial" w:cs="Arial"/>
          <w:sz w:val="20"/>
          <w:szCs w:val="20"/>
        </w:rPr>
      </w:pPr>
    </w:p>
    <w:p w14:paraId="48AD9246"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dove </w:t>
      </w:r>
      <w:r w:rsidRPr="005D248B">
        <w:rPr>
          <w:rFonts w:ascii="Arial" w:hAnsi="Arial" w:cs="Arial"/>
          <w:i/>
          <w:iCs/>
          <w:sz w:val="20"/>
          <w:szCs w:val="20"/>
        </w:rPr>
        <w:t>u</w:t>
      </w:r>
      <w:r w:rsidRPr="005D248B">
        <w:rPr>
          <w:rFonts w:ascii="Arial" w:hAnsi="Arial" w:cs="Arial"/>
          <w:i/>
          <w:iCs/>
          <w:sz w:val="20"/>
          <w:szCs w:val="20"/>
          <w:vertAlign w:val="subscript"/>
        </w:rPr>
        <w:t>t</w:t>
      </w:r>
      <w:r w:rsidRPr="005D248B">
        <w:rPr>
          <w:rFonts w:ascii="Arial" w:hAnsi="Arial" w:cs="Arial"/>
          <w:sz w:val="20"/>
          <w:szCs w:val="20"/>
        </w:rPr>
        <w:t xml:space="preserve">, </w:t>
      </w:r>
      <w:proofErr w:type="spellStart"/>
      <w:r w:rsidRPr="005D248B">
        <w:rPr>
          <w:rFonts w:ascii="Arial" w:hAnsi="Arial" w:cs="Arial"/>
          <w:i/>
          <w:iCs/>
          <w:sz w:val="20"/>
          <w:szCs w:val="20"/>
        </w:rPr>
        <w:t>w</w:t>
      </w:r>
      <w:r w:rsidRPr="005D248B">
        <w:rPr>
          <w:rFonts w:ascii="Arial" w:hAnsi="Arial" w:cs="Arial"/>
          <w:i/>
          <w:iCs/>
          <w:sz w:val="20"/>
          <w:szCs w:val="20"/>
          <w:vertAlign w:val="subscript"/>
        </w:rPr>
        <w:t>t</w:t>
      </w:r>
      <w:proofErr w:type="spellEnd"/>
      <w:r w:rsidRPr="005D248B">
        <w:rPr>
          <w:rFonts w:ascii="Arial" w:hAnsi="Arial" w:cs="Arial"/>
          <w:sz w:val="20"/>
          <w:szCs w:val="20"/>
        </w:rPr>
        <w:t xml:space="preserve"> e </w:t>
      </w:r>
      <w:proofErr w:type="spellStart"/>
      <w:r w:rsidRPr="005D248B">
        <w:rPr>
          <w:rFonts w:ascii="Arial" w:hAnsi="Arial" w:cs="Arial"/>
          <w:i/>
          <w:iCs/>
          <w:sz w:val="20"/>
          <w:szCs w:val="20"/>
        </w:rPr>
        <w:t>p</w:t>
      </w:r>
      <w:r w:rsidRPr="005D248B">
        <w:rPr>
          <w:rFonts w:ascii="Arial" w:hAnsi="Arial" w:cs="Arial"/>
          <w:i/>
          <w:iCs/>
          <w:sz w:val="20"/>
          <w:szCs w:val="20"/>
          <w:vertAlign w:val="subscript"/>
        </w:rPr>
        <w:t>t</w:t>
      </w:r>
      <w:proofErr w:type="spellEnd"/>
      <w:r w:rsidRPr="005D248B">
        <w:rPr>
          <w:rFonts w:ascii="Arial" w:hAnsi="Arial" w:cs="Arial"/>
          <w:sz w:val="20"/>
          <w:szCs w:val="20"/>
        </w:rPr>
        <w:t xml:space="preserve"> sono pari, rispettivamente, al costo dei servizi del capitale, alla retribuzione nominale del lavoro e al prezzo dell’output.</w:t>
      </w:r>
    </w:p>
    <w:p w14:paraId="45D16EC1"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Se le elasticità possono essere misurate attraverso le quote distributive, il tasso di variazione del progresso tecnico rimane l’unica grandezza non osservabile nell’equazione (2) e può quindi essere calcolata a residuo (</w:t>
      </w:r>
      <w:proofErr w:type="spellStart"/>
      <w:r w:rsidRPr="005D248B">
        <w:rPr>
          <w:rFonts w:ascii="Arial" w:hAnsi="Arial" w:cs="Arial"/>
          <w:sz w:val="20"/>
          <w:szCs w:val="20"/>
        </w:rPr>
        <w:t>Solow</w:t>
      </w:r>
      <w:proofErr w:type="spellEnd"/>
      <w:r w:rsidRPr="005D248B">
        <w:rPr>
          <w:rFonts w:ascii="Arial" w:hAnsi="Arial" w:cs="Arial"/>
          <w:sz w:val="20"/>
          <w:szCs w:val="20"/>
        </w:rPr>
        <w:t>, 1957):</w:t>
      </w:r>
    </w:p>
    <w:p w14:paraId="0E92CE77" w14:textId="77777777" w:rsidR="00194E59" w:rsidRPr="005D248B" w:rsidRDefault="00194E59" w:rsidP="00194E59">
      <w:pPr>
        <w:jc w:val="both"/>
        <w:rPr>
          <w:rFonts w:ascii="Arial" w:hAnsi="Arial" w:cs="Arial"/>
          <w:sz w:val="20"/>
          <w:szCs w:val="20"/>
        </w:rPr>
      </w:pPr>
    </w:p>
    <w:p w14:paraId="3107515F" w14:textId="77777777" w:rsidR="00194E59" w:rsidRPr="005D248B" w:rsidRDefault="00194E59" w:rsidP="00194E59">
      <w:pPr>
        <w:jc w:val="center"/>
        <w:rPr>
          <w:rFonts w:ascii="Arial" w:hAnsi="Arial" w:cs="Arial"/>
          <w:sz w:val="20"/>
          <w:szCs w:val="20"/>
        </w:rPr>
      </w:pPr>
      <w:r w:rsidRPr="005D248B">
        <w:rPr>
          <w:rFonts w:ascii="Arial" w:hAnsi="Arial" w:cs="Arial"/>
          <w:sz w:val="20"/>
          <w:szCs w:val="20"/>
        </w:rPr>
        <w:t>(3)</w:t>
      </w:r>
      <w:r w:rsidRPr="005D248B">
        <w:rPr>
          <w:rFonts w:ascii="Arial" w:hAnsi="Arial" w:cs="Arial"/>
          <w:sz w:val="20"/>
          <w:szCs w:val="20"/>
        </w:rPr>
        <w:tab/>
      </w:r>
      <w:r w:rsidRPr="005D248B">
        <w:rPr>
          <w:rFonts w:ascii="Arial" w:hAnsi="Arial" w:cs="Arial"/>
          <w:noProof/>
          <w:position w:val="-30"/>
          <w:sz w:val="20"/>
          <w:szCs w:val="20"/>
        </w:rPr>
        <w:object w:dxaOrig="5460" w:dyaOrig="859" w14:anchorId="238DE150">
          <v:shape id="_x0000_i1030" type="#_x0000_t75" alt="" style="width:311pt;height:50.5pt;mso-width-percent:0;mso-height-percent:0;mso-width-percent:0;mso-height-percent:0" o:ole="" fillcolor="window">
            <v:imagedata r:id="rId31" o:title=""/>
          </v:shape>
          <o:OLEObject Type="Embed" ProgID="Equation.3" ShapeID="_x0000_i1030" DrawAspect="Content" ObjectID="_1700909235" r:id="rId32"/>
        </w:object>
      </w:r>
      <w:r w:rsidRPr="005D248B">
        <w:rPr>
          <w:rFonts w:ascii="Arial" w:hAnsi="Arial" w:cs="Arial"/>
          <w:sz w:val="20"/>
          <w:szCs w:val="20"/>
        </w:rPr>
        <w:t>.</w:t>
      </w:r>
    </w:p>
    <w:p w14:paraId="00C96E73" w14:textId="77777777" w:rsidR="00DE2FB0" w:rsidRDefault="00DE2FB0">
      <w:pPr>
        <w:spacing w:after="120"/>
        <w:jc w:val="both"/>
        <w:rPr>
          <w:rFonts w:ascii="Arial" w:hAnsi="Arial" w:cs="Arial"/>
          <w:sz w:val="20"/>
          <w:szCs w:val="20"/>
        </w:rPr>
      </w:pPr>
    </w:p>
    <w:p w14:paraId="4A9EE973" w14:textId="77777777" w:rsidR="00DE2FB0" w:rsidRDefault="00194E59">
      <w:pPr>
        <w:spacing w:after="120"/>
        <w:jc w:val="both"/>
        <w:rPr>
          <w:rFonts w:ascii="Arial" w:hAnsi="Arial" w:cs="Arial"/>
          <w:sz w:val="20"/>
          <w:szCs w:val="20"/>
        </w:rPr>
      </w:pPr>
      <w:r w:rsidRPr="005D248B">
        <w:rPr>
          <w:rFonts w:ascii="Arial" w:hAnsi="Arial" w:cs="Arial"/>
          <w:sz w:val="20"/>
          <w:szCs w:val="20"/>
        </w:rPr>
        <w:t>Sotto le ipotesi del modello di contabilità della crescita standard, quindi, il tasso di variazione del progresso tecnico (ovvero lo spostamento nel tempo della funzione di produzione per dati livelli di capitale e di lavoro) può essere misurato utilizzando solamente i dati su prezzi e quantità dell’output e degli input.</w:t>
      </w:r>
    </w:p>
    <w:p w14:paraId="4D6EB90B" w14:textId="77777777" w:rsidR="00DE2FB0" w:rsidRDefault="00194E59">
      <w:pPr>
        <w:spacing w:after="120"/>
        <w:jc w:val="both"/>
        <w:rPr>
          <w:rFonts w:ascii="Arial" w:hAnsi="Arial" w:cs="Arial"/>
          <w:sz w:val="20"/>
          <w:szCs w:val="20"/>
        </w:rPr>
      </w:pPr>
      <w:r w:rsidRPr="005D248B">
        <w:rPr>
          <w:rFonts w:ascii="Arial" w:hAnsi="Arial" w:cs="Arial"/>
          <w:sz w:val="20"/>
          <w:szCs w:val="20"/>
        </w:rPr>
        <w:t xml:space="preserve">L’espressione (3) è definita nel continuo ed ha la forma di un indice di </w:t>
      </w:r>
      <w:proofErr w:type="spellStart"/>
      <w:r w:rsidRPr="005D248B">
        <w:rPr>
          <w:rFonts w:ascii="Arial" w:hAnsi="Arial" w:cs="Arial"/>
          <w:sz w:val="20"/>
          <w:szCs w:val="20"/>
        </w:rPr>
        <w:t>Divisia</w:t>
      </w:r>
      <w:proofErr w:type="spellEnd"/>
      <w:r w:rsidRPr="005D248B">
        <w:rPr>
          <w:rFonts w:ascii="Arial" w:hAnsi="Arial" w:cs="Arial"/>
          <w:sz w:val="20"/>
          <w:szCs w:val="20"/>
        </w:rPr>
        <w:t xml:space="preserve">. Si dimostra che tale indice può essere approssimato nel tempo discreto dalla misura della variazione della produttività totale dei fattori ottenuta con l’indice di </w:t>
      </w:r>
      <w:proofErr w:type="spellStart"/>
      <w:r w:rsidRPr="005D248B">
        <w:rPr>
          <w:rFonts w:ascii="Arial" w:hAnsi="Arial" w:cs="Arial"/>
          <w:sz w:val="20"/>
          <w:szCs w:val="20"/>
        </w:rPr>
        <w:t>Tornqvist</w:t>
      </w:r>
      <w:proofErr w:type="spellEnd"/>
      <w:r w:rsidRPr="005D248B">
        <w:rPr>
          <w:rFonts w:ascii="Arial" w:hAnsi="Arial" w:cs="Arial"/>
          <w:sz w:val="20"/>
          <w:szCs w:val="20"/>
        </w:rPr>
        <w:t>.</w:t>
      </w:r>
      <w:r>
        <w:rPr>
          <w:rFonts w:ascii="Arial" w:hAnsi="Arial" w:cs="Arial"/>
          <w:sz w:val="20"/>
          <w:szCs w:val="20"/>
        </w:rPr>
        <w:t xml:space="preserve"> </w:t>
      </w:r>
      <w:r w:rsidRPr="005D248B">
        <w:rPr>
          <w:rFonts w:ascii="Arial" w:hAnsi="Arial" w:cs="Arial"/>
          <w:sz w:val="20"/>
          <w:szCs w:val="20"/>
        </w:rPr>
        <w:t xml:space="preserve">In altre parole, se sono soddisfatte le ipotesi del modello di contabilità della crescita, l’indice di </w:t>
      </w:r>
      <w:proofErr w:type="spellStart"/>
      <w:r w:rsidRPr="005D248B">
        <w:rPr>
          <w:rFonts w:ascii="Arial" w:hAnsi="Arial" w:cs="Arial"/>
          <w:sz w:val="20"/>
          <w:szCs w:val="20"/>
        </w:rPr>
        <w:t>Tornqvist</w:t>
      </w:r>
      <w:proofErr w:type="spellEnd"/>
      <w:r w:rsidRPr="005D248B">
        <w:rPr>
          <w:rFonts w:ascii="Arial" w:hAnsi="Arial" w:cs="Arial"/>
          <w:sz w:val="20"/>
          <w:szCs w:val="20"/>
        </w:rPr>
        <w:t xml:space="preserve"> della produttività totale dei fattori (l’espressione (13) definita </w:t>
      </w:r>
      <w:r>
        <w:rPr>
          <w:rFonts w:ascii="Arial" w:hAnsi="Arial" w:cs="Arial"/>
          <w:sz w:val="20"/>
          <w:szCs w:val="20"/>
        </w:rPr>
        <w:t>di seguito nella metodologia di calcolo</w:t>
      </w:r>
      <w:r w:rsidRPr="005D248B">
        <w:rPr>
          <w:rFonts w:ascii="Arial" w:hAnsi="Arial" w:cs="Arial"/>
          <w:sz w:val="20"/>
          <w:szCs w:val="20"/>
        </w:rPr>
        <w:t>) è una misura dell’evoluzione del progresso tecnico, ovvero misura la variazione dell’output non dovuta a variazioni nell’impiego dei fattori produttivi.</w:t>
      </w:r>
    </w:p>
    <w:p w14:paraId="2BBDBF40" w14:textId="77777777" w:rsidR="00DE2FB0" w:rsidRDefault="00194E59">
      <w:pPr>
        <w:spacing w:after="120"/>
        <w:jc w:val="both"/>
        <w:rPr>
          <w:rFonts w:ascii="Arial" w:hAnsi="Arial" w:cs="Arial"/>
          <w:sz w:val="20"/>
          <w:szCs w:val="20"/>
        </w:rPr>
      </w:pPr>
      <w:r w:rsidRPr="005D248B">
        <w:rPr>
          <w:rFonts w:ascii="Arial" w:hAnsi="Arial" w:cs="Arial"/>
          <w:sz w:val="20"/>
          <w:szCs w:val="20"/>
        </w:rPr>
        <w:t xml:space="preserve">Il modello di contabilità della crescita permette di dare un’interpretazione economica anche agli elementi dell’indice composito degli input. Infatti, il contributo di ogni fattore al tasso di crescita dell’indice composito degli input (l’espressione (12) definita </w:t>
      </w:r>
      <w:r>
        <w:rPr>
          <w:rFonts w:ascii="Arial" w:hAnsi="Arial" w:cs="Arial"/>
          <w:sz w:val="20"/>
          <w:szCs w:val="20"/>
        </w:rPr>
        <w:t>di seguito</w:t>
      </w:r>
      <w:r w:rsidRPr="005D248B">
        <w:rPr>
          <w:rFonts w:ascii="Arial" w:hAnsi="Arial" w:cs="Arial"/>
          <w:sz w:val="20"/>
          <w:szCs w:val="20"/>
        </w:rPr>
        <w:t>) rappresenta anche il contributo di quel fattore produttivo alla crescita dell’indice di volume del valore aggiunto.</w:t>
      </w:r>
      <w:r>
        <w:rPr>
          <w:rFonts w:ascii="Arial" w:hAnsi="Arial" w:cs="Arial"/>
          <w:sz w:val="20"/>
          <w:szCs w:val="20"/>
        </w:rPr>
        <w:t xml:space="preserve"> </w:t>
      </w:r>
      <w:r w:rsidRPr="005D248B">
        <w:rPr>
          <w:rFonts w:ascii="Arial" w:hAnsi="Arial" w:cs="Arial"/>
          <w:sz w:val="20"/>
          <w:szCs w:val="20"/>
        </w:rPr>
        <w:t>Inoltre, l’approccio di contabilità della crescita permette di derivare gli indici di volume degli input. Secondo l’ap</w:t>
      </w:r>
      <w:r w:rsidRPr="005D248B">
        <w:rPr>
          <w:rFonts w:ascii="Arial" w:hAnsi="Arial" w:cs="Arial"/>
          <w:color w:val="000000"/>
          <w:sz w:val="20"/>
          <w:szCs w:val="20"/>
        </w:rPr>
        <w:t xml:space="preserve">proccio proposto originariamente da </w:t>
      </w:r>
      <w:proofErr w:type="spellStart"/>
      <w:r w:rsidRPr="005D248B">
        <w:rPr>
          <w:rFonts w:ascii="Arial" w:hAnsi="Arial" w:cs="Arial"/>
          <w:color w:val="000000"/>
          <w:sz w:val="20"/>
          <w:szCs w:val="20"/>
        </w:rPr>
        <w:t>Jorgenson</w:t>
      </w:r>
      <w:proofErr w:type="spellEnd"/>
      <w:r w:rsidRPr="005D248B">
        <w:rPr>
          <w:rFonts w:ascii="Arial" w:hAnsi="Arial" w:cs="Arial"/>
          <w:color w:val="000000"/>
          <w:sz w:val="20"/>
          <w:szCs w:val="20"/>
        </w:rPr>
        <w:t xml:space="preserve"> e </w:t>
      </w:r>
      <w:proofErr w:type="spellStart"/>
      <w:r w:rsidRPr="005D248B">
        <w:rPr>
          <w:rFonts w:ascii="Arial" w:hAnsi="Arial" w:cs="Arial"/>
          <w:color w:val="000000"/>
          <w:sz w:val="20"/>
          <w:szCs w:val="20"/>
        </w:rPr>
        <w:t>Griliches</w:t>
      </w:r>
      <w:proofErr w:type="spellEnd"/>
      <w:r w:rsidRPr="005D248B">
        <w:rPr>
          <w:rFonts w:ascii="Arial" w:hAnsi="Arial" w:cs="Arial"/>
          <w:color w:val="000000"/>
          <w:sz w:val="20"/>
          <w:szCs w:val="20"/>
        </w:rPr>
        <w:t xml:space="preserve"> (1967), la misurazione di ciascun fattore deve tener conto dell’eterogeneità delle sue componenti in termini delle rispettive capacità di generare servizi produttivi (più precisamente, in termini delle rispettive produttività marginali). L’indice di volume di ogni input deve quindi riflettere sia </w:t>
      </w:r>
      <w:r>
        <w:rPr>
          <w:rFonts w:ascii="Arial" w:hAnsi="Arial" w:cs="Arial"/>
          <w:color w:val="000000"/>
          <w:sz w:val="20"/>
          <w:szCs w:val="20"/>
        </w:rPr>
        <w:t xml:space="preserve">le </w:t>
      </w:r>
      <w:r w:rsidRPr="005D248B">
        <w:rPr>
          <w:rFonts w:ascii="Arial" w:hAnsi="Arial" w:cs="Arial"/>
          <w:color w:val="000000"/>
          <w:sz w:val="20"/>
          <w:szCs w:val="20"/>
        </w:rPr>
        <w:t xml:space="preserve">variazioni nella quantità di servizi forniti da </w:t>
      </w:r>
      <w:r w:rsidRPr="005D248B">
        <w:rPr>
          <w:rFonts w:ascii="Arial" w:hAnsi="Arial" w:cs="Arial"/>
          <w:sz w:val="20"/>
          <w:szCs w:val="20"/>
        </w:rPr>
        <w:t>ogni tipologia, sia i mutamenti della sua composizione.</w:t>
      </w:r>
    </w:p>
    <w:p w14:paraId="295ED570" w14:textId="77777777" w:rsidR="00DE2FB0" w:rsidRDefault="00194E59">
      <w:pPr>
        <w:spacing w:after="120"/>
        <w:jc w:val="both"/>
        <w:rPr>
          <w:rFonts w:ascii="Arial" w:hAnsi="Arial" w:cs="Arial"/>
          <w:color w:val="000000"/>
          <w:sz w:val="20"/>
          <w:szCs w:val="20"/>
        </w:rPr>
      </w:pPr>
      <w:r w:rsidRPr="005D248B">
        <w:rPr>
          <w:rFonts w:ascii="Arial" w:hAnsi="Arial" w:cs="Arial"/>
          <w:sz w:val="20"/>
          <w:szCs w:val="20"/>
        </w:rPr>
        <w:t>Applicando la stessa procedura</w:t>
      </w:r>
      <w:r w:rsidRPr="005D248B">
        <w:rPr>
          <w:rFonts w:ascii="Arial" w:hAnsi="Arial" w:cs="Arial"/>
          <w:color w:val="000000"/>
          <w:sz w:val="20"/>
          <w:szCs w:val="20"/>
        </w:rPr>
        <w:t xml:space="preserve"> che ha portato alla derivazione dell’equazione di contabilità della crescita, si dimostra che l’indice di volume di ogni input può essere approssimato da un indice di </w:t>
      </w:r>
      <w:proofErr w:type="spellStart"/>
      <w:r w:rsidRPr="005D248B">
        <w:rPr>
          <w:rFonts w:ascii="Arial" w:hAnsi="Arial" w:cs="Arial"/>
          <w:color w:val="000000"/>
          <w:sz w:val="20"/>
          <w:szCs w:val="20"/>
        </w:rPr>
        <w:t>Tornqvist</w:t>
      </w:r>
      <w:proofErr w:type="spellEnd"/>
      <w:r w:rsidRPr="005D248B">
        <w:rPr>
          <w:rFonts w:ascii="Arial" w:hAnsi="Arial" w:cs="Arial"/>
          <w:color w:val="000000"/>
          <w:sz w:val="20"/>
          <w:szCs w:val="20"/>
        </w:rPr>
        <w:t xml:space="preserve"> che aggrega gli indici di volume delle singole componenti di ogni fattore produttivo, utilizzando come pesi le quote di ciascuna tipologia sul costo complessivo di quel fattore.</w:t>
      </w:r>
    </w:p>
    <w:p w14:paraId="362F05B3" w14:textId="77777777" w:rsidR="00DE2FB0" w:rsidRDefault="00194E59">
      <w:pPr>
        <w:spacing w:after="120"/>
        <w:jc w:val="both"/>
        <w:rPr>
          <w:rFonts w:ascii="Arial" w:hAnsi="Arial" w:cs="Arial"/>
          <w:color w:val="000000"/>
          <w:sz w:val="20"/>
          <w:szCs w:val="20"/>
        </w:rPr>
      </w:pPr>
      <w:r w:rsidRPr="005D248B">
        <w:rPr>
          <w:rFonts w:ascii="Arial" w:hAnsi="Arial" w:cs="Arial"/>
          <w:color w:val="000000"/>
          <w:sz w:val="20"/>
          <w:szCs w:val="20"/>
        </w:rPr>
        <w:t xml:space="preserve">L’indice di volume dell’input di capitale utilizzato nelle misure di produttività prodotte dall’Istat è un indice di </w:t>
      </w:r>
      <w:proofErr w:type="spellStart"/>
      <w:r w:rsidRPr="005D248B">
        <w:rPr>
          <w:rFonts w:ascii="Arial" w:hAnsi="Arial" w:cs="Arial"/>
          <w:color w:val="000000"/>
          <w:sz w:val="20"/>
          <w:szCs w:val="20"/>
        </w:rPr>
        <w:t>Tornqvist</w:t>
      </w:r>
      <w:proofErr w:type="spellEnd"/>
      <w:r w:rsidRPr="005D248B">
        <w:rPr>
          <w:rFonts w:ascii="Arial" w:hAnsi="Arial" w:cs="Arial"/>
          <w:color w:val="000000"/>
          <w:sz w:val="20"/>
          <w:szCs w:val="20"/>
        </w:rPr>
        <w:t xml:space="preserve"> che utilizza pesi espressi in termini di quote sul costo totale per i servizi del capitale. Esso è, quindi, sensibile a eventuali mutamenti nella composizione dello </w:t>
      </w:r>
      <w:r w:rsidR="00483D0B" w:rsidRPr="00483D0B">
        <w:rPr>
          <w:rFonts w:ascii="Arial" w:hAnsi="Arial" w:cs="Arial"/>
          <w:i/>
          <w:iCs/>
          <w:color w:val="000000"/>
          <w:sz w:val="20"/>
          <w:szCs w:val="20"/>
        </w:rPr>
        <w:t>stock</w:t>
      </w:r>
      <w:r w:rsidRPr="005D248B">
        <w:rPr>
          <w:rFonts w:ascii="Arial" w:hAnsi="Arial" w:cs="Arial"/>
          <w:color w:val="000000"/>
          <w:sz w:val="20"/>
          <w:szCs w:val="20"/>
        </w:rPr>
        <w:t xml:space="preserve"> di capitale aggregato tra beni caratterizzati da una diversa produttività marginale.</w:t>
      </w:r>
      <w:r>
        <w:rPr>
          <w:rFonts w:ascii="Arial" w:hAnsi="Arial" w:cs="Arial"/>
          <w:color w:val="000000"/>
          <w:sz w:val="20"/>
          <w:szCs w:val="20"/>
        </w:rPr>
        <w:t xml:space="preserve"> Al contrario</w:t>
      </w:r>
      <w:r w:rsidRPr="005D248B">
        <w:rPr>
          <w:rFonts w:ascii="Arial" w:hAnsi="Arial" w:cs="Arial"/>
          <w:color w:val="000000"/>
          <w:sz w:val="20"/>
          <w:szCs w:val="20"/>
        </w:rPr>
        <w:t xml:space="preserve">, l’input di lavoro misurato come semplice somma delle ore lavorate dalle diverse tipologie di occupati non riflette mutamenti nella composizione. </w:t>
      </w:r>
    </w:p>
    <w:p w14:paraId="44FA7FF7" w14:textId="77777777" w:rsidR="00DE2FB0" w:rsidRDefault="00194E59">
      <w:pPr>
        <w:spacing w:after="120"/>
        <w:jc w:val="both"/>
        <w:rPr>
          <w:rFonts w:ascii="Arial" w:hAnsi="Arial" w:cs="Arial"/>
          <w:sz w:val="20"/>
          <w:szCs w:val="20"/>
        </w:rPr>
      </w:pPr>
      <w:r w:rsidRPr="005D248B">
        <w:rPr>
          <w:rFonts w:ascii="Arial" w:hAnsi="Arial" w:cs="Arial"/>
          <w:color w:val="000000"/>
          <w:sz w:val="20"/>
          <w:szCs w:val="20"/>
        </w:rPr>
        <w:t>Infine, il modello di contabilità della crescita identifica il legame esistente tra produttività del lavoro e produttività totale dei fattori.</w:t>
      </w:r>
      <w:r>
        <w:rPr>
          <w:rFonts w:ascii="Arial" w:hAnsi="Arial" w:cs="Arial"/>
          <w:color w:val="000000"/>
          <w:sz w:val="20"/>
          <w:szCs w:val="20"/>
        </w:rPr>
        <w:t xml:space="preserve"> </w:t>
      </w:r>
      <w:r w:rsidRPr="005D248B">
        <w:rPr>
          <w:rFonts w:ascii="Arial" w:hAnsi="Arial" w:cs="Arial"/>
          <w:color w:val="000000"/>
          <w:sz w:val="20"/>
          <w:szCs w:val="20"/>
        </w:rPr>
        <w:t>Ipotizzando che l’input di lavoro coincida con il monte ore lavorate (ovvero trascurando il ruolo di mutamenti nella composizione</w:t>
      </w:r>
      <w:r w:rsidRPr="005D248B">
        <w:rPr>
          <w:rFonts w:ascii="Arial" w:hAnsi="Arial" w:cs="Arial"/>
          <w:sz w:val="20"/>
          <w:szCs w:val="20"/>
        </w:rPr>
        <w:t xml:space="preserve"> della forza lavoro), si può dimostrare, infatti, che il tasso di crescita del valore aggiunto per ora lavorata può essere espresso come somma del tasso di crescita dell’input di capitale per ora lavorata, ponderato per la quota del capitale sul valore aggiunto e del tasso di crescita della produttività totale dei fattori</w:t>
      </w:r>
      <w:r w:rsidRPr="005D248B">
        <w:rPr>
          <w:rStyle w:val="Rimandonotaapidipagina"/>
          <w:rFonts w:ascii="Arial" w:hAnsi="Arial" w:cs="Arial"/>
          <w:sz w:val="20"/>
          <w:szCs w:val="20"/>
        </w:rPr>
        <w:footnoteReference w:id="2"/>
      </w:r>
      <w:r w:rsidRPr="005D248B">
        <w:rPr>
          <w:rFonts w:ascii="Arial" w:hAnsi="Arial" w:cs="Arial"/>
          <w:sz w:val="20"/>
          <w:szCs w:val="20"/>
        </w:rPr>
        <w:t xml:space="preserve"> (che in questo modello coincide con il progresso tecnico):</w:t>
      </w:r>
    </w:p>
    <w:p w14:paraId="590BFBB3" w14:textId="77777777" w:rsidR="00194E59" w:rsidRPr="005D248B" w:rsidRDefault="00194E59" w:rsidP="00194E59">
      <w:pPr>
        <w:jc w:val="center"/>
        <w:rPr>
          <w:rFonts w:ascii="Arial" w:hAnsi="Arial" w:cs="Arial"/>
          <w:sz w:val="20"/>
          <w:szCs w:val="20"/>
        </w:rPr>
      </w:pPr>
      <w:r w:rsidRPr="005D248B">
        <w:rPr>
          <w:rFonts w:ascii="Arial" w:hAnsi="Arial" w:cs="Arial"/>
          <w:sz w:val="20"/>
          <w:szCs w:val="20"/>
        </w:rPr>
        <w:t>(4)</w:t>
      </w:r>
      <w:r w:rsidRPr="005D248B">
        <w:rPr>
          <w:rFonts w:ascii="Arial" w:hAnsi="Arial" w:cs="Arial"/>
          <w:sz w:val="20"/>
          <w:szCs w:val="20"/>
        </w:rPr>
        <w:tab/>
      </w:r>
      <w:r w:rsidRPr="005D248B">
        <w:rPr>
          <w:rFonts w:ascii="Arial" w:hAnsi="Arial" w:cs="Arial"/>
          <w:noProof/>
          <w:position w:val="-30"/>
          <w:sz w:val="20"/>
          <w:szCs w:val="20"/>
        </w:rPr>
        <w:object w:dxaOrig="2920" w:dyaOrig="859" w14:anchorId="15098D9C">
          <v:shape id="_x0000_i1031" type="#_x0000_t75" alt="" style="width:165.5pt;height:50.5pt;mso-width-percent:0;mso-height-percent:0;mso-width-percent:0;mso-height-percent:0" o:ole="" fillcolor="window">
            <v:imagedata r:id="rId33" o:title=""/>
          </v:shape>
          <o:OLEObject Type="Embed" ProgID="Equation.3" ShapeID="_x0000_i1031" DrawAspect="Content" ObjectID="_1700909236" r:id="rId34"/>
        </w:object>
      </w:r>
      <w:r w:rsidRPr="005D248B">
        <w:rPr>
          <w:rFonts w:ascii="Arial" w:hAnsi="Arial" w:cs="Arial"/>
          <w:sz w:val="20"/>
          <w:szCs w:val="20"/>
        </w:rPr>
        <w:t>.</w:t>
      </w:r>
    </w:p>
    <w:p w14:paraId="3BC3DB1E" w14:textId="77777777" w:rsidR="00DE2FB0" w:rsidRDefault="00DE2FB0">
      <w:pPr>
        <w:spacing w:after="120"/>
        <w:jc w:val="both"/>
        <w:rPr>
          <w:rFonts w:ascii="Arial" w:hAnsi="Arial" w:cs="Arial"/>
          <w:sz w:val="20"/>
          <w:szCs w:val="20"/>
        </w:rPr>
      </w:pPr>
    </w:p>
    <w:p w14:paraId="63B9E69D" w14:textId="77777777" w:rsidR="00DE2FB0" w:rsidRDefault="00194E59">
      <w:pPr>
        <w:spacing w:after="120"/>
        <w:jc w:val="both"/>
        <w:rPr>
          <w:rFonts w:ascii="Arial" w:hAnsi="Arial" w:cs="Arial"/>
          <w:color w:val="000000"/>
          <w:sz w:val="20"/>
          <w:szCs w:val="20"/>
        </w:rPr>
      </w:pPr>
      <w:r w:rsidRPr="005D248B">
        <w:rPr>
          <w:rFonts w:ascii="Arial" w:hAnsi="Arial" w:cs="Arial"/>
          <w:sz w:val="20"/>
          <w:szCs w:val="20"/>
        </w:rPr>
        <w:t xml:space="preserve">Si noti che il contributo della produttività totale dei fattori alla crescita del valore aggiunto per ora lavorata coincide con il </w:t>
      </w:r>
      <w:r w:rsidRPr="005D248B">
        <w:rPr>
          <w:rFonts w:ascii="Arial" w:hAnsi="Arial" w:cs="Arial"/>
          <w:color w:val="000000"/>
          <w:sz w:val="20"/>
          <w:szCs w:val="20"/>
        </w:rPr>
        <w:t xml:space="preserve">suo contributo alla crescita del valore aggiunto. </w:t>
      </w:r>
    </w:p>
    <w:p w14:paraId="6DD0F145" w14:textId="77777777" w:rsidR="00DE2FB0" w:rsidRDefault="00483D0B">
      <w:pPr>
        <w:spacing w:after="120"/>
        <w:jc w:val="both"/>
        <w:rPr>
          <w:rFonts w:ascii="Arial" w:hAnsi="Arial" w:cs="Arial"/>
          <w:b/>
          <w:bCs/>
          <w:color w:val="1F497D" w:themeColor="text2"/>
          <w:sz w:val="22"/>
          <w:szCs w:val="22"/>
        </w:rPr>
      </w:pPr>
      <w:r w:rsidRPr="00483D0B">
        <w:rPr>
          <w:rFonts w:ascii="Arial" w:hAnsi="Arial" w:cs="Arial"/>
          <w:b/>
          <w:bCs/>
          <w:color w:val="1F497D" w:themeColor="text2"/>
          <w:sz w:val="22"/>
          <w:szCs w:val="22"/>
        </w:rPr>
        <w:t>Metodologia di calcolo</w:t>
      </w:r>
    </w:p>
    <w:p w14:paraId="03C4D4EA" w14:textId="77777777" w:rsidR="00DE2FB0" w:rsidRDefault="00194E59">
      <w:pPr>
        <w:spacing w:after="120"/>
        <w:jc w:val="both"/>
        <w:rPr>
          <w:rFonts w:ascii="Arial" w:hAnsi="Arial" w:cs="Arial"/>
          <w:sz w:val="20"/>
          <w:szCs w:val="20"/>
        </w:rPr>
      </w:pPr>
      <w:r w:rsidRPr="005D248B">
        <w:rPr>
          <w:rFonts w:ascii="Arial" w:hAnsi="Arial" w:cs="Arial"/>
          <w:sz w:val="20"/>
          <w:szCs w:val="20"/>
          <w:u w:val="single"/>
        </w:rPr>
        <w:t>Indice di volume dell’output</w:t>
      </w:r>
    </w:p>
    <w:p w14:paraId="3128B767" w14:textId="77777777" w:rsidR="00DE2FB0" w:rsidRDefault="00194E59">
      <w:pPr>
        <w:spacing w:after="120"/>
        <w:jc w:val="both"/>
        <w:rPr>
          <w:rFonts w:ascii="Arial" w:hAnsi="Arial" w:cs="Arial"/>
          <w:sz w:val="20"/>
          <w:szCs w:val="20"/>
        </w:rPr>
      </w:pPr>
      <w:r w:rsidRPr="005D248B">
        <w:rPr>
          <w:rFonts w:ascii="Arial" w:hAnsi="Arial" w:cs="Arial"/>
          <w:sz w:val="20"/>
          <w:szCs w:val="20"/>
        </w:rPr>
        <w:t>La misura di volume del valore aggiunto (Y) è data dalla serie del valore aggiunto a prezzi base espresso a valori concatenati</w:t>
      </w:r>
      <w:r>
        <w:rPr>
          <w:rFonts w:ascii="Arial" w:hAnsi="Arial" w:cs="Arial"/>
          <w:sz w:val="20"/>
          <w:szCs w:val="20"/>
        </w:rPr>
        <w:t>, con anno di riferimento 2015</w:t>
      </w:r>
      <w:r w:rsidRPr="005D248B">
        <w:rPr>
          <w:rFonts w:ascii="Arial" w:hAnsi="Arial" w:cs="Arial"/>
          <w:sz w:val="20"/>
          <w:szCs w:val="20"/>
        </w:rPr>
        <w:t>.</w:t>
      </w:r>
    </w:p>
    <w:p w14:paraId="0210AC36" w14:textId="77777777" w:rsidR="00DE2FB0" w:rsidRDefault="00194E59">
      <w:pPr>
        <w:spacing w:after="120"/>
        <w:jc w:val="both"/>
        <w:rPr>
          <w:rFonts w:ascii="Arial" w:hAnsi="Arial" w:cs="Arial"/>
          <w:sz w:val="20"/>
          <w:szCs w:val="20"/>
        </w:rPr>
      </w:pPr>
      <w:r w:rsidRPr="005D248B">
        <w:rPr>
          <w:rFonts w:ascii="Arial" w:hAnsi="Arial" w:cs="Arial"/>
          <w:sz w:val="20"/>
          <w:szCs w:val="20"/>
        </w:rPr>
        <w:t>I tassi di variazione annuali sono calcolati come tassi di variazione logaritmici:</w:t>
      </w:r>
    </w:p>
    <w:p w14:paraId="54AB3329" w14:textId="77777777" w:rsidR="00DE2FB0" w:rsidRDefault="00DE2FB0">
      <w:pPr>
        <w:spacing w:after="120"/>
        <w:jc w:val="both"/>
        <w:rPr>
          <w:rFonts w:ascii="Arial" w:hAnsi="Arial" w:cs="Arial"/>
          <w:sz w:val="20"/>
          <w:szCs w:val="20"/>
        </w:rPr>
      </w:pPr>
    </w:p>
    <w:p w14:paraId="46D697CB" w14:textId="77777777" w:rsidR="00194E59" w:rsidRPr="005D248B" w:rsidRDefault="00194E59" w:rsidP="00194E59">
      <w:pPr>
        <w:spacing w:after="120"/>
        <w:jc w:val="center"/>
        <w:rPr>
          <w:rFonts w:ascii="Arial" w:hAnsi="Arial" w:cs="Arial"/>
          <w:sz w:val="20"/>
          <w:szCs w:val="20"/>
        </w:rPr>
      </w:pPr>
      <w:r w:rsidRPr="005D248B">
        <w:rPr>
          <w:rFonts w:ascii="Arial" w:hAnsi="Arial" w:cs="Arial"/>
          <w:sz w:val="20"/>
          <w:szCs w:val="20"/>
        </w:rPr>
        <w:t>(5)</w:t>
      </w:r>
      <w:r w:rsidRPr="005D248B">
        <w:rPr>
          <w:rFonts w:ascii="Arial" w:hAnsi="Arial" w:cs="Arial"/>
          <w:sz w:val="20"/>
          <w:szCs w:val="20"/>
        </w:rPr>
        <w:tab/>
      </w:r>
      <w:r w:rsidRPr="005D248B">
        <w:rPr>
          <w:rFonts w:ascii="Arial" w:hAnsi="Arial" w:cs="Arial"/>
          <w:noProof/>
          <w:position w:val="-16"/>
          <w:sz w:val="20"/>
          <w:szCs w:val="20"/>
        </w:rPr>
        <w:object w:dxaOrig="1540" w:dyaOrig="600" w14:anchorId="2A8A6174">
          <v:shape id="_x0000_i1032" type="#_x0000_t75" alt="" style="width:56.5pt;height:22pt;mso-width-percent:0;mso-height-percent:0;mso-width-percent:0;mso-height-percent:0" o:ole="" fillcolor="window">
            <v:imagedata r:id="rId35" o:title=""/>
          </v:shape>
          <o:OLEObject Type="Embed" ProgID="Equation.3" ShapeID="_x0000_i1032" DrawAspect="Content" ObjectID="_1700909237" r:id="rId36"/>
        </w:object>
      </w:r>
      <w:r w:rsidRPr="005D248B">
        <w:rPr>
          <w:rFonts w:ascii="Arial" w:hAnsi="Arial" w:cs="Arial"/>
          <w:sz w:val="20"/>
          <w:szCs w:val="20"/>
        </w:rPr>
        <w:t>.</w:t>
      </w:r>
    </w:p>
    <w:p w14:paraId="318A26CE" w14:textId="77777777" w:rsidR="00194E59" w:rsidRPr="005D248B" w:rsidRDefault="00194E59" w:rsidP="00194E59">
      <w:pPr>
        <w:spacing w:after="120"/>
        <w:jc w:val="both"/>
        <w:rPr>
          <w:rFonts w:ascii="Arial" w:hAnsi="Arial" w:cs="Arial"/>
          <w:sz w:val="20"/>
          <w:szCs w:val="20"/>
        </w:rPr>
      </w:pPr>
    </w:p>
    <w:p w14:paraId="1BFF816F"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u w:val="single"/>
        </w:rPr>
        <w:t>Input di lavoro</w:t>
      </w:r>
    </w:p>
    <w:p w14:paraId="34153593"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L’input di lavoro (L) è misurato in termini di ore lavorate.</w:t>
      </w:r>
    </w:p>
    <w:p w14:paraId="2CB50F5C"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I tassi di variazione annuali sono calcolati come tassi di variazione logaritmici:</w:t>
      </w:r>
    </w:p>
    <w:p w14:paraId="391B16C9" w14:textId="77777777" w:rsidR="00194E59" w:rsidRPr="007520F6" w:rsidRDefault="00194E59" w:rsidP="00194E59">
      <w:pPr>
        <w:spacing w:after="120"/>
        <w:jc w:val="center"/>
        <w:rPr>
          <w:rFonts w:ascii="Arial" w:hAnsi="Arial" w:cs="Arial"/>
          <w:position w:val="-16"/>
          <w:sz w:val="20"/>
          <w:szCs w:val="20"/>
        </w:rPr>
      </w:pPr>
      <w:r w:rsidRPr="005D248B">
        <w:rPr>
          <w:rFonts w:ascii="Arial" w:hAnsi="Arial" w:cs="Arial"/>
          <w:sz w:val="20"/>
          <w:szCs w:val="20"/>
        </w:rPr>
        <w:t>(6)</w:t>
      </w:r>
      <w:r w:rsidRPr="005D248B">
        <w:rPr>
          <w:rFonts w:ascii="Arial" w:hAnsi="Arial" w:cs="Arial"/>
          <w:sz w:val="20"/>
          <w:szCs w:val="20"/>
        </w:rPr>
        <w:tab/>
      </w:r>
      <w:r w:rsidRPr="005D248B">
        <w:rPr>
          <w:rFonts w:ascii="Arial" w:hAnsi="Arial" w:cs="Arial"/>
          <w:noProof/>
          <w:position w:val="-16"/>
          <w:sz w:val="20"/>
          <w:szCs w:val="20"/>
        </w:rPr>
        <w:object w:dxaOrig="1540" w:dyaOrig="600" w14:anchorId="19C9796F">
          <v:shape id="_x0000_i1033" type="#_x0000_t75" alt="" style="width:56.5pt;height:22pt;mso-width-percent:0;mso-height-percent:0;mso-width-percent:0;mso-height-percent:0" o:ole="" fillcolor="window">
            <v:imagedata r:id="rId37" o:title=""/>
          </v:shape>
          <o:OLEObject Type="Embed" ProgID="Equation.3" ShapeID="_x0000_i1033" DrawAspect="Content" ObjectID="_1700909238" r:id="rId38"/>
        </w:object>
      </w:r>
      <w:r w:rsidRPr="005D248B">
        <w:rPr>
          <w:rFonts w:ascii="Arial" w:hAnsi="Arial" w:cs="Arial"/>
          <w:sz w:val="20"/>
          <w:szCs w:val="20"/>
        </w:rPr>
        <w:t>.</w:t>
      </w:r>
    </w:p>
    <w:p w14:paraId="5F45F91B" w14:textId="77777777" w:rsidR="00DE2FB0" w:rsidRDefault="00194E59">
      <w:pPr>
        <w:spacing w:after="120"/>
        <w:jc w:val="both"/>
        <w:rPr>
          <w:rFonts w:ascii="Arial" w:hAnsi="Arial" w:cs="Arial"/>
          <w:sz w:val="20"/>
          <w:szCs w:val="20"/>
        </w:rPr>
      </w:pPr>
      <w:r w:rsidRPr="005D248B">
        <w:rPr>
          <w:rFonts w:ascii="Arial" w:hAnsi="Arial" w:cs="Arial"/>
          <w:sz w:val="20"/>
          <w:szCs w:val="20"/>
        </w:rPr>
        <w:t>Il monte ore lavorate rappresenta la misura più appropriata dell’input di lavoro ai fini dell’analisi della produttività. Esso, infatti, incorpora i cambiamenti degli orari pro-capite di fatto (dovuti alla dinamica della quota di lavoro part-time, ai cambiamenti del normale orario di lavoro, alle variazioni dello straordinario e delle assenze dal lavoro) e alle modificazioni del livello dell’occupazione, misurato in termini di posizioni lavorative.</w:t>
      </w:r>
    </w:p>
    <w:p w14:paraId="1A7263B7" w14:textId="77777777" w:rsidR="00DE2FB0" w:rsidRDefault="00DE2FB0">
      <w:pPr>
        <w:spacing w:after="120"/>
        <w:jc w:val="both"/>
        <w:rPr>
          <w:rFonts w:ascii="Arial" w:hAnsi="Arial" w:cs="Arial"/>
          <w:sz w:val="20"/>
          <w:szCs w:val="20"/>
          <w:u w:val="single"/>
        </w:rPr>
      </w:pPr>
    </w:p>
    <w:p w14:paraId="31683454" w14:textId="77777777" w:rsidR="00DE2FB0" w:rsidRDefault="00194E59">
      <w:pPr>
        <w:spacing w:after="120"/>
        <w:jc w:val="both"/>
        <w:rPr>
          <w:rFonts w:ascii="Arial" w:hAnsi="Arial" w:cs="Arial"/>
          <w:sz w:val="20"/>
          <w:szCs w:val="20"/>
        </w:rPr>
      </w:pPr>
      <w:r w:rsidRPr="005D248B">
        <w:rPr>
          <w:rFonts w:ascii="Arial" w:hAnsi="Arial" w:cs="Arial"/>
          <w:sz w:val="20"/>
          <w:szCs w:val="20"/>
          <w:u w:val="single"/>
        </w:rPr>
        <w:t>Input di capitale</w:t>
      </w:r>
    </w:p>
    <w:p w14:paraId="05AC53FC" w14:textId="77777777" w:rsidR="00DE2FB0" w:rsidRDefault="00194E59">
      <w:pPr>
        <w:spacing w:after="120"/>
        <w:jc w:val="both"/>
        <w:rPr>
          <w:rFonts w:ascii="Arial" w:hAnsi="Arial" w:cs="Arial"/>
          <w:sz w:val="20"/>
          <w:szCs w:val="20"/>
        </w:rPr>
      </w:pPr>
      <w:r w:rsidRPr="005D248B">
        <w:rPr>
          <w:rFonts w:ascii="Arial" w:hAnsi="Arial" w:cs="Arial"/>
          <w:sz w:val="20"/>
          <w:szCs w:val="20"/>
        </w:rPr>
        <w:t xml:space="preserve">L’input di capitale è misurato dal flusso di servizi produttivi forniti dallo </w:t>
      </w:r>
      <w:r w:rsidR="00483D0B" w:rsidRPr="00483D0B">
        <w:rPr>
          <w:rFonts w:ascii="Arial" w:hAnsi="Arial" w:cs="Arial"/>
          <w:i/>
          <w:iCs/>
          <w:sz w:val="20"/>
          <w:szCs w:val="20"/>
        </w:rPr>
        <w:t>stock</w:t>
      </w:r>
      <w:r w:rsidRPr="005D248B">
        <w:rPr>
          <w:rFonts w:ascii="Arial" w:hAnsi="Arial" w:cs="Arial"/>
          <w:sz w:val="20"/>
          <w:szCs w:val="20"/>
        </w:rPr>
        <w:t xml:space="preserve"> esistente di beni capitali</w:t>
      </w:r>
      <w:r>
        <w:rPr>
          <w:rFonts w:ascii="Arial" w:hAnsi="Arial" w:cs="Arial"/>
          <w:sz w:val="20"/>
          <w:szCs w:val="20"/>
        </w:rPr>
        <w:t xml:space="preserve"> (denominati servizi del capitale) e</w:t>
      </w:r>
      <w:r w:rsidRPr="005D248B">
        <w:rPr>
          <w:rFonts w:ascii="Arial" w:hAnsi="Arial" w:cs="Arial"/>
          <w:sz w:val="20"/>
          <w:szCs w:val="20"/>
        </w:rPr>
        <w:t xml:space="preserve"> sintetizzato in un indice di volume dei flussi di servizi generati da ciascuna tipologia di beni capitali.</w:t>
      </w:r>
    </w:p>
    <w:p w14:paraId="3F1E9961" w14:textId="77777777" w:rsidR="00DE2FB0" w:rsidRDefault="00194E59">
      <w:pPr>
        <w:spacing w:after="120"/>
        <w:jc w:val="both"/>
        <w:rPr>
          <w:rFonts w:ascii="Arial" w:hAnsi="Arial" w:cs="Arial"/>
          <w:sz w:val="20"/>
          <w:szCs w:val="20"/>
        </w:rPr>
      </w:pPr>
      <w:r w:rsidRPr="005D248B">
        <w:rPr>
          <w:rFonts w:ascii="Arial" w:hAnsi="Arial" w:cs="Arial"/>
          <w:sz w:val="20"/>
          <w:szCs w:val="20"/>
        </w:rPr>
        <w:t xml:space="preserve">Per ciascuna branca, l’indice di volume del capitale è ottenuto aggregando i tassi di variazione dello </w:t>
      </w:r>
      <w:r w:rsidR="00483D0B" w:rsidRPr="00483D0B">
        <w:rPr>
          <w:rFonts w:ascii="Arial" w:hAnsi="Arial" w:cs="Arial"/>
          <w:i/>
          <w:iCs/>
          <w:sz w:val="20"/>
          <w:szCs w:val="20"/>
        </w:rPr>
        <w:t>stock</w:t>
      </w:r>
      <w:r w:rsidRPr="005D248B">
        <w:rPr>
          <w:rFonts w:ascii="Arial" w:hAnsi="Arial" w:cs="Arial"/>
          <w:sz w:val="20"/>
          <w:szCs w:val="20"/>
        </w:rPr>
        <w:t xml:space="preserve"> di capitale produttivo di 14 tipologie di beni capitali attraverso la formula di </w:t>
      </w:r>
      <w:proofErr w:type="spellStart"/>
      <w:r w:rsidRPr="005D248B">
        <w:rPr>
          <w:rFonts w:ascii="Arial" w:hAnsi="Arial" w:cs="Arial"/>
          <w:sz w:val="20"/>
          <w:szCs w:val="20"/>
        </w:rPr>
        <w:t>Tornqvist</w:t>
      </w:r>
      <w:proofErr w:type="spellEnd"/>
      <w:r w:rsidRPr="005D248B">
        <w:rPr>
          <w:rFonts w:ascii="Arial" w:hAnsi="Arial" w:cs="Arial"/>
          <w:sz w:val="20"/>
          <w:szCs w:val="20"/>
        </w:rPr>
        <w:t>, con pesi dati dalla quota di ciascun tipo di bene capitale sul costo totale per i servizi del capitale della branca:</w:t>
      </w:r>
    </w:p>
    <w:p w14:paraId="13EEE5DF" w14:textId="77777777" w:rsidR="00DE2FB0" w:rsidRDefault="00DE2FB0">
      <w:pPr>
        <w:spacing w:after="120"/>
        <w:jc w:val="both"/>
        <w:rPr>
          <w:rFonts w:ascii="Arial" w:hAnsi="Arial" w:cs="Arial"/>
          <w:sz w:val="20"/>
          <w:szCs w:val="20"/>
        </w:rPr>
      </w:pPr>
    </w:p>
    <w:p w14:paraId="4EF5685D" w14:textId="77777777" w:rsidR="00194E59" w:rsidRPr="005D248B" w:rsidRDefault="00194E59" w:rsidP="00194E59">
      <w:pPr>
        <w:jc w:val="center"/>
        <w:rPr>
          <w:rFonts w:ascii="Arial" w:hAnsi="Arial" w:cs="Arial"/>
          <w:sz w:val="20"/>
          <w:szCs w:val="20"/>
        </w:rPr>
      </w:pPr>
      <w:r w:rsidRPr="005D248B">
        <w:rPr>
          <w:rFonts w:ascii="Arial" w:hAnsi="Arial" w:cs="Arial"/>
          <w:sz w:val="20"/>
          <w:szCs w:val="20"/>
        </w:rPr>
        <w:t>(7)</w:t>
      </w:r>
      <w:r w:rsidRPr="005D248B">
        <w:rPr>
          <w:rFonts w:ascii="Arial" w:hAnsi="Arial" w:cs="Arial"/>
          <w:sz w:val="20"/>
          <w:szCs w:val="20"/>
        </w:rPr>
        <w:tab/>
      </w:r>
      <w:r w:rsidRPr="005D248B">
        <w:rPr>
          <w:rFonts w:ascii="Arial" w:hAnsi="Arial" w:cs="Arial"/>
          <w:noProof/>
          <w:position w:val="-28"/>
          <w:sz w:val="20"/>
          <w:szCs w:val="20"/>
        </w:rPr>
        <w:object w:dxaOrig="5000" w:dyaOrig="720" w14:anchorId="61444614">
          <v:shape id="_x0000_i1034" type="#_x0000_t75" alt="" style="width:190pt;height:28pt;mso-width-percent:0;mso-height-percent:0;mso-width-percent:0;mso-height-percent:0" o:ole="" fillcolor="window">
            <v:imagedata r:id="rId39" o:title=""/>
          </v:shape>
          <o:OLEObject Type="Embed" ProgID="Equation.3" ShapeID="_x0000_i1034" DrawAspect="Content" ObjectID="_1700909239" r:id="rId40"/>
        </w:object>
      </w:r>
      <w:r w:rsidRPr="005D248B">
        <w:rPr>
          <w:rFonts w:ascii="Arial" w:hAnsi="Arial" w:cs="Arial"/>
          <w:sz w:val="20"/>
          <w:szCs w:val="20"/>
        </w:rPr>
        <w:t>,</w:t>
      </w:r>
    </w:p>
    <w:p w14:paraId="37B19526" w14:textId="77777777" w:rsidR="00194E59" w:rsidRPr="005D248B" w:rsidRDefault="00194E59" w:rsidP="00194E59">
      <w:pPr>
        <w:jc w:val="both"/>
        <w:rPr>
          <w:rFonts w:ascii="Arial" w:hAnsi="Arial" w:cs="Arial"/>
          <w:sz w:val="20"/>
          <w:szCs w:val="20"/>
        </w:rPr>
      </w:pPr>
    </w:p>
    <w:p w14:paraId="32B392B8" w14:textId="77777777" w:rsidR="00194E59" w:rsidRPr="005D248B" w:rsidRDefault="00194E59" w:rsidP="00194E59">
      <w:pPr>
        <w:spacing w:after="120"/>
        <w:jc w:val="both"/>
        <w:rPr>
          <w:rFonts w:ascii="Arial" w:hAnsi="Arial" w:cs="Arial"/>
          <w:color w:val="000000"/>
          <w:sz w:val="20"/>
          <w:szCs w:val="20"/>
        </w:rPr>
      </w:pPr>
      <w:r w:rsidRPr="005D248B">
        <w:rPr>
          <w:rFonts w:ascii="Arial" w:hAnsi="Arial" w:cs="Arial"/>
          <w:sz w:val="20"/>
          <w:szCs w:val="20"/>
        </w:rPr>
        <w:t xml:space="preserve">dove </w:t>
      </w:r>
      <w:proofErr w:type="spellStart"/>
      <w:r w:rsidRPr="005D248B">
        <w:rPr>
          <w:rFonts w:ascii="Arial" w:hAnsi="Arial" w:cs="Arial"/>
          <w:sz w:val="20"/>
          <w:szCs w:val="20"/>
        </w:rPr>
        <w:t>S</w:t>
      </w:r>
      <w:r w:rsidRPr="005D248B">
        <w:rPr>
          <w:rFonts w:ascii="Arial" w:hAnsi="Arial" w:cs="Arial"/>
          <w:sz w:val="20"/>
          <w:szCs w:val="20"/>
          <w:vertAlign w:val="subscript"/>
        </w:rPr>
        <w:t>it</w:t>
      </w:r>
      <w:proofErr w:type="spellEnd"/>
      <w:r>
        <w:rPr>
          <w:rFonts w:ascii="Arial" w:hAnsi="Arial" w:cs="Arial"/>
          <w:sz w:val="20"/>
          <w:szCs w:val="20"/>
          <w:vertAlign w:val="subscript"/>
        </w:rPr>
        <w:t xml:space="preserve"> </w:t>
      </w:r>
      <w:r w:rsidRPr="005D248B">
        <w:rPr>
          <w:rFonts w:ascii="Arial" w:hAnsi="Arial" w:cs="Arial"/>
          <w:sz w:val="20"/>
          <w:szCs w:val="20"/>
        </w:rPr>
        <w:t xml:space="preserve">è lo </w:t>
      </w:r>
      <w:r w:rsidR="00483D0B" w:rsidRPr="00483D0B">
        <w:rPr>
          <w:rFonts w:ascii="Arial" w:hAnsi="Arial" w:cs="Arial"/>
          <w:i/>
          <w:iCs/>
          <w:sz w:val="20"/>
          <w:szCs w:val="20"/>
        </w:rPr>
        <w:t>stock</w:t>
      </w:r>
      <w:r w:rsidRPr="005D248B">
        <w:rPr>
          <w:rFonts w:ascii="Arial" w:hAnsi="Arial" w:cs="Arial"/>
          <w:sz w:val="20"/>
          <w:szCs w:val="20"/>
        </w:rPr>
        <w:t xml:space="preserve"> di capitale produttivo del bene i, </w:t>
      </w:r>
      <w:proofErr w:type="spellStart"/>
      <w:r w:rsidRPr="005D248B">
        <w:rPr>
          <w:rFonts w:ascii="Arial" w:hAnsi="Arial" w:cs="Arial"/>
          <w:sz w:val="20"/>
          <w:szCs w:val="20"/>
        </w:rPr>
        <w:t>u</w:t>
      </w:r>
      <w:r w:rsidRPr="005D248B">
        <w:rPr>
          <w:rFonts w:ascii="Arial" w:hAnsi="Arial" w:cs="Arial"/>
          <w:sz w:val="20"/>
          <w:szCs w:val="20"/>
          <w:vertAlign w:val="subscript"/>
        </w:rPr>
        <w:t>it</w:t>
      </w:r>
      <w:proofErr w:type="spellEnd"/>
      <w:r w:rsidRPr="005D248B">
        <w:rPr>
          <w:rFonts w:ascii="Arial" w:hAnsi="Arial" w:cs="Arial"/>
          <w:sz w:val="20"/>
          <w:szCs w:val="20"/>
        </w:rPr>
        <w:t xml:space="preserve"> il suo costo d’uso, </w:t>
      </w:r>
      <w:proofErr w:type="spellStart"/>
      <w:r w:rsidRPr="005D248B">
        <w:rPr>
          <w:rFonts w:ascii="Arial" w:hAnsi="Arial" w:cs="Arial"/>
          <w:sz w:val="20"/>
          <w:szCs w:val="20"/>
        </w:rPr>
        <w:t>K</w:t>
      </w:r>
      <w:r w:rsidRPr="005D248B">
        <w:rPr>
          <w:rFonts w:ascii="Arial" w:hAnsi="Arial" w:cs="Arial"/>
          <w:sz w:val="20"/>
          <w:szCs w:val="20"/>
          <w:vertAlign w:val="subscript"/>
        </w:rPr>
        <w:t>t</w:t>
      </w:r>
      <w:proofErr w:type="spellEnd"/>
      <w:r w:rsidRPr="005D248B">
        <w:rPr>
          <w:rFonts w:ascii="Arial" w:hAnsi="Arial" w:cs="Arial"/>
          <w:sz w:val="20"/>
          <w:szCs w:val="20"/>
        </w:rPr>
        <w:t xml:space="preserve"> il flusso dei servizi totali, </w:t>
      </w:r>
      <w:proofErr w:type="spellStart"/>
      <w:r w:rsidRPr="005D248B">
        <w:rPr>
          <w:rFonts w:ascii="Arial" w:hAnsi="Arial" w:cs="Arial"/>
          <w:sz w:val="20"/>
          <w:szCs w:val="20"/>
        </w:rPr>
        <w:t>v</w:t>
      </w:r>
      <w:r w:rsidRPr="005D248B">
        <w:rPr>
          <w:rFonts w:ascii="Arial" w:hAnsi="Arial" w:cs="Arial"/>
          <w:sz w:val="20"/>
          <w:szCs w:val="20"/>
          <w:vertAlign w:val="superscript"/>
        </w:rPr>
        <w:t>i</w:t>
      </w:r>
      <w:r w:rsidRPr="005D248B">
        <w:rPr>
          <w:rFonts w:ascii="Arial" w:hAnsi="Arial" w:cs="Arial"/>
          <w:sz w:val="20"/>
          <w:szCs w:val="20"/>
          <w:vertAlign w:val="subscript"/>
        </w:rPr>
        <w:t>t</w:t>
      </w:r>
      <w:proofErr w:type="spellEnd"/>
      <w:r w:rsidRPr="005D248B">
        <w:rPr>
          <w:rFonts w:ascii="Arial" w:hAnsi="Arial" w:cs="Arial"/>
          <w:sz w:val="20"/>
          <w:szCs w:val="20"/>
          <w:vertAlign w:val="subscript"/>
        </w:rPr>
        <w:t>=</w:t>
      </w:r>
      <w:r w:rsidRPr="005D248B">
        <w:rPr>
          <w:rFonts w:ascii="Arial" w:hAnsi="Arial" w:cs="Arial"/>
          <w:sz w:val="20"/>
          <w:szCs w:val="20"/>
        </w:rPr>
        <w:t xml:space="preserve"> (</w:t>
      </w:r>
      <w:proofErr w:type="spellStart"/>
      <w:r w:rsidRPr="005D248B">
        <w:rPr>
          <w:rFonts w:ascii="Arial" w:hAnsi="Arial" w:cs="Arial"/>
          <w:sz w:val="20"/>
          <w:szCs w:val="20"/>
        </w:rPr>
        <w:t>u</w:t>
      </w:r>
      <w:r w:rsidRPr="005D248B">
        <w:rPr>
          <w:rFonts w:ascii="Arial" w:hAnsi="Arial" w:cs="Arial"/>
          <w:sz w:val="20"/>
          <w:szCs w:val="20"/>
          <w:vertAlign w:val="superscript"/>
        </w:rPr>
        <w:t>i</w:t>
      </w:r>
      <w:r w:rsidRPr="005D248B">
        <w:rPr>
          <w:rFonts w:ascii="Arial" w:hAnsi="Arial" w:cs="Arial"/>
          <w:sz w:val="20"/>
          <w:szCs w:val="20"/>
          <w:vertAlign w:val="subscript"/>
        </w:rPr>
        <w:t>t</w:t>
      </w:r>
      <w:proofErr w:type="spellEnd"/>
      <w:r w:rsidRPr="005D248B">
        <w:rPr>
          <w:rFonts w:ascii="Arial" w:hAnsi="Arial" w:cs="Arial"/>
          <w:sz w:val="20"/>
          <w:szCs w:val="20"/>
          <w:vertAlign w:val="subscript"/>
        </w:rPr>
        <w:t xml:space="preserve"> </w:t>
      </w:r>
      <w:proofErr w:type="spellStart"/>
      <w:r w:rsidRPr="005D248B">
        <w:rPr>
          <w:rFonts w:ascii="Arial" w:hAnsi="Arial" w:cs="Arial"/>
          <w:sz w:val="20"/>
          <w:szCs w:val="20"/>
        </w:rPr>
        <w:t>S</w:t>
      </w:r>
      <w:r w:rsidRPr="005D248B">
        <w:rPr>
          <w:rFonts w:ascii="Arial" w:hAnsi="Arial" w:cs="Arial"/>
          <w:sz w:val="20"/>
          <w:szCs w:val="20"/>
          <w:vertAlign w:val="superscript"/>
        </w:rPr>
        <w:t>i</w:t>
      </w:r>
      <w:r w:rsidRPr="005D248B">
        <w:rPr>
          <w:rFonts w:ascii="Arial" w:hAnsi="Arial" w:cs="Arial"/>
          <w:sz w:val="20"/>
          <w:szCs w:val="20"/>
          <w:vertAlign w:val="subscript"/>
        </w:rPr>
        <w:t>t</w:t>
      </w:r>
      <w:proofErr w:type="spellEnd"/>
      <w:r w:rsidRPr="005D248B">
        <w:rPr>
          <w:rFonts w:ascii="Arial" w:hAnsi="Arial" w:cs="Arial"/>
          <w:sz w:val="20"/>
          <w:szCs w:val="20"/>
        </w:rPr>
        <w:t xml:space="preserve"> / </w:t>
      </w:r>
      <w:r w:rsidRPr="005D248B">
        <w:rPr>
          <w:rFonts w:ascii="Arial" w:hAnsi="Arial" w:cs="Arial"/>
          <w:sz w:val="20"/>
          <w:szCs w:val="20"/>
        </w:rPr>
        <w:sym w:font="Symbol" w:char="F053"/>
      </w:r>
      <w:r w:rsidRPr="005D248B">
        <w:rPr>
          <w:rFonts w:ascii="Arial" w:hAnsi="Arial" w:cs="Arial"/>
          <w:sz w:val="20"/>
          <w:szCs w:val="20"/>
          <w:vertAlign w:val="subscript"/>
        </w:rPr>
        <w:t xml:space="preserve"> i</w:t>
      </w:r>
      <w:r w:rsidRPr="005D248B">
        <w:rPr>
          <w:rFonts w:ascii="Arial" w:hAnsi="Arial" w:cs="Arial"/>
          <w:sz w:val="20"/>
          <w:szCs w:val="20"/>
          <w:vertAlign w:val="subscript"/>
        </w:rPr>
        <w:sym w:font="Symbol" w:char="F0CE"/>
      </w:r>
      <w:r w:rsidRPr="005D248B">
        <w:rPr>
          <w:rFonts w:ascii="Arial" w:hAnsi="Arial" w:cs="Arial"/>
          <w:sz w:val="20"/>
          <w:szCs w:val="20"/>
          <w:vertAlign w:val="subscript"/>
        </w:rPr>
        <w:t xml:space="preserve">n </w:t>
      </w:r>
      <w:proofErr w:type="spellStart"/>
      <w:r w:rsidRPr="005D248B">
        <w:rPr>
          <w:rFonts w:ascii="Arial" w:hAnsi="Arial" w:cs="Arial"/>
          <w:sz w:val="20"/>
          <w:szCs w:val="20"/>
        </w:rPr>
        <w:t>u</w:t>
      </w:r>
      <w:r w:rsidRPr="005D248B">
        <w:rPr>
          <w:rFonts w:ascii="Arial" w:hAnsi="Arial" w:cs="Arial"/>
          <w:sz w:val="20"/>
          <w:szCs w:val="20"/>
          <w:vertAlign w:val="superscript"/>
        </w:rPr>
        <w:t>i</w:t>
      </w:r>
      <w:r w:rsidRPr="005D248B">
        <w:rPr>
          <w:rFonts w:ascii="Arial" w:hAnsi="Arial" w:cs="Arial"/>
          <w:sz w:val="20"/>
          <w:szCs w:val="20"/>
          <w:vertAlign w:val="subscript"/>
        </w:rPr>
        <w:t>t</w:t>
      </w:r>
      <w:proofErr w:type="spellEnd"/>
      <w:r w:rsidRPr="005D248B">
        <w:rPr>
          <w:rFonts w:ascii="Arial" w:hAnsi="Arial" w:cs="Arial"/>
          <w:sz w:val="20"/>
          <w:szCs w:val="20"/>
        </w:rPr>
        <w:t xml:space="preserve"> </w:t>
      </w:r>
      <w:proofErr w:type="spellStart"/>
      <w:r w:rsidRPr="005D248B">
        <w:rPr>
          <w:rFonts w:ascii="Arial" w:hAnsi="Arial" w:cs="Arial"/>
          <w:sz w:val="20"/>
          <w:szCs w:val="20"/>
        </w:rPr>
        <w:t>S</w:t>
      </w:r>
      <w:r w:rsidRPr="005D248B">
        <w:rPr>
          <w:rFonts w:ascii="Arial" w:hAnsi="Arial" w:cs="Arial"/>
          <w:sz w:val="20"/>
          <w:szCs w:val="20"/>
          <w:vertAlign w:val="superscript"/>
        </w:rPr>
        <w:t>i</w:t>
      </w:r>
      <w:r w:rsidRPr="005D248B">
        <w:rPr>
          <w:rFonts w:ascii="Arial" w:hAnsi="Arial" w:cs="Arial"/>
          <w:sz w:val="20"/>
          <w:szCs w:val="20"/>
          <w:vertAlign w:val="subscript"/>
        </w:rPr>
        <w:t>t</w:t>
      </w:r>
      <w:proofErr w:type="spellEnd"/>
      <w:r w:rsidRPr="005D248B">
        <w:rPr>
          <w:rFonts w:ascii="Arial" w:hAnsi="Arial" w:cs="Arial"/>
          <w:sz w:val="20"/>
          <w:szCs w:val="20"/>
        </w:rPr>
        <w:t xml:space="preserve">) è la quota del bene capitale </w:t>
      </w:r>
      <w:proofErr w:type="gramStart"/>
      <w:r w:rsidRPr="005D248B">
        <w:rPr>
          <w:rFonts w:ascii="Arial" w:hAnsi="Arial" w:cs="Arial"/>
          <w:i/>
          <w:iCs/>
          <w:sz w:val="20"/>
          <w:szCs w:val="20"/>
        </w:rPr>
        <w:t>i</w:t>
      </w:r>
      <w:r w:rsidRPr="005D248B">
        <w:rPr>
          <w:rFonts w:ascii="Arial" w:hAnsi="Arial" w:cs="Arial"/>
          <w:sz w:val="20"/>
          <w:szCs w:val="20"/>
        </w:rPr>
        <w:t xml:space="preserve"> al</w:t>
      </w:r>
      <w:proofErr w:type="gramEnd"/>
      <w:r w:rsidRPr="005D248B">
        <w:rPr>
          <w:rFonts w:ascii="Arial" w:hAnsi="Arial" w:cs="Arial"/>
          <w:sz w:val="20"/>
          <w:szCs w:val="20"/>
        </w:rPr>
        <w:t xml:space="preserve"> tempo </w:t>
      </w:r>
      <w:r w:rsidRPr="005D248B">
        <w:rPr>
          <w:rFonts w:ascii="Arial" w:hAnsi="Arial" w:cs="Arial"/>
          <w:i/>
          <w:iCs/>
          <w:sz w:val="20"/>
          <w:szCs w:val="20"/>
        </w:rPr>
        <w:t>t</w:t>
      </w:r>
      <w:r w:rsidRPr="005D248B">
        <w:rPr>
          <w:rFonts w:ascii="Arial" w:hAnsi="Arial" w:cs="Arial"/>
          <w:sz w:val="20"/>
          <w:szCs w:val="20"/>
        </w:rPr>
        <w:t xml:space="preserve"> sul costo totale per i servizi del capitale e la </w:t>
      </w:r>
      <w:r w:rsidRPr="005D248B">
        <w:rPr>
          <w:rFonts w:ascii="Arial" w:hAnsi="Arial" w:cs="Arial"/>
          <w:color w:val="000000"/>
          <w:sz w:val="20"/>
          <w:szCs w:val="20"/>
        </w:rPr>
        <w:t>sommatoria riguarda 14 tipologie di beni capitali.</w:t>
      </w:r>
    </w:p>
    <w:p w14:paraId="2E10745D" w14:textId="77777777" w:rsidR="00194E59" w:rsidRPr="005D248B" w:rsidRDefault="00194E59" w:rsidP="00194E59">
      <w:pPr>
        <w:spacing w:after="120"/>
        <w:jc w:val="both"/>
        <w:rPr>
          <w:rFonts w:ascii="Arial" w:hAnsi="Arial" w:cs="Arial"/>
          <w:color w:val="000000"/>
          <w:sz w:val="20"/>
          <w:szCs w:val="20"/>
        </w:rPr>
      </w:pPr>
      <w:r w:rsidRPr="005D248B">
        <w:rPr>
          <w:rFonts w:ascii="Arial" w:hAnsi="Arial" w:cs="Arial"/>
          <w:color w:val="000000"/>
          <w:sz w:val="20"/>
          <w:szCs w:val="20"/>
        </w:rPr>
        <w:t xml:space="preserve">Per ogni tipologia di bene, lo </w:t>
      </w:r>
      <w:r w:rsidR="00483D0B" w:rsidRPr="00483D0B">
        <w:rPr>
          <w:rFonts w:ascii="Arial" w:hAnsi="Arial" w:cs="Arial"/>
          <w:i/>
          <w:iCs/>
          <w:color w:val="000000"/>
          <w:sz w:val="20"/>
          <w:szCs w:val="20"/>
        </w:rPr>
        <w:t>stock</w:t>
      </w:r>
      <w:r w:rsidRPr="005D248B">
        <w:rPr>
          <w:rFonts w:ascii="Arial" w:hAnsi="Arial" w:cs="Arial"/>
          <w:color w:val="000000"/>
          <w:sz w:val="20"/>
          <w:szCs w:val="20"/>
        </w:rPr>
        <w:t xml:space="preserve"> di capitale produttivo è definito come la somma degli investimenti effettuati nell’anno corrente e negli anni precedenti, ponderata con pesi che riflettono </w:t>
      </w:r>
      <w:r>
        <w:rPr>
          <w:rFonts w:ascii="Arial" w:hAnsi="Arial" w:cs="Arial"/>
          <w:color w:val="000000"/>
          <w:sz w:val="20"/>
          <w:szCs w:val="20"/>
        </w:rPr>
        <w:t xml:space="preserve">sia </w:t>
      </w:r>
      <w:r w:rsidRPr="005D248B">
        <w:rPr>
          <w:rFonts w:ascii="Arial" w:hAnsi="Arial" w:cs="Arial"/>
          <w:color w:val="000000"/>
          <w:sz w:val="20"/>
          <w:szCs w:val="20"/>
        </w:rPr>
        <w:t>la progressiva perdita d’efficienza che il bene subisce nel corso del tempo per effetto dell’usura e del logorio</w:t>
      </w:r>
      <w:r>
        <w:rPr>
          <w:rFonts w:ascii="Arial" w:hAnsi="Arial" w:cs="Arial"/>
          <w:color w:val="000000"/>
          <w:sz w:val="20"/>
          <w:szCs w:val="20"/>
        </w:rPr>
        <w:t xml:space="preserve">, sia </w:t>
      </w:r>
      <w:r w:rsidRPr="005D248B">
        <w:rPr>
          <w:rFonts w:ascii="Arial" w:hAnsi="Arial" w:cs="Arial"/>
          <w:color w:val="000000"/>
          <w:sz w:val="20"/>
          <w:szCs w:val="20"/>
        </w:rPr>
        <w:t>il processo di ritiro dei beni capitali dal processo produttivo</w:t>
      </w:r>
      <w:r w:rsidRPr="005D248B">
        <w:rPr>
          <w:rStyle w:val="Rimandonotaapidipagina"/>
          <w:rFonts w:ascii="Arial" w:hAnsi="Arial" w:cs="Arial"/>
          <w:sz w:val="20"/>
          <w:szCs w:val="20"/>
        </w:rPr>
        <w:footnoteReference w:id="3"/>
      </w:r>
      <w:r w:rsidRPr="005D248B">
        <w:rPr>
          <w:rFonts w:ascii="Arial" w:hAnsi="Arial" w:cs="Arial"/>
          <w:color w:val="000000"/>
          <w:sz w:val="20"/>
          <w:szCs w:val="20"/>
        </w:rPr>
        <w:t>. Esso, quindi, misura la capacità residua di erogare un flusso di servizi produttivi da parte dei beni capitali acquistati nel passato e non ancora ritirati dal processo produttivo.</w:t>
      </w:r>
    </w:p>
    <w:p w14:paraId="484CCD41" w14:textId="77777777" w:rsidR="00194E59" w:rsidRPr="005D248B" w:rsidRDefault="00194E59" w:rsidP="00194E59">
      <w:pPr>
        <w:spacing w:after="120"/>
        <w:jc w:val="both"/>
        <w:rPr>
          <w:rFonts w:ascii="Arial" w:hAnsi="Arial" w:cs="Arial"/>
          <w:sz w:val="20"/>
          <w:szCs w:val="20"/>
        </w:rPr>
      </w:pPr>
      <w:r w:rsidRPr="005D248B">
        <w:rPr>
          <w:rFonts w:ascii="Arial" w:hAnsi="Arial" w:cs="Arial"/>
          <w:color w:val="000000"/>
          <w:sz w:val="20"/>
          <w:szCs w:val="20"/>
        </w:rPr>
        <w:t>Il costo d’uso misura il prezzo di servizi produttivi generati da un bene capitale. Si ipotizza che esso sia la somma del tasso di rendimento nominale (</w:t>
      </w:r>
      <w:proofErr w:type="spellStart"/>
      <w:r w:rsidRPr="005D248B">
        <w:rPr>
          <w:rFonts w:ascii="Arial" w:hAnsi="Arial" w:cs="Arial"/>
          <w:color w:val="000000"/>
          <w:sz w:val="20"/>
          <w:szCs w:val="20"/>
        </w:rPr>
        <w:t>rt</w:t>
      </w:r>
      <w:proofErr w:type="spellEnd"/>
      <w:r w:rsidRPr="005D248B">
        <w:rPr>
          <w:rFonts w:ascii="Arial" w:hAnsi="Arial" w:cs="Arial"/>
          <w:color w:val="000000"/>
          <w:sz w:val="20"/>
          <w:szCs w:val="20"/>
        </w:rPr>
        <w:t>), del tasso di deprezzamento economico che il bene capitale subisce nel periodo</w:t>
      </w:r>
      <w:r w:rsidRPr="005D248B">
        <w:rPr>
          <w:rFonts w:ascii="Arial" w:hAnsi="Arial" w:cs="Arial"/>
          <w:sz w:val="20"/>
          <w:szCs w:val="20"/>
        </w:rPr>
        <w:t xml:space="preserve"> di utilizzo (</w:t>
      </w:r>
      <w:proofErr w:type="spellStart"/>
      <w:r w:rsidRPr="005D248B">
        <w:rPr>
          <w:rFonts w:ascii="Arial" w:hAnsi="Arial" w:cs="Arial"/>
          <w:sz w:val="20"/>
          <w:szCs w:val="20"/>
        </w:rPr>
        <w:t>d</w:t>
      </w:r>
      <w:r w:rsidRPr="005D248B">
        <w:rPr>
          <w:rFonts w:ascii="Arial" w:hAnsi="Arial" w:cs="Arial"/>
          <w:sz w:val="20"/>
          <w:szCs w:val="20"/>
          <w:vertAlign w:val="subscript"/>
        </w:rPr>
        <w:t>it</w:t>
      </w:r>
      <w:proofErr w:type="spellEnd"/>
      <w:r w:rsidRPr="005D248B">
        <w:rPr>
          <w:rFonts w:ascii="Arial" w:hAnsi="Arial" w:cs="Arial"/>
          <w:sz w:val="20"/>
          <w:szCs w:val="20"/>
        </w:rPr>
        <w:t>) e dei guadagni o le perdite in conto capitale dovuti ad aumenti/diminuzioni del prezzo d’acquisto del bene (p</w:t>
      </w:r>
      <w:r w:rsidRPr="005D248B">
        <w:rPr>
          <w:rFonts w:ascii="Arial" w:hAnsi="Arial" w:cs="Arial"/>
          <w:sz w:val="20"/>
          <w:szCs w:val="20"/>
          <w:vertAlign w:val="subscript"/>
        </w:rPr>
        <w:t>it</w:t>
      </w:r>
      <w:r w:rsidRPr="00B95152">
        <w:t>)</w:t>
      </w:r>
      <w:r w:rsidRPr="005D248B">
        <w:rPr>
          <w:rStyle w:val="Rimandonotaapidipagina"/>
          <w:rFonts w:ascii="Arial" w:hAnsi="Arial" w:cs="Arial"/>
          <w:sz w:val="20"/>
          <w:szCs w:val="20"/>
        </w:rPr>
        <w:footnoteReference w:id="4"/>
      </w:r>
      <w:r w:rsidRPr="005D248B">
        <w:rPr>
          <w:rFonts w:ascii="Arial" w:hAnsi="Arial" w:cs="Arial"/>
          <w:sz w:val="20"/>
          <w:szCs w:val="20"/>
        </w:rPr>
        <w:t>:</w:t>
      </w:r>
    </w:p>
    <w:p w14:paraId="456B1CAA" w14:textId="77777777" w:rsidR="00194E59" w:rsidRPr="005D248B" w:rsidRDefault="00194E59" w:rsidP="00194E59">
      <w:pPr>
        <w:jc w:val="both"/>
        <w:rPr>
          <w:rFonts w:ascii="Arial" w:hAnsi="Arial" w:cs="Arial"/>
          <w:sz w:val="20"/>
          <w:szCs w:val="20"/>
        </w:rPr>
      </w:pPr>
    </w:p>
    <w:p w14:paraId="39378EBC" w14:textId="77777777" w:rsidR="00194E59" w:rsidRPr="005D248B" w:rsidRDefault="00194E59" w:rsidP="00194E59">
      <w:pPr>
        <w:jc w:val="center"/>
        <w:rPr>
          <w:rFonts w:ascii="Arial" w:hAnsi="Arial" w:cs="Arial"/>
          <w:sz w:val="20"/>
          <w:szCs w:val="20"/>
        </w:rPr>
      </w:pPr>
      <w:r w:rsidRPr="005D248B">
        <w:rPr>
          <w:rFonts w:ascii="Arial" w:hAnsi="Arial" w:cs="Arial"/>
          <w:sz w:val="20"/>
          <w:szCs w:val="20"/>
        </w:rPr>
        <w:t>(8)</w:t>
      </w:r>
      <w:r w:rsidRPr="005D248B">
        <w:rPr>
          <w:rFonts w:ascii="Arial" w:hAnsi="Arial" w:cs="Arial"/>
          <w:sz w:val="20"/>
          <w:szCs w:val="20"/>
        </w:rPr>
        <w:tab/>
      </w:r>
      <w:proofErr w:type="spellStart"/>
      <w:r w:rsidRPr="005D248B">
        <w:rPr>
          <w:rFonts w:ascii="Arial" w:hAnsi="Arial" w:cs="Arial"/>
          <w:sz w:val="20"/>
          <w:szCs w:val="20"/>
        </w:rPr>
        <w:t>u</w:t>
      </w:r>
      <w:r w:rsidRPr="005D248B">
        <w:rPr>
          <w:rFonts w:ascii="Arial" w:hAnsi="Arial" w:cs="Arial"/>
          <w:sz w:val="20"/>
          <w:szCs w:val="20"/>
          <w:vertAlign w:val="superscript"/>
        </w:rPr>
        <w:t>i</w:t>
      </w:r>
      <w:r w:rsidRPr="005D248B">
        <w:rPr>
          <w:rFonts w:ascii="Arial" w:hAnsi="Arial" w:cs="Arial"/>
          <w:sz w:val="20"/>
          <w:szCs w:val="20"/>
          <w:vertAlign w:val="subscript"/>
        </w:rPr>
        <w:t>t</w:t>
      </w:r>
      <w:proofErr w:type="spellEnd"/>
      <w:r w:rsidRPr="005D248B">
        <w:rPr>
          <w:rFonts w:ascii="Arial" w:hAnsi="Arial" w:cs="Arial"/>
          <w:sz w:val="20"/>
          <w:szCs w:val="20"/>
          <w:vertAlign w:val="subscript"/>
        </w:rPr>
        <w:t xml:space="preserve"> </w:t>
      </w:r>
      <w:r w:rsidRPr="005D248B">
        <w:rPr>
          <w:rFonts w:ascii="Arial" w:hAnsi="Arial" w:cs="Arial"/>
          <w:sz w:val="20"/>
          <w:szCs w:val="20"/>
        </w:rPr>
        <w:t xml:space="preserve">= </w:t>
      </w:r>
      <w:proofErr w:type="spellStart"/>
      <w:r w:rsidRPr="005D248B">
        <w:rPr>
          <w:rFonts w:ascii="Arial" w:hAnsi="Arial" w:cs="Arial"/>
          <w:sz w:val="20"/>
          <w:szCs w:val="20"/>
        </w:rPr>
        <w:t>r</w:t>
      </w:r>
      <w:r w:rsidRPr="005D248B">
        <w:rPr>
          <w:rFonts w:ascii="Arial" w:hAnsi="Arial" w:cs="Arial"/>
          <w:sz w:val="20"/>
          <w:szCs w:val="20"/>
          <w:vertAlign w:val="subscript"/>
        </w:rPr>
        <w:t>t</w:t>
      </w:r>
      <w:proofErr w:type="spellEnd"/>
      <w:r w:rsidRPr="005D248B">
        <w:rPr>
          <w:rFonts w:ascii="Arial" w:hAnsi="Arial" w:cs="Arial"/>
          <w:sz w:val="20"/>
          <w:szCs w:val="20"/>
          <w:vertAlign w:val="subscript"/>
        </w:rPr>
        <w:t xml:space="preserve"> </w:t>
      </w:r>
      <w:r w:rsidRPr="005D248B">
        <w:rPr>
          <w:rFonts w:ascii="Arial" w:hAnsi="Arial" w:cs="Arial"/>
          <w:sz w:val="20"/>
          <w:szCs w:val="20"/>
        </w:rPr>
        <w:t>+</w:t>
      </w:r>
      <w:proofErr w:type="spellStart"/>
      <w:r w:rsidRPr="005D248B">
        <w:rPr>
          <w:rFonts w:ascii="Arial" w:hAnsi="Arial" w:cs="Arial"/>
          <w:sz w:val="20"/>
          <w:szCs w:val="20"/>
        </w:rPr>
        <w:t>d</w:t>
      </w:r>
      <w:r w:rsidRPr="005D248B">
        <w:rPr>
          <w:rFonts w:ascii="Arial" w:hAnsi="Arial" w:cs="Arial"/>
          <w:sz w:val="20"/>
          <w:szCs w:val="20"/>
          <w:vertAlign w:val="superscript"/>
        </w:rPr>
        <w:t>i</w:t>
      </w:r>
      <w:r w:rsidRPr="005D248B">
        <w:rPr>
          <w:rFonts w:ascii="Arial" w:hAnsi="Arial" w:cs="Arial"/>
          <w:sz w:val="20"/>
          <w:szCs w:val="20"/>
          <w:vertAlign w:val="subscript"/>
        </w:rPr>
        <w:t>t</w:t>
      </w:r>
      <w:proofErr w:type="spellEnd"/>
      <w:r w:rsidRPr="005D248B">
        <w:rPr>
          <w:rFonts w:ascii="Arial" w:hAnsi="Arial" w:cs="Arial"/>
          <w:sz w:val="20"/>
          <w:szCs w:val="20"/>
          <w:vertAlign w:val="subscript"/>
        </w:rPr>
        <w:t xml:space="preserve"> </w:t>
      </w:r>
      <w:r w:rsidRPr="005D248B">
        <w:rPr>
          <w:rFonts w:ascii="Arial" w:hAnsi="Arial" w:cs="Arial"/>
          <w:sz w:val="20"/>
          <w:szCs w:val="20"/>
        </w:rPr>
        <w:t>-p</w:t>
      </w:r>
      <w:r w:rsidRPr="005D248B">
        <w:rPr>
          <w:rFonts w:ascii="Arial" w:hAnsi="Arial" w:cs="Arial"/>
          <w:sz w:val="20"/>
          <w:szCs w:val="20"/>
          <w:vertAlign w:val="superscript"/>
        </w:rPr>
        <w:t>i</w:t>
      </w:r>
      <w:r w:rsidRPr="005D248B">
        <w:rPr>
          <w:rFonts w:ascii="Arial" w:hAnsi="Arial" w:cs="Arial"/>
          <w:sz w:val="20"/>
          <w:szCs w:val="20"/>
          <w:vertAlign w:val="subscript"/>
        </w:rPr>
        <w:t>t.</w:t>
      </w:r>
    </w:p>
    <w:p w14:paraId="236B8822" w14:textId="77777777" w:rsidR="00DE2FB0" w:rsidRDefault="00DE2FB0">
      <w:pPr>
        <w:spacing w:after="120"/>
        <w:jc w:val="both"/>
        <w:rPr>
          <w:rFonts w:ascii="Arial" w:hAnsi="Arial" w:cs="Arial"/>
          <w:sz w:val="20"/>
          <w:szCs w:val="20"/>
        </w:rPr>
      </w:pPr>
    </w:p>
    <w:p w14:paraId="6F523EEA" w14:textId="77777777" w:rsidR="00DE2FB0" w:rsidRDefault="00194E59">
      <w:pPr>
        <w:spacing w:after="120"/>
        <w:jc w:val="both"/>
        <w:rPr>
          <w:rFonts w:ascii="Arial" w:hAnsi="Arial" w:cs="Arial"/>
          <w:sz w:val="20"/>
          <w:szCs w:val="20"/>
        </w:rPr>
      </w:pPr>
      <w:r w:rsidRPr="005D248B">
        <w:rPr>
          <w:rFonts w:ascii="Arial" w:hAnsi="Arial" w:cs="Arial"/>
          <w:sz w:val="20"/>
          <w:szCs w:val="20"/>
        </w:rPr>
        <w:t xml:space="preserve">Lo </w:t>
      </w:r>
      <w:r w:rsidRPr="00036C51">
        <w:rPr>
          <w:rFonts w:ascii="Arial" w:hAnsi="Arial" w:cs="Arial"/>
          <w:sz w:val="20"/>
          <w:szCs w:val="20"/>
        </w:rPr>
        <w:t>stock</w:t>
      </w:r>
      <w:r w:rsidRPr="005D248B">
        <w:rPr>
          <w:rFonts w:ascii="Arial" w:hAnsi="Arial" w:cs="Arial"/>
          <w:sz w:val="20"/>
          <w:szCs w:val="20"/>
        </w:rPr>
        <w:t xml:space="preserve"> di capitale produttivo e il relativo costo d’uso sono calcolati per otto tipologie di beni materiali non-ICT (piantagioni e pesca; bestiame; altre macchine e attrezzature; mobili; mezzi di trasporto su strada; altri mezzi di trasporto; fabbricati non residenziali e opere del genio civile; costi di trasferimento di proprietà dei fabbricati), tre tipologie di beni immateriali non-ICT (ricerca e sviluppo; prospezioni minerarie; originali di opere artistiche letterarie e d’intrattenimento) e tre tipologie di beni ICT (hardware, software</w:t>
      </w:r>
      <w:r>
        <w:rPr>
          <w:rFonts w:ascii="Arial" w:hAnsi="Arial" w:cs="Arial"/>
          <w:sz w:val="20"/>
          <w:szCs w:val="20"/>
        </w:rPr>
        <w:t xml:space="preserve"> and </w:t>
      </w:r>
      <w:r w:rsidRPr="005418FE">
        <w:rPr>
          <w:rFonts w:ascii="Arial" w:hAnsi="Arial" w:cs="Arial"/>
          <w:i/>
          <w:sz w:val="20"/>
          <w:szCs w:val="20"/>
        </w:rPr>
        <w:t>database</w:t>
      </w:r>
      <w:r>
        <w:rPr>
          <w:rFonts w:ascii="Arial" w:hAnsi="Arial" w:cs="Arial"/>
          <w:sz w:val="20"/>
          <w:szCs w:val="20"/>
        </w:rPr>
        <w:t xml:space="preserve">, </w:t>
      </w:r>
      <w:r w:rsidRPr="005D248B">
        <w:rPr>
          <w:rFonts w:ascii="Arial" w:hAnsi="Arial" w:cs="Arial"/>
          <w:sz w:val="20"/>
          <w:szCs w:val="20"/>
        </w:rPr>
        <w:t>apparati per le comunicazioni).</w:t>
      </w:r>
    </w:p>
    <w:p w14:paraId="41448A8C" w14:textId="77777777" w:rsidR="00DE2FB0" w:rsidRDefault="00194E59">
      <w:pPr>
        <w:spacing w:after="120"/>
        <w:jc w:val="both"/>
        <w:rPr>
          <w:rFonts w:ascii="Arial" w:hAnsi="Arial" w:cs="Arial"/>
          <w:color w:val="000000"/>
          <w:sz w:val="20"/>
          <w:szCs w:val="20"/>
        </w:rPr>
      </w:pPr>
      <w:r w:rsidRPr="007F0772">
        <w:rPr>
          <w:rFonts w:ascii="Arial" w:hAnsi="Arial" w:cs="Arial"/>
          <w:color w:val="000000"/>
          <w:sz w:val="20"/>
          <w:szCs w:val="20"/>
        </w:rPr>
        <w:t xml:space="preserve">Riguardo alla composizione dello </w:t>
      </w:r>
      <w:r w:rsidR="00483D0B" w:rsidRPr="00483D0B">
        <w:rPr>
          <w:rFonts w:ascii="Arial" w:hAnsi="Arial" w:cs="Arial"/>
          <w:i/>
          <w:iCs/>
          <w:color w:val="000000"/>
          <w:sz w:val="20"/>
          <w:szCs w:val="20"/>
        </w:rPr>
        <w:t>stock</w:t>
      </w:r>
      <w:r w:rsidRPr="007F0772">
        <w:rPr>
          <w:rFonts w:ascii="Arial" w:hAnsi="Arial" w:cs="Arial"/>
          <w:color w:val="000000"/>
          <w:sz w:val="20"/>
          <w:szCs w:val="20"/>
        </w:rPr>
        <w:t xml:space="preserve"> di capitale, coerentemente con i principi metodologici stabiliti dal SEC 2010, i beni capitali comprendono anche le spese per ricerca e sviluppo (R&amp;S), in quanto esse contribuiscono all’accumulazione di capacità produttiva tramite la generazione di conoscenze accumulabili e riutilizzabili in più periodi contabili. I costi di trasferimento di proprietà dei fabbricati, inoltre, sono trattati come una tipologia di bene capitale a sé stante.</w:t>
      </w:r>
    </w:p>
    <w:p w14:paraId="7D83FA4B" w14:textId="77777777" w:rsidR="00DE2FB0" w:rsidRDefault="00194E59">
      <w:pPr>
        <w:spacing w:after="120"/>
        <w:jc w:val="both"/>
        <w:rPr>
          <w:rFonts w:ascii="Arial" w:hAnsi="Arial" w:cs="Arial"/>
          <w:color w:val="000000"/>
          <w:sz w:val="20"/>
          <w:szCs w:val="20"/>
        </w:rPr>
      </w:pPr>
      <w:r w:rsidRPr="007F0772">
        <w:rPr>
          <w:rFonts w:ascii="Arial" w:hAnsi="Arial" w:cs="Arial"/>
          <w:color w:val="000000"/>
          <w:sz w:val="20"/>
          <w:szCs w:val="20"/>
        </w:rPr>
        <w:t xml:space="preserve">Le vite medie utilizzate nel calcolo dello </w:t>
      </w:r>
      <w:r w:rsidR="00483D0B" w:rsidRPr="00483D0B">
        <w:rPr>
          <w:rFonts w:ascii="Arial" w:hAnsi="Arial" w:cs="Arial"/>
          <w:i/>
          <w:iCs/>
          <w:color w:val="000000"/>
          <w:sz w:val="20"/>
          <w:szCs w:val="20"/>
        </w:rPr>
        <w:t>stock</w:t>
      </w:r>
      <w:r w:rsidRPr="007F0772">
        <w:rPr>
          <w:rFonts w:ascii="Arial" w:hAnsi="Arial" w:cs="Arial"/>
          <w:color w:val="000000"/>
          <w:sz w:val="20"/>
          <w:szCs w:val="20"/>
        </w:rPr>
        <w:t xml:space="preserve"> di capitale produttivo sono riportate nel Prospetto 1. Le vite medie per altre macchine e attrezzature, mobili, hardware e apparati per le comunicazioni sono state riviste in o</w:t>
      </w:r>
      <w:r>
        <w:rPr>
          <w:rFonts w:ascii="Arial" w:hAnsi="Arial" w:cs="Arial"/>
          <w:color w:val="000000"/>
          <w:sz w:val="20"/>
          <w:szCs w:val="20"/>
        </w:rPr>
        <w:t>c</w:t>
      </w:r>
      <w:r w:rsidRPr="007F0772">
        <w:rPr>
          <w:rFonts w:ascii="Arial" w:hAnsi="Arial" w:cs="Arial"/>
          <w:color w:val="000000"/>
          <w:sz w:val="20"/>
          <w:szCs w:val="20"/>
        </w:rPr>
        <w:t xml:space="preserve">casione della revisione generale dei conti nazionali del 2019 in base ai risultati </w:t>
      </w:r>
      <w:r>
        <w:rPr>
          <w:rFonts w:ascii="Arial" w:hAnsi="Arial" w:cs="Arial"/>
          <w:color w:val="000000"/>
          <w:sz w:val="20"/>
          <w:szCs w:val="20"/>
        </w:rPr>
        <w:t>d</w:t>
      </w:r>
      <w:r w:rsidRPr="007F0772">
        <w:rPr>
          <w:rFonts w:ascii="Arial" w:hAnsi="Arial" w:cs="Arial"/>
          <w:color w:val="000000"/>
          <w:sz w:val="20"/>
          <w:szCs w:val="20"/>
        </w:rPr>
        <w:t>ell’Indagine sulle imprese industriali e dei servizi (INVIND) svolta nel 2019 dalla Banca d’Italia. In tale ambito, è stata predisposta in collaborazione con l’Istat una sezione specifica per la raccolta di informazioni sulle vite medie dei beni capitali in macchine e attrezzature acquistati e prodotti dalle imprese</w:t>
      </w:r>
      <w:r w:rsidRPr="007F0772">
        <w:rPr>
          <w:rStyle w:val="Rimandonotaapidipagina"/>
          <w:rFonts w:ascii="Arial" w:hAnsi="Arial" w:cs="Arial"/>
          <w:sz w:val="20"/>
          <w:szCs w:val="20"/>
        </w:rPr>
        <w:footnoteReference w:id="5"/>
      </w:r>
      <w:r w:rsidRPr="007F0772">
        <w:rPr>
          <w:rFonts w:ascii="Arial" w:hAnsi="Arial" w:cs="Arial"/>
          <w:color w:val="000000"/>
          <w:sz w:val="20"/>
          <w:szCs w:val="20"/>
        </w:rPr>
        <w:t xml:space="preserve">. Le informazioni sulle vite utili delle quattro tipologie di beni su indicati nel settore manifatturiero sono state raccolte anche utilizzando i risultati </w:t>
      </w:r>
      <w:r>
        <w:rPr>
          <w:rFonts w:ascii="Arial" w:hAnsi="Arial" w:cs="Arial"/>
          <w:color w:val="000000"/>
          <w:sz w:val="20"/>
          <w:szCs w:val="20"/>
        </w:rPr>
        <w:t xml:space="preserve">di un </w:t>
      </w:r>
      <w:r w:rsidRPr="007F0772">
        <w:rPr>
          <w:rFonts w:ascii="Arial" w:hAnsi="Arial" w:cs="Arial"/>
          <w:color w:val="000000"/>
          <w:sz w:val="20"/>
          <w:szCs w:val="20"/>
        </w:rPr>
        <w:t xml:space="preserve">modulo </w:t>
      </w:r>
      <w:r>
        <w:rPr>
          <w:rFonts w:ascii="Arial" w:hAnsi="Arial" w:cs="Arial"/>
          <w:color w:val="000000"/>
          <w:sz w:val="20"/>
          <w:szCs w:val="20"/>
        </w:rPr>
        <w:t xml:space="preserve">predisposto ad hoc ed </w:t>
      </w:r>
      <w:r w:rsidRPr="007F0772">
        <w:rPr>
          <w:rFonts w:ascii="Arial" w:hAnsi="Arial" w:cs="Arial"/>
          <w:color w:val="000000"/>
          <w:sz w:val="20"/>
          <w:szCs w:val="20"/>
        </w:rPr>
        <w:t>inserito nel questionario dell’Indagine Istat su “Clima di fiducia delle imprese manifatturiere”</w:t>
      </w:r>
      <w:r>
        <w:rPr>
          <w:rFonts w:ascii="Arial" w:hAnsi="Arial" w:cs="Arial"/>
          <w:color w:val="000000"/>
          <w:sz w:val="20"/>
          <w:szCs w:val="20"/>
        </w:rPr>
        <w:t>,</w:t>
      </w:r>
      <w:r w:rsidRPr="007F0772">
        <w:rPr>
          <w:rFonts w:ascii="Arial" w:hAnsi="Arial" w:cs="Arial"/>
          <w:color w:val="000000"/>
          <w:sz w:val="20"/>
          <w:szCs w:val="20"/>
        </w:rPr>
        <w:t xml:space="preserve"> svolta nel novembre del 2018. La stima sulla vita media della R&amp;S, del software</w:t>
      </w:r>
      <w:r>
        <w:rPr>
          <w:rFonts w:ascii="Arial" w:hAnsi="Arial" w:cs="Arial"/>
          <w:color w:val="000000"/>
          <w:sz w:val="20"/>
          <w:szCs w:val="20"/>
        </w:rPr>
        <w:t>,</w:t>
      </w:r>
      <w:r w:rsidRPr="007F0772">
        <w:rPr>
          <w:rFonts w:ascii="Arial" w:hAnsi="Arial" w:cs="Arial"/>
          <w:color w:val="000000"/>
          <w:sz w:val="20"/>
          <w:szCs w:val="20"/>
        </w:rPr>
        <w:t xml:space="preserve"> delle prospezioni minerarie e degli originali di opere artistiche letterarie e d’intrattenimento tiene conto, come in passato, delle indicazioni del manuale pubblicato dall’OCSE sulla misurazione dello </w:t>
      </w:r>
      <w:r w:rsidR="00483D0B" w:rsidRPr="00483D0B">
        <w:rPr>
          <w:rFonts w:ascii="Arial" w:hAnsi="Arial" w:cs="Arial"/>
          <w:i/>
          <w:iCs/>
          <w:color w:val="000000"/>
          <w:sz w:val="20"/>
          <w:szCs w:val="20"/>
        </w:rPr>
        <w:t>stock</w:t>
      </w:r>
      <w:r w:rsidRPr="007F0772">
        <w:rPr>
          <w:rFonts w:ascii="Arial" w:hAnsi="Arial" w:cs="Arial"/>
          <w:color w:val="000000"/>
          <w:sz w:val="20"/>
          <w:szCs w:val="20"/>
        </w:rPr>
        <w:t xml:space="preserve"> di capitale dei prodotti della proprietà intellettuale</w:t>
      </w:r>
      <w:r w:rsidRPr="007F0772">
        <w:rPr>
          <w:rStyle w:val="Rimandonotaapidipagina"/>
          <w:rFonts w:ascii="Arial" w:hAnsi="Arial" w:cs="Arial"/>
          <w:sz w:val="20"/>
          <w:szCs w:val="20"/>
        </w:rPr>
        <w:footnoteReference w:id="6"/>
      </w:r>
      <w:r w:rsidRPr="007F0772">
        <w:rPr>
          <w:rFonts w:ascii="Arial" w:hAnsi="Arial" w:cs="Arial"/>
          <w:color w:val="000000"/>
          <w:sz w:val="20"/>
          <w:szCs w:val="20"/>
        </w:rPr>
        <w:t>. Le vite utili per le altre tipologie di beni capitali non sono state modificate.</w:t>
      </w:r>
    </w:p>
    <w:p w14:paraId="4B25FC7E" w14:textId="77777777" w:rsidR="00DE2FB0" w:rsidRDefault="00194E59">
      <w:pPr>
        <w:spacing w:after="120"/>
        <w:jc w:val="both"/>
        <w:rPr>
          <w:rFonts w:ascii="Arial" w:hAnsi="Arial" w:cs="Arial"/>
          <w:sz w:val="20"/>
          <w:szCs w:val="20"/>
        </w:rPr>
      </w:pPr>
      <w:r w:rsidRPr="005D248B">
        <w:rPr>
          <w:rFonts w:ascii="Arial" w:hAnsi="Arial" w:cs="Arial"/>
          <w:color w:val="000000"/>
          <w:sz w:val="20"/>
          <w:szCs w:val="20"/>
        </w:rPr>
        <w:t>La struttura additiva dell’indi</w:t>
      </w:r>
      <w:r w:rsidRPr="005D248B">
        <w:rPr>
          <w:rFonts w:ascii="Arial" w:hAnsi="Arial" w:cs="Arial"/>
          <w:sz w:val="20"/>
          <w:szCs w:val="20"/>
        </w:rPr>
        <w:t xml:space="preserve">ce di </w:t>
      </w:r>
      <w:proofErr w:type="spellStart"/>
      <w:r w:rsidRPr="005D248B">
        <w:rPr>
          <w:rFonts w:ascii="Arial" w:hAnsi="Arial" w:cs="Arial"/>
          <w:sz w:val="20"/>
          <w:szCs w:val="20"/>
        </w:rPr>
        <w:t>Tornqvist</w:t>
      </w:r>
      <w:proofErr w:type="spellEnd"/>
      <w:r w:rsidRPr="005D248B">
        <w:rPr>
          <w:rFonts w:ascii="Arial" w:hAnsi="Arial" w:cs="Arial"/>
          <w:sz w:val="20"/>
          <w:szCs w:val="20"/>
        </w:rPr>
        <w:t xml:space="preserve"> consente di calcolare separatamente l’indice di volume del flusso dei servizi del capitale per le tipologie di capitale ICT, di capitale materiale non-ICT </w:t>
      </w:r>
      <w:proofErr w:type="gramStart"/>
      <w:r w:rsidRPr="005D248B">
        <w:rPr>
          <w:rFonts w:ascii="Arial" w:hAnsi="Arial" w:cs="Arial"/>
          <w:sz w:val="20"/>
          <w:szCs w:val="20"/>
        </w:rPr>
        <w:t>e</w:t>
      </w:r>
      <w:proofErr w:type="gramEnd"/>
      <w:r w:rsidRPr="005D248B">
        <w:rPr>
          <w:rFonts w:ascii="Arial" w:hAnsi="Arial" w:cs="Arial"/>
          <w:sz w:val="20"/>
          <w:szCs w:val="20"/>
        </w:rPr>
        <w:t xml:space="preserve"> di capitale immateriale non-ICT. L’indice di volume del flusso dei servizi del capitale ICT (materiale non-ICT, capitale immateriale non-ICT) è ottenuto aggregando i tassi di crescita degli </w:t>
      </w:r>
      <w:r w:rsidR="00483D0B" w:rsidRPr="00483D0B">
        <w:rPr>
          <w:rFonts w:ascii="Arial" w:hAnsi="Arial" w:cs="Arial"/>
          <w:i/>
          <w:iCs/>
          <w:sz w:val="20"/>
          <w:szCs w:val="20"/>
        </w:rPr>
        <w:t>stock</w:t>
      </w:r>
      <w:r w:rsidRPr="005D248B">
        <w:rPr>
          <w:rFonts w:ascii="Arial" w:hAnsi="Arial" w:cs="Arial"/>
          <w:sz w:val="20"/>
          <w:szCs w:val="20"/>
        </w:rPr>
        <w:t xml:space="preserve"> di capitale produttivo dei beni ICT (materiale non-ICT, capitale immateriale non-ICT), con pesi dati dalla quota di ciascun bene nel valore del costo complessivo per i servizi del capitale ICT (materiale non-ICT, capitale immateriale non-ICT).</w:t>
      </w:r>
    </w:p>
    <w:p w14:paraId="0B544152" w14:textId="77777777" w:rsidR="00DE2FB0" w:rsidRDefault="00194E59">
      <w:pPr>
        <w:spacing w:after="120"/>
        <w:jc w:val="both"/>
        <w:rPr>
          <w:rFonts w:ascii="Arial" w:hAnsi="Arial" w:cs="Arial"/>
          <w:sz w:val="20"/>
          <w:szCs w:val="20"/>
        </w:rPr>
      </w:pPr>
      <w:r w:rsidRPr="005D248B">
        <w:rPr>
          <w:rFonts w:ascii="Arial" w:hAnsi="Arial" w:cs="Arial"/>
          <w:sz w:val="20"/>
          <w:szCs w:val="20"/>
        </w:rPr>
        <w:t>Il calcolo del flusso dei servizi del capitale è stato effettuato a livello di 38 branche di attività economica. La stima per livelli di aggregazione superiori e per il totale economia è stata ottenuta per aggregazione dei dati stimati a livello di 38 branche, utilizzando come pesi la quota di ciascuna branca sui redditi del capitale del livello superiore di aggregazione.</w:t>
      </w:r>
    </w:p>
    <w:p w14:paraId="3A5AAE92" w14:textId="77777777" w:rsidR="00DE2FB0" w:rsidRDefault="00DE2FB0">
      <w:pPr>
        <w:spacing w:after="120"/>
        <w:jc w:val="both"/>
      </w:pPr>
    </w:p>
    <w:p w14:paraId="43E7F154" w14:textId="77777777" w:rsidR="00194E59" w:rsidRPr="00CC568C" w:rsidRDefault="00483D0B" w:rsidP="00194E59">
      <w:pPr>
        <w:spacing w:after="120"/>
        <w:jc w:val="both"/>
        <w:rPr>
          <w:rFonts w:ascii="Arial Narrow" w:hAnsi="Arial Narrow" w:cs="Arial"/>
          <w:b/>
          <w:bCs/>
          <w:color w:val="1F497D" w:themeColor="text2"/>
          <w:kern w:val="28"/>
          <w:sz w:val="20"/>
          <w:szCs w:val="20"/>
        </w:rPr>
      </w:pPr>
      <w:r w:rsidRPr="00483D0B">
        <w:rPr>
          <w:rFonts w:ascii="Arial Narrow" w:hAnsi="Arial Narrow" w:cs="Arial"/>
          <w:b/>
          <w:bCs/>
          <w:color w:val="1F497D" w:themeColor="text2"/>
          <w:kern w:val="28"/>
          <w:sz w:val="20"/>
          <w:szCs w:val="20"/>
        </w:rPr>
        <w:t>PROSPETTO 1. VITE MEDIE DEI BENI CAPITALI (IN ANNI)</w:t>
      </w:r>
    </w:p>
    <w:tbl>
      <w:tblPr>
        <w:tblW w:w="9893" w:type="dxa"/>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264"/>
        <w:gridCol w:w="545"/>
        <w:gridCol w:w="567"/>
        <w:gridCol w:w="556"/>
        <w:gridCol w:w="497"/>
        <w:gridCol w:w="502"/>
        <w:gridCol w:w="551"/>
        <w:gridCol w:w="497"/>
        <w:gridCol w:w="497"/>
        <w:gridCol w:w="562"/>
        <w:gridCol w:w="578"/>
        <w:gridCol w:w="715"/>
        <w:gridCol w:w="518"/>
        <w:gridCol w:w="551"/>
        <w:gridCol w:w="501"/>
      </w:tblGrid>
      <w:tr w:rsidR="00194E59" w:rsidRPr="00E77719" w14:paraId="07219937" w14:textId="77777777" w:rsidTr="00643153">
        <w:trPr>
          <w:trHeight w:val="229"/>
        </w:trPr>
        <w:tc>
          <w:tcPr>
            <w:tcW w:w="2256" w:type="dxa"/>
            <w:vMerge w:val="restart"/>
            <w:shd w:val="clear" w:color="auto" w:fill="auto"/>
            <w:noWrap/>
            <w:tcMar>
              <w:left w:w="0" w:type="dxa"/>
            </w:tcMar>
            <w:vAlign w:val="center"/>
            <w:hideMark/>
          </w:tcPr>
          <w:p w14:paraId="3421F8A3" w14:textId="77777777" w:rsidR="00194E59" w:rsidRPr="00E77719" w:rsidRDefault="00194E59" w:rsidP="00643153">
            <w:pPr>
              <w:rPr>
                <w:rFonts w:ascii="Arial Narrow" w:hAnsi="Arial Narrow" w:cs="Arial"/>
                <w:b/>
                <w:sz w:val="16"/>
                <w:szCs w:val="16"/>
              </w:rPr>
            </w:pPr>
            <w:r w:rsidRPr="00E77719">
              <w:rPr>
                <w:rFonts w:ascii="Arial Narrow" w:hAnsi="Arial Narrow" w:cs="Arial"/>
                <w:b/>
                <w:sz w:val="16"/>
                <w:szCs w:val="16"/>
              </w:rPr>
              <w:t>ATTIV</w:t>
            </w:r>
            <w:r>
              <w:rPr>
                <w:rFonts w:ascii="Arial Narrow" w:hAnsi="Arial Narrow" w:cs="Arial"/>
                <w:b/>
                <w:sz w:val="16"/>
                <w:szCs w:val="16"/>
              </w:rPr>
              <w:t>I</w:t>
            </w:r>
            <w:r w:rsidRPr="00E77719">
              <w:rPr>
                <w:rFonts w:ascii="Arial Narrow" w:hAnsi="Arial Narrow" w:cs="Arial"/>
                <w:b/>
                <w:sz w:val="16"/>
                <w:szCs w:val="16"/>
              </w:rPr>
              <w:t>T</w:t>
            </w:r>
            <w:r>
              <w:rPr>
                <w:rFonts w:ascii="Arial Narrow" w:hAnsi="Arial Narrow" w:cs="Arial"/>
                <w:b/>
                <w:sz w:val="16"/>
                <w:szCs w:val="16"/>
              </w:rPr>
              <w:t>À</w:t>
            </w:r>
            <w:r w:rsidRPr="00E77719">
              <w:rPr>
                <w:rFonts w:ascii="Arial Narrow" w:hAnsi="Arial Narrow" w:cs="Arial"/>
                <w:b/>
                <w:sz w:val="16"/>
                <w:szCs w:val="16"/>
              </w:rPr>
              <w:t xml:space="preserve"> ECONOMICHE</w:t>
            </w:r>
          </w:p>
        </w:tc>
        <w:tc>
          <w:tcPr>
            <w:tcW w:w="7637" w:type="dxa"/>
            <w:gridSpan w:val="14"/>
            <w:shd w:val="clear" w:color="auto" w:fill="D9D9D9" w:themeFill="background1" w:themeFillShade="D9"/>
            <w:noWrap/>
            <w:vAlign w:val="center"/>
            <w:hideMark/>
          </w:tcPr>
          <w:p w14:paraId="164C45E1" w14:textId="77777777" w:rsidR="00194E59" w:rsidRPr="00E77719" w:rsidRDefault="00194E59" w:rsidP="00643153">
            <w:pPr>
              <w:jc w:val="center"/>
              <w:rPr>
                <w:rFonts w:ascii="Arial Narrow" w:hAnsi="Arial Narrow" w:cs="Arial"/>
                <w:b/>
                <w:sz w:val="14"/>
                <w:szCs w:val="14"/>
              </w:rPr>
            </w:pPr>
            <w:r w:rsidRPr="00E77719">
              <w:rPr>
                <w:rFonts w:ascii="Arial Narrow" w:hAnsi="Arial Narrow" w:cs="Arial"/>
                <w:b/>
                <w:sz w:val="14"/>
                <w:szCs w:val="14"/>
              </w:rPr>
              <w:t>Tipo di bene</w:t>
            </w:r>
          </w:p>
        </w:tc>
      </w:tr>
      <w:tr w:rsidR="00194E59" w:rsidRPr="00E77719" w14:paraId="487C81D8" w14:textId="77777777" w:rsidTr="00643153">
        <w:trPr>
          <w:trHeight w:val="229"/>
        </w:trPr>
        <w:tc>
          <w:tcPr>
            <w:tcW w:w="2256" w:type="dxa"/>
            <w:vMerge/>
            <w:tcMar>
              <w:left w:w="0" w:type="dxa"/>
            </w:tcMar>
            <w:vAlign w:val="center"/>
            <w:hideMark/>
          </w:tcPr>
          <w:p w14:paraId="2EFF899B" w14:textId="77777777" w:rsidR="00194E59" w:rsidRPr="00E77719" w:rsidRDefault="00194E59" w:rsidP="00643153">
            <w:pPr>
              <w:rPr>
                <w:rFonts w:ascii="Arial Narrow" w:hAnsi="Arial Narrow" w:cs="Arial"/>
                <w:sz w:val="14"/>
                <w:szCs w:val="14"/>
              </w:rPr>
            </w:pPr>
          </w:p>
        </w:tc>
        <w:tc>
          <w:tcPr>
            <w:tcW w:w="545" w:type="dxa"/>
            <w:shd w:val="clear" w:color="auto" w:fill="auto"/>
            <w:vAlign w:val="center"/>
            <w:hideMark/>
          </w:tcPr>
          <w:p w14:paraId="1C4EC2BF" w14:textId="77777777" w:rsidR="00194E5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Software</w:t>
            </w:r>
          </w:p>
          <w:p w14:paraId="1491DF26" w14:textId="77777777" w:rsidR="00194E59" w:rsidRPr="00E77719" w:rsidRDefault="00194E59" w:rsidP="00643153">
            <w:pPr>
              <w:spacing w:line="120" w:lineRule="exact"/>
              <w:jc w:val="center"/>
              <w:rPr>
                <w:rFonts w:ascii="Arial Narrow" w:hAnsi="Arial Narrow" w:cs="Arial"/>
                <w:sz w:val="12"/>
                <w:szCs w:val="12"/>
              </w:rPr>
            </w:pPr>
            <w:r>
              <w:rPr>
                <w:rFonts w:ascii="Arial Narrow" w:hAnsi="Arial Narrow" w:cs="Arial"/>
                <w:sz w:val="12"/>
                <w:szCs w:val="12"/>
              </w:rPr>
              <w:t xml:space="preserve">e database </w:t>
            </w:r>
          </w:p>
        </w:tc>
        <w:tc>
          <w:tcPr>
            <w:tcW w:w="567" w:type="dxa"/>
            <w:shd w:val="clear" w:color="auto" w:fill="auto"/>
            <w:vAlign w:val="center"/>
            <w:hideMark/>
          </w:tcPr>
          <w:p w14:paraId="3B2A6C67"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Hardware</w:t>
            </w:r>
          </w:p>
        </w:tc>
        <w:tc>
          <w:tcPr>
            <w:tcW w:w="556" w:type="dxa"/>
            <w:shd w:val="clear" w:color="auto" w:fill="auto"/>
            <w:vAlign w:val="center"/>
            <w:hideMark/>
          </w:tcPr>
          <w:p w14:paraId="658D7CB7"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 xml:space="preserve">Apparati per le </w:t>
            </w:r>
            <w:proofErr w:type="spellStart"/>
            <w:r w:rsidRPr="00E77719">
              <w:rPr>
                <w:rFonts w:ascii="Arial Narrow" w:hAnsi="Arial Narrow" w:cs="Arial"/>
                <w:sz w:val="12"/>
                <w:szCs w:val="12"/>
              </w:rPr>
              <w:t>Comunic</w:t>
            </w:r>
            <w:proofErr w:type="spellEnd"/>
            <w:r w:rsidRPr="00E77719">
              <w:rPr>
                <w:rFonts w:ascii="Arial Narrow" w:hAnsi="Arial Narrow" w:cs="Arial"/>
                <w:sz w:val="12"/>
                <w:szCs w:val="12"/>
              </w:rPr>
              <w:t>.</w:t>
            </w:r>
          </w:p>
        </w:tc>
        <w:tc>
          <w:tcPr>
            <w:tcW w:w="497" w:type="dxa"/>
            <w:shd w:val="clear" w:color="auto" w:fill="auto"/>
            <w:vAlign w:val="center"/>
            <w:hideMark/>
          </w:tcPr>
          <w:p w14:paraId="7FF65563"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Mobili</w:t>
            </w:r>
          </w:p>
        </w:tc>
        <w:tc>
          <w:tcPr>
            <w:tcW w:w="502" w:type="dxa"/>
            <w:shd w:val="clear" w:color="auto" w:fill="auto"/>
            <w:vAlign w:val="center"/>
            <w:hideMark/>
          </w:tcPr>
          <w:p w14:paraId="2836C029" w14:textId="77777777" w:rsidR="00194E59" w:rsidRPr="00E77719" w:rsidRDefault="00194E59" w:rsidP="00643153">
            <w:pPr>
              <w:spacing w:line="120" w:lineRule="exact"/>
              <w:jc w:val="center"/>
              <w:rPr>
                <w:rFonts w:ascii="Arial Narrow" w:hAnsi="Arial Narrow" w:cs="Arial"/>
                <w:sz w:val="12"/>
                <w:szCs w:val="12"/>
              </w:rPr>
            </w:pPr>
            <w:proofErr w:type="spellStart"/>
            <w:r w:rsidRPr="00E77719">
              <w:rPr>
                <w:rFonts w:ascii="Arial Narrow" w:hAnsi="Arial Narrow" w:cs="Arial"/>
                <w:sz w:val="12"/>
                <w:szCs w:val="12"/>
              </w:rPr>
              <w:t>Piantag</w:t>
            </w:r>
            <w:proofErr w:type="spellEnd"/>
            <w:r w:rsidRPr="00E77719">
              <w:rPr>
                <w:rFonts w:ascii="Arial Narrow" w:hAnsi="Arial Narrow" w:cs="Arial"/>
                <w:sz w:val="12"/>
                <w:szCs w:val="12"/>
              </w:rPr>
              <w:t>. e Pesca</w:t>
            </w:r>
          </w:p>
        </w:tc>
        <w:tc>
          <w:tcPr>
            <w:tcW w:w="551" w:type="dxa"/>
            <w:shd w:val="clear" w:color="auto" w:fill="auto"/>
            <w:vAlign w:val="center"/>
            <w:hideMark/>
          </w:tcPr>
          <w:p w14:paraId="5776AED9"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Bestiame</w:t>
            </w:r>
          </w:p>
        </w:tc>
        <w:tc>
          <w:tcPr>
            <w:tcW w:w="497" w:type="dxa"/>
            <w:shd w:val="clear" w:color="auto" w:fill="auto"/>
            <w:vAlign w:val="center"/>
            <w:hideMark/>
          </w:tcPr>
          <w:p w14:paraId="7F1E9F62"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 xml:space="preserve">Mezzi di </w:t>
            </w:r>
            <w:proofErr w:type="spellStart"/>
            <w:r w:rsidRPr="00E77719">
              <w:rPr>
                <w:rFonts w:ascii="Arial Narrow" w:hAnsi="Arial Narrow" w:cs="Arial"/>
                <w:sz w:val="12"/>
                <w:szCs w:val="12"/>
              </w:rPr>
              <w:t>Trasp</w:t>
            </w:r>
            <w:proofErr w:type="spellEnd"/>
            <w:r w:rsidRPr="00E77719">
              <w:rPr>
                <w:rFonts w:ascii="Arial Narrow" w:hAnsi="Arial Narrow" w:cs="Arial"/>
                <w:sz w:val="12"/>
                <w:szCs w:val="12"/>
              </w:rPr>
              <w:t>. su Strada</w:t>
            </w:r>
          </w:p>
        </w:tc>
        <w:tc>
          <w:tcPr>
            <w:tcW w:w="497" w:type="dxa"/>
            <w:shd w:val="clear" w:color="auto" w:fill="auto"/>
            <w:vAlign w:val="center"/>
            <w:hideMark/>
          </w:tcPr>
          <w:p w14:paraId="54D569A9"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 xml:space="preserve">Altri mezzi di </w:t>
            </w:r>
            <w:proofErr w:type="spellStart"/>
            <w:r w:rsidRPr="00E77719">
              <w:rPr>
                <w:rFonts w:ascii="Arial Narrow" w:hAnsi="Arial Narrow" w:cs="Arial"/>
                <w:sz w:val="12"/>
                <w:szCs w:val="12"/>
              </w:rPr>
              <w:t>Trasp</w:t>
            </w:r>
            <w:proofErr w:type="spellEnd"/>
            <w:r w:rsidRPr="00E77719">
              <w:rPr>
                <w:rFonts w:ascii="Arial Narrow" w:hAnsi="Arial Narrow" w:cs="Arial"/>
                <w:sz w:val="12"/>
                <w:szCs w:val="12"/>
              </w:rPr>
              <w:t>.</w:t>
            </w:r>
          </w:p>
        </w:tc>
        <w:tc>
          <w:tcPr>
            <w:tcW w:w="562" w:type="dxa"/>
            <w:shd w:val="clear" w:color="auto" w:fill="auto"/>
            <w:vAlign w:val="center"/>
            <w:hideMark/>
          </w:tcPr>
          <w:p w14:paraId="1A436A5D"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 xml:space="preserve">Altre Macchine e </w:t>
            </w:r>
            <w:proofErr w:type="spellStart"/>
            <w:r w:rsidRPr="00E77719">
              <w:rPr>
                <w:rFonts w:ascii="Arial Narrow" w:hAnsi="Arial Narrow" w:cs="Arial"/>
                <w:sz w:val="12"/>
                <w:szCs w:val="12"/>
              </w:rPr>
              <w:t>Attrez</w:t>
            </w:r>
            <w:proofErr w:type="spellEnd"/>
            <w:r w:rsidRPr="00E77719">
              <w:rPr>
                <w:rFonts w:ascii="Arial Narrow" w:hAnsi="Arial Narrow" w:cs="Arial"/>
                <w:sz w:val="12"/>
                <w:szCs w:val="12"/>
              </w:rPr>
              <w:t>.</w:t>
            </w:r>
          </w:p>
        </w:tc>
        <w:tc>
          <w:tcPr>
            <w:tcW w:w="578" w:type="dxa"/>
            <w:shd w:val="clear" w:color="auto" w:fill="auto"/>
            <w:vAlign w:val="center"/>
            <w:hideMark/>
          </w:tcPr>
          <w:p w14:paraId="27542FD4"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 xml:space="preserve">Fabbricati Non </w:t>
            </w:r>
            <w:proofErr w:type="spellStart"/>
            <w:r w:rsidRPr="00E77719">
              <w:rPr>
                <w:rFonts w:ascii="Arial Narrow" w:hAnsi="Arial Narrow" w:cs="Arial"/>
                <w:sz w:val="12"/>
                <w:szCs w:val="12"/>
              </w:rPr>
              <w:t>Residenz</w:t>
            </w:r>
            <w:proofErr w:type="spellEnd"/>
            <w:r w:rsidRPr="00E77719">
              <w:rPr>
                <w:rFonts w:ascii="Arial Narrow" w:hAnsi="Arial Narrow" w:cs="Arial"/>
                <w:sz w:val="12"/>
                <w:szCs w:val="12"/>
              </w:rPr>
              <w:t>. e Altre Opere</w:t>
            </w:r>
          </w:p>
        </w:tc>
        <w:tc>
          <w:tcPr>
            <w:tcW w:w="715" w:type="dxa"/>
            <w:shd w:val="clear" w:color="auto" w:fill="auto"/>
            <w:vAlign w:val="center"/>
            <w:hideMark/>
          </w:tcPr>
          <w:p w14:paraId="63BB9AC6"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Costi per trasferimento di proprietà</w:t>
            </w:r>
          </w:p>
        </w:tc>
        <w:tc>
          <w:tcPr>
            <w:tcW w:w="518" w:type="dxa"/>
            <w:shd w:val="clear" w:color="auto" w:fill="auto"/>
            <w:vAlign w:val="center"/>
            <w:hideMark/>
          </w:tcPr>
          <w:p w14:paraId="2F2D9810"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Ricerca e Sviluppo</w:t>
            </w:r>
          </w:p>
        </w:tc>
        <w:tc>
          <w:tcPr>
            <w:tcW w:w="551" w:type="dxa"/>
            <w:shd w:val="clear" w:color="auto" w:fill="auto"/>
            <w:vAlign w:val="center"/>
            <w:hideMark/>
          </w:tcPr>
          <w:p w14:paraId="032F7A81" w14:textId="77777777" w:rsidR="00194E59" w:rsidRPr="00E77719" w:rsidRDefault="00194E59" w:rsidP="00643153">
            <w:pPr>
              <w:spacing w:line="120" w:lineRule="exact"/>
              <w:jc w:val="center"/>
              <w:rPr>
                <w:rFonts w:ascii="Arial Narrow" w:hAnsi="Arial Narrow" w:cs="Arial"/>
                <w:sz w:val="12"/>
                <w:szCs w:val="12"/>
              </w:rPr>
            </w:pPr>
            <w:proofErr w:type="spellStart"/>
            <w:r w:rsidRPr="00E77719">
              <w:rPr>
                <w:rFonts w:ascii="Arial Narrow" w:hAnsi="Arial Narrow" w:cs="Arial"/>
                <w:sz w:val="12"/>
                <w:szCs w:val="12"/>
              </w:rPr>
              <w:t>Prospez</w:t>
            </w:r>
            <w:proofErr w:type="spellEnd"/>
            <w:r w:rsidRPr="00E77719">
              <w:rPr>
                <w:rFonts w:ascii="Arial Narrow" w:hAnsi="Arial Narrow" w:cs="Arial"/>
                <w:sz w:val="12"/>
                <w:szCs w:val="12"/>
              </w:rPr>
              <w:t>. Minerarie</w:t>
            </w:r>
          </w:p>
        </w:tc>
        <w:tc>
          <w:tcPr>
            <w:tcW w:w="501" w:type="dxa"/>
            <w:shd w:val="clear" w:color="auto" w:fill="auto"/>
            <w:vAlign w:val="center"/>
            <w:hideMark/>
          </w:tcPr>
          <w:p w14:paraId="4F7B4E6D" w14:textId="77777777" w:rsidR="00194E59" w:rsidRPr="00E77719" w:rsidRDefault="00194E59" w:rsidP="00643153">
            <w:pPr>
              <w:spacing w:line="120" w:lineRule="exact"/>
              <w:jc w:val="center"/>
              <w:rPr>
                <w:rFonts w:ascii="Arial Narrow" w:hAnsi="Arial Narrow" w:cs="Arial"/>
                <w:sz w:val="12"/>
                <w:szCs w:val="12"/>
              </w:rPr>
            </w:pPr>
            <w:r w:rsidRPr="00E77719">
              <w:rPr>
                <w:rFonts w:ascii="Arial Narrow" w:hAnsi="Arial Narrow" w:cs="Arial"/>
                <w:sz w:val="12"/>
                <w:szCs w:val="12"/>
              </w:rPr>
              <w:t>Originali</w:t>
            </w:r>
          </w:p>
        </w:tc>
      </w:tr>
      <w:tr w:rsidR="00194E59" w:rsidRPr="00E77719" w14:paraId="4CBA347C" w14:textId="77777777" w:rsidTr="00643153">
        <w:trPr>
          <w:trHeight w:val="229"/>
        </w:trPr>
        <w:tc>
          <w:tcPr>
            <w:tcW w:w="2256" w:type="dxa"/>
            <w:shd w:val="clear" w:color="auto" w:fill="auto"/>
            <w:tcMar>
              <w:left w:w="0" w:type="dxa"/>
            </w:tcMar>
            <w:vAlign w:val="center"/>
            <w:hideMark/>
          </w:tcPr>
          <w:p w14:paraId="6B8E0891"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Agricoltura, silvicoltura e pesca</w:t>
            </w:r>
          </w:p>
        </w:tc>
        <w:tc>
          <w:tcPr>
            <w:tcW w:w="545" w:type="dxa"/>
            <w:shd w:val="clear" w:color="auto" w:fill="D9D9D9" w:themeFill="background1" w:themeFillShade="D9"/>
            <w:noWrap/>
            <w:vAlign w:val="center"/>
            <w:hideMark/>
          </w:tcPr>
          <w:p w14:paraId="42EB9F5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644D497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w:t>
            </w:r>
          </w:p>
        </w:tc>
        <w:tc>
          <w:tcPr>
            <w:tcW w:w="556" w:type="dxa"/>
            <w:shd w:val="clear" w:color="auto" w:fill="D9D9D9" w:themeFill="background1" w:themeFillShade="D9"/>
            <w:noWrap/>
            <w:vAlign w:val="center"/>
            <w:hideMark/>
          </w:tcPr>
          <w:p w14:paraId="04091BA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9.4</w:t>
            </w:r>
          </w:p>
        </w:tc>
        <w:tc>
          <w:tcPr>
            <w:tcW w:w="497" w:type="dxa"/>
            <w:shd w:val="clear" w:color="auto" w:fill="auto"/>
            <w:noWrap/>
            <w:vAlign w:val="center"/>
            <w:hideMark/>
          </w:tcPr>
          <w:p w14:paraId="6C77787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12.8</w:t>
            </w:r>
          </w:p>
        </w:tc>
        <w:tc>
          <w:tcPr>
            <w:tcW w:w="502" w:type="dxa"/>
            <w:shd w:val="clear" w:color="auto" w:fill="D9D9D9" w:themeFill="background1" w:themeFillShade="D9"/>
            <w:noWrap/>
            <w:vAlign w:val="center"/>
            <w:hideMark/>
          </w:tcPr>
          <w:p w14:paraId="3E55450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vAlign w:val="center"/>
            <w:hideMark/>
          </w:tcPr>
          <w:p w14:paraId="6846B2B3" w14:textId="77777777" w:rsidR="00194E59" w:rsidRPr="00CC0DBA" w:rsidRDefault="00194E59" w:rsidP="00643153">
            <w:pPr>
              <w:jc w:val="right"/>
              <w:rPr>
                <w:rFonts w:ascii="Arial Narrow" w:hAnsi="Arial Narrow"/>
                <w:sz w:val="14"/>
                <w:szCs w:val="14"/>
              </w:rPr>
            </w:pPr>
            <w:r>
              <w:rPr>
                <w:rFonts w:ascii="Arial Narrow" w:hAnsi="Arial Narrow"/>
                <w:sz w:val="14"/>
                <w:szCs w:val="14"/>
              </w:rPr>
              <w:t>5</w:t>
            </w:r>
          </w:p>
        </w:tc>
        <w:tc>
          <w:tcPr>
            <w:tcW w:w="497" w:type="dxa"/>
            <w:shd w:val="clear" w:color="auto" w:fill="D9D9D9" w:themeFill="background1" w:themeFillShade="D9"/>
            <w:noWrap/>
            <w:vAlign w:val="center"/>
            <w:hideMark/>
          </w:tcPr>
          <w:p w14:paraId="7B4278F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4027397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3BD4DB8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13.9</w:t>
            </w:r>
          </w:p>
        </w:tc>
        <w:tc>
          <w:tcPr>
            <w:tcW w:w="578" w:type="dxa"/>
            <w:shd w:val="clear" w:color="auto" w:fill="auto"/>
            <w:noWrap/>
            <w:vAlign w:val="center"/>
            <w:hideMark/>
          </w:tcPr>
          <w:p w14:paraId="6FF5CA1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51.1</w:t>
            </w:r>
          </w:p>
        </w:tc>
        <w:tc>
          <w:tcPr>
            <w:tcW w:w="715" w:type="dxa"/>
            <w:shd w:val="clear" w:color="auto" w:fill="D9D9D9" w:themeFill="background1" w:themeFillShade="D9"/>
            <w:noWrap/>
            <w:vAlign w:val="center"/>
            <w:hideMark/>
          </w:tcPr>
          <w:p w14:paraId="4355BEB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4B82A33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6DBD217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0BB8D46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08C2013F" w14:textId="77777777" w:rsidTr="00643153">
        <w:trPr>
          <w:trHeight w:val="229"/>
        </w:trPr>
        <w:tc>
          <w:tcPr>
            <w:tcW w:w="2256" w:type="dxa"/>
            <w:shd w:val="clear" w:color="auto" w:fill="auto"/>
            <w:tcMar>
              <w:left w:w="0" w:type="dxa"/>
            </w:tcMar>
            <w:vAlign w:val="center"/>
            <w:hideMark/>
          </w:tcPr>
          <w:p w14:paraId="1E7C5F8D"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Attività estrattiva</w:t>
            </w:r>
          </w:p>
        </w:tc>
        <w:tc>
          <w:tcPr>
            <w:tcW w:w="545" w:type="dxa"/>
            <w:shd w:val="clear" w:color="auto" w:fill="D9D9D9" w:themeFill="background1" w:themeFillShade="D9"/>
            <w:noWrap/>
            <w:vAlign w:val="center"/>
            <w:hideMark/>
          </w:tcPr>
          <w:p w14:paraId="246A6A4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217C1FA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7.2</w:t>
            </w:r>
          </w:p>
        </w:tc>
        <w:tc>
          <w:tcPr>
            <w:tcW w:w="556" w:type="dxa"/>
            <w:shd w:val="clear" w:color="auto" w:fill="D9D9D9" w:themeFill="background1" w:themeFillShade="D9"/>
            <w:noWrap/>
            <w:vAlign w:val="center"/>
            <w:hideMark/>
          </w:tcPr>
          <w:p w14:paraId="31D6244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497" w:type="dxa"/>
            <w:shd w:val="clear" w:color="auto" w:fill="auto"/>
            <w:noWrap/>
            <w:vAlign w:val="center"/>
            <w:hideMark/>
          </w:tcPr>
          <w:p w14:paraId="7F3B7C6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9.4</w:t>
            </w:r>
          </w:p>
        </w:tc>
        <w:tc>
          <w:tcPr>
            <w:tcW w:w="502" w:type="dxa"/>
            <w:shd w:val="clear" w:color="auto" w:fill="D9D9D9" w:themeFill="background1" w:themeFillShade="D9"/>
            <w:noWrap/>
            <w:vAlign w:val="center"/>
            <w:hideMark/>
          </w:tcPr>
          <w:p w14:paraId="281F905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5DF16A97"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11930EE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51AF8AE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5670E21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14.7</w:t>
            </w:r>
          </w:p>
        </w:tc>
        <w:tc>
          <w:tcPr>
            <w:tcW w:w="578" w:type="dxa"/>
            <w:shd w:val="clear" w:color="auto" w:fill="auto"/>
            <w:noWrap/>
            <w:vAlign w:val="center"/>
            <w:hideMark/>
          </w:tcPr>
          <w:p w14:paraId="439D5C5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06ECA8B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4010200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45AABB2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41DAFA5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661D7881" w14:textId="77777777" w:rsidTr="00643153">
        <w:trPr>
          <w:trHeight w:val="229"/>
        </w:trPr>
        <w:tc>
          <w:tcPr>
            <w:tcW w:w="2256" w:type="dxa"/>
            <w:shd w:val="clear" w:color="auto" w:fill="auto"/>
            <w:tcMar>
              <w:left w:w="0" w:type="dxa"/>
            </w:tcMar>
            <w:vAlign w:val="center"/>
            <w:hideMark/>
          </w:tcPr>
          <w:p w14:paraId="15B67F1E"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Industrie alimentari, delle bevande e del tabacco</w:t>
            </w:r>
          </w:p>
        </w:tc>
        <w:tc>
          <w:tcPr>
            <w:tcW w:w="545" w:type="dxa"/>
            <w:shd w:val="clear" w:color="auto" w:fill="D9D9D9" w:themeFill="background1" w:themeFillShade="D9"/>
            <w:noWrap/>
            <w:vAlign w:val="center"/>
            <w:hideMark/>
          </w:tcPr>
          <w:p w14:paraId="1537625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08C45F2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7084045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13A7198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0C8C2CF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78A69590"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29C4A33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77B6FA4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41AB781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6A29DFB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6379655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4332D63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104FBFC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5E7C6AE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6FD27C13" w14:textId="77777777" w:rsidTr="00643153">
        <w:trPr>
          <w:trHeight w:val="229"/>
        </w:trPr>
        <w:tc>
          <w:tcPr>
            <w:tcW w:w="2256" w:type="dxa"/>
            <w:shd w:val="clear" w:color="auto" w:fill="auto"/>
            <w:tcMar>
              <w:left w:w="0" w:type="dxa"/>
            </w:tcMar>
            <w:vAlign w:val="center"/>
            <w:hideMark/>
          </w:tcPr>
          <w:p w14:paraId="13A4D83D"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Industrie tessili, confezione di articoli di abbigliamento e di articoli in pelle e simili</w:t>
            </w:r>
          </w:p>
        </w:tc>
        <w:tc>
          <w:tcPr>
            <w:tcW w:w="545" w:type="dxa"/>
            <w:shd w:val="clear" w:color="auto" w:fill="D9D9D9" w:themeFill="background1" w:themeFillShade="D9"/>
            <w:noWrap/>
            <w:vAlign w:val="center"/>
            <w:hideMark/>
          </w:tcPr>
          <w:p w14:paraId="36085AC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79903E9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2DBF0C9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1551D02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7EAB017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016527C1"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20B2B6A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031636E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06461D0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4AD40EC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4447420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7CBD152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7CE0863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4C8A46F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0E4A5223" w14:textId="77777777" w:rsidTr="00643153">
        <w:trPr>
          <w:trHeight w:val="229"/>
        </w:trPr>
        <w:tc>
          <w:tcPr>
            <w:tcW w:w="2256" w:type="dxa"/>
            <w:shd w:val="clear" w:color="auto" w:fill="auto"/>
            <w:tcMar>
              <w:left w:w="0" w:type="dxa"/>
            </w:tcMar>
            <w:vAlign w:val="center"/>
            <w:hideMark/>
          </w:tcPr>
          <w:p w14:paraId="78EEE421"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Industria del legno; fabbricazione di carta e di prodotti di carta; stampa</w:t>
            </w:r>
          </w:p>
        </w:tc>
        <w:tc>
          <w:tcPr>
            <w:tcW w:w="545" w:type="dxa"/>
            <w:shd w:val="clear" w:color="auto" w:fill="D9D9D9" w:themeFill="background1" w:themeFillShade="D9"/>
            <w:noWrap/>
            <w:vAlign w:val="center"/>
            <w:hideMark/>
          </w:tcPr>
          <w:p w14:paraId="7FB2B04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0522BD5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20C56E3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5122311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27C2E60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7B004341"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5421203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15DD540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66ECF13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2AEEF46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2C22949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45AC47A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7D453B0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63F6CE0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3B687F91" w14:textId="77777777" w:rsidTr="00643153">
        <w:trPr>
          <w:trHeight w:val="229"/>
        </w:trPr>
        <w:tc>
          <w:tcPr>
            <w:tcW w:w="2256" w:type="dxa"/>
            <w:shd w:val="clear" w:color="auto" w:fill="auto"/>
            <w:tcMar>
              <w:left w:w="0" w:type="dxa"/>
            </w:tcMar>
            <w:vAlign w:val="center"/>
            <w:hideMark/>
          </w:tcPr>
          <w:p w14:paraId="543DC4A8"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Fabbricazione di coke e prodotti derivanti dalla raffinazione del petrolio</w:t>
            </w:r>
          </w:p>
        </w:tc>
        <w:tc>
          <w:tcPr>
            <w:tcW w:w="545" w:type="dxa"/>
            <w:shd w:val="clear" w:color="auto" w:fill="D9D9D9" w:themeFill="background1" w:themeFillShade="D9"/>
            <w:noWrap/>
            <w:vAlign w:val="center"/>
            <w:hideMark/>
          </w:tcPr>
          <w:p w14:paraId="60AE46D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18E139F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137A977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6111BA6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0028B2C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34600A7C"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637F10B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1CB1F4C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7208797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4A29B2A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3CB6E55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4F8A0BE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7DF89FE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461C013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7BF4DD3A" w14:textId="77777777" w:rsidTr="00643153">
        <w:trPr>
          <w:trHeight w:val="229"/>
        </w:trPr>
        <w:tc>
          <w:tcPr>
            <w:tcW w:w="2256" w:type="dxa"/>
            <w:shd w:val="clear" w:color="auto" w:fill="auto"/>
            <w:tcMar>
              <w:left w:w="0" w:type="dxa"/>
            </w:tcMar>
            <w:vAlign w:val="center"/>
            <w:hideMark/>
          </w:tcPr>
          <w:p w14:paraId="32F2A190"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Fabbricazione di prodotti chimici</w:t>
            </w:r>
          </w:p>
        </w:tc>
        <w:tc>
          <w:tcPr>
            <w:tcW w:w="545" w:type="dxa"/>
            <w:shd w:val="clear" w:color="auto" w:fill="D9D9D9" w:themeFill="background1" w:themeFillShade="D9"/>
            <w:noWrap/>
            <w:vAlign w:val="center"/>
            <w:hideMark/>
          </w:tcPr>
          <w:p w14:paraId="212CDA8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50C7E58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1FBE25C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5CBBBE5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2982369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037646E2"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6B8A0CC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2A188BA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0AB348F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1B03BCE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7973673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5B4CE0F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2F5F079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6BB438D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58BF72B8" w14:textId="77777777" w:rsidTr="00643153">
        <w:trPr>
          <w:trHeight w:val="229"/>
        </w:trPr>
        <w:tc>
          <w:tcPr>
            <w:tcW w:w="2256" w:type="dxa"/>
            <w:shd w:val="clear" w:color="auto" w:fill="auto"/>
            <w:tcMar>
              <w:left w:w="0" w:type="dxa"/>
            </w:tcMar>
            <w:vAlign w:val="center"/>
            <w:hideMark/>
          </w:tcPr>
          <w:p w14:paraId="7BD7ED88"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Fabbricazione di prodotti farmaceutici di base e di preparati farmaceutici</w:t>
            </w:r>
          </w:p>
        </w:tc>
        <w:tc>
          <w:tcPr>
            <w:tcW w:w="545" w:type="dxa"/>
            <w:shd w:val="clear" w:color="auto" w:fill="D9D9D9" w:themeFill="background1" w:themeFillShade="D9"/>
            <w:noWrap/>
            <w:vAlign w:val="center"/>
            <w:hideMark/>
          </w:tcPr>
          <w:p w14:paraId="25C0772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63A84A5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4A39D64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27DD813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77B2C94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20E0D91A"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6CF57D5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20D6EDC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706C4CA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05C54AF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7CDA4E8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5E039EF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4BF5F80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36398C1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353D5A32" w14:textId="77777777" w:rsidTr="00643153">
        <w:trPr>
          <w:trHeight w:val="229"/>
        </w:trPr>
        <w:tc>
          <w:tcPr>
            <w:tcW w:w="2256" w:type="dxa"/>
            <w:shd w:val="clear" w:color="auto" w:fill="auto"/>
            <w:tcMar>
              <w:left w:w="0" w:type="dxa"/>
            </w:tcMar>
            <w:vAlign w:val="center"/>
            <w:hideMark/>
          </w:tcPr>
          <w:p w14:paraId="43A0D110"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Fabbricazione di articoli in gomma e materie plastiche e di altri prodotti della lavorazione di minerali non metalliferi</w:t>
            </w:r>
          </w:p>
        </w:tc>
        <w:tc>
          <w:tcPr>
            <w:tcW w:w="545" w:type="dxa"/>
            <w:shd w:val="clear" w:color="auto" w:fill="D9D9D9" w:themeFill="background1" w:themeFillShade="D9"/>
            <w:noWrap/>
            <w:vAlign w:val="center"/>
            <w:hideMark/>
          </w:tcPr>
          <w:p w14:paraId="0B8132F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768C497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7EEBA5C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3144E3F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3AEA7EF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51162D83"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5ADCDB9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65E2453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348642B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1DBB653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3926C1E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1EEA7DD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24EB35D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6E7C650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6FF37C6F" w14:textId="77777777" w:rsidTr="00643153">
        <w:trPr>
          <w:trHeight w:val="229"/>
        </w:trPr>
        <w:tc>
          <w:tcPr>
            <w:tcW w:w="2256" w:type="dxa"/>
            <w:shd w:val="clear" w:color="auto" w:fill="auto"/>
            <w:tcMar>
              <w:left w:w="0" w:type="dxa"/>
            </w:tcMar>
            <w:vAlign w:val="center"/>
            <w:hideMark/>
          </w:tcPr>
          <w:p w14:paraId="0DBA0C1B"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Attività metallurgiche; fabbricazione di prodotti in metallo, esclusi macchinari e attrezzature</w:t>
            </w:r>
          </w:p>
        </w:tc>
        <w:tc>
          <w:tcPr>
            <w:tcW w:w="545" w:type="dxa"/>
            <w:shd w:val="clear" w:color="auto" w:fill="D9D9D9" w:themeFill="background1" w:themeFillShade="D9"/>
            <w:noWrap/>
            <w:vAlign w:val="center"/>
            <w:hideMark/>
          </w:tcPr>
          <w:p w14:paraId="356F166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01BBB99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19CBFB4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41746ED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2ACD5C5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235B4EF8"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00F134C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408237A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5E9D72C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59485C2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4804690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6C3D62F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0A09A30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2EBEFCC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11727281" w14:textId="77777777" w:rsidTr="00643153">
        <w:trPr>
          <w:trHeight w:val="229"/>
        </w:trPr>
        <w:tc>
          <w:tcPr>
            <w:tcW w:w="2256" w:type="dxa"/>
            <w:shd w:val="clear" w:color="auto" w:fill="auto"/>
            <w:tcMar>
              <w:left w:w="0" w:type="dxa"/>
            </w:tcMar>
            <w:vAlign w:val="center"/>
            <w:hideMark/>
          </w:tcPr>
          <w:p w14:paraId="6AF9A5FB"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Fabbricazione di computer e prodotti di elettronica e ottica</w:t>
            </w:r>
          </w:p>
        </w:tc>
        <w:tc>
          <w:tcPr>
            <w:tcW w:w="545" w:type="dxa"/>
            <w:shd w:val="clear" w:color="auto" w:fill="D9D9D9" w:themeFill="background1" w:themeFillShade="D9"/>
            <w:noWrap/>
            <w:vAlign w:val="center"/>
            <w:hideMark/>
          </w:tcPr>
          <w:p w14:paraId="0661918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6818F84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20F9AEE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25B6EDF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75D3083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3BEF4C19"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6647296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530B675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7787A30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298564F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7D7FE8B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2F0EC3A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64742F6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584CB2C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72AB1429" w14:textId="77777777" w:rsidTr="00643153">
        <w:trPr>
          <w:trHeight w:val="229"/>
        </w:trPr>
        <w:tc>
          <w:tcPr>
            <w:tcW w:w="2256" w:type="dxa"/>
            <w:shd w:val="clear" w:color="auto" w:fill="auto"/>
            <w:tcMar>
              <w:left w:w="0" w:type="dxa"/>
            </w:tcMar>
            <w:vAlign w:val="center"/>
            <w:hideMark/>
          </w:tcPr>
          <w:p w14:paraId="6E9F70EA"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Fabbricazione di apparecchiature elettriche</w:t>
            </w:r>
          </w:p>
        </w:tc>
        <w:tc>
          <w:tcPr>
            <w:tcW w:w="545" w:type="dxa"/>
            <w:shd w:val="clear" w:color="auto" w:fill="D9D9D9" w:themeFill="background1" w:themeFillShade="D9"/>
            <w:noWrap/>
            <w:vAlign w:val="center"/>
            <w:hideMark/>
          </w:tcPr>
          <w:p w14:paraId="75BBA7B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3B1EB25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23AC5B6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263AF67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3F0E766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28E1C761"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78AAAC4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46A00A0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04AE115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24DC7CD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39AF1BF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0DD0282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05A1F33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30FCF0B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73924E2B" w14:textId="77777777" w:rsidTr="00643153">
        <w:trPr>
          <w:trHeight w:val="229"/>
        </w:trPr>
        <w:tc>
          <w:tcPr>
            <w:tcW w:w="2256" w:type="dxa"/>
            <w:shd w:val="clear" w:color="auto" w:fill="auto"/>
            <w:tcMar>
              <w:left w:w="0" w:type="dxa"/>
            </w:tcMar>
            <w:vAlign w:val="center"/>
            <w:hideMark/>
          </w:tcPr>
          <w:p w14:paraId="283162E1"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 xml:space="preserve">Fabbricazione di macchinari e apparecchiature </w:t>
            </w:r>
            <w:proofErr w:type="spellStart"/>
            <w:r w:rsidRPr="00E77719">
              <w:rPr>
                <w:rFonts w:ascii="Arial Narrow" w:hAnsi="Arial Narrow" w:cs="Arial"/>
                <w:sz w:val="14"/>
                <w:szCs w:val="14"/>
              </w:rPr>
              <w:t>n.c.a</w:t>
            </w:r>
            <w:proofErr w:type="spellEnd"/>
            <w:r w:rsidRPr="00E77719">
              <w:rPr>
                <w:rFonts w:ascii="Arial Narrow" w:hAnsi="Arial Narrow" w:cs="Arial"/>
                <w:sz w:val="14"/>
                <w:szCs w:val="14"/>
              </w:rPr>
              <w:t>.</w:t>
            </w:r>
          </w:p>
        </w:tc>
        <w:tc>
          <w:tcPr>
            <w:tcW w:w="545" w:type="dxa"/>
            <w:shd w:val="clear" w:color="auto" w:fill="D9D9D9" w:themeFill="background1" w:themeFillShade="D9"/>
            <w:noWrap/>
            <w:vAlign w:val="center"/>
            <w:hideMark/>
          </w:tcPr>
          <w:p w14:paraId="09AB207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050A319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731CD04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336E577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2B1EEBE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5C4D4EDE"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1CD772D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105D73E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6C35326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4FDC459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506631C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7B90988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753848D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0B4F12D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36007E30" w14:textId="77777777" w:rsidTr="00643153">
        <w:trPr>
          <w:trHeight w:val="229"/>
        </w:trPr>
        <w:tc>
          <w:tcPr>
            <w:tcW w:w="2256" w:type="dxa"/>
            <w:shd w:val="clear" w:color="auto" w:fill="auto"/>
            <w:tcMar>
              <w:left w:w="0" w:type="dxa"/>
            </w:tcMar>
            <w:vAlign w:val="center"/>
            <w:hideMark/>
          </w:tcPr>
          <w:p w14:paraId="4ECDAAD3"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Fabbricazione di mezzi di trasporto</w:t>
            </w:r>
          </w:p>
        </w:tc>
        <w:tc>
          <w:tcPr>
            <w:tcW w:w="545" w:type="dxa"/>
            <w:shd w:val="clear" w:color="auto" w:fill="D9D9D9" w:themeFill="background1" w:themeFillShade="D9"/>
            <w:noWrap/>
            <w:vAlign w:val="center"/>
            <w:hideMark/>
          </w:tcPr>
          <w:p w14:paraId="431F4D6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22E824D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3EDABC4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6874C32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626FC28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74878013"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0D49457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4EFB147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114BF29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29A665E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6F9FD04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6105A4E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3093466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1D0077C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1D7105B3" w14:textId="77777777" w:rsidTr="00643153">
        <w:trPr>
          <w:trHeight w:val="229"/>
        </w:trPr>
        <w:tc>
          <w:tcPr>
            <w:tcW w:w="2256" w:type="dxa"/>
            <w:shd w:val="clear" w:color="auto" w:fill="auto"/>
            <w:tcMar>
              <w:left w:w="0" w:type="dxa"/>
            </w:tcMar>
            <w:vAlign w:val="center"/>
            <w:hideMark/>
          </w:tcPr>
          <w:p w14:paraId="4BF5D04D"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Fabbricazione di mobili; altre industrie manifatturiere; riparazione e installazione di macchine e apparecchiature</w:t>
            </w:r>
          </w:p>
        </w:tc>
        <w:tc>
          <w:tcPr>
            <w:tcW w:w="545" w:type="dxa"/>
            <w:shd w:val="clear" w:color="auto" w:fill="D9D9D9" w:themeFill="background1" w:themeFillShade="D9"/>
            <w:noWrap/>
            <w:vAlign w:val="center"/>
            <w:hideMark/>
          </w:tcPr>
          <w:p w14:paraId="3045042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62BCE80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556" w:type="dxa"/>
            <w:shd w:val="clear" w:color="auto" w:fill="D9D9D9" w:themeFill="background1" w:themeFillShade="D9"/>
            <w:noWrap/>
            <w:vAlign w:val="center"/>
            <w:hideMark/>
          </w:tcPr>
          <w:p w14:paraId="041EB75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6.8</w:t>
            </w:r>
          </w:p>
        </w:tc>
        <w:tc>
          <w:tcPr>
            <w:tcW w:w="497" w:type="dxa"/>
            <w:shd w:val="clear" w:color="auto" w:fill="auto"/>
            <w:noWrap/>
            <w:vAlign w:val="center"/>
            <w:hideMark/>
          </w:tcPr>
          <w:p w14:paraId="296CCAD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02" w:type="dxa"/>
            <w:shd w:val="clear" w:color="auto" w:fill="D9D9D9" w:themeFill="background1" w:themeFillShade="D9"/>
            <w:noWrap/>
            <w:vAlign w:val="center"/>
            <w:hideMark/>
          </w:tcPr>
          <w:p w14:paraId="4DAF71F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5EB3662B"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2363793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3A2E9EB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298B4A2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14.5</w:t>
            </w:r>
          </w:p>
        </w:tc>
        <w:tc>
          <w:tcPr>
            <w:tcW w:w="578" w:type="dxa"/>
            <w:shd w:val="clear" w:color="auto" w:fill="auto"/>
            <w:noWrap/>
            <w:vAlign w:val="center"/>
            <w:hideMark/>
          </w:tcPr>
          <w:p w14:paraId="5FA900E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7193867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439B3F9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35E2E66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5CAE153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1CB99293" w14:textId="77777777" w:rsidTr="00643153">
        <w:trPr>
          <w:trHeight w:val="229"/>
        </w:trPr>
        <w:tc>
          <w:tcPr>
            <w:tcW w:w="2256" w:type="dxa"/>
            <w:shd w:val="clear" w:color="auto" w:fill="auto"/>
            <w:tcMar>
              <w:left w:w="0" w:type="dxa"/>
            </w:tcMar>
            <w:vAlign w:val="center"/>
            <w:hideMark/>
          </w:tcPr>
          <w:p w14:paraId="13F45D47"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Fornitura di energia elettrica, gas, vapore e aria condizionata</w:t>
            </w:r>
          </w:p>
        </w:tc>
        <w:tc>
          <w:tcPr>
            <w:tcW w:w="545" w:type="dxa"/>
            <w:shd w:val="clear" w:color="auto" w:fill="D9D9D9" w:themeFill="background1" w:themeFillShade="D9"/>
            <w:noWrap/>
            <w:vAlign w:val="center"/>
            <w:hideMark/>
          </w:tcPr>
          <w:p w14:paraId="20AB179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5EB457B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7.2</w:t>
            </w:r>
          </w:p>
        </w:tc>
        <w:tc>
          <w:tcPr>
            <w:tcW w:w="556" w:type="dxa"/>
            <w:shd w:val="clear" w:color="auto" w:fill="D9D9D9" w:themeFill="background1" w:themeFillShade="D9"/>
            <w:noWrap/>
            <w:vAlign w:val="center"/>
            <w:hideMark/>
          </w:tcPr>
          <w:p w14:paraId="4796D8B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497" w:type="dxa"/>
            <w:shd w:val="clear" w:color="auto" w:fill="auto"/>
            <w:noWrap/>
            <w:vAlign w:val="center"/>
            <w:hideMark/>
          </w:tcPr>
          <w:p w14:paraId="01056D6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9.4</w:t>
            </w:r>
          </w:p>
        </w:tc>
        <w:tc>
          <w:tcPr>
            <w:tcW w:w="502" w:type="dxa"/>
            <w:shd w:val="clear" w:color="auto" w:fill="D9D9D9" w:themeFill="background1" w:themeFillShade="D9"/>
            <w:noWrap/>
            <w:vAlign w:val="center"/>
            <w:hideMark/>
          </w:tcPr>
          <w:p w14:paraId="4843D33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6D0B2FBC"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6133388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050C8F5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4DE4304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14.7</w:t>
            </w:r>
          </w:p>
        </w:tc>
        <w:tc>
          <w:tcPr>
            <w:tcW w:w="578" w:type="dxa"/>
            <w:shd w:val="clear" w:color="auto" w:fill="auto"/>
            <w:noWrap/>
            <w:vAlign w:val="center"/>
            <w:hideMark/>
          </w:tcPr>
          <w:p w14:paraId="461D2A0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40</w:t>
            </w:r>
          </w:p>
        </w:tc>
        <w:tc>
          <w:tcPr>
            <w:tcW w:w="715" w:type="dxa"/>
            <w:shd w:val="clear" w:color="auto" w:fill="D9D9D9" w:themeFill="background1" w:themeFillShade="D9"/>
            <w:noWrap/>
            <w:vAlign w:val="center"/>
            <w:hideMark/>
          </w:tcPr>
          <w:p w14:paraId="67E2094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658B1EF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252EF33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1534915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2CA58ECD" w14:textId="77777777" w:rsidTr="00643153">
        <w:trPr>
          <w:trHeight w:val="229"/>
        </w:trPr>
        <w:tc>
          <w:tcPr>
            <w:tcW w:w="2256" w:type="dxa"/>
            <w:shd w:val="clear" w:color="auto" w:fill="auto"/>
            <w:tcMar>
              <w:left w:w="0" w:type="dxa"/>
            </w:tcMar>
            <w:vAlign w:val="center"/>
            <w:hideMark/>
          </w:tcPr>
          <w:p w14:paraId="1638D990"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Fornitura di acqua; reti fognarie, attività di trattamento dei rifiuti e di risanamento</w:t>
            </w:r>
          </w:p>
        </w:tc>
        <w:tc>
          <w:tcPr>
            <w:tcW w:w="545" w:type="dxa"/>
            <w:shd w:val="clear" w:color="auto" w:fill="D9D9D9" w:themeFill="background1" w:themeFillShade="D9"/>
            <w:noWrap/>
            <w:vAlign w:val="center"/>
            <w:hideMark/>
          </w:tcPr>
          <w:p w14:paraId="1DFF19B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5E8A685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7.2</w:t>
            </w:r>
          </w:p>
        </w:tc>
        <w:tc>
          <w:tcPr>
            <w:tcW w:w="556" w:type="dxa"/>
            <w:shd w:val="clear" w:color="auto" w:fill="D9D9D9" w:themeFill="background1" w:themeFillShade="D9"/>
            <w:noWrap/>
            <w:vAlign w:val="center"/>
            <w:hideMark/>
          </w:tcPr>
          <w:p w14:paraId="7ED253F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6.7</w:t>
            </w:r>
          </w:p>
        </w:tc>
        <w:tc>
          <w:tcPr>
            <w:tcW w:w="497" w:type="dxa"/>
            <w:shd w:val="clear" w:color="auto" w:fill="auto"/>
            <w:noWrap/>
            <w:vAlign w:val="center"/>
            <w:hideMark/>
          </w:tcPr>
          <w:p w14:paraId="65EBC33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9.4</w:t>
            </w:r>
          </w:p>
        </w:tc>
        <w:tc>
          <w:tcPr>
            <w:tcW w:w="502" w:type="dxa"/>
            <w:shd w:val="clear" w:color="auto" w:fill="D9D9D9" w:themeFill="background1" w:themeFillShade="D9"/>
            <w:noWrap/>
            <w:vAlign w:val="center"/>
            <w:hideMark/>
          </w:tcPr>
          <w:p w14:paraId="20AD978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3E9C1CB8"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06069B8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46897E5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23C0592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14.7</w:t>
            </w:r>
          </w:p>
        </w:tc>
        <w:tc>
          <w:tcPr>
            <w:tcW w:w="578" w:type="dxa"/>
            <w:shd w:val="clear" w:color="auto" w:fill="auto"/>
            <w:noWrap/>
            <w:vAlign w:val="center"/>
            <w:hideMark/>
          </w:tcPr>
          <w:p w14:paraId="2527D6B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40</w:t>
            </w:r>
          </w:p>
        </w:tc>
        <w:tc>
          <w:tcPr>
            <w:tcW w:w="715" w:type="dxa"/>
            <w:shd w:val="clear" w:color="auto" w:fill="D9D9D9" w:themeFill="background1" w:themeFillShade="D9"/>
            <w:noWrap/>
            <w:vAlign w:val="center"/>
            <w:hideMark/>
          </w:tcPr>
          <w:p w14:paraId="0465569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3EB7C17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2A85A73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646C5FD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13580D39" w14:textId="77777777" w:rsidTr="00643153">
        <w:trPr>
          <w:trHeight w:val="229"/>
        </w:trPr>
        <w:tc>
          <w:tcPr>
            <w:tcW w:w="2256" w:type="dxa"/>
            <w:shd w:val="clear" w:color="auto" w:fill="auto"/>
            <w:tcMar>
              <w:left w:w="0" w:type="dxa"/>
            </w:tcMar>
            <w:vAlign w:val="center"/>
            <w:hideMark/>
          </w:tcPr>
          <w:p w14:paraId="66642430"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Costruzioni</w:t>
            </w:r>
          </w:p>
        </w:tc>
        <w:tc>
          <w:tcPr>
            <w:tcW w:w="545" w:type="dxa"/>
            <w:shd w:val="clear" w:color="auto" w:fill="D9D9D9" w:themeFill="background1" w:themeFillShade="D9"/>
            <w:noWrap/>
            <w:vAlign w:val="center"/>
            <w:hideMark/>
          </w:tcPr>
          <w:p w14:paraId="2ACD3DD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1ECA83B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w:t>
            </w:r>
          </w:p>
        </w:tc>
        <w:tc>
          <w:tcPr>
            <w:tcW w:w="556" w:type="dxa"/>
            <w:shd w:val="clear" w:color="auto" w:fill="D9D9D9" w:themeFill="background1" w:themeFillShade="D9"/>
            <w:noWrap/>
            <w:vAlign w:val="center"/>
            <w:hideMark/>
          </w:tcPr>
          <w:p w14:paraId="5A2B4A0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4.6</w:t>
            </w:r>
          </w:p>
        </w:tc>
        <w:tc>
          <w:tcPr>
            <w:tcW w:w="497" w:type="dxa"/>
            <w:shd w:val="clear" w:color="auto" w:fill="auto"/>
            <w:noWrap/>
            <w:vAlign w:val="center"/>
            <w:hideMark/>
          </w:tcPr>
          <w:p w14:paraId="49C322B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02" w:type="dxa"/>
            <w:shd w:val="clear" w:color="auto" w:fill="D9D9D9" w:themeFill="background1" w:themeFillShade="D9"/>
            <w:noWrap/>
            <w:vAlign w:val="center"/>
            <w:hideMark/>
          </w:tcPr>
          <w:p w14:paraId="5E17A73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4C76AF90"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003A053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4CE63FD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382C959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9.8</w:t>
            </w:r>
          </w:p>
        </w:tc>
        <w:tc>
          <w:tcPr>
            <w:tcW w:w="578" w:type="dxa"/>
            <w:shd w:val="clear" w:color="auto" w:fill="auto"/>
            <w:noWrap/>
            <w:vAlign w:val="center"/>
            <w:hideMark/>
          </w:tcPr>
          <w:p w14:paraId="2173B2B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w:t>
            </w:r>
          </w:p>
        </w:tc>
        <w:tc>
          <w:tcPr>
            <w:tcW w:w="715" w:type="dxa"/>
            <w:shd w:val="clear" w:color="auto" w:fill="D9D9D9" w:themeFill="background1" w:themeFillShade="D9"/>
            <w:noWrap/>
            <w:vAlign w:val="center"/>
            <w:hideMark/>
          </w:tcPr>
          <w:p w14:paraId="6E9B45A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55CB321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6F4C845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657D4F4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45075327" w14:textId="77777777" w:rsidTr="00643153">
        <w:trPr>
          <w:trHeight w:val="229"/>
        </w:trPr>
        <w:tc>
          <w:tcPr>
            <w:tcW w:w="2256" w:type="dxa"/>
            <w:shd w:val="clear" w:color="auto" w:fill="auto"/>
            <w:tcMar>
              <w:left w:w="0" w:type="dxa"/>
            </w:tcMar>
            <w:vAlign w:val="center"/>
            <w:hideMark/>
          </w:tcPr>
          <w:p w14:paraId="34000BCA"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Commercio all’ingrosso e al dettaglio; riparazione di autoveicoli e motocicli</w:t>
            </w:r>
          </w:p>
        </w:tc>
        <w:tc>
          <w:tcPr>
            <w:tcW w:w="545" w:type="dxa"/>
            <w:shd w:val="clear" w:color="auto" w:fill="D9D9D9" w:themeFill="background1" w:themeFillShade="D9"/>
            <w:noWrap/>
            <w:vAlign w:val="center"/>
            <w:hideMark/>
          </w:tcPr>
          <w:p w14:paraId="00D1143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700013B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4E00EF4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14E86B2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3363BAB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13FFE35E"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5AC2468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6A19219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612A17D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26E23EB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65</w:t>
            </w:r>
          </w:p>
        </w:tc>
        <w:tc>
          <w:tcPr>
            <w:tcW w:w="715" w:type="dxa"/>
            <w:shd w:val="clear" w:color="auto" w:fill="D9D9D9" w:themeFill="background1" w:themeFillShade="D9"/>
            <w:noWrap/>
            <w:vAlign w:val="center"/>
            <w:hideMark/>
          </w:tcPr>
          <w:p w14:paraId="508DE77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6EF5EEB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6BD4A41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57A7377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27432BEC" w14:textId="77777777" w:rsidTr="00643153">
        <w:trPr>
          <w:trHeight w:val="229"/>
        </w:trPr>
        <w:tc>
          <w:tcPr>
            <w:tcW w:w="2256" w:type="dxa"/>
            <w:shd w:val="clear" w:color="auto" w:fill="auto"/>
            <w:tcMar>
              <w:left w:w="0" w:type="dxa"/>
            </w:tcMar>
            <w:vAlign w:val="center"/>
            <w:hideMark/>
          </w:tcPr>
          <w:p w14:paraId="450DDC3B"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Trasporto e magazzinaggio</w:t>
            </w:r>
          </w:p>
        </w:tc>
        <w:tc>
          <w:tcPr>
            <w:tcW w:w="545" w:type="dxa"/>
            <w:shd w:val="clear" w:color="auto" w:fill="D9D9D9" w:themeFill="background1" w:themeFillShade="D9"/>
            <w:noWrap/>
            <w:vAlign w:val="center"/>
            <w:hideMark/>
          </w:tcPr>
          <w:p w14:paraId="3FC68DD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3F3C32B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0373815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0136743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211490D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2D052016"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38ACAFC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53DFC42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4A74514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13.9</w:t>
            </w:r>
          </w:p>
        </w:tc>
        <w:tc>
          <w:tcPr>
            <w:tcW w:w="578" w:type="dxa"/>
            <w:shd w:val="clear" w:color="auto" w:fill="auto"/>
            <w:noWrap/>
            <w:vAlign w:val="center"/>
            <w:hideMark/>
          </w:tcPr>
          <w:p w14:paraId="6B5ECD1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50</w:t>
            </w:r>
          </w:p>
        </w:tc>
        <w:tc>
          <w:tcPr>
            <w:tcW w:w="715" w:type="dxa"/>
            <w:shd w:val="clear" w:color="auto" w:fill="D9D9D9" w:themeFill="background1" w:themeFillShade="D9"/>
            <w:noWrap/>
            <w:vAlign w:val="center"/>
            <w:hideMark/>
          </w:tcPr>
          <w:p w14:paraId="2EEF8D7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3713672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7E68F0D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1AED939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3EABF98A" w14:textId="77777777" w:rsidTr="00643153">
        <w:trPr>
          <w:trHeight w:val="229"/>
        </w:trPr>
        <w:tc>
          <w:tcPr>
            <w:tcW w:w="2256" w:type="dxa"/>
            <w:shd w:val="clear" w:color="auto" w:fill="auto"/>
            <w:tcMar>
              <w:left w:w="0" w:type="dxa"/>
            </w:tcMar>
            <w:vAlign w:val="center"/>
            <w:hideMark/>
          </w:tcPr>
          <w:p w14:paraId="56F8B514"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Servizi di alloggio e di ristorazione</w:t>
            </w:r>
          </w:p>
        </w:tc>
        <w:tc>
          <w:tcPr>
            <w:tcW w:w="545" w:type="dxa"/>
            <w:shd w:val="clear" w:color="auto" w:fill="D9D9D9" w:themeFill="background1" w:themeFillShade="D9"/>
            <w:noWrap/>
            <w:vAlign w:val="center"/>
            <w:hideMark/>
          </w:tcPr>
          <w:p w14:paraId="1E47B0E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3F59A82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6D9539D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10D893C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5FA9BBE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0D9AE790"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0AB233D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717B7F3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29CD59F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46006C7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65</w:t>
            </w:r>
          </w:p>
        </w:tc>
        <w:tc>
          <w:tcPr>
            <w:tcW w:w="715" w:type="dxa"/>
            <w:shd w:val="clear" w:color="auto" w:fill="D9D9D9" w:themeFill="background1" w:themeFillShade="D9"/>
            <w:noWrap/>
            <w:vAlign w:val="center"/>
            <w:hideMark/>
          </w:tcPr>
          <w:p w14:paraId="194DB2A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54CB649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19DEF05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18B6FA4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1C697F0D" w14:textId="77777777" w:rsidTr="00643153">
        <w:trPr>
          <w:trHeight w:val="229"/>
        </w:trPr>
        <w:tc>
          <w:tcPr>
            <w:tcW w:w="2256" w:type="dxa"/>
            <w:shd w:val="clear" w:color="auto" w:fill="auto"/>
            <w:tcMar>
              <w:left w:w="0" w:type="dxa"/>
            </w:tcMar>
            <w:vAlign w:val="center"/>
            <w:hideMark/>
          </w:tcPr>
          <w:p w14:paraId="6691001E"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Attività editoriali; audiovisivi; attività di trasmissione</w:t>
            </w:r>
          </w:p>
        </w:tc>
        <w:tc>
          <w:tcPr>
            <w:tcW w:w="545" w:type="dxa"/>
            <w:shd w:val="clear" w:color="auto" w:fill="D9D9D9" w:themeFill="background1" w:themeFillShade="D9"/>
            <w:noWrap/>
            <w:vAlign w:val="center"/>
            <w:hideMark/>
          </w:tcPr>
          <w:p w14:paraId="63BE68B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1AC360C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5464DCF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3C7E5A7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5661FD9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084A930E"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2FF8239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5D7AA88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45A03E3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2F80023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56.2</w:t>
            </w:r>
          </w:p>
        </w:tc>
        <w:tc>
          <w:tcPr>
            <w:tcW w:w="715" w:type="dxa"/>
            <w:shd w:val="clear" w:color="auto" w:fill="D9D9D9" w:themeFill="background1" w:themeFillShade="D9"/>
            <w:noWrap/>
            <w:vAlign w:val="center"/>
            <w:hideMark/>
          </w:tcPr>
          <w:p w14:paraId="5CE225A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6ACBC63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2681306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452AF79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67ECBE48" w14:textId="77777777" w:rsidTr="00643153">
        <w:trPr>
          <w:trHeight w:val="229"/>
        </w:trPr>
        <w:tc>
          <w:tcPr>
            <w:tcW w:w="2256" w:type="dxa"/>
            <w:shd w:val="clear" w:color="auto" w:fill="auto"/>
            <w:tcMar>
              <w:left w:w="0" w:type="dxa"/>
            </w:tcMar>
            <w:vAlign w:val="center"/>
            <w:hideMark/>
          </w:tcPr>
          <w:p w14:paraId="163BE0BB"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Telecomunicazioni</w:t>
            </w:r>
          </w:p>
        </w:tc>
        <w:tc>
          <w:tcPr>
            <w:tcW w:w="545" w:type="dxa"/>
            <w:shd w:val="clear" w:color="auto" w:fill="D9D9D9" w:themeFill="background1" w:themeFillShade="D9"/>
            <w:noWrap/>
            <w:vAlign w:val="center"/>
            <w:hideMark/>
          </w:tcPr>
          <w:p w14:paraId="1229129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4CBB0E9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3F2B614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7E3F403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5B8EBDD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0E15CEBB"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75A8857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5D14320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6ACFA7E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3B6A458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50</w:t>
            </w:r>
          </w:p>
        </w:tc>
        <w:tc>
          <w:tcPr>
            <w:tcW w:w="715" w:type="dxa"/>
            <w:shd w:val="clear" w:color="auto" w:fill="D9D9D9" w:themeFill="background1" w:themeFillShade="D9"/>
            <w:noWrap/>
            <w:vAlign w:val="center"/>
            <w:hideMark/>
          </w:tcPr>
          <w:p w14:paraId="76FB283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1C4362D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60345C7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53CC83E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60697DFC" w14:textId="77777777" w:rsidTr="00643153">
        <w:trPr>
          <w:trHeight w:val="229"/>
        </w:trPr>
        <w:tc>
          <w:tcPr>
            <w:tcW w:w="2256" w:type="dxa"/>
            <w:shd w:val="clear" w:color="auto" w:fill="auto"/>
            <w:tcMar>
              <w:left w:w="0" w:type="dxa"/>
            </w:tcMar>
            <w:vAlign w:val="center"/>
            <w:hideMark/>
          </w:tcPr>
          <w:p w14:paraId="004CC50C"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Programmazione, consulenza informatica e attività connesse; attività dei servizi d’informazione</w:t>
            </w:r>
          </w:p>
        </w:tc>
        <w:tc>
          <w:tcPr>
            <w:tcW w:w="545" w:type="dxa"/>
            <w:shd w:val="clear" w:color="auto" w:fill="D9D9D9" w:themeFill="background1" w:themeFillShade="D9"/>
            <w:noWrap/>
            <w:vAlign w:val="center"/>
            <w:hideMark/>
          </w:tcPr>
          <w:p w14:paraId="1C301EA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7D139B9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7445ED2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39A84C5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08853E4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7AB23A99"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227EEA8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79F7387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1C3F2D9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3EC5B2F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56.2</w:t>
            </w:r>
          </w:p>
        </w:tc>
        <w:tc>
          <w:tcPr>
            <w:tcW w:w="715" w:type="dxa"/>
            <w:shd w:val="clear" w:color="auto" w:fill="D9D9D9" w:themeFill="background1" w:themeFillShade="D9"/>
            <w:noWrap/>
            <w:vAlign w:val="center"/>
            <w:hideMark/>
          </w:tcPr>
          <w:p w14:paraId="417023F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061FCFD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0D740A5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37BCC8A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45825B16" w14:textId="77777777" w:rsidTr="00643153">
        <w:trPr>
          <w:trHeight w:val="229"/>
        </w:trPr>
        <w:tc>
          <w:tcPr>
            <w:tcW w:w="2256" w:type="dxa"/>
            <w:shd w:val="clear" w:color="auto" w:fill="auto"/>
            <w:tcMar>
              <w:left w:w="0" w:type="dxa"/>
            </w:tcMar>
            <w:vAlign w:val="center"/>
            <w:hideMark/>
          </w:tcPr>
          <w:p w14:paraId="4A1320E9"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Attività finanziarie e assicurative</w:t>
            </w:r>
          </w:p>
        </w:tc>
        <w:tc>
          <w:tcPr>
            <w:tcW w:w="545" w:type="dxa"/>
            <w:shd w:val="clear" w:color="auto" w:fill="D9D9D9" w:themeFill="background1" w:themeFillShade="D9"/>
            <w:noWrap/>
            <w:vAlign w:val="center"/>
            <w:hideMark/>
          </w:tcPr>
          <w:p w14:paraId="5AE267D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3AB714E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1CA99B5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31B82B2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015C178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44FFCE97"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24A55F4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7746209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585CC78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7A5F3FF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65</w:t>
            </w:r>
          </w:p>
        </w:tc>
        <w:tc>
          <w:tcPr>
            <w:tcW w:w="715" w:type="dxa"/>
            <w:shd w:val="clear" w:color="auto" w:fill="D9D9D9" w:themeFill="background1" w:themeFillShade="D9"/>
            <w:noWrap/>
            <w:vAlign w:val="center"/>
            <w:hideMark/>
          </w:tcPr>
          <w:p w14:paraId="3325A9D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46F279E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551" w:type="dxa"/>
            <w:shd w:val="clear" w:color="auto" w:fill="D9D9D9" w:themeFill="background1" w:themeFillShade="D9"/>
            <w:noWrap/>
            <w:vAlign w:val="center"/>
            <w:hideMark/>
          </w:tcPr>
          <w:p w14:paraId="5F3B34A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7D5F210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7D0232B5" w14:textId="77777777" w:rsidTr="00643153">
        <w:trPr>
          <w:trHeight w:val="229"/>
        </w:trPr>
        <w:tc>
          <w:tcPr>
            <w:tcW w:w="2256" w:type="dxa"/>
            <w:shd w:val="clear" w:color="auto" w:fill="auto"/>
            <w:tcMar>
              <w:left w:w="0" w:type="dxa"/>
            </w:tcMar>
            <w:vAlign w:val="center"/>
            <w:hideMark/>
          </w:tcPr>
          <w:p w14:paraId="34ED4385"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Attività legali e contabilità; attività di sedi centrali; consulenza gestionale; attività degli studi di architettura e d’ingegneria; collaudi e analisi tecniche</w:t>
            </w:r>
          </w:p>
        </w:tc>
        <w:tc>
          <w:tcPr>
            <w:tcW w:w="545" w:type="dxa"/>
            <w:shd w:val="clear" w:color="auto" w:fill="D9D9D9" w:themeFill="background1" w:themeFillShade="D9"/>
            <w:noWrap/>
            <w:vAlign w:val="center"/>
            <w:hideMark/>
          </w:tcPr>
          <w:p w14:paraId="0D4407B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05E85BB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3E12138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568307E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7BD383D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7C765F51"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6433A2E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2BFC86B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11C86FA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516F047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79.1</w:t>
            </w:r>
          </w:p>
        </w:tc>
        <w:tc>
          <w:tcPr>
            <w:tcW w:w="715" w:type="dxa"/>
            <w:shd w:val="clear" w:color="auto" w:fill="D9D9D9" w:themeFill="background1" w:themeFillShade="D9"/>
            <w:noWrap/>
            <w:vAlign w:val="center"/>
            <w:hideMark/>
          </w:tcPr>
          <w:p w14:paraId="2B0C5EE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14A13A1B" w14:textId="77777777" w:rsidR="00194E59" w:rsidRPr="00CC0DBA" w:rsidRDefault="00194E59" w:rsidP="00643153">
            <w:pPr>
              <w:jc w:val="right"/>
              <w:rPr>
                <w:rFonts w:ascii="Arial Narrow" w:hAnsi="Arial Narrow"/>
                <w:sz w:val="14"/>
                <w:szCs w:val="14"/>
              </w:rPr>
            </w:pPr>
            <w:r>
              <w:rPr>
                <w:rFonts w:ascii="Arial Narrow" w:hAnsi="Arial Narrow"/>
                <w:sz w:val="14"/>
                <w:szCs w:val="14"/>
              </w:rPr>
              <w:t>10</w:t>
            </w:r>
          </w:p>
        </w:tc>
        <w:tc>
          <w:tcPr>
            <w:tcW w:w="551" w:type="dxa"/>
            <w:shd w:val="clear" w:color="auto" w:fill="D9D9D9" w:themeFill="background1" w:themeFillShade="D9"/>
            <w:noWrap/>
            <w:vAlign w:val="center"/>
            <w:hideMark/>
          </w:tcPr>
          <w:p w14:paraId="083ED92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6E1D819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41591884" w14:textId="77777777" w:rsidTr="00643153">
        <w:trPr>
          <w:trHeight w:val="229"/>
        </w:trPr>
        <w:tc>
          <w:tcPr>
            <w:tcW w:w="2256" w:type="dxa"/>
            <w:shd w:val="clear" w:color="auto" w:fill="auto"/>
            <w:tcMar>
              <w:left w:w="0" w:type="dxa"/>
            </w:tcMar>
            <w:vAlign w:val="center"/>
            <w:hideMark/>
          </w:tcPr>
          <w:p w14:paraId="58603F77"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Ricerca scientifica e sviluppo</w:t>
            </w:r>
          </w:p>
        </w:tc>
        <w:tc>
          <w:tcPr>
            <w:tcW w:w="545" w:type="dxa"/>
            <w:shd w:val="clear" w:color="auto" w:fill="D9D9D9" w:themeFill="background1" w:themeFillShade="D9"/>
            <w:noWrap/>
            <w:vAlign w:val="center"/>
            <w:hideMark/>
          </w:tcPr>
          <w:p w14:paraId="7F6F9FD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7854766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5B4FA30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192E8B1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299A4CF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1F8688C1"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0739075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31DC5DE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6E0BBFC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53C868F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79.1</w:t>
            </w:r>
          </w:p>
        </w:tc>
        <w:tc>
          <w:tcPr>
            <w:tcW w:w="715" w:type="dxa"/>
            <w:shd w:val="clear" w:color="auto" w:fill="D9D9D9" w:themeFill="background1" w:themeFillShade="D9"/>
            <w:noWrap/>
            <w:vAlign w:val="center"/>
            <w:hideMark/>
          </w:tcPr>
          <w:p w14:paraId="4A6EBBF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152CF6F4" w14:textId="77777777" w:rsidR="00194E59" w:rsidRPr="00CC0DBA" w:rsidRDefault="00194E59" w:rsidP="00643153">
            <w:pPr>
              <w:jc w:val="right"/>
              <w:rPr>
                <w:rFonts w:ascii="Arial Narrow" w:hAnsi="Arial Narrow"/>
                <w:sz w:val="14"/>
                <w:szCs w:val="14"/>
              </w:rPr>
            </w:pPr>
            <w:r>
              <w:rPr>
                <w:rFonts w:ascii="Arial Narrow" w:hAnsi="Arial Narrow"/>
                <w:sz w:val="14"/>
                <w:szCs w:val="14"/>
              </w:rPr>
              <w:t>10</w:t>
            </w:r>
          </w:p>
        </w:tc>
        <w:tc>
          <w:tcPr>
            <w:tcW w:w="551" w:type="dxa"/>
            <w:shd w:val="clear" w:color="auto" w:fill="D9D9D9" w:themeFill="background1" w:themeFillShade="D9"/>
            <w:noWrap/>
            <w:vAlign w:val="center"/>
            <w:hideMark/>
          </w:tcPr>
          <w:p w14:paraId="790A9F6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2792AF3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43384571" w14:textId="77777777" w:rsidTr="00643153">
        <w:trPr>
          <w:trHeight w:val="229"/>
        </w:trPr>
        <w:tc>
          <w:tcPr>
            <w:tcW w:w="2256" w:type="dxa"/>
            <w:shd w:val="clear" w:color="auto" w:fill="auto"/>
            <w:tcMar>
              <w:left w:w="0" w:type="dxa"/>
            </w:tcMar>
            <w:vAlign w:val="center"/>
            <w:hideMark/>
          </w:tcPr>
          <w:p w14:paraId="120E4EA2"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Pubblicità e ricerche di mercato; altre attività professionali, scientifiche e tecniche; servizi veterinari</w:t>
            </w:r>
          </w:p>
        </w:tc>
        <w:tc>
          <w:tcPr>
            <w:tcW w:w="545" w:type="dxa"/>
            <w:shd w:val="clear" w:color="auto" w:fill="D9D9D9" w:themeFill="background1" w:themeFillShade="D9"/>
            <w:noWrap/>
            <w:vAlign w:val="center"/>
            <w:hideMark/>
          </w:tcPr>
          <w:p w14:paraId="49EB45B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61DD4A8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0181E65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6F6EF07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0E0B38E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5F91F1AB"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7CF1167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47F7E24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0BB0417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03CC484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79.1</w:t>
            </w:r>
          </w:p>
        </w:tc>
        <w:tc>
          <w:tcPr>
            <w:tcW w:w="715" w:type="dxa"/>
            <w:shd w:val="clear" w:color="auto" w:fill="D9D9D9" w:themeFill="background1" w:themeFillShade="D9"/>
            <w:noWrap/>
            <w:vAlign w:val="center"/>
            <w:hideMark/>
          </w:tcPr>
          <w:p w14:paraId="4EFC86C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48CC7895" w14:textId="77777777" w:rsidR="00194E59" w:rsidRPr="00CC0DBA" w:rsidRDefault="00194E59" w:rsidP="00643153">
            <w:pPr>
              <w:jc w:val="right"/>
              <w:rPr>
                <w:rFonts w:ascii="Arial Narrow" w:hAnsi="Arial Narrow"/>
                <w:sz w:val="14"/>
                <w:szCs w:val="14"/>
              </w:rPr>
            </w:pPr>
            <w:r>
              <w:rPr>
                <w:rFonts w:ascii="Arial Narrow" w:hAnsi="Arial Narrow"/>
                <w:sz w:val="14"/>
                <w:szCs w:val="14"/>
              </w:rPr>
              <w:t>10</w:t>
            </w:r>
          </w:p>
        </w:tc>
        <w:tc>
          <w:tcPr>
            <w:tcW w:w="551" w:type="dxa"/>
            <w:shd w:val="clear" w:color="auto" w:fill="D9D9D9" w:themeFill="background1" w:themeFillShade="D9"/>
            <w:noWrap/>
            <w:vAlign w:val="center"/>
            <w:hideMark/>
          </w:tcPr>
          <w:p w14:paraId="673ACD9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55EEBF9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39AB21BB" w14:textId="77777777" w:rsidTr="00643153">
        <w:trPr>
          <w:trHeight w:val="229"/>
        </w:trPr>
        <w:tc>
          <w:tcPr>
            <w:tcW w:w="2256" w:type="dxa"/>
            <w:shd w:val="clear" w:color="auto" w:fill="auto"/>
            <w:tcMar>
              <w:left w:w="0" w:type="dxa"/>
            </w:tcMar>
            <w:vAlign w:val="center"/>
            <w:hideMark/>
          </w:tcPr>
          <w:p w14:paraId="60CCCE20"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Attività amministrative e di servizi di supporto</w:t>
            </w:r>
          </w:p>
        </w:tc>
        <w:tc>
          <w:tcPr>
            <w:tcW w:w="545" w:type="dxa"/>
            <w:shd w:val="clear" w:color="auto" w:fill="D9D9D9" w:themeFill="background1" w:themeFillShade="D9"/>
            <w:noWrap/>
            <w:vAlign w:val="center"/>
            <w:hideMark/>
          </w:tcPr>
          <w:p w14:paraId="2C0C85C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7776040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05866D3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1118D8F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0148F4A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66DE2126"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72AAAC6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18A4216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6BA1C17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378888D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79.1</w:t>
            </w:r>
          </w:p>
        </w:tc>
        <w:tc>
          <w:tcPr>
            <w:tcW w:w="715" w:type="dxa"/>
            <w:shd w:val="clear" w:color="auto" w:fill="D9D9D9" w:themeFill="background1" w:themeFillShade="D9"/>
            <w:noWrap/>
            <w:vAlign w:val="center"/>
            <w:hideMark/>
          </w:tcPr>
          <w:p w14:paraId="0BF57A9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636CC354" w14:textId="77777777" w:rsidR="00194E59" w:rsidRPr="00CC0DBA" w:rsidRDefault="00194E59" w:rsidP="00643153">
            <w:pPr>
              <w:jc w:val="right"/>
              <w:rPr>
                <w:rFonts w:ascii="Arial Narrow" w:hAnsi="Arial Narrow"/>
                <w:sz w:val="14"/>
                <w:szCs w:val="14"/>
              </w:rPr>
            </w:pPr>
            <w:r>
              <w:rPr>
                <w:rFonts w:ascii="Arial Narrow" w:hAnsi="Arial Narrow"/>
                <w:sz w:val="14"/>
                <w:szCs w:val="14"/>
              </w:rPr>
              <w:t>10</w:t>
            </w:r>
          </w:p>
        </w:tc>
        <w:tc>
          <w:tcPr>
            <w:tcW w:w="551" w:type="dxa"/>
            <w:shd w:val="clear" w:color="auto" w:fill="D9D9D9" w:themeFill="background1" w:themeFillShade="D9"/>
            <w:noWrap/>
            <w:vAlign w:val="center"/>
            <w:hideMark/>
          </w:tcPr>
          <w:p w14:paraId="5E8E4A8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13CCFA4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408C73DB" w14:textId="77777777" w:rsidTr="00643153">
        <w:trPr>
          <w:trHeight w:val="229"/>
        </w:trPr>
        <w:tc>
          <w:tcPr>
            <w:tcW w:w="2256" w:type="dxa"/>
            <w:shd w:val="clear" w:color="auto" w:fill="auto"/>
            <w:tcMar>
              <w:left w:w="0" w:type="dxa"/>
            </w:tcMar>
            <w:vAlign w:val="center"/>
            <w:hideMark/>
          </w:tcPr>
          <w:p w14:paraId="7539E0E4"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Istruzione</w:t>
            </w:r>
          </w:p>
        </w:tc>
        <w:tc>
          <w:tcPr>
            <w:tcW w:w="545" w:type="dxa"/>
            <w:shd w:val="clear" w:color="auto" w:fill="D9D9D9" w:themeFill="background1" w:themeFillShade="D9"/>
            <w:noWrap/>
            <w:vAlign w:val="center"/>
            <w:hideMark/>
          </w:tcPr>
          <w:p w14:paraId="4875827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5F1BD26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4963567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02F9E58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47E7705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14CE9773"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5494E45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6F084447"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2B3048D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7667FD8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57.2</w:t>
            </w:r>
          </w:p>
        </w:tc>
        <w:tc>
          <w:tcPr>
            <w:tcW w:w="715" w:type="dxa"/>
            <w:shd w:val="clear" w:color="auto" w:fill="D9D9D9" w:themeFill="background1" w:themeFillShade="D9"/>
            <w:noWrap/>
            <w:vAlign w:val="center"/>
            <w:hideMark/>
          </w:tcPr>
          <w:p w14:paraId="0E75390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421A4C83" w14:textId="77777777" w:rsidR="00194E59" w:rsidRPr="00CC0DBA" w:rsidRDefault="00194E59" w:rsidP="00643153">
            <w:pPr>
              <w:jc w:val="right"/>
              <w:rPr>
                <w:rFonts w:ascii="Arial Narrow" w:hAnsi="Arial Narrow"/>
                <w:sz w:val="14"/>
                <w:szCs w:val="14"/>
              </w:rPr>
            </w:pPr>
            <w:r>
              <w:rPr>
                <w:rFonts w:ascii="Arial Narrow" w:hAnsi="Arial Narrow"/>
                <w:sz w:val="14"/>
                <w:szCs w:val="14"/>
              </w:rPr>
              <w:t>10</w:t>
            </w:r>
          </w:p>
        </w:tc>
        <w:tc>
          <w:tcPr>
            <w:tcW w:w="551" w:type="dxa"/>
            <w:shd w:val="clear" w:color="auto" w:fill="D9D9D9" w:themeFill="background1" w:themeFillShade="D9"/>
            <w:noWrap/>
            <w:vAlign w:val="center"/>
            <w:hideMark/>
          </w:tcPr>
          <w:p w14:paraId="05F61E8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4DFEBC5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6447A445" w14:textId="77777777" w:rsidTr="00643153">
        <w:trPr>
          <w:trHeight w:val="229"/>
        </w:trPr>
        <w:tc>
          <w:tcPr>
            <w:tcW w:w="2256" w:type="dxa"/>
            <w:shd w:val="clear" w:color="auto" w:fill="auto"/>
            <w:tcMar>
              <w:left w:w="0" w:type="dxa"/>
            </w:tcMar>
            <w:vAlign w:val="center"/>
            <w:hideMark/>
          </w:tcPr>
          <w:p w14:paraId="67456402"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Attività dei servizi sanitari</w:t>
            </w:r>
          </w:p>
        </w:tc>
        <w:tc>
          <w:tcPr>
            <w:tcW w:w="545" w:type="dxa"/>
            <w:shd w:val="clear" w:color="auto" w:fill="D9D9D9" w:themeFill="background1" w:themeFillShade="D9"/>
            <w:noWrap/>
            <w:vAlign w:val="center"/>
            <w:hideMark/>
          </w:tcPr>
          <w:p w14:paraId="6C1A9D8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541B41F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34BE00B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782F16F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4192014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194846D5"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04D20FC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09B41A31"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5D5D758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6573CBC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35.1</w:t>
            </w:r>
          </w:p>
        </w:tc>
        <w:tc>
          <w:tcPr>
            <w:tcW w:w="715" w:type="dxa"/>
            <w:shd w:val="clear" w:color="auto" w:fill="D9D9D9" w:themeFill="background1" w:themeFillShade="D9"/>
            <w:noWrap/>
            <w:vAlign w:val="center"/>
            <w:hideMark/>
          </w:tcPr>
          <w:p w14:paraId="265DB9E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74B0E119" w14:textId="77777777" w:rsidR="00194E59" w:rsidRPr="00CC0DBA" w:rsidRDefault="00194E59" w:rsidP="00643153">
            <w:pPr>
              <w:jc w:val="right"/>
              <w:rPr>
                <w:rFonts w:ascii="Arial Narrow" w:hAnsi="Arial Narrow"/>
                <w:sz w:val="14"/>
                <w:szCs w:val="14"/>
              </w:rPr>
            </w:pPr>
            <w:r>
              <w:rPr>
                <w:rFonts w:ascii="Arial Narrow" w:hAnsi="Arial Narrow"/>
                <w:sz w:val="14"/>
                <w:szCs w:val="14"/>
              </w:rPr>
              <w:t>10</w:t>
            </w:r>
          </w:p>
        </w:tc>
        <w:tc>
          <w:tcPr>
            <w:tcW w:w="551" w:type="dxa"/>
            <w:shd w:val="clear" w:color="auto" w:fill="D9D9D9" w:themeFill="background1" w:themeFillShade="D9"/>
            <w:noWrap/>
            <w:vAlign w:val="center"/>
            <w:hideMark/>
          </w:tcPr>
          <w:p w14:paraId="40B87FA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0106286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2077D375" w14:textId="77777777" w:rsidTr="00643153">
        <w:trPr>
          <w:trHeight w:val="229"/>
        </w:trPr>
        <w:tc>
          <w:tcPr>
            <w:tcW w:w="2256" w:type="dxa"/>
            <w:shd w:val="clear" w:color="auto" w:fill="auto"/>
            <w:tcMar>
              <w:left w:w="0" w:type="dxa"/>
            </w:tcMar>
            <w:vAlign w:val="center"/>
            <w:hideMark/>
          </w:tcPr>
          <w:p w14:paraId="2B75CA27"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Assistenza sociale</w:t>
            </w:r>
          </w:p>
        </w:tc>
        <w:tc>
          <w:tcPr>
            <w:tcW w:w="545" w:type="dxa"/>
            <w:shd w:val="clear" w:color="auto" w:fill="D9D9D9" w:themeFill="background1" w:themeFillShade="D9"/>
            <w:noWrap/>
            <w:vAlign w:val="center"/>
            <w:hideMark/>
          </w:tcPr>
          <w:p w14:paraId="60D90C5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01BC2F9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2B7A8B9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174A3AF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15C4B9B3"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3714C2B2"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327E091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2830B7AA"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7002C09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34A30D70"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35.1</w:t>
            </w:r>
          </w:p>
        </w:tc>
        <w:tc>
          <w:tcPr>
            <w:tcW w:w="715" w:type="dxa"/>
            <w:shd w:val="clear" w:color="auto" w:fill="D9D9D9" w:themeFill="background1" w:themeFillShade="D9"/>
            <w:noWrap/>
            <w:vAlign w:val="center"/>
            <w:hideMark/>
          </w:tcPr>
          <w:p w14:paraId="6E475E8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4302168B" w14:textId="77777777" w:rsidR="00194E59" w:rsidRPr="00CC0DBA" w:rsidRDefault="00194E59" w:rsidP="00643153">
            <w:pPr>
              <w:jc w:val="right"/>
              <w:rPr>
                <w:rFonts w:ascii="Arial Narrow" w:hAnsi="Arial Narrow"/>
                <w:sz w:val="14"/>
                <w:szCs w:val="14"/>
              </w:rPr>
            </w:pPr>
            <w:r>
              <w:rPr>
                <w:rFonts w:ascii="Arial Narrow" w:hAnsi="Arial Narrow"/>
                <w:sz w:val="14"/>
                <w:szCs w:val="14"/>
              </w:rPr>
              <w:t>10</w:t>
            </w:r>
          </w:p>
        </w:tc>
        <w:tc>
          <w:tcPr>
            <w:tcW w:w="551" w:type="dxa"/>
            <w:shd w:val="clear" w:color="auto" w:fill="D9D9D9" w:themeFill="background1" w:themeFillShade="D9"/>
            <w:noWrap/>
            <w:vAlign w:val="center"/>
            <w:hideMark/>
          </w:tcPr>
          <w:p w14:paraId="4227A0A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054AC51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4720C62C" w14:textId="77777777" w:rsidTr="00643153">
        <w:trPr>
          <w:trHeight w:val="229"/>
        </w:trPr>
        <w:tc>
          <w:tcPr>
            <w:tcW w:w="2256" w:type="dxa"/>
            <w:shd w:val="clear" w:color="auto" w:fill="auto"/>
            <w:tcMar>
              <w:left w:w="0" w:type="dxa"/>
            </w:tcMar>
            <w:vAlign w:val="center"/>
            <w:hideMark/>
          </w:tcPr>
          <w:p w14:paraId="2FF7E9A6"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Attività artistiche, di intrattenimento e divertimento</w:t>
            </w:r>
          </w:p>
        </w:tc>
        <w:tc>
          <w:tcPr>
            <w:tcW w:w="545" w:type="dxa"/>
            <w:shd w:val="clear" w:color="auto" w:fill="D9D9D9" w:themeFill="background1" w:themeFillShade="D9"/>
            <w:noWrap/>
            <w:vAlign w:val="center"/>
            <w:hideMark/>
          </w:tcPr>
          <w:p w14:paraId="54CB5D5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18C8E338"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6DC1A48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38D27A7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7DB0AE0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7E11F080"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11445F4E"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0708F01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7CEFFB3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1D84A0A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56.2</w:t>
            </w:r>
          </w:p>
        </w:tc>
        <w:tc>
          <w:tcPr>
            <w:tcW w:w="715" w:type="dxa"/>
            <w:shd w:val="clear" w:color="auto" w:fill="D9D9D9" w:themeFill="background1" w:themeFillShade="D9"/>
            <w:noWrap/>
            <w:vAlign w:val="center"/>
            <w:hideMark/>
          </w:tcPr>
          <w:p w14:paraId="041316E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6B61A022" w14:textId="77777777" w:rsidR="00194E59" w:rsidRPr="00CC0DBA" w:rsidRDefault="00194E59" w:rsidP="00643153">
            <w:pPr>
              <w:jc w:val="right"/>
              <w:rPr>
                <w:rFonts w:ascii="Arial Narrow" w:hAnsi="Arial Narrow"/>
                <w:sz w:val="14"/>
                <w:szCs w:val="14"/>
              </w:rPr>
            </w:pPr>
            <w:r>
              <w:rPr>
                <w:rFonts w:ascii="Arial Narrow" w:hAnsi="Arial Narrow"/>
                <w:sz w:val="14"/>
                <w:szCs w:val="14"/>
              </w:rPr>
              <w:t>10</w:t>
            </w:r>
          </w:p>
        </w:tc>
        <w:tc>
          <w:tcPr>
            <w:tcW w:w="551" w:type="dxa"/>
            <w:shd w:val="clear" w:color="auto" w:fill="D9D9D9" w:themeFill="background1" w:themeFillShade="D9"/>
            <w:noWrap/>
            <w:vAlign w:val="center"/>
            <w:hideMark/>
          </w:tcPr>
          <w:p w14:paraId="1B4935D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62A3F5F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r w:rsidR="00194E59" w:rsidRPr="00E77719" w14:paraId="3E106B5A" w14:textId="77777777" w:rsidTr="00643153">
        <w:trPr>
          <w:trHeight w:val="229"/>
        </w:trPr>
        <w:tc>
          <w:tcPr>
            <w:tcW w:w="2256" w:type="dxa"/>
            <w:shd w:val="clear" w:color="auto" w:fill="auto"/>
            <w:tcMar>
              <w:left w:w="0" w:type="dxa"/>
            </w:tcMar>
            <w:vAlign w:val="center"/>
            <w:hideMark/>
          </w:tcPr>
          <w:p w14:paraId="4F5F68F7" w14:textId="77777777" w:rsidR="00194E59" w:rsidRPr="00E77719" w:rsidRDefault="00194E59" w:rsidP="00643153">
            <w:pPr>
              <w:rPr>
                <w:rFonts w:ascii="Arial Narrow" w:hAnsi="Arial Narrow" w:cs="Arial"/>
                <w:sz w:val="14"/>
                <w:szCs w:val="14"/>
              </w:rPr>
            </w:pPr>
            <w:r w:rsidRPr="00E77719">
              <w:rPr>
                <w:rFonts w:ascii="Arial Narrow" w:hAnsi="Arial Narrow" w:cs="Arial"/>
                <w:sz w:val="14"/>
                <w:szCs w:val="14"/>
              </w:rPr>
              <w:t>Altre attività di servizi</w:t>
            </w:r>
          </w:p>
        </w:tc>
        <w:tc>
          <w:tcPr>
            <w:tcW w:w="545" w:type="dxa"/>
            <w:shd w:val="clear" w:color="auto" w:fill="D9D9D9" w:themeFill="background1" w:themeFillShade="D9"/>
            <w:noWrap/>
            <w:vAlign w:val="center"/>
            <w:hideMark/>
          </w:tcPr>
          <w:p w14:paraId="1A4AA38D"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w:t>
            </w:r>
          </w:p>
        </w:tc>
        <w:tc>
          <w:tcPr>
            <w:tcW w:w="567" w:type="dxa"/>
            <w:shd w:val="clear" w:color="auto" w:fill="auto"/>
            <w:noWrap/>
            <w:vAlign w:val="center"/>
            <w:hideMark/>
          </w:tcPr>
          <w:p w14:paraId="3C710734"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6.1</w:t>
            </w:r>
          </w:p>
        </w:tc>
        <w:tc>
          <w:tcPr>
            <w:tcW w:w="556" w:type="dxa"/>
            <w:shd w:val="clear" w:color="auto" w:fill="D9D9D9" w:themeFill="background1" w:themeFillShade="D9"/>
            <w:noWrap/>
            <w:vAlign w:val="center"/>
            <w:hideMark/>
          </w:tcPr>
          <w:p w14:paraId="572E2B7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5.2</w:t>
            </w:r>
          </w:p>
        </w:tc>
        <w:tc>
          <w:tcPr>
            <w:tcW w:w="497" w:type="dxa"/>
            <w:shd w:val="clear" w:color="auto" w:fill="auto"/>
            <w:noWrap/>
            <w:vAlign w:val="center"/>
            <w:hideMark/>
          </w:tcPr>
          <w:p w14:paraId="214611F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12.5</w:t>
            </w:r>
          </w:p>
        </w:tc>
        <w:tc>
          <w:tcPr>
            <w:tcW w:w="502" w:type="dxa"/>
            <w:shd w:val="clear" w:color="auto" w:fill="D9D9D9" w:themeFill="background1" w:themeFillShade="D9"/>
            <w:noWrap/>
            <w:vAlign w:val="center"/>
            <w:hideMark/>
          </w:tcPr>
          <w:p w14:paraId="182C81E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51" w:type="dxa"/>
            <w:shd w:val="clear" w:color="auto" w:fill="auto"/>
            <w:noWrap/>
            <w:hideMark/>
          </w:tcPr>
          <w:p w14:paraId="7E8166B1" w14:textId="77777777" w:rsidR="00194E59" w:rsidRPr="00CC0DBA" w:rsidRDefault="00194E59" w:rsidP="00643153">
            <w:pPr>
              <w:jc w:val="right"/>
              <w:rPr>
                <w:rFonts w:ascii="Arial Narrow" w:hAnsi="Arial Narrow"/>
                <w:sz w:val="14"/>
                <w:szCs w:val="14"/>
              </w:rPr>
            </w:pPr>
            <w:r w:rsidRPr="00931B4B">
              <w:rPr>
                <w:rFonts w:ascii="Arial Narrow" w:hAnsi="Arial Narrow"/>
                <w:sz w:val="14"/>
                <w:szCs w:val="14"/>
              </w:rPr>
              <w:t>5</w:t>
            </w:r>
          </w:p>
        </w:tc>
        <w:tc>
          <w:tcPr>
            <w:tcW w:w="497" w:type="dxa"/>
            <w:shd w:val="clear" w:color="auto" w:fill="D9D9D9" w:themeFill="background1" w:themeFillShade="D9"/>
            <w:noWrap/>
            <w:vAlign w:val="center"/>
            <w:hideMark/>
          </w:tcPr>
          <w:p w14:paraId="454D8F55"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c>
          <w:tcPr>
            <w:tcW w:w="497" w:type="dxa"/>
            <w:shd w:val="clear" w:color="auto" w:fill="auto"/>
            <w:noWrap/>
            <w:vAlign w:val="center"/>
            <w:hideMark/>
          </w:tcPr>
          <w:p w14:paraId="4B80939C"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18</w:t>
            </w:r>
          </w:p>
        </w:tc>
        <w:tc>
          <w:tcPr>
            <w:tcW w:w="562" w:type="dxa"/>
            <w:shd w:val="clear" w:color="auto" w:fill="D9D9D9" w:themeFill="background1" w:themeFillShade="D9"/>
            <w:noWrap/>
            <w:vAlign w:val="center"/>
            <w:hideMark/>
          </w:tcPr>
          <w:p w14:paraId="1EAB9872"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11</w:t>
            </w:r>
          </w:p>
        </w:tc>
        <w:tc>
          <w:tcPr>
            <w:tcW w:w="578" w:type="dxa"/>
            <w:shd w:val="clear" w:color="auto" w:fill="auto"/>
            <w:noWrap/>
            <w:vAlign w:val="center"/>
            <w:hideMark/>
          </w:tcPr>
          <w:p w14:paraId="38041FE9"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56.2</w:t>
            </w:r>
          </w:p>
        </w:tc>
        <w:tc>
          <w:tcPr>
            <w:tcW w:w="715" w:type="dxa"/>
            <w:shd w:val="clear" w:color="auto" w:fill="D9D9D9" w:themeFill="background1" w:themeFillShade="D9"/>
            <w:noWrap/>
            <w:vAlign w:val="center"/>
            <w:hideMark/>
          </w:tcPr>
          <w:p w14:paraId="114906F6"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25</w:t>
            </w:r>
          </w:p>
        </w:tc>
        <w:tc>
          <w:tcPr>
            <w:tcW w:w="518" w:type="dxa"/>
            <w:shd w:val="clear" w:color="auto" w:fill="auto"/>
            <w:noWrap/>
            <w:vAlign w:val="center"/>
            <w:hideMark/>
          </w:tcPr>
          <w:p w14:paraId="399CD2A0" w14:textId="77777777" w:rsidR="00194E59" w:rsidRPr="00CC0DBA" w:rsidRDefault="00194E59" w:rsidP="00643153">
            <w:pPr>
              <w:jc w:val="right"/>
              <w:rPr>
                <w:rFonts w:ascii="Arial Narrow" w:hAnsi="Arial Narrow"/>
                <w:sz w:val="14"/>
                <w:szCs w:val="14"/>
              </w:rPr>
            </w:pPr>
            <w:r>
              <w:rPr>
                <w:rFonts w:ascii="Arial Narrow" w:hAnsi="Arial Narrow"/>
                <w:sz w:val="14"/>
                <w:szCs w:val="14"/>
              </w:rPr>
              <w:t>10</w:t>
            </w:r>
          </w:p>
        </w:tc>
        <w:tc>
          <w:tcPr>
            <w:tcW w:w="551" w:type="dxa"/>
            <w:shd w:val="clear" w:color="auto" w:fill="D9D9D9" w:themeFill="background1" w:themeFillShade="D9"/>
            <w:noWrap/>
            <w:vAlign w:val="center"/>
            <w:hideMark/>
          </w:tcPr>
          <w:p w14:paraId="504913FF"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34</w:t>
            </w:r>
          </w:p>
        </w:tc>
        <w:tc>
          <w:tcPr>
            <w:tcW w:w="501" w:type="dxa"/>
            <w:shd w:val="clear" w:color="auto" w:fill="auto"/>
            <w:noWrap/>
            <w:vAlign w:val="center"/>
            <w:hideMark/>
          </w:tcPr>
          <w:p w14:paraId="1E910F9B" w14:textId="77777777" w:rsidR="00194E59" w:rsidRPr="00CC0DBA" w:rsidRDefault="00194E59" w:rsidP="00643153">
            <w:pPr>
              <w:jc w:val="right"/>
              <w:rPr>
                <w:rFonts w:ascii="Arial Narrow" w:hAnsi="Arial Narrow"/>
                <w:sz w:val="14"/>
                <w:szCs w:val="14"/>
              </w:rPr>
            </w:pPr>
            <w:r w:rsidRPr="00CC0DBA">
              <w:rPr>
                <w:rFonts w:ascii="Arial Narrow" w:hAnsi="Arial Narrow"/>
                <w:sz w:val="14"/>
                <w:szCs w:val="14"/>
              </w:rPr>
              <w:t>10</w:t>
            </w:r>
          </w:p>
        </w:tc>
      </w:tr>
    </w:tbl>
    <w:p w14:paraId="16F31E76" w14:textId="77777777" w:rsidR="00194E59" w:rsidRDefault="00194E59" w:rsidP="00194E59">
      <w:pPr>
        <w:spacing w:after="120"/>
        <w:jc w:val="both"/>
        <w:rPr>
          <w:rFonts w:ascii="Arial" w:hAnsi="Arial" w:cs="Arial"/>
          <w:sz w:val="20"/>
          <w:szCs w:val="20"/>
          <w:u w:val="single"/>
        </w:rPr>
      </w:pPr>
    </w:p>
    <w:p w14:paraId="07E44247" w14:textId="77777777" w:rsidR="00CC568C" w:rsidRDefault="00CC568C" w:rsidP="00194E59">
      <w:pPr>
        <w:spacing w:after="120"/>
        <w:jc w:val="both"/>
        <w:rPr>
          <w:rFonts w:ascii="Arial" w:hAnsi="Arial" w:cs="Arial"/>
          <w:sz w:val="20"/>
          <w:szCs w:val="20"/>
          <w:u w:val="single"/>
        </w:rPr>
      </w:pPr>
    </w:p>
    <w:p w14:paraId="5ACF541D" w14:textId="77777777" w:rsidR="00CC568C" w:rsidRDefault="00CC568C" w:rsidP="00194E59">
      <w:pPr>
        <w:spacing w:after="120"/>
        <w:jc w:val="both"/>
        <w:rPr>
          <w:rFonts w:ascii="Arial" w:hAnsi="Arial" w:cs="Arial"/>
          <w:sz w:val="20"/>
          <w:szCs w:val="20"/>
          <w:u w:val="single"/>
        </w:rPr>
      </w:pPr>
    </w:p>
    <w:p w14:paraId="5EDAD0D3" w14:textId="77777777" w:rsidR="005E06A4" w:rsidRDefault="005E06A4">
      <w:pPr>
        <w:rPr>
          <w:rFonts w:ascii="Arial" w:hAnsi="Arial" w:cs="Arial"/>
          <w:sz w:val="20"/>
          <w:szCs w:val="20"/>
          <w:u w:val="single"/>
        </w:rPr>
      </w:pPr>
      <w:r>
        <w:rPr>
          <w:rFonts w:ascii="Arial" w:hAnsi="Arial" w:cs="Arial"/>
          <w:sz w:val="20"/>
          <w:szCs w:val="20"/>
          <w:u w:val="single"/>
        </w:rPr>
        <w:br w:type="page"/>
      </w:r>
    </w:p>
    <w:p w14:paraId="0B8A04E6" w14:textId="77777777" w:rsidR="00CC568C" w:rsidRDefault="00CC568C" w:rsidP="00194E59">
      <w:pPr>
        <w:spacing w:after="120"/>
        <w:jc w:val="both"/>
        <w:rPr>
          <w:rFonts w:ascii="Arial" w:hAnsi="Arial" w:cs="Arial"/>
          <w:sz w:val="20"/>
          <w:szCs w:val="20"/>
          <w:u w:val="single"/>
        </w:rPr>
      </w:pPr>
    </w:p>
    <w:p w14:paraId="48EAA1A7" w14:textId="77777777" w:rsidR="00194E59" w:rsidRPr="005D248B" w:rsidRDefault="00194E59" w:rsidP="00194E59">
      <w:pPr>
        <w:spacing w:after="120"/>
        <w:jc w:val="both"/>
        <w:rPr>
          <w:rFonts w:ascii="Arial" w:hAnsi="Arial" w:cs="Arial"/>
          <w:sz w:val="20"/>
          <w:szCs w:val="20"/>
        </w:rPr>
      </w:pPr>
      <w:r>
        <w:rPr>
          <w:rFonts w:ascii="Arial" w:hAnsi="Arial" w:cs="Arial"/>
          <w:sz w:val="20"/>
          <w:szCs w:val="20"/>
          <w:u w:val="single"/>
        </w:rPr>
        <w:t>Produttività del lavoro</w:t>
      </w:r>
    </w:p>
    <w:p w14:paraId="6C48630D"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La produttività del lavoro è definita come il rapporto tra l’indice di volume del valore aggiunto e l’indice di volume dell’input di lavoro, ovvero come valore aggiunto per ora lavorata. </w:t>
      </w:r>
    </w:p>
    <w:p w14:paraId="300CCC54"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I tassi di variazione annuali della produttività del lavoro sono calcolati come tassi di variazione logaritmici:</w:t>
      </w:r>
    </w:p>
    <w:p w14:paraId="76078DDA" w14:textId="77777777" w:rsidR="00194E59" w:rsidRPr="00AC7AA3" w:rsidRDefault="00194E59" w:rsidP="00194E59">
      <w:pPr>
        <w:spacing w:after="120"/>
        <w:jc w:val="both"/>
        <w:rPr>
          <w:rFonts w:ascii="Arial" w:hAnsi="Arial" w:cs="Arial"/>
          <w:sz w:val="10"/>
          <w:szCs w:val="10"/>
        </w:rPr>
      </w:pPr>
    </w:p>
    <w:p w14:paraId="1AD9CE26"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(9)</w:t>
      </w:r>
      <w:r w:rsidRPr="005D248B">
        <w:rPr>
          <w:rFonts w:ascii="Arial" w:hAnsi="Arial" w:cs="Arial"/>
          <w:sz w:val="20"/>
          <w:szCs w:val="20"/>
        </w:rPr>
        <w:tab/>
      </w:r>
      <w:r w:rsidRPr="005D248B">
        <w:rPr>
          <w:rFonts w:ascii="Arial" w:hAnsi="Arial" w:cs="Arial"/>
          <w:noProof/>
          <w:position w:val="-16"/>
          <w:sz w:val="20"/>
          <w:szCs w:val="20"/>
        </w:rPr>
        <w:object w:dxaOrig="9139" w:dyaOrig="600" w14:anchorId="1341544C">
          <v:shape id="_x0000_i1035" type="#_x0000_t75" alt="" style="width:338pt;height:22pt;mso-width-percent:0;mso-height-percent:0;mso-width-percent:0;mso-height-percent:0" o:ole="" fillcolor="window">
            <v:imagedata r:id="rId41" o:title=""/>
          </v:shape>
          <o:OLEObject Type="Embed" ProgID="Equation.3" ShapeID="_x0000_i1035" DrawAspect="Content" ObjectID="_1700909240" r:id="rId42"/>
        </w:object>
      </w:r>
      <w:r w:rsidRPr="005D248B">
        <w:rPr>
          <w:rFonts w:ascii="Arial" w:hAnsi="Arial" w:cs="Arial"/>
          <w:sz w:val="20"/>
          <w:szCs w:val="20"/>
        </w:rPr>
        <w:t>.</w:t>
      </w:r>
    </w:p>
    <w:p w14:paraId="30C6354A"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u w:val="single"/>
        </w:rPr>
        <w:t>Produttività del capitale</w:t>
      </w:r>
    </w:p>
    <w:p w14:paraId="3EF7152D"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La produttività del capitale è definita come il rapporto tra l’indice di volume del valore aggiunto e l’indice di volume dell’input di capitale, ovvero come valore aggiunto per unità di input di capitale. </w:t>
      </w:r>
    </w:p>
    <w:p w14:paraId="27F42927"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I tassi di variazione annuali della produttività del capitale sono calcolati come tassi di variazione logaritmici:</w:t>
      </w:r>
    </w:p>
    <w:p w14:paraId="5CDB93C9" w14:textId="77777777" w:rsidR="00194E59" w:rsidRPr="00AC7AA3" w:rsidRDefault="00194E59" w:rsidP="00194E59">
      <w:pPr>
        <w:spacing w:after="120"/>
        <w:jc w:val="both"/>
        <w:rPr>
          <w:rFonts w:ascii="Arial" w:hAnsi="Arial" w:cs="Arial"/>
          <w:sz w:val="10"/>
          <w:szCs w:val="10"/>
        </w:rPr>
      </w:pPr>
    </w:p>
    <w:p w14:paraId="6EC15EF5"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 (10)</w:t>
      </w:r>
      <w:r w:rsidRPr="005D248B">
        <w:rPr>
          <w:rFonts w:ascii="Arial" w:hAnsi="Arial" w:cs="Arial"/>
          <w:sz w:val="20"/>
          <w:szCs w:val="20"/>
        </w:rPr>
        <w:tab/>
      </w:r>
      <w:r w:rsidRPr="005D248B">
        <w:rPr>
          <w:rFonts w:ascii="Arial" w:hAnsi="Arial" w:cs="Arial"/>
          <w:noProof/>
          <w:position w:val="-16"/>
          <w:sz w:val="20"/>
          <w:szCs w:val="20"/>
        </w:rPr>
        <w:object w:dxaOrig="9700" w:dyaOrig="600" w14:anchorId="4C4B91B8">
          <v:shape id="_x0000_i1036" type="#_x0000_t75" alt="" style="width:367.5pt;height:22pt;mso-width-percent:0;mso-height-percent:0;mso-width-percent:0;mso-height-percent:0" o:ole="" fillcolor="window">
            <v:imagedata r:id="rId43" o:title=""/>
          </v:shape>
          <o:OLEObject Type="Embed" ProgID="Equation.3" ShapeID="_x0000_i1036" DrawAspect="Content" ObjectID="_1700909241" r:id="rId44"/>
        </w:object>
      </w:r>
      <w:r w:rsidRPr="005D248B">
        <w:rPr>
          <w:rFonts w:ascii="Arial" w:hAnsi="Arial" w:cs="Arial"/>
          <w:sz w:val="20"/>
          <w:szCs w:val="20"/>
        </w:rPr>
        <w:t>.</w:t>
      </w:r>
    </w:p>
    <w:p w14:paraId="0B64CE26" w14:textId="77777777" w:rsidR="00194E59" w:rsidRPr="00AE7249" w:rsidRDefault="00194E59" w:rsidP="00194E59">
      <w:pPr>
        <w:spacing w:after="120"/>
        <w:jc w:val="both"/>
        <w:rPr>
          <w:rFonts w:ascii="Arial" w:hAnsi="Arial" w:cs="Arial"/>
          <w:sz w:val="18"/>
          <w:szCs w:val="20"/>
        </w:rPr>
      </w:pPr>
    </w:p>
    <w:p w14:paraId="35454612"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u w:val="single"/>
        </w:rPr>
        <w:t>Intensità di capitale</w:t>
      </w:r>
    </w:p>
    <w:p w14:paraId="3D9DF835"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L’intensità del capitale è definita come il rapporto tra l’indice di volume dell’input di capitale e l’indice di volume dell’input di </w:t>
      </w:r>
      <w:r w:rsidRPr="005D248B">
        <w:rPr>
          <w:rFonts w:ascii="Arial" w:hAnsi="Arial" w:cs="Arial"/>
          <w:color w:val="000000"/>
          <w:sz w:val="20"/>
          <w:szCs w:val="20"/>
        </w:rPr>
        <w:t>lavoro, ovvero come input di capitale per ora lavorata. I tassi di variazione annuali dell’in</w:t>
      </w:r>
      <w:r w:rsidRPr="005D248B">
        <w:rPr>
          <w:rFonts w:ascii="Arial" w:hAnsi="Arial" w:cs="Arial"/>
          <w:sz w:val="20"/>
          <w:szCs w:val="20"/>
        </w:rPr>
        <w:t>tensità di capitale sono calcolati come tassi di variazione logaritmici:</w:t>
      </w:r>
    </w:p>
    <w:p w14:paraId="7047D0A8" w14:textId="77777777" w:rsidR="00194E59" w:rsidRPr="00AE7249" w:rsidRDefault="00194E59" w:rsidP="00194E59">
      <w:pPr>
        <w:spacing w:after="120"/>
        <w:jc w:val="both"/>
        <w:rPr>
          <w:rFonts w:ascii="Arial" w:hAnsi="Arial" w:cs="Arial"/>
          <w:sz w:val="18"/>
          <w:szCs w:val="20"/>
        </w:rPr>
      </w:pPr>
    </w:p>
    <w:p w14:paraId="0E1CC135" w14:textId="77777777" w:rsidR="00194E59" w:rsidRPr="00AE7249" w:rsidRDefault="00194E59" w:rsidP="00194E59">
      <w:pPr>
        <w:spacing w:after="120"/>
        <w:jc w:val="both"/>
        <w:rPr>
          <w:rFonts w:ascii="Arial" w:hAnsi="Arial" w:cs="Arial"/>
          <w:szCs w:val="20"/>
        </w:rPr>
      </w:pPr>
      <w:r w:rsidRPr="005D248B">
        <w:rPr>
          <w:rFonts w:ascii="Arial" w:hAnsi="Arial" w:cs="Arial"/>
          <w:sz w:val="20"/>
          <w:szCs w:val="20"/>
        </w:rPr>
        <w:t>(11)</w:t>
      </w:r>
      <w:r w:rsidRPr="00AE7249">
        <w:rPr>
          <w:rFonts w:ascii="Arial" w:hAnsi="Arial" w:cs="Arial"/>
          <w:szCs w:val="20"/>
        </w:rPr>
        <w:tab/>
      </w:r>
      <w:r w:rsidRPr="00AE7249">
        <w:rPr>
          <w:rFonts w:ascii="Arial" w:hAnsi="Arial" w:cs="Arial"/>
          <w:noProof/>
          <w:position w:val="-16"/>
          <w:szCs w:val="20"/>
        </w:rPr>
        <w:object w:dxaOrig="9600" w:dyaOrig="600" w14:anchorId="0A221CD5">
          <v:shape id="_x0000_i1037" type="#_x0000_t75" alt="" style="width:5in;height:22pt;mso-width-percent:0;mso-height-percent:0;mso-width-percent:0;mso-height-percent:0" o:ole="" fillcolor="window">
            <v:imagedata r:id="rId45" o:title=""/>
          </v:shape>
          <o:OLEObject Type="Embed" ProgID="Equation.3" ShapeID="_x0000_i1037" DrawAspect="Content" ObjectID="_1700909242" r:id="rId46"/>
        </w:object>
      </w:r>
      <w:r w:rsidRPr="00AE7249">
        <w:rPr>
          <w:rFonts w:ascii="Arial" w:hAnsi="Arial" w:cs="Arial"/>
          <w:szCs w:val="20"/>
        </w:rPr>
        <w:t>.</w:t>
      </w:r>
    </w:p>
    <w:p w14:paraId="002CD19E" w14:textId="77777777" w:rsidR="00194E59" w:rsidRPr="00AE7249" w:rsidRDefault="00194E59" w:rsidP="00194E59">
      <w:pPr>
        <w:spacing w:after="120"/>
        <w:jc w:val="both"/>
        <w:rPr>
          <w:rFonts w:ascii="Arial" w:hAnsi="Arial" w:cs="Arial"/>
          <w:sz w:val="18"/>
          <w:szCs w:val="20"/>
        </w:rPr>
      </w:pPr>
    </w:p>
    <w:p w14:paraId="52725930"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u w:val="single"/>
        </w:rPr>
        <w:t>Produttività totale dei fattori</w:t>
      </w:r>
    </w:p>
    <w:p w14:paraId="07D46886"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La produttività totale dei fattori è definita come rapporto tra la misura di volume del valore aggiunto e una misura di volume dell’impiego complessivo di servizi del capitale e del lavoro. </w:t>
      </w:r>
    </w:p>
    <w:p w14:paraId="7ABA959F"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La misura di volume degli input è costituita da un indice composito dei servizi del capitale e del lavoro, ottenuto tramite la formula di </w:t>
      </w:r>
      <w:proofErr w:type="spellStart"/>
      <w:r w:rsidRPr="005D248B">
        <w:rPr>
          <w:rFonts w:ascii="Arial" w:hAnsi="Arial" w:cs="Arial"/>
          <w:sz w:val="20"/>
          <w:szCs w:val="20"/>
        </w:rPr>
        <w:t>Tornqvist</w:t>
      </w:r>
      <w:proofErr w:type="spellEnd"/>
      <w:r w:rsidRPr="005D248B">
        <w:rPr>
          <w:rFonts w:ascii="Arial" w:hAnsi="Arial" w:cs="Arial"/>
          <w:sz w:val="20"/>
          <w:szCs w:val="20"/>
        </w:rPr>
        <w:t>:</w:t>
      </w:r>
    </w:p>
    <w:p w14:paraId="630AF6C3" w14:textId="77777777" w:rsidR="00194E59" w:rsidRPr="00AE7249" w:rsidRDefault="00194E59" w:rsidP="00194E59">
      <w:pPr>
        <w:spacing w:after="120"/>
        <w:jc w:val="both"/>
        <w:rPr>
          <w:rFonts w:ascii="Arial" w:hAnsi="Arial" w:cs="Arial"/>
          <w:sz w:val="18"/>
          <w:szCs w:val="20"/>
        </w:rPr>
      </w:pPr>
    </w:p>
    <w:p w14:paraId="36A97660"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(12)</w:t>
      </w:r>
      <w:r w:rsidRPr="005D248B">
        <w:rPr>
          <w:rFonts w:ascii="Arial" w:hAnsi="Arial" w:cs="Arial"/>
          <w:sz w:val="20"/>
          <w:szCs w:val="20"/>
        </w:rPr>
        <w:tab/>
      </w:r>
      <w:r w:rsidRPr="005D248B">
        <w:rPr>
          <w:rFonts w:ascii="Arial" w:hAnsi="Arial" w:cs="Arial"/>
          <w:noProof/>
          <w:position w:val="-16"/>
          <w:sz w:val="20"/>
          <w:szCs w:val="20"/>
        </w:rPr>
        <w:object w:dxaOrig="9460" w:dyaOrig="600" w14:anchorId="59B8DAD0">
          <v:shape id="_x0000_i1038" type="#_x0000_t75" alt="" style="width:5in;height:22pt;mso-width-percent:0;mso-height-percent:0;mso-width-percent:0;mso-height-percent:0" o:ole="" fillcolor="window">
            <v:imagedata r:id="rId47" o:title=""/>
          </v:shape>
          <o:OLEObject Type="Embed" ProgID="Equation.3" ShapeID="_x0000_i1038" DrawAspect="Content" ObjectID="_1700909243" r:id="rId48"/>
        </w:object>
      </w:r>
      <w:r w:rsidRPr="005D248B">
        <w:rPr>
          <w:rFonts w:ascii="Arial" w:hAnsi="Arial" w:cs="Arial"/>
          <w:sz w:val="20"/>
          <w:szCs w:val="20"/>
        </w:rPr>
        <w:t>,</w:t>
      </w:r>
    </w:p>
    <w:p w14:paraId="1E2F0B0E" w14:textId="77777777" w:rsidR="00194E59" w:rsidRPr="00AE7249" w:rsidRDefault="00194E59" w:rsidP="00194E59">
      <w:pPr>
        <w:spacing w:after="120"/>
        <w:jc w:val="both"/>
        <w:rPr>
          <w:rFonts w:ascii="Arial" w:hAnsi="Arial" w:cs="Arial"/>
          <w:sz w:val="18"/>
          <w:szCs w:val="20"/>
        </w:rPr>
      </w:pPr>
    </w:p>
    <w:p w14:paraId="0DC7EB2F"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dove </w:t>
      </w:r>
      <w:proofErr w:type="spellStart"/>
      <w:r w:rsidRPr="007F0772">
        <w:rPr>
          <w:rFonts w:ascii="Arial" w:hAnsi="Arial" w:cs="Arial"/>
          <w:i/>
          <w:sz w:val="20"/>
          <w:szCs w:val="20"/>
        </w:rPr>
        <w:t>sl</w:t>
      </w:r>
      <w:proofErr w:type="spellEnd"/>
      <w:r w:rsidRPr="005D248B">
        <w:rPr>
          <w:rFonts w:ascii="Arial" w:hAnsi="Arial" w:cs="Arial"/>
          <w:sz w:val="20"/>
          <w:szCs w:val="20"/>
        </w:rPr>
        <w:t xml:space="preserve"> e </w:t>
      </w:r>
      <w:proofErr w:type="spellStart"/>
      <w:r w:rsidRPr="007F0772">
        <w:rPr>
          <w:rFonts w:ascii="Arial" w:hAnsi="Arial" w:cs="Arial"/>
          <w:i/>
          <w:sz w:val="20"/>
          <w:szCs w:val="20"/>
        </w:rPr>
        <w:t>sk</w:t>
      </w:r>
      <w:proofErr w:type="spellEnd"/>
      <w:r w:rsidRPr="005D248B">
        <w:rPr>
          <w:rFonts w:ascii="Arial" w:hAnsi="Arial" w:cs="Arial"/>
          <w:sz w:val="20"/>
          <w:szCs w:val="20"/>
        </w:rPr>
        <w:t xml:space="preserve"> sono, rispettivamente, la quota della remunerazione del fattore lavoro e del fattore capitale sul valore aggiunto a prezzi base espresso a prezzi correnti.</w:t>
      </w:r>
    </w:p>
    <w:p w14:paraId="49962E69"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La natura additiva dell’indice di </w:t>
      </w:r>
      <w:proofErr w:type="spellStart"/>
      <w:r w:rsidRPr="005D248B">
        <w:rPr>
          <w:rFonts w:ascii="Arial" w:hAnsi="Arial" w:cs="Arial"/>
          <w:sz w:val="20"/>
          <w:szCs w:val="20"/>
        </w:rPr>
        <w:t>Tornqvist</w:t>
      </w:r>
      <w:proofErr w:type="spellEnd"/>
      <w:r w:rsidRPr="005D248B">
        <w:rPr>
          <w:rFonts w:ascii="Arial" w:hAnsi="Arial" w:cs="Arial"/>
          <w:sz w:val="20"/>
          <w:szCs w:val="20"/>
        </w:rPr>
        <w:t xml:space="preserve"> permette di scomporre il tasso di crescita dell’indice composito nella somma del contributo dei singoli fattori produttivi, a sua volta calcolato come prodotto tra il tasso di crescita di ciascun input e la media tra la sua quota sul valore aggiunto del periodo corrente e quella del periodo precedente.</w:t>
      </w:r>
    </w:p>
    <w:p w14:paraId="217F3ECC"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I tassi di variazione annuali della produttività totale dei fattori sono calcolati come la differenza tra i tassi di variazione logaritmici dell’indice dell’output e dell’indice composito degli input:</w:t>
      </w:r>
    </w:p>
    <w:p w14:paraId="2998EAFB" w14:textId="77777777" w:rsidR="00194E59" w:rsidRPr="00AE7249" w:rsidRDefault="00194E59" w:rsidP="00194E59">
      <w:pPr>
        <w:spacing w:after="120"/>
        <w:jc w:val="both"/>
        <w:rPr>
          <w:rFonts w:ascii="Arial" w:hAnsi="Arial" w:cs="Arial"/>
          <w:sz w:val="18"/>
          <w:szCs w:val="20"/>
        </w:rPr>
      </w:pPr>
    </w:p>
    <w:p w14:paraId="6A7B74F9" w14:textId="77777777" w:rsidR="00194E59" w:rsidRDefault="00194E59" w:rsidP="00194E59">
      <w:pPr>
        <w:pStyle w:val="Corpotesto"/>
        <w:spacing w:after="120"/>
        <w:rPr>
          <w:u w:val="single"/>
        </w:rPr>
      </w:pPr>
      <w:r w:rsidRPr="007652D5">
        <w:rPr>
          <w:b w:val="0"/>
          <w:sz w:val="20"/>
          <w:szCs w:val="20"/>
        </w:rPr>
        <w:t>(13)</w:t>
      </w:r>
      <w:r w:rsidRPr="00AC7AA3">
        <w:rPr>
          <w:b w:val="0"/>
        </w:rPr>
        <w:tab/>
      </w:r>
      <w:r w:rsidRPr="005D248B">
        <w:rPr>
          <w:noProof/>
          <w:position w:val="-16"/>
        </w:rPr>
        <w:object w:dxaOrig="5679" w:dyaOrig="600" w14:anchorId="23AF49B0">
          <v:shape id="_x0000_i1039" type="#_x0000_t75" alt="" style="width:3in;height:22pt;mso-width-percent:0;mso-height-percent:0;mso-width-percent:0;mso-height-percent:0" o:ole="" fillcolor="window">
            <v:imagedata r:id="rId49" o:title=""/>
          </v:shape>
          <o:OLEObject Type="Embed" ProgID="Equation.3" ShapeID="_x0000_i1039" DrawAspect="Content" ObjectID="_1700909244" r:id="rId50"/>
        </w:object>
      </w:r>
      <w:r w:rsidRPr="005D248B">
        <w:t>.</w:t>
      </w:r>
    </w:p>
    <w:p w14:paraId="1D4373D6"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u w:val="single"/>
        </w:rPr>
        <w:t>Remunerazione dei fattori e quote distributive</w:t>
      </w:r>
    </w:p>
    <w:p w14:paraId="3FBFAA7D"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 xml:space="preserve">Le remunerazioni del fattore lavoro e del fattore capitale (necessarie per il calcolo delle quote distributive </w:t>
      </w:r>
      <w:proofErr w:type="spellStart"/>
      <w:r w:rsidRPr="007F0772">
        <w:rPr>
          <w:rFonts w:ascii="Arial" w:hAnsi="Arial" w:cs="Arial"/>
          <w:i/>
          <w:sz w:val="20"/>
          <w:szCs w:val="20"/>
        </w:rPr>
        <w:t>sl</w:t>
      </w:r>
      <w:proofErr w:type="spellEnd"/>
      <w:r w:rsidRPr="005D248B">
        <w:rPr>
          <w:rFonts w:ascii="Arial" w:hAnsi="Arial" w:cs="Arial"/>
          <w:sz w:val="20"/>
          <w:szCs w:val="20"/>
        </w:rPr>
        <w:t xml:space="preserve"> e </w:t>
      </w:r>
      <w:proofErr w:type="spellStart"/>
      <w:r w:rsidRPr="007F0772">
        <w:rPr>
          <w:rFonts w:ascii="Arial" w:hAnsi="Arial" w:cs="Arial"/>
          <w:i/>
          <w:sz w:val="20"/>
          <w:szCs w:val="20"/>
        </w:rPr>
        <w:t>sk</w:t>
      </w:r>
      <w:proofErr w:type="spellEnd"/>
      <w:r w:rsidRPr="005D248B">
        <w:rPr>
          <w:rFonts w:ascii="Arial" w:hAnsi="Arial" w:cs="Arial"/>
          <w:sz w:val="20"/>
          <w:szCs w:val="20"/>
        </w:rPr>
        <w:t xml:space="preserve"> nella formula </w:t>
      </w:r>
      <w:r>
        <w:rPr>
          <w:rFonts w:ascii="Arial" w:hAnsi="Arial" w:cs="Arial"/>
          <w:sz w:val="20"/>
          <w:szCs w:val="20"/>
        </w:rPr>
        <w:t>(</w:t>
      </w:r>
      <w:r w:rsidRPr="005D248B">
        <w:rPr>
          <w:rFonts w:ascii="Arial" w:hAnsi="Arial" w:cs="Arial"/>
          <w:sz w:val="20"/>
          <w:szCs w:val="20"/>
        </w:rPr>
        <w:t>12)</w:t>
      </w:r>
      <w:r>
        <w:rPr>
          <w:rFonts w:ascii="Arial" w:hAnsi="Arial" w:cs="Arial"/>
          <w:sz w:val="20"/>
          <w:szCs w:val="20"/>
        </w:rPr>
        <w:t>)</w:t>
      </w:r>
      <w:r w:rsidRPr="005D248B">
        <w:rPr>
          <w:rFonts w:ascii="Arial" w:hAnsi="Arial" w:cs="Arial"/>
          <w:sz w:val="20"/>
          <w:szCs w:val="20"/>
        </w:rPr>
        <w:t xml:space="preserve"> sono oggetto di</w:t>
      </w:r>
      <w:r>
        <w:rPr>
          <w:rFonts w:ascii="Arial" w:hAnsi="Arial" w:cs="Arial"/>
          <w:sz w:val="20"/>
          <w:szCs w:val="20"/>
        </w:rPr>
        <w:t xml:space="preserve"> una</w:t>
      </w:r>
      <w:r w:rsidRPr="005D248B">
        <w:rPr>
          <w:rFonts w:ascii="Arial" w:hAnsi="Arial" w:cs="Arial"/>
          <w:sz w:val="20"/>
          <w:szCs w:val="20"/>
        </w:rPr>
        <w:t xml:space="preserve"> stima specifica per</w:t>
      </w:r>
      <w:r>
        <w:rPr>
          <w:rFonts w:ascii="Arial" w:hAnsi="Arial" w:cs="Arial"/>
          <w:sz w:val="20"/>
          <w:szCs w:val="20"/>
        </w:rPr>
        <w:t xml:space="preserve"> il calcolo del</w:t>
      </w:r>
      <w:r w:rsidRPr="005D248B">
        <w:rPr>
          <w:rFonts w:ascii="Arial" w:hAnsi="Arial" w:cs="Arial"/>
          <w:sz w:val="20"/>
          <w:szCs w:val="20"/>
        </w:rPr>
        <w:t>le misure di produttività. La metodologia di calcolo si fonda sull’identificazione della remunerazione del fattore lavoro (in parte attraverso ipotesi identificative) e sul calcolo della remunerazione del fattore capitale in maniera residuale (ovvero come la parte del valore aggiunto non attribuita al fattore lavoro).</w:t>
      </w:r>
    </w:p>
    <w:p w14:paraId="36FC5DC5"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La remunerazione del fattore lavoro è ottenuta come somma di tre componenti: i redditi da lavoro dipendente; una parte del reddito misto degli occupati indipendenti; una parte delle imposte nette sulla produzione.</w:t>
      </w:r>
    </w:p>
    <w:p w14:paraId="0AA618AD"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Gli aggregati di contabilità nazionale permettono di distinguere tre componenti del valore aggiunto ai prezzi base: i redditi da lavoro dipendente, la somma del risultato di gestione e del reddito misto; le imposte nette sulla produzione. Le fonti statistiche sulla distribuzione primaria dei redditi non permettono di identificare la parte di reddito misto degli occupati indipendenti</w:t>
      </w:r>
      <w:r>
        <w:rPr>
          <w:rFonts w:ascii="Arial" w:hAnsi="Arial" w:cs="Arial"/>
          <w:sz w:val="20"/>
          <w:szCs w:val="20"/>
        </w:rPr>
        <w:t xml:space="preserve"> che va a </w:t>
      </w:r>
      <w:r w:rsidRPr="005D248B">
        <w:rPr>
          <w:rFonts w:ascii="Arial" w:hAnsi="Arial" w:cs="Arial"/>
          <w:sz w:val="20"/>
          <w:szCs w:val="20"/>
        </w:rPr>
        <w:t>remunera</w:t>
      </w:r>
      <w:r>
        <w:rPr>
          <w:rFonts w:ascii="Arial" w:hAnsi="Arial" w:cs="Arial"/>
          <w:sz w:val="20"/>
          <w:szCs w:val="20"/>
        </w:rPr>
        <w:t>re il</w:t>
      </w:r>
      <w:r w:rsidRPr="005D248B">
        <w:rPr>
          <w:rFonts w:ascii="Arial" w:hAnsi="Arial" w:cs="Arial"/>
          <w:sz w:val="20"/>
          <w:szCs w:val="20"/>
        </w:rPr>
        <w:t xml:space="preserve"> loro lavoro (e che deve quindi essere inclusa nella remunerazione del fattore lavoro, insieme ai redditi da lavoro dipendente). Per identificare tale componente si è adottata l’ipotesi che il reddito da lavoro per ora lavorata degli occupati indipendenti sia lo stesso di quello degli occupati dipendenti. L’unica eccezione ha riguardato i familiari coadiuvanti, per i quali si è ipotizzato </w:t>
      </w:r>
      <w:r>
        <w:rPr>
          <w:rFonts w:ascii="Arial" w:hAnsi="Arial" w:cs="Arial"/>
          <w:sz w:val="20"/>
          <w:szCs w:val="20"/>
        </w:rPr>
        <w:t>i</w:t>
      </w:r>
      <w:r w:rsidRPr="005D248B">
        <w:rPr>
          <w:rFonts w:ascii="Arial" w:hAnsi="Arial" w:cs="Arial"/>
          <w:sz w:val="20"/>
          <w:szCs w:val="20"/>
        </w:rPr>
        <w:t>nvece che non ci sia remunerazione dell’input di lavoro e che questi partecipino solamente alla distribuzione del risultato di gestione</w:t>
      </w:r>
      <w:r>
        <w:rPr>
          <w:rFonts w:ascii="Arial" w:hAnsi="Arial" w:cs="Arial"/>
          <w:sz w:val="20"/>
          <w:szCs w:val="20"/>
        </w:rPr>
        <w:t xml:space="preserve"> dell’impresa familiare</w:t>
      </w:r>
      <w:r w:rsidRPr="005D248B">
        <w:rPr>
          <w:rFonts w:ascii="Arial" w:hAnsi="Arial" w:cs="Arial"/>
          <w:sz w:val="20"/>
          <w:szCs w:val="20"/>
        </w:rPr>
        <w:t>.</w:t>
      </w:r>
    </w:p>
    <w:p w14:paraId="210D4A9D" w14:textId="77777777" w:rsidR="00194E59" w:rsidRDefault="00194E59" w:rsidP="00194E59">
      <w:pPr>
        <w:spacing w:after="120"/>
        <w:jc w:val="both"/>
        <w:rPr>
          <w:rFonts w:ascii="Arial" w:hAnsi="Arial" w:cs="Arial"/>
          <w:sz w:val="20"/>
          <w:szCs w:val="20"/>
        </w:rPr>
      </w:pPr>
      <w:r w:rsidRPr="005D248B">
        <w:rPr>
          <w:rFonts w:ascii="Arial" w:hAnsi="Arial" w:cs="Arial"/>
          <w:sz w:val="20"/>
          <w:szCs w:val="20"/>
        </w:rPr>
        <w:t>La componente delle imposte indirette nette attribuita al fattore lavoro, INPL, è calcolata semplicemente come</w:t>
      </w:r>
      <w:r>
        <w:rPr>
          <w:rFonts w:ascii="Arial" w:hAnsi="Arial" w:cs="Arial"/>
          <w:sz w:val="20"/>
          <w:szCs w:val="20"/>
        </w:rPr>
        <w:t>:</w:t>
      </w:r>
    </w:p>
    <w:p w14:paraId="15F4317E" w14:textId="77777777" w:rsidR="005E06A4" w:rsidRPr="005D248B" w:rsidRDefault="005E06A4" w:rsidP="00194E59">
      <w:pPr>
        <w:spacing w:after="120"/>
        <w:jc w:val="both"/>
        <w:rPr>
          <w:rFonts w:ascii="Arial" w:hAnsi="Arial" w:cs="Arial"/>
          <w:sz w:val="20"/>
          <w:szCs w:val="20"/>
        </w:rPr>
      </w:pPr>
    </w:p>
    <w:p w14:paraId="541B7B0D" w14:textId="77777777" w:rsidR="00194E59" w:rsidRPr="005D248B" w:rsidRDefault="00194E59" w:rsidP="00194E59">
      <w:pPr>
        <w:spacing w:after="120"/>
        <w:rPr>
          <w:rFonts w:ascii="Arial" w:hAnsi="Arial" w:cs="Arial"/>
          <w:sz w:val="20"/>
          <w:szCs w:val="20"/>
        </w:rPr>
      </w:pPr>
      <w:r w:rsidRPr="005D248B">
        <w:rPr>
          <w:rFonts w:ascii="Arial" w:hAnsi="Arial" w:cs="Arial"/>
          <w:sz w:val="20"/>
          <w:szCs w:val="20"/>
        </w:rPr>
        <w:t>(14)</w:t>
      </w:r>
      <w:r w:rsidRPr="005D248B">
        <w:rPr>
          <w:rFonts w:ascii="Arial" w:hAnsi="Arial" w:cs="Arial"/>
          <w:sz w:val="20"/>
          <w:szCs w:val="20"/>
        </w:rPr>
        <w:tab/>
      </w:r>
      <w:r>
        <w:rPr>
          <w:rFonts w:ascii="Arial" w:hAnsi="Arial" w:cs="Arial"/>
          <w:sz w:val="20"/>
          <w:szCs w:val="20"/>
        </w:rPr>
        <w:t xml:space="preserve">                                  </w:t>
      </w:r>
      <w:r w:rsidRPr="005D248B">
        <w:rPr>
          <w:rFonts w:ascii="Arial" w:hAnsi="Arial" w:cs="Arial"/>
          <w:noProof/>
          <w:position w:val="-10"/>
          <w:sz w:val="20"/>
          <w:szCs w:val="20"/>
          <w:lang w:val="en-GB"/>
        </w:rPr>
        <w:object w:dxaOrig="2860" w:dyaOrig="320" w14:anchorId="16AA9C8A">
          <v:shape id="_x0000_i1040" type="#_x0000_t75" alt="" style="width:2in;height:14.5pt;mso-width-percent:0;mso-height-percent:0;mso-width-percent:0;mso-height-percent:0" o:ole="">
            <v:imagedata r:id="rId51" o:title=""/>
          </v:shape>
          <o:OLEObject Type="Embed" ProgID="Equation.3" ShapeID="_x0000_i1040" DrawAspect="Content" ObjectID="_1700909245" r:id="rId52"/>
        </w:object>
      </w:r>
      <w:r w:rsidRPr="005D248B">
        <w:rPr>
          <w:rFonts w:ascii="Arial" w:hAnsi="Arial" w:cs="Arial"/>
          <w:sz w:val="20"/>
          <w:szCs w:val="20"/>
        </w:rPr>
        <w:t>,</w:t>
      </w:r>
    </w:p>
    <w:p w14:paraId="3D4C781E" w14:textId="77777777" w:rsidR="00194E59" w:rsidRPr="005E06A4" w:rsidRDefault="00194E59" w:rsidP="00194E59">
      <w:pPr>
        <w:spacing w:after="120"/>
        <w:jc w:val="both"/>
        <w:rPr>
          <w:rFonts w:ascii="Arial" w:hAnsi="Arial" w:cs="Arial"/>
          <w:sz w:val="20"/>
          <w:szCs w:val="22"/>
        </w:rPr>
      </w:pPr>
    </w:p>
    <w:p w14:paraId="39A8DAEF" w14:textId="77777777" w:rsidR="005E06A4" w:rsidRPr="005E06A4" w:rsidRDefault="005E06A4" w:rsidP="00194E59">
      <w:pPr>
        <w:spacing w:after="120"/>
        <w:jc w:val="both"/>
        <w:rPr>
          <w:rFonts w:ascii="Arial" w:hAnsi="Arial" w:cs="Arial"/>
          <w:sz w:val="20"/>
          <w:szCs w:val="22"/>
        </w:rPr>
      </w:pPr>
    </w:p>
    <w:p w14:paraId="1DE3D9F8" w14:textId="77777777" w:rsidR="00194E59" w:rsidRDefault="00194E59" w:rsidP="00194E59">
      <w:pPr>
        <w:spacing w:after="120"/>
        <w:jc w:val="both"/>
        <w:rPr>
          <w:rFonts w:ascii="Arial" w:hAnsi="Arial" w:cs="Arial"/>
          <w:sz w:val="20"/>
          <w:szCs w:val="20"/>
        </w:rPr>
      </w:pPr>
      <w:r w:rsidRPr="005D248B">
        <w:rPr>
          <w:rFonts w:ascii="Arial" w:hAnsi="Arial" w:cs="Arial"/>
          <w:sz w:val="20"/>
          <w:szCs w:val="20"/>
        </w:rPr>
        <w:t>dove RLNI e PYNI sono, rispettivamente, la remunerazione del fattore lavoro e il valore aggiunto a prezzi base espresso a prezzi correnti valutati al netto delle imposte nette sulla produzione</w:t>
      </w:r>
      <w:r>
        <w:rPr>
          <w:rFonts w:ascii="Arial" w:hAnsi="Arial" w:cs="Arial"/>
          <w:sz w:val="20"/>
          <w:szCs w:val="20"/>
        </w:rPr>
        <w:t>,</w:t>
      </w:r>
      <w:r w:rsidRPr="005D248B">
        <w:rPr>
          <w:rFonts w:ascii="Arial" w:hAnsi="Arial" w:cs="Arial"/>
          <w:sz w:val="20"/>
          <w:szCs w:val="20"/>
        </w:rPr>
        <w:t xml:space="preserve"> e INP sono le imposte nette sulla produzione.</w:t>
      </w:r>
    </w:p>
    <w:p w14:paraId="492DBC16" w14:textId="77777777" w:rsidR="005E06A4" w:rsidRPr="005D248B" w:rsidRDefault="005E06A4" w:rsidP="00194E59">
      <w:pPr>
        <w:spacing w:after="120"/>
        <w:jc w:val="both"/>
        <w:rPr>
          <w:rFonts w:ascii="Arial" w:hAnsi="Arial" w:cs="Arial"/>
          <w:sz w:val="20"/>
          <w:szCs w:val="20"/>
        </w:rPr>
      </w:pPr>
    </w:p>
    <w:p w14:paraId="7A956C49" w14:textId="77777777" w:rsidR="00194E59" w:rsidRDefault="00194E59" w:rsidP="00194E59">
      <w:pPr>
        <w:spacing w:after="120"/>
        <w:jc w:val="both"/>
        <w:rPr>
          <w:rFonts w:ascii="Arial" w:hAnsi="Arial" w:cs="Arial"/>
          <w:sz w:val="20"/>
          <w:szCs w:val="20"/>
        </w:rPr>
      </w:pPr>
      <w:r w:rsidRPr="005D248B">
        <w:rPr>
          <w:rFonts w:ascii="Arial" w:hAnsi="Arial" w:cs="Arial"/>
          <w:sz w:val="20"/>
          <w:szCs w:val="20"/>
        </w:rPr>
        <w:t>Quindi la remunerazione del fattore lavoro, RL, è calcolata come:</w:t>
      </w:r>
    </w:p>
    <w:p w14:paraId="5168139F" w14:textId="77777777" w:rsidR="005E06A4" w:rsidRPr="005D248B" w:rsidRDefault="005E06A4" w:rsidP="00194E59">
      <w:pPr>
        <w:spacing w:after="120"/>
        <w:jc w:val="both"/>
        <w:rPr>
          <w:rFonts w:ascii="Arial" w:hAnsi="Arial" w:cs="Arial"/>
          <w:sz w:val="20"/>
          <w:szCs w:val="20"/>
        </w:rPr>
      </w:pPr>
    </w:p>
    <w:p w14:paraId="20C59235" w14:textId="77777777" w:rsidR="00194E59" w:rsidRPr="005D248B" w:rsidRDefault="00194E59" w:rsidP="00194E59">
      <w:pPr>
        <w:spacing w:after="120"/>
        <w:rPr>
          <w:rFonts w:ascii="Arial" w:hAnsi="Arial" w:cs="Arial"/>
          <w:sz w:val="20"/>
          <w:szCs w:val="20"/>
        </w:rPr>
      </w:pPr>
      <w:r w:rsidRPr="005D248B">
        <w:rPr>
          <w:rFonts w:ascii="Arial" w:hAnsi="Arial" w:cs="Arial"/>
          <w:sz w:val="20"/>
          <w:szCs w:val="20"/>
        </w:rPr>
        <w:t>(15)</w:t>
      </w:r>
      <w:r>
        <w:rPr>
          <w:rFonts w:ascii="Arial" w:hAnsi="Arial" w:cs="Arial"/>
          <w:sz w:val="20"/>
          <w:szCs w:val="20"/>
        </w:rPr>
        <w:t xml:space="preserve">                      </w:t>
      </w:r>
      <w:r w:rsidRPr="005D248B">
        <w:rPr>
          <w:rFonts w:ascii="Arial" w:hAnsi="Arial" w:cs="Arial"/>
          <w:sz w:val="20"/>
          <w:szCs w:val="20"/>
        </w:rPr>
        <w:tab/>
      </w:r>
      <w:r w:rsidRPr="005D248B">
        <w:rPr>
          <w:rFonts w:ascii="Arial" w:hAnsi="Arial" w:cs="Arial"/>
          <w:noProof/>
          <w:position w:val="-10"/>
          <w:sz w:val="20"/>
          <w:szCs w:val="20"/>
          <w:lang w:val="en-GB"/>
        </w:rPr>
        <w:object w:dxaOrig="4099" w:dyaOrig="320" w14:anchorId="2A440512">
          <v:shape id="_x0000_i1041" type="#_x0000_t75" alt="" style="width:201.5pt;height:14.5pt;mso-width-percent:0;mso-height-percent:0;mso-width-percent:0;mso-height-percent:0" o:ole="">
            <v:imagedata r:id="rId53" o:title=""/>
          </v:shape>
          <o:OLEObject Type="Embed" ProgID="Equation.3" ShapeID="_x0000_i1041" DrawAspect="Content" ObjectID="_1700909246" r:id="rId54"/>
        </w:object>
      </w:r>
      <w:r w:rsidRPr="005D248B">
        <w:rPr>
          <w:rFonts w:ascii="Arial" w:hAnsi="Arial" w:cs="Arial"/>
          <w:sz w:val="20"/>
          <w:szCs w:val="20"/>
        </w:rPr>
        <w:t>,</w:t>
      </w:r>
    </w:p>
    <w:p w14:paraId="5686ADC1" w14:textId="77777777" w:rsidR="005E06A4" w:rsidRDefault="005E06A4" w:rsidP="00194E59">
      <w:pPr>
        <w:spacing w:after="120"/>
        <w:jc w:val="both"/>
        <w:rPr>
          <w:rFonts w:ascii="Arial" w:hAnsi="Arial" w:cs="Arial"/>
          <w:sz w:val="20"/>
          <w:szCs w:val="20"/>
        </w:rPr>
      </w:pPr>
    </w:p>
    <w:p w14:paraId="07C4AF4A"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dove RLD sono i redditi da lavoro dipendente, HLD le ore lavorate degli occupati dipendenti, HLIF le ore lavorate degli occupati indipendenti al netto della componente dei familiari coadiuvanti, INPL è la parte delle imposte nette sulla produzione attribuita al fattore lavoro.</w:t>
      </w:r>
    </w:p>
    <w:p w14:paraId="1F856C1F" w14:textId="77777777" w:rsidR="00194E59" w:rsidRDefault="00194E59" w:rsidP="00194E59">
      <w:pPr>
        <w:spacing w:after="120"/>
        <w:jc w:val="both"/>
        <w:rPr>
          <w:rFonts w:ascii="Arial" w:hAnsi="Arial" w:cs="Arial"/>
          <w:sz w:val="20"/>
          <w:szCs w:val="20"/>
        </w:rPr>
      </w:pPr>
      <w:r w:rsidRPr="005D248B">
        <w:rPr>
          <w:rFonts w:ascii="Arial" w:hAnsi="Arial" w:cs="Arial"/>
          <w:sz w:val="20"/>
          <w:szCs w:val="20"/>
        </w:rPr>
        <w:t>La remunerazione del fattore capitale, RK, è ottenuta in maniera residuale:</w:t>
      </w:r>
    </w:p>
    <w:p w14:paraId="5C91AA9D" w14:textId="77777777" w:rsidR="005E06A4" w:rsidRPr="005D248B" w:rsidRDefault="005E06A4" w:rsidP="00194E59">
      <w:pPr>
        <w:spacing w:after="120"/>
        <w:jc w:val="both"/>
        <w:rPr>
          <w:rFonts w:ascii="Arial" w:hAnsi="Arial" w:cs="Arial"/>
          <w:sz w:val="20"/>
          <w:szCs w:val="20"/>
        </w:rPr>
      </w:pPr>
    </w:p>
    <w:p w14:paraId="5B4B4291" w14:textId="77777777" w:rsidR="00194E59" w:rsidRDefault="00194E59" w:rsidP="00194E59">
      <w:pPr>
        <w:spacing w:after="120"/>
        <w:rPr>
          <w:rFonts w:ascii="Arial" w:hAnsi="Arial" w:cs="Arial"/>
          <w:sz w:val="20"/>
          <w:szCs w:val="20"/>
        </w:rPr>
      </w:pPr>
      <w:r w:rsidRPr="005D248B">
        <w:rPr>
          <w:rFonts w:ascii="Arial" w:hAnsi="Arial" w:cs="Arial"/>
          <w:sz w:val="20"/>
          <w:szCs w:val="20"/>
        </w:rPr>
        <w:t>(16)</w:t>
      </w:r>
      <w:r w:rsidRPr="005D248B">
        <w:rPr>
          <w:rFonts w:ascii="Arial" w:hAnsi="Arial" w:cs="Arial"/>
          <w:sz w:val="20"/>
          <w:szCs w:val="20"/>
        </w:rPr>
        <w:tab/>
      </w:r>
      <w:r w:rsidRPr="005D248B">
        <w:rPr>
          <w:rFonts w:ascii="Arial" w:hAnsi="Arial" w:cs="Arial"/>
          <w:noProof/>
          <w:position w:val="-4"/>
          <w:sz w:val="20"/>
          <w:szCs w:val="20"/>
          <w:lang w:val="en-GB"/>
        </w:rPr>
        <w:object w:dxaOrig="1500" w:dyaOrig="260" w14:anchorId="0E833A17">
          <v:shape id="_x0000_i1042" type="#_x0000_t75" alt="" style="width:82pt;height:14pt;mso-width-percent:0;mso-height-percent:0;mso-width-percent:0;mso-height-percent:0" o:ole="">
            <v:imagedata r:id="rId55" o:title=""/>
          </v:shape>
          <o:OLEObject Type="Embed" ProgID="Equation.3" ShapeID="_x0000_i1042" DrawAspect="Content" ObjectID="_1700909247" r:id="rId56"/>
        </w:object>
      </w:r>
      <w:r w:rsidRPr="005D248B">
        <w:rPr>
          <w:rFonts w:ascii="Arial" w:hAnsi="Arial" w:cs="Arial"/>
          <w:sz w:val="20"/>
          <w:szCs w:val="20"/>
        </w:rPr>
        <w:t>.</w:t>
      </w:r>
    </w:p>
    <w:p w14:paraId="7145A657" w14:textId="77777777" w:rsidR="005E06A4" w:rsidRPr="005D248B" w:rsidRDefault="005E06A4" w:rsidP="00194E59">
      <w:pPr>
        <w:spacing w:after="120"/>
        <w:rPr>
          <w:rFonts w:ascii="Arial" w:hAnsi="Arial" w:cs="Arial"/>
          <w:sz w:val="20"/>
          <w:szCs w:val="20"/>
        </w:rPr>
      </w:pPr>
    </w:p>
    <w:p w14:paraId="180B4681" w14:textId="77777777" w:rsidR="00194E59" w:rsidRPr="005D248B" w:rsidRDefault="00194E59" w:rsidP="00194E59">
      <w:pPr>
        <w:spacing w:after="120"/>
        <w:jc w:val="both"/>
        <w:rPr>
          <w:rFonts w:ascii="Arial" w:hAnsi="Arial" w:cs="Arial"/>
          <w:sz w:val="20"/>
          <w:szCs w:val="20"/>
        </w:rPr>
      </w:pPr>
      <w:r w:rsidRPr="005D248B">
        <w:rPr>
          <w:rFonts w:ascii="Arial" w:hAnsi="Arial" w:cs="Arial"/>
          <w:sz w:val="20"/>
          <w:szCs w:val="20"/>
        </w:rPr>
        <w:t>Il calcolo è effettuato a livello di 38 branche di attività economica. La remunerazione del lavoro per livelli di aggregazione superiori e per il totale economia è ottenuta per aggregazione dei dati stimati a livello di 38 branche.</w:t>
      </w:r>
    </w:p>
    <w:p w14:paraId="039C6FC0" w14:textId="77777777" w:rsidR="00194E59" w:rsidRPr="00CC568C" w:rsidRDefault="00483D0B" w:rsidP="00194E59">
      <w:pPr>
        <w:spacing w:after="120"/>
        <w:jc w:val="both"/>
        <w:rPr>
          <w:rFonts w:ascii="Arial" w:hAnsi="Arial" w:cs="Arial"/>
          <w:color w:val="1F497D" w:themeColor="text2"/>
          <w:sz w:val="22"/>
          <w:szCs w:val="22"/>
        </w:rPr>
      </w:pPr>
      <w:r w:rsidRPr="00483D0B">
        <w:rPr>
          <w:rFonts w:ascii="Arial" w:hAnsi="Arial" w:cs="Arial"/>
          <w:b/>
          <w:color w:val="1F497D" w:themeColor="text2"/>
          <w:sz w:val="22"/>
          <w:szCs w:val="22"/>
        </w:rPr>
        <w:t>Riferimenti</w:t>
      </w:r>
    </w:p>
    <w:p w14:paraId="2377C4A9" w14:textId="77777777" w:rsidR="00194E59" w:rsidRPr="005D248B" w:rsidRDefault="00194E59" w:rsidP="00194E59">
      <w:pPr>
        <w:spacing w:after="120"/>
        <w:jc w:val="both"/>
        <w:rPr>
          <w:rFonts w:ascii="Arial" w:hAnsi="Arial" w:cs="Arial"/>
          <w:sz w:val="20"/>
          <w:szCs w:val="20"/>
          <w:lang w:val="en-US"/>
        </w:rPr>
      </w:pPr>
      <w:proofErr w:type="spellStart"/>
      <w:r w:rsidRPr="005D248B">
        <w:rPr>
          <w:rFonts w:ascii="Arial" w:hAnsi="Arial" w:cs="Arial"/>
          <w:sz w:val="20"/>
          <w:szCs w:val="20"/>
        </w:rPr>
        <w:t>Jorgenson</w:t>
      </w:r>
      <w:proofErr w:type="spellEnd"/>
      <w:r w:rsidRPr="005D248B">
        <w:rPr>
          <w:rFonts w:ascii="Arial" w:hAnsi="Arial" w:cs="Arial"/>
          <w:sz w:val="20"/>
          <w:szCs w:val="20"/>
        </w:rPr>
        <w:t xml:space="preserve">, D.W. e </w:t>
      </w:r>
      <w:proofErr w:type="spellStart"/>
      <w:r w:rsidRPr="005D248B">
        <w:rPr>
          <w:rFonts w:ascii="Arial" w:hAnsi="Arial" w:cs="Arial"/>
          <w:sz w:val="20"/>
          <w:szCs w:val="20"/>
        </w:rPr>
        <w:t>Griliches</w:t>
      </w:r>
      <w:proofErr w:type="spellEnd"/>
      <w:r w:rsidRPr="005D248B">
        <w:rPr>
          <w:rFonts w:ascii="Arial" w:hAnsi="Arial" w:cs="Arial"/>
          <w:sz w:val="20"/>
          <w:szCs w:val="20"/>
        </w:rPr>
        <w:t xml:space="preserve">, Z. (1967). </w:t>
      </w:r>
      <w:r w:rsidRPr="005D248B">
        <w:rPr>
          <w:rFonts w:ascii="Arial" w:hAnsi="Arial" w:cs="Arial"/>
          <w:sz w:val="20"/>
          <w:szCs w:val="20"/>
          <w:lang w:val="en-US"/>
        </w:rPr>
        <w:t xml:space="preserve">“The Explanation of Productivity Change”. </w:t>
      </w:r>
      <w:r w:rsidRPr="005D248B">
        <w:rPr>
          <w:rFonts w:ascii="Arial" w:hAnsi="Arial" w:cs="Arial"/>
          <w:i/>
          <w:iCs/>
          <w:sz w:val="20"/>
          <w:szCs w:val="20"/>
          <w:lang w:val="en-US"/>
        </w:rPr>
        <w:t>Review of Economic Studies</w:t>
      </w:r>
      <w:r w:rsidRPr="005D248B">
        <w:rPr>
          <w:rFonts w:ascii="Arial" w:hAnsi="Arial" w:cs="Arial"/>
          <w:sz w:val="20"/>
          <w:szCs w:val="20"/>
          <w:lang w:val="en-US"/>
        </w:rPr>
        <w:t xml:space="preserve">, vol. 34 (3), </w:t>
      </w:r>
      <w:proofErr w:type="spellStart"/>
      <w:r w:rsidRPr="005D248B">
        <w:rPr>
          <w:rFonts w:ascii="Arial" w:hAnsi="Arial" w:cs="Arial"/>
          <w:sz w:val="20"/>
          <w:szCs w:val="20"/>
          <w:lang w:val="en-US"/>
        </w:rPr>
        <w:t>pag</w:t>
      </w:r>
      <w:proofErr w:type="spellEnd"/>
      <w:r w:rsidRPr="005D248B">
        <w:rPr>
          <w:rFonts w:ascii="Arial" w:hAnsi="Arial" w:cs="Arial"/>
          <w:sz w:val="20"/>
          <w:szCs w:val="20"/>
          <w:lang w:val="en-US"/>
        </w:rPr>
        <w:t>. 249-283.</w:t>
      </w:r>
    </w:p>
    <w:p w14:paraId="44C04BCE" w14:textId="77777777" w:rsidR="00194E59" w:rsidRPr="005D248B" w:rsidRDefault="00194E59" w:rsidP="00194E59">
      <w:pPr>
        <w:spacing w:after="120"/>
        <w:jc w:val="both"/>
        <w:rPr>
          <w:rFonts w:ascii="Arial" w:hAnsi="Arial" w:cs="Arial"/>
          <w:sz w:val="20"/>
          <w:szCs w:val="20"/>
          <w:lang w:val="en-US"/>
        </w:rPr>
      </w:pPr>
      <w:r w:rsidRPr="005D248B">
        <w:rPr>
          <w:rFonts w:ascii="Arial" w:hAnsi="Arial" w:cs="Arial"/>
          <w:sz w:val="20"/>
          <w:szCs w:val="20"/>
          <w:lang w:val="en-US"/>
        </w:rPr>
        <w:t xml:space="preserve">OCSE (2001). </w:t>
      </w:r>
      <w:r w:rsidRPr="005D248B">
        <w:rPr>
          <w:rFonts w:ascii="Arial" w:hAnsi="Arial" w:cs="Arial"/>
          <w:i/>
          <w:iCs/>
          <w:sz w:val="20"/>
          <w:szCs w:val="20"/>
          <w:lang w:val="en-US"/>
        </w:rPr>
        <w:t>Measuring Productivity. OECD Productivity Manual: A Guide to the Measurement of Industry-Level and Aggregate Productivity Growth</w:t>
      </w:r>
      <w:r w:rsidRPr="005D248B">
        <w:rPr>
          <w:rFonts w:ascii="Arial" w:hAnsi="Arial" w:cs="Arial"/>
          <w:sz w:val="20"/>
          <w:szCs w:val="20"/>
          <w:lang w:val="en-US"/>
        </w:rPr>
        <w:t>, Parigi, OECD.</w:t>
      </w:r>
    </w:p>
    <w:p w14:paraId="2028F175" w14:textId="77777777" w:rsidR="00194E59" w:rsidRDefault="00194E59" w:rsidP="00194E59">
      <w:pPr>
        <w:spacing w:after="120"/>
        <w:jc w:val="both"/>
        <w:rPr>
          <w:rFonts w:ascii="Arial" w:hAnsi="Arial" w:cs="Arial"/>
          <w:sz w:val="20"/>
          <w:szCs w:val="20"/>
        </w:rPr>
      </w:pPr>
      <w:r w:rsidRPr="005D248B">
        <w:rPr>
          <w:rFonts w:ascii="Arial" w:hAnsi="Arial" w:cs="Arial"/>
          <w:sz w:val="20"/>
          <w:szCs w:val="20"/>
          <w:lang w:val="en-US"/>
        </w:rPr>
        <w:t xml:space="preserve">Solow, R. M., (1957). “Technical Change and the Aggregate Production Function”. </w:t>
      </w:r>
      <w:r w:rsidRPr="005D248B">
        <w:rPr>
          <w:rFonts w:ascii="Arial" w:hAnsi="Arial" w:cs="Arial"/>
          <w:i/>
          <w:iCs/>
          <w:sz w:val="20"/>
          <w:szCs w:val="20"/>
        </w:rPr>
        <w:t>Review of</w:t>
      </w:r>
      <w:r>
        <w:rPr>
          <w:rFonts w:ascii="Arial" w:hAnsi="Arial" w:cs="Arial"/>
          <w:i/>
          <w:iCs/>
          <w:sz w:val="20"/>
          <w:szCs w:val="20"/>
        </w:rPr>
        <w:t xml:space="preserve"> </w:t>
      </w:r>
      <w:proofErr w:type="spellStart"/>
      <w:r w:rsidRPr="005D248B">
        <w:rPr>
          <w:rFonts w:ascii="Arial" w:hAnsi="Arial" w:cs="Arial"/>
          <w:i/>
          <w:iCs/>
          <w:sz w:val="20"/>
          <w:szCs w:val="20"/>
        </w:rPr>
        <w:t>Economics</w:t>
      </w:r>
      <w:proofErr w:type="spellEnd"/>
      <w:r w:rsidRPr="005D248B">
        <w:rPr>
          <w:rFonts w:ascii="Arial" w:hAnsi="Arial" w:cs="Arial"/>
          <w:i/>
          <w:iCs/>
          <w:sz w:val="20"/>
          <w:szCs w:val="20"/>
        </w:rPr>
        <w:t xml:space="preserve"> and </w:t>
      </w:r>
      <w:proofErr w:type="spellStart"/>
      <w:r w:rsidRPr="005D248B">
        <w:rPr>
          <w:rFonts w:ascii="Arial" w:hAnsi="Arial" w:cs="Arial"/>
          <w:i/>
          <w:iCs/>
          <w:sz w:val="20"/>
          <w:szCs w:val="20"/>
        </w:rPr>
        <w:t>Statistics</w:t>
      </w:r>
      <w:proofErr w:type="spellEnd"/>
      <w:r>
        <w:rPr>
          <w:rFonts w:ascii="Arial" w:hAnsi="Arial" w:cs="Arial"/>
          <w:sz w:val="20"/>
          <w:szCs w:val="20"/>
        </w:rPr>
        <w:t>, vol. 39 (3), pag. 312-320.</w:t>
      </w:r>
    </w:p>
    <w:p w14:paraId="5DC3E441" w14:textId="77777777" w:rsidR="00194E59" w:rsidRPr="009C4826" w:rsidRDefault="00194E59">
      <w:pPr>
        <w:spacing w:after="120"/>
        <w:jc w:val="both"/>
        <w:rPr>
          <w:rFonts w:ascii="Arial" w:hAnsi="Arial" w:cs="Arial"/>
          <w:b/>
          <w:bCs/>
          <w:color w:val="000000"/>
          <w:sz w:val="20"/>
          <w:szCs w:val="20"/>
        </w:rPr>
      </w:pPr>
    </w:p>
    <w:p w14:paraId="3F1867C8" w14:textId="77777777" w:rsidR="00DE2FB0" w:rsidRDefault="00DE2FB0">
      <w:pPr>
        <w:pStyle w:val="NormaleWeb"/>
        <w:spacing w:before="0" w:beforeAutospacing="0" w:after="120" w:afterAutospacing="0"/>
        <w:rPr>
          <w:rFonts w:ascii="Georgia" w:hAnsi="Georgia"/>
          <w:bCs/>
          <w:color w:val="1F497D" w:themeColor="text2"/>
          <w:sz w:val="36"/>
          <w:szCs w:val="36"/>
        </w:rPr>
      </w:pPr>
    </w:p>
    <w:p w14:paraId="26523927" w14:textId="77777777" w:rsidR="00DE2FB0" w:rsidRDefault="00DE2FB0">
      <w:pPr>
        <w:pStyle w:val="NormaleWeb"/>
        <w:spacing w:before="0" w:beforeAutospacing="0" w:after="120" w:afterAutospacing="0"/>
        <w:rPr>
          <w:rFonts w:ascii="Georgia" w:hAnsi="Georgia"/>
          <w:bCs/>
          <w:color w:val="1F497D" w:themeColor="text2"/>
          <w:sz w:val="36"/>
          <w:szCs w:val="36"/>
        </w:rPr>
      </w:pPr>
    </w:p>
    <w:p w14:paraId="3B674A4F" w14:textId="77777777" w:rsidR="005E06A4" w:rsidRDefault="005E06A4">
      <w:pPr>
        <w:rPr>
          <w:rFonts w:ascii="Georgia" w:hAnsi="Georgia"/>
          <w:bCs/>
          <w:color w:val="1F497D" w:themeColor="text2"/>
          <w:sz w:val="36"/>
          <w:szCs w:val="36"/>
        </w:rPr>
      </w:pPr>
      <w:r>
        <w:rPr>
          <w:rFonts w:ascii="Georgia" w:hAnsi="Georgia"/>
          <w:bCs/>
          <w:color w:val="1F497D" w:themeColor="text2"/>
          <w:sz w:val="36"/>
          <w:szCs w:val="36"/>
        </w:rPr>
        <w:br w:type="page"/>
      </w:r>
    </w:p>
    <w:p w14:paraId="049A9AEF" w14:textId="77777777" w:rsidR="00DE2FB0" w:rsidRDefault="00DE2FB0">
      <w:pPr>
        <w:pStyle w:val="NormaleWeb"/>
        <w:spacing w:before="0" w:beforeAutospacing="0" w:after="120" w:afterAutospacing="0"/>
        <w:rPr>
          <w:rFonts w:ascii="Georgia" w:hAnsi="Georgia"/>
          <w:bCs/>
          <w:color w:val="1F497D" w:themeColor="text2"/>
          <w:sz w:val="36"/>
          <w:szCs w:val="36"/>
        </w:rPr>
      </w:pPr>
    </w:p>
    <w:p w14:paraId="3A367B52" w14:textId="77777777" w:rsidR="00DE2FB0" w:rsidRDefault="00483D0B">
      <w:pPr>
        <w:pStyle w:val="NormaleWeb"/>
        <w:spacing w:before="0" w:beforeAutospacing="0" w:after="120" w:afterAutospacing="0"/>
        <w:rPr>
          <w:rFonts w:ascii="Georgia" w:hAnsi="Georgia"/>
          <w:bCs/>
          <w:color w:val="1F497D" w:themeColor="text2"/>
          <w:sz w:val="36"/>
          <w:szCs w:val="36"/>
        </w:rPr>
      </w:pPr>
      <w:r w:rsidRPr="00483D0B">
        <w:rPr>
          <w:rFonts w:ascii="Georgia" w:hAnsi="Georgia"/>
          <w:bCs/>
          <w:color w:val="1F497D" w:themeColor="text2"/>
          <w:sz w:val="36"/>
          <w:szCs w:val="36"/>
        </w:rPr>
        <w:t>Note</w:t>
      </w:r>
    </w:p>
    <w:p w14:paraId="5725D0FB" w14:textId="77777777" w:rsidR="00DE2FB0" w:rsidRDefault="00DE2FB0">
      <w:pPr>
        <w:spacing w:after="120"/>
        <w:rPr>
          <w:rFonts w:ascii="Arial" w:hAnsi="Arial" w:cs="Arial"/>
          <w:b/>
          <w:bCs/>
          <w:sz w:val="26"/>
          <w:szCs w:val="26"/>
        </w:rPr>
      </w:pPr>
    </w:p>
    <w:sectPr w:rsidR="00DE2FB0" w:rsidSect="004958F0">
      <w:footerReference w:type="default" r:id="rId57"/>
      <w:type w:val="continuous"/>
      <w:pgSz w:w="11906" w:h="16838" w:code="9"/>
      <w:pgMar w:top="567" w:right="851" w:bottom="680" w:left="851" w:header="0" w:footer="737"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3A818" w14:textId="77777777" w:rsidR="006B5124" w:rsidRDefault="006B5124">
      <w:r>
        <w:separator/>
      </w:r>
    </w:p>
  </w:endnote>
  <w:endnote w:type="continuationSeparator" w:id="0">
    <w:p w14:paraId="7830E04E" w14:textId="77777777" w:rsidR="006B5124" w:rsidRDefault="006B5124">
      <w:r>
        <w:continuationSeparator/>
      </w:r>
    </w:p>
  </w:endnote>
  <w:endnote w:id="1">
    <w:p w14:paraId="4CB49CE7" w14:textId="77777777" w:rsidR="0093767A" w:rsidRDefault="0093767A">
      <w:pPr>
        <w:pStyle w:val="Testonotadichiusura"/>
        <w:spacing w:after="120"/>
        <w:jc w:val="both"/>
        <w:rPr>
          <w:rFonts w:ascii="Arial" w:hAnsi="Arial" w:cs="Arial"/>
          <w:sz w:val="16"/>
          <w:szCs w:val="16"/>
        </w:rPr>
      </w:pPr>
      <w:r w:rsidRPr="00A2500F">
        <w:rPr>
          <w:rStyle w:val="Rimandonotadichiusura"/>
          <w:rFonts w:ascii="Arial" w:hAnsi="Arial" w:cs="Arial"/>
          <w:sz w:val="16"/>
          <w:szCs w:val="16"/>
        </w:rPr>
        <w:endnoteRef/>
      </w:r>
      <w:r>
        <w:rPr>
          <w:rFonts w:ascii="Arial" w:hAnsi="Arial" w:cs="Arial"/>
          <w:sz w:val="16"/>
          <w:szCs w:val="16"/>
        </w:rPr>
        <w:t xml:space="preserve"> </w:t>
      </w:r>
      <w:r w:rsidRPr="00AB3C24">
        <w:rPr>
          <w:rFonts w:ascii="Arial" w:hAnsi="Arial" w:cs="Arial"/>
          <w:sz w:val="16"/>
          <w:szCs w:val="16"/>
        </w:rPr>
        <w:t xml:space="preserve">Altri fattori </w:t>
      </w:r>
      <w:r>
        <w:rPr>
          <w:rFonts w:ascii="Arial" w:hAnsi="Arial" w:cs="Arial"/>
          <w:sz w:val="16"/>
          <w:szCs w:val="16"/>
        </w:rPr>
        <w:t>che spiegano le variazioni della produttivit</w:t>
      </w:r>
      <w:r w:rsidRPr="00AB3C24">
        <w:rPr>
          <w:rFonts w:ascii="Arial" w:hAnsi="Arial" w:cs="Arial"/>
          <w:sz w:val="16"/>
          <w:szCs w:val="16"/>
        </w:rPr>
        <w:t>à</w:t>
      </w:r>
      <w:r>
        <w:rPr>
          <w:rFonts w:ascii="Arial" w:hAnsi="Arial" w:cs="Arial"/>
          <w:sz w:val="16"/>
          <w:szCs w:val="16"/>
        </w:rPr>
        <w:t xml:space="preserve"> </w:t>
      </w:r>
      <w:r w:rsidRPr="00AB3C24">
        <w:rPr>
          <w:rFonts w:ascii="Arial" w:hAnsi="Arial" w:cs="Arial"/>
          <w:sz w:val="16"/>
          <w:szCs w:val="16"/>
        </w:rPr>
        <w:t xml:space="preserve">sono il miglioramento nella qualità dei beni d’investimento, l’andamento del ciclo economico, le economie di scala, le esternalità, la riallocazione dei fattori produttivi, nonché eventuali errori di misurazione dell’output e dei fattori produttivi.  </w:t>
      </w:r>
    </w:p>
  </w:endnote>
  <w:endnote w:id="2">
    <w:p w14:paraId="47F41AD7" w14:textId="77777777" w:rsidR="0093767A" w:rsidRDefault="0093767A">
      <w:pPr>
        <w:pStyle w:val="Testonotadichiusura"/>
        <w:spacing w:after="120"/>
        <w:jc w:val="both"/>
        <w:rPr>
          <w:rFonts w:ascii="Arial" w:hAnsi="Arial" w:cs="Arial"/>
          <w:sz w:val="16"/>
          <w:szCs w:val="16"/>
        </w:rPr>
      </w:pPr>
      <w:r w:rsidRPr="00A2500F">
        <w:rPr>
          <w:rStyle w:val="Rimandonotadichiusura"/>
          <w:rFonts w:ascii="Arial" w:hAnsi="Arial" w:cs="Arial"/>
          <w:sz w:val="16"/>
          <w:szCs w:val="16"/>
        </w:rPr>
        <w:endnoteRef/>
      </w:r>
      <w:r>
        <w:rPr>
          <w:rFonts w:ascii="Arial" w:hAnsi="Arial" w:cs="Arial"/>
          <w:sz w:val="16"/>
          <w:szCs w:val="16"/>
        </w:rPr>
        <w:t xml:space="preserve"> </w:t>
      </w:r>
      <w:r w:rsidRPr="00AB3C24">
        <w:rPr>
          <w:rFonts w:ascii="Arial" w:hAnsi="Arial" w:cs="Arial"/>
          <w:sz w:val="16"/>
          <w:szCs w:val="16"/>
        </w:rPr>
        <w:t>Valore aggiunto ai prezzi base</w:t>
      </w:r>
      <w:r>
        <w:rPr>
          <w:rFonts w:ascii="Arial" w:hAnsi="Arial" w:cs="Arial"/>
          <w:sz w:val="16"/>
          <w:szCs w:val="16"/>
        </w:rPr>
        <w:t xml:space="preserve"> in volume</w:t>
      </w:r>
      <w:r w:rsidRPr="00AB3C24">
        <w:rPr>
          <w:rFonts w:ascii="Arial" w:hAnsi="Arial" w:cs="Arial"/>
          <w:sz w:val="16"/>
          <w:szCs w:val="16"/>
        </w:rPr>
        <w:t xml:space="preserve"> </w:t>
      </w:r>
      <w:r>
        <w:rPr>
          <w:rFonts w:ascii="Arial" w:hAnsi="Arial" w:cs="Arial"/>
          <w:sz w:val="16"/>
          <w:szCs w:val="16"/>
        </w:rPr>
        <w:t>– valori concatenati – anno di riferimento 2015.</w:t>
      </w:r>
    </w:p>
  </w:endnote>
  <w:endnote w:id="3">
    <w:p w14:paraId="7AB68A89" w14:textId="77777777" w:rsidR="0093767A" w:rsidRDefault="0093767A">
      <w:pPr>
        <w:pStyle w:val="Testonotadichiusura"/>
        <w:spacing w:after="120"/>
        <w:jc w:val="both"/>
        <w:rPr>
          <w:rFonts w:ascii="Arial" w:hAnsi="Arial" w:cs="Arial"/>
          <w:sz w:val="16"/>
          <w:szCs w:val="16"/>
        </w:rPr>
      </w:pPr>
      <w:r w:rsidRPr="00A2500F">
        <w:rPr>
          <w:rStyle w:val="Rimandonotadichiusura"/>
          <w:rFonts w:ascii="Arial" w:hAnsi="Arial" w:cs="Arial"/>
          <w:sz w:val="16"/>
          <w:szCs w:val="16"/>
        </w:rPr>
        <w:endnoteRef/>
      </w:r>
      <w:r>
        <w:rPr>
          <w:rFonts w:ascii="Arial" w:hAnsi="Arial" w:cs="Arial"/>
          <w:sz w:val="16"/>
          <w:szCs w:val="16"/>
        </w:rPr>
        <w:t xml:space="preserve"> </w:t>
      </w:r>
      <w:r w:rsidRPr="00C025F0">
        <w:rPr>
          <w:rFonts w:ascii="Arial" w:hAnsi="Arial" w:cs="Arial"/>
          <w:sz w:val="16"/>
          <w:szCs w:val="16"/>
        </w:rPr>
        <w:t>Le tipologie di beni capitali considerate sono: otto tipologie di beni materiali non-ICT (piantagioni e pesca; bestiame; altre macchine e attrezzature; mobili; mezzi di trasporto su strada; altri mezzi di trasporto; fabbricati non residenziali e opere del genio civile; costi di trasferimento di proprietà dei fabbricati), tre tipologie di beni immateriali non-ICT (ricerca e sviluppo; prospezioni minerarie; originali di opere artistiche letterarie e d’intrattenimento) e tre tipologie di beni ICT (hardware, software e</w:t>
      </w:r>
      <w:r>
        <w:rPr>
          <w:rFonts w:ascii="Arial" w:hAnsi="Arial" w:cs="Arial"/>
          <w:sz w:val="16"/>
          <w:szCs w:val="16"/>
        </w:rPr>
        <w:t xml:space="preserve"> databases,</w:t>
      </w:r>
      <w:r w:rsidRPr="00C025F0">
        <w:rPr>
          <w:rFonts w:ascii="Arial" w:hAnsi="Arial" w:cs="Arial"/>
          <w:sz w:val="16"/>
          <w:szCs w:val="16"/>
        </w:rPr>
        <w:t xml:space="preserve"> apparati per le comunicazioni).  </w:t>
      </w:r>
    </w:p>
  </w:endnote>
  <w:endnote w:id="4">
    <w:p w14:paraId="47EDA135" w14:textId="77777777" w:rsidR="0093767A" w:rsidRDefault="0093767A">
      <w:pPr>
        <w:pStyle w:val="Testonotadichiusura"/>
        <w:spacing w:after="120"/>
        <w:jc w:val="both"/>
        <w:rPr>
          <w:rFonts w:ascii="Arial" w:hAnsi="Arial" w:cs="Arial"/>
          <w:sz w:val="16"/>
          <w:szCs w:val="16"/>
        </w:rPr>
      </w:pPr>
      <w:r w:rsidRPr="00A2500F">
        <w:rPr>
          <w:rStyle w:val="Rimandonotadichiusura"/>
          <w:rFonts w:ascii="Arial" w:hAnsi="Arial" w:cs="Arial"/>
          <w:sz w:val="16"/>
          <w:szCs w:val="16"/>
        </w:rPr>
        <w:endnoteRef/>
      </w:r>
      <w:r>
        <w:rPr>
          <w:rFonts w:ascii="Arial" w:hAnsi="Arial" w:cs="Arial"/>
          <w:sz w:val="16"/>
          <w:szCs w:val="16"/>
        </w:rPr>
        <w:t xml:space="preserve"> Eventuali </w:t>
      </w:r>
      <w:r w:rsidRPr="00A2500F">
        <w:rPr>
          <w:rFonts w:ascii="Arial" w:hAnsi="Arial" w:cs="Arial"/>
          <w:sz w:val="16"/>
          <w:szCs w:val="16"/>
        </w:rPr>
        <w:t xml:space="preserve">differenze tra il tasso di variazione medio della produttività del </w:t>
      </w:r>
      <w:r>
        <w:rPr>
          <w:rFonts w:ascii="Arial" w:hAnsi="Arial" w:cs="Arial"/>
          <w:sz w:val="16"/>
          <w:szCs w:val="16"/>
        </w:rPr>
        <w:t>lavoro</w:t>
      </w:r>
      <w:r w:rsidRPr="00A2500F">
        <w:rPr>
          <w:rFonts w:ascii="Arial" w:hAnsi="Arial" w:cs="Arial"/>
          <w:sz w:val="16"/>
          <w:szCs w:val="16"/>
        </w:rPr>
        <w:t xml:space="preserve"> calcolato direttamente e quello ottenuto come differenza tra il tasso di variazione medio del valore aggiunto e il tasso di variazione medio </w:t>
      </w:r>
      <w:r>
        <w:rPr>
          <w:rFonts w:ascii="Arial" w:hAnsi="Arial" w:cs="Arial"/>
          <w:sz w:val="16"/>
          <w:szCs w:val="16"/>
        </w:rPr>
        <w:t>delle ore lavorate</w:t>
      </w:r>
      <w:r w:rsidRPr="00A2500F">
        <w:rPr>
          <w:rFonts w:ascii="Arial" w:hAnsi="Arial" w:cs="Arial"/>
          <w:sz w:val="16"/>
          <w:szCs w:val="16"/>
        </w:rPr>
        <w:t xml:space="preserve"> sono dovute ad arrotondamenti.</w:t>
      </w:r>
    </w:p>
  </w:endnote>
  <w:endnote w:id="5">
    <w:p w14:paraId="024E366A" w14:textId="77777777" w:rsidR="0093767A" w:rsidRDefault="0093767A">
      <w:pPr>
        <w:pStyle w:val="Testonotadichiusura"/>
        <w:spacing w:after="120"/>
        <w:jc w:val="both"/>
        <w:rPr>
          <w:rFonts w:ascii="Arial" w:hAnsi="Arial" w:cs="Arial"/>
          <w:sz w:val="16"/>
          <w:szCs w:val="16"/>
        </w:rPr>
      </w:pPr>
      <w:r w:rsidRPr="00A2500F">
        <w:rPr>
          <w:rStyle w:val="Rimandonotadichiusura"/>
          <w:rFonts w:ascii="Arial" w:hAnsi="Arial" w:cs="Arial"/>
          <w:sz w:val="16"/>
          <w:szCs w:val="16"/>
        </w:rPr>
        <w:endnoteRef/>
      </w:r>
      <w:r>
        <w:rPr>
          <w:rFonts w:ascii="Arial" w:hAnsi="Arial" w:cs="Arial"/>
          <w:sz w:val="16"/>
          <w:szCs w:val="16"/>
        </w:rPr>
        <w:t xml:space="preserve"> </w:t>
      </w:r>
      <w:r w:rsidRPr="00A63BA2">
        <w:rPr>
          <w:rFonts w:ascii="Arial" w:hAnsi="Arial" w:cs="Arial"/>
          <w:sz w:val="16"/>
          <w:szCs w:val="16"/>
        </w:rPr>
        <w:t xml:space="preserve">Il confronto è possibile soltanto misurando la produttività del lavoro su un campo di osservazione leggermente diverso da quello utilizzato per i dati presentati per l’Italia nel presente report. I dati </w:t>
      </w:r>
      <w:r>
        <w:rPr>
          <w:rFonts w:ascii="Arial" w:hAnsi="Arial" w:cs="Arial"/>
          <w:sz w:val="16"/>
          <w:szCs w:val="16"/>
        </w:rPr>
        <w:t>relativi</w:t>
      </w:r>
      <w:r w:rsidRPr="00A63BA2">
        <w:rPr>
          <w:rFonts w:ascii="Arial" w:hAnsi="Arial" w:cs="Arial"/>
          <w:sz w:val="16"/>
          <w:szCs w:val="16"/>
        </w:rPr>
        <w:t xml:space="preserve"> </w:t>
      </w:r>
      <w:r>
        <w:rPr>
          <w:rFonts w:ascii="Arial" w:hAnsi="Arial" w:cs="Arial"/>
          <w:sz w:val="16"/>
          <w:szCs w:val="16"/>
        </w:rPr>
        <w:t>a</w:t>
      </w:r>
      <w:r w:rsidRPr="00A63BA2">
        <w:rPr>
          <w:rFonts w:ascii="Arial" w:hAnsi="Arial" w:cs="Arial"/>
          <w:sz w:val="16"/>
          <w:szCs w:val="16"/>
        </w:rPr>
        <w:t xml:space="preserve">gli altri paesi europei escludono </w:t>
      </w:r>
      <w:r>
        <w:rPr>
          <w:rFonts w:ascii="Arial" w:hAnsi="Arial" w:cs="Arial"/>
          <w:sz w:val="16"/>
          <w:szCs w:val="16"/>
        </w:rPr>
        <w:t>infatti</w:t>
      </w:r>
      <w:r w:rsidRPr="00A63BA2">
        <w:rPr>
          <w:rFonts w:ascii="Arial" w:hAnsi="Arial" w:cs="Arial"/>
          <w:sz w:val="16"/>
          <w:szCs w:val="16"/>
        </w:rPr>
        <w:t xml:space="preserve"> le seguenti attività economiche: Attività di locazione dei beni immobili (sezione L della classificazione Nace Rev.2), Amministrazione pubblica e difesa (sezione O), Istruzione (sezione P)</w:t>
      </w:r>
      <w:r>
        <w:rPr>
          <w:rFonts w:ascii="Arial" w:hAnsi="Arial" w:cs="Arial"/>
          <w:sz w:val="16"/>
          <w:szCs w:val="16"/>
        </w:rPr>
        <w:t>,</w:t>
      </w:r>
      <w:r w:rsidRPr="00A63BA2">
        <w:rPr>
          <w:rFonts w:ascii="Arial" w:hAnsi="Arial" w:cs="Arial"/>
          <w:sz w:val="16"/>
          <w:szCs w:val="16"/>
        </w:rPr>
        <w:t xml:space="preserve"> Sanità e assistenza sociale (sezione Q), Attività di famiglie e convivenze (sezione T) e Organizzazioni ed organismi internazionali (sezione U). Per l’Italia la differenza tra le stime presentate nel report (e in I.Stat) e quelle ottenute applicando lo stesso campo di osservazione utilizzato per gli altri paesi europei è assai ridotta: in termini dei tassi di crescita medi annui per i periodi commentati in questo Report, non supera mai 0,1 punti percentuali.  </w:t>
      </w:r>
    </w:p>
  </w:endnote>
  <w:endnote w:id="6">
    <w:p w14:paraId="0D8A30EA" w14:textId="77777777" w:rsidR="0093767A" w:rsidRDefault="0093767A">
      <w:pPr>
        <w:pStyle w:val="Testonotadichiusura"/>
        <w:spacing w:after="120"/>
        <w:jc w:val="both"/>
      </w:pPr>
      <w:r w:rsidRPr="00A2500F">
        <w:rPr>
          <w:rStyle w:val="Rimandonotadichiusura"/>
          <w:rFonts w:ascii="Arial" w:hAnsi="Arial" w:cs="Arial"/>
          <w:sz w:val="16"/>
          <w:szCs w:val="16"/>
        </w:rPr>
        <w:endnoteRef/>
      </w:r>
      <w:r>
        <w:rPr>
          <w:rFonts w:ascii="Arial" w:hAnsi="Arial" w:cs="Arial"/>
          <w:sz w:val="16"/>
          <w:szCs w:val="16"/>
        </w:rPr>
        <w:t xml:space="preserve"> </w:t>
      </w:r>
      <w:r w:rsidRPr="00A2500F">
        <w:rPr>
          <w:rFonts w:ascii="Arial" w:hAnsi="Arial" w:cs="Arial"/>
          <w:sz w:val="16"/>
          <w:szCs w:val="16"/>
        </w:rPr>
        <w:t>Eventuali differenze tra il tasso di variazione medio della produttività del capitale calcolato direttamente e quello ottenuto come differenza tra il tasso di variazione medio del valore aggiunto e il tasso di variazione medio dell’input di capitale sono dovute ad arrotondamenti.</w:t>
      </w:r>
    </w:p>
  </w:endnote>
  <w:endnote w:id="7">
    <w:p w14:paraId="09834187" w14:textId="77777777" w:rsidR="0093767A" w:rsidRDefault="0093767A">
      <w:pPr>
        <w:pStyle w:val="Testonotadichiusura"/>
        <w:spacing w:after="120"/>
        <w:jc w:val="both"/>
      </w:pPr>
      <w:r w:rsidRPr="00A2500F">
        <w:rPr>
          <w:rStyle w:val="Rimandonotadichiusura"/>
          <w:rFonts w:ascii="Arial" w:hAnsi="Arial" w:cs="Arial"/>
          <w:sz w:val="16"/>
          <w:szCs w:val="16"/>
        </w:rPr>
        <w:endnoteRef/>
      </w:r>
      <w:r w:rsidRPr="00A2500F">
        <w:rPr>
          <w:rFonts w:ascii="Arial" w:hAnsi="Arial" w:cs="Arial"/>
          <w:sz w:val="16"/>
          <w:szCs w:val="16"/>
        </w:rPr>
        <w:t xml:space="preserve"> La misura di volume dei fattori primari è costituita da un indice composito ottenuto ponderando i tassi di variazione dell’input di capitale e delle ore lavorate con le quote delle rispettive remunerazioni sul valore aggiunto a prezzi correnti.</w:t>
      </w:r>
    </w:p>
  </w:endnote>
  <w:endnote w:id="8">
    <w:p w14:paraId="0B758B39" w14:textId="77777777" w:rsidR="0093767A" w:rsidRDefault="0093767A">
      <w:pPr>
        <w:pStyle w:val="Testonotadichiusura"/>
        <w:spacing w:after="120"/>
        <w:jc w:val="both"/>
      </w:pPr>
      <w:r w:rsidRPr="00A2500F">
        <w:rPr>
          <w:rStyle w:val="Rimandonotadichiusura"/>
          <w:rFonts w:ascii="Arial" w:hAnsi="Arial" w:cs="Arial"/>
          <w:sz w:val="16"/>
          <w:szCs w:val="16"/>
        </w:rPr>
        <w:endnoteRef/>
      </w:r>
      <w:r w:rsidRPr="00A2500F">
        <w:rPr>
          <w:rFonts w:ascii="Arial" w:hAnsi="Arial" w:cs="Arial"/>
          <w:sz w:val="16"/>
          <w:szCs w:val="16"/>
        </w:rPr>
        <w:t xml:space="preserve"> Eventuali differenze tra il tasso di variazione medio della produttività totale dei fattori calcolato direttamente e quello ottenuto come differenza tra il tasso di variazione medio del valore aggiunto e il tasso di variazione medio dell’indice composito dei fattori produttivi sono dovute ad arrotondamenti.</w:t>
      </w:r>
    </w:p>
  </w:endnote>
  <w:endnote w:id="9">
    <w:p w14:paraId="376ABF82" w14:textId="77777777" w:rsidR="0093767A" w:rsidRDefault="0093767A">
      <w:pPr>
        <w:pStyle w:val="Testonotadichiusura"/>
        <w:spacing w:after="120"/>
      </w:pPr>
      <w:r w:rsidRPr="00A2500F">
        <w:rPr>
          <w:rStyle w:val="Rimandonotadichiusura"/>
          <w:rFonts w:ascii="Arial" w:hAnsi="Arial" w:cs="Arial"/>
          <w:sz w:val="16"/>
          <w:szCs w:val="16"/>
        </w:rPr>
        <w:endnoteRef/>
      </w:r>
      <w:r w:rsidRPr="00A2500F">
        <w:rPr>
          <w:rFonts w:ascii="Arial" w:hAnsi="Arial" w:cs="Arial"/>
          <w:sz w:val="16"/>
          <w:szCs w:val="16"/>
        </w:rPr>
        <w:t xml:space="preserve"> Per approfondimenti sul modello di contabilità della crescita si veda la Nota metodologica.</w:t>
      </w:r>
    </w:p>
  </w:endnote>
  <w:endnote w:id="10">
    <w:p w14:paraId="1541A1BD" w14:textId="77777777" w:rsidR="0093767A" w:rsidRDefault="0093767A">
      <w:pPr>
        <w:pStyle w:val="Testonotadichiusura"/>
        <w:spacing w:after="120"/>
        <w:jc w:val="both"/>
      </w:pPr>
      <w:r w:rsidRPr="00A2500F">
        <w:rPr>
          <w:rStyle w:val="Rimandonotadichiusura"/>
          <w:rFonts w:ascii="Arial" w:hAnsi="Arial" w:cs="Arial"/>
          <w:sz w:val="16"/>
          <w:szCs w:val="16"/>
        </w:rPr>
        <w:endnoteRef/>
      </w:r>
      <w:r>
        <w:rPr>
          <w:rFonts w:ascii="Arial" w:hAnsi="Arial" w:cs="Arial"/>
          <w:sz w:val="16"/>
          <w:szCs w:val="16"/>
        </w:rPr>
        <w:t xml:space="preserve"> </w:t>
      </w:r>
      <w:r w:rsidRPr="00A2500F">
        <w:rPr>
          <w:rFonts w:ascii="Arial" w:hAnsi="Arial" w:cs="Arial"/>
          <w:sz w:val="16"/>
          <w:szCs w:val="16"/>
        </w:rPr>
        <w:t>Eventuali differenze tra il tasso di variazione medio del valore aggiunto calcolato direttamente e quello ottenuto come somma dei contributi del lavoro, del capitale e della produttività totale dei fattori sono dovute ad arrotondamenti.</w:t>
      </w:r>
    </w:p>
  </w:endnote>
  <w:endnote w:id="11">
    <w:p w14:paraId="11E69C64" w14:textId="77777777" w:rsidR="0093767A" w:rsidRDefault="0093767A">
      <w:pPr>
        <w:pStyle w:val="Testonotadichiusura"/>
        <w:spacing w:after="120"/>
        <w:jc w:val="both"/>
        <w:rPr>
          <w:rFonts w:ascii="Arial" w:hAnsi="Arial" w:cs="Arial"/>
          <w:sz w:val="16"/>
          <w:szCs w:val="16"/>
        </w:rPr>
      </w:pPr>
      <w:r>
        <w:rPr>
          <w:rStyle w:val="Rimandonotadichiusura"/>
          <w:rFonts w:ascii="Arial" w:hAnsi="Arial" w:cs="Arial"/>
          <w:sz w:val="16"/>
          <w:szCs w:val="16"/>
        </w:rPr>
        <w:endnoteRef/>
      </w:r>
      <w:r>
        <w:rPr>
          <w:rFonts w:ascii="Arial" w:hAnsi="Arial" w:cs="Arial"/>
          <w:sz w:val="16"/>
          <w:szCs w:val="16"/>
        </w:rPr>
        <w:t xml:space="preserve"> Il contributo di un settore di attività economica alla variazione della produttività del lavoro totale è pari alla differenza tra il tasso di variazione dell’indice di volume del valore aggiunto del settore moltiplicato per la quota di quel settore sul valore aggiunto totale (a prezzi correnti) e il tasso di variazione delle ore lavorate nel settore moltiplicato per la quota di quel settore sul monte ore totale.  </w:t>
      </w:r>
    </w:p>
    <w:p w14:paraId="570A5BCE" w14:textId="77777777" w:rsidR="0093767A" w:rsidRDefault="0093767A">
      <w:pPr>
        <w:spacing w:after="120"/>
        <w:rPr>
          <w:rFonts w:ascii="Arial" w:hAnsi="Arial" w:cs="Arial"/>
          <w:b/>
          <w:bCs/>
          <w:sz w:val="26"/>
          <w:szCs w:val="26"/>
        </w:rPr>
      </w:pPr>
    </w:p>
    <w:p w14:paraId="4370BF82" w14:textId="77777777" w:rsidR="0093767A" w:rsidRDefault="0093767A">
      <w:pPr>
        <w:spacing w:after="120"/>
        <w:rPr>
          <w:rFonts w:ascii="Arial" w:hAnsi="Arial" w:cs="Arial"/>
          <w:b/>
          <w:bCs/>
          <w:sz w:val="26"/>
          <w:szCs w:val="26"/>
        </w:rPr>
      </w:pPr>
    </w:p>
    <w:p w14:paraId="576FB79D" w14:textId="77777777" w:rsidR="0093767A" w:rsidRDefault="0093767A">
      <w:pPr>
        <w:spacing w:after="120"/>
        <w:rPr>
          <w:rFonts w:ascii="Arial" w:hAnsi="Arial" w:cs="Arial"/>
          <w:b/>
          <w:bCs/>
          <w:sz w:val="26"/>
          <w:szCs w:val="26"/>
        </w:rPr>
      </w:pPr>
    </w:p>
    <w:p w14:paraId="73E3F69F" w14:textId="77777777" w:rsidR="0093767A" w:rsidRDefault="0093767A" w:rsidP="002E4387">
      <w:pPr>
        <w:pStyle w:val="NormaleWeb"/>
        <w:spacing w:before="0" w:beforeAutospacing="0" w:after="120" w:afterAutospacing="0"/>
        <w:rPr>
          <w:rFonts w:ascii="Arial" w:hAnsi="Arial" w:cs="Arial"/>
          <w:color w:val="000000" w:themeColor="text1"/>
          <w:sz w:val="36"/>
          <w:szCs w:val="36"/>
        </w:rPr>
      </w:pPr>
      <w:r>
        <w:rPr>
          <w:rFonts w:ascii="Georgia" w:hAnsi="Georgia"/>
          <w:bCs/>
          <w:color w:val="1F497D" w:themeColor="text2"/>
          <w:sz w:val="36"/>
          <w:szCs w:val="36"/>
        </w:rPr>
        <w:t>Per chiarimenti tecnici e metodologici</w:t>
      </w:r>
    </w:p>
    <w:tbl>
      <w:tblPr>
        <w:tblStyle w:val="Grigliatabella"/>
        <w:tblW w:w="9814" w:type="dxa"/>
        <w:tblBorders>
          <w:top w:val="dotted"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561"/>
      </w:tblGrid>
      <w:tr w:rsidR="0093767A" w14:paraId="48EEA142" w14:textId="77777777" w:rsidTr="002E4387">
        <w:trPr>
          <w:trHeight w:val="1134"/>
        </w:trPr>
        <w:tc>
          <w:tcPr>
            <w:tcW w:w="4253" w:type="dxa"/>
            <w:tcBorders>
              <w:top w:val="dotted" w:sz="4" w:space="0" w:color="808080" w:themeColor="background1" w:themeShade="80"/>
              <w:left w:val="nil"/>
              <w:bottom w:val="nil"/>
              <w:right w:val="nil"/>
            </w:tcBorders>
            <w:tcMar>
              <w:top w:w="170" w:type="dxa"/>
              <w:left w:w="0" w:type="dxa"/>
              <w:bottom w:w="0" w:type="dxa"/>
              <w:right w:w="0" w:type="dxa"/>
            </w:tcMar>
            <w:hideMark/>
          </w:tcPr>
          <w:p w14:paraId="0B7923E2" w14:textId="77777777" w:rsidR="0093767A" w:rsidRDefault="0093767A" w:rsidP="002E4387">
            <w:pPr>
              <w:pStyle w:val="NormaleWeb"/>
              <w:spacing w:before="0" w:beforeAutospacing="0" w:after="120" w:afterAutospacing="0"/>
              <w:rPr>
                <w:rFonts w:ascii="Arial" w:hAnsi="Arial" w:cs="Arial"/>
                <w:b/>
                <w:bCs/>
                <w:color w:val="1F497D" w:themeColor="text2"/>
                <w:sz w:val="22"/>
                <w:szCs w:val="22"/>
              </w:rPr>
            </w:pPr>
            <w:r>
              <w:rPr>
                <w:rFonts w:ascii="Arial" w:hAnsi="Arial" w:cs="Arial"/>
                <w:b/>
                <w:bCs/>
                <w:color w:val="1F497D" w:themeColor="text2"/>
                <w:sz w:val="22"/>
                <w:szCs w:val="22"/>
              </w:rPr>
              <w:t>Carmine Fimiani</w:t>
            </w:r>
          </w:p>
          <w:p w14:paraId="41623ACA" w14:textId="77777777" w:rsidR="0093767A" w:rsidRDefault="006B5124" w:rsidP="002E4387">
            <w:pPr>
              <w:pStyle w:val="NormaleWeb"/>
              <w:spacing w:before="0" w:beforeAutospacing="0" w:after="120" w:afterAutospacing="0"/>
              <w:rPr>
                <w:rFonts w:ascii="Arial" w:hAnsi="Arial" w:cs="Arial"/>
                <w:color w:val="000000" w:themeColor="text1"/>
              </w:rPr>
            </w:pPr>
            <w:hyperlink r:id="rId1" w:history="1">
              <w:r w:rsidR="0093767A" w:rsidRPr="00CE25BB">
                <w:rPr>
                  <w:rStyle w:val="Collegamentoipertestuale"/>
                  <w:rFonts w:ascii="Arial" w:hAnsi="Arial" w:cs="Arial"/>
                </w:rPr>
                <w:t>fimiani@istat.it</w:t>
              </w:r>
            </w:hyperlink>
          </w:p>
        </w:tc>
        <w:tc>
          <w:tcPr>
            <w:tcW w:w="5561" w:type="dxa"/>
            <w:tcBorders>
              <w:top w:val="dotted" w:sz="4" w:space="0" w:color="808080" w:themeColor="background1" w:themeShade="80"/>
              <w:left w:val="nil"/>
              <w:bottom w:val="nil"/>
              <w:right w:val="nil"/>
            </w:tcBorders>
            <w:tcMar>
              <w:top w:w="170" w:type="dxa"/>
              <w:left w:w="0" w:type="dxa"/>
              <w:bottom w:w="0" w:type="dxa"/>
              <w:right w:w="0" w:type="dxa"/>
            </w:tcMar>
          </w:tcPr>
          <w:p w14:paraId="70763F3B" w14:textId="77777777" w:rsidR="0093767A" w:rsidRDefault="0093767A" w:rsidP="008C0102">
            <w:pPr>
              <w:pStyle w:val="NormaleWeb"/>
              <w:spacing w:before="0" w:beforeAutospacing="0" w:after="120" w:afterAutospacing="0"/>
              <w:rPr>
                <w:rFonts w:ascii="Arial" w:hAnsi="Arial" w:cs="Arial"/>
                <w:b/>
                <w:bCs/>
                <w:color w:val="1F497D" w:themeColor="text2"/>
                <w:sz w:val="22"/>
                <w:szCs w:val="22"/>
              </w:rPr>
            </w:pPr>
            <w:r>
              <w:rPr>
                <w:rFonts w:ascii="Arial" w:hAnsi="Arial" w:cs="Arial"/>
                <w:b/>
                <w:bCs/>
                <w:color w:val="1F497D" w:themeColor="text2"/>
                <w:sz w:val="22"/>
                <w:szCs w:val="22"/>
              </w:rPr>
              <w:t>Antonio Regano</w:t>
            </w:r>
          </w:p>
          <w:p w14:paraId="0364B133" w14:textId="77777777" w:rsidR="0093767A" w:rsidRDefault="006B5124" w:rsidP="008C0102">
            <w:pPr>
              <w:pStyle w:val="NormaleWeb"/>
              <w:spacing w:before="0" w:beforeAutospacing="0" w:after="120" w:afterAutospacing="0"/>
              <w:rPr>
                <w:rFonts w:ascii="Arial" w:hAnsi="Arial" w:cs="Arial"/>
                <w:color w:val="000000" w:themeColor="text1"/>
              </w:rPr>
            </w:pPr>
            <w:hyperlink r:id="rId2" w:history="1">
              <w:r w:rsidR="0093767A" w:rsidRPr="00CE25BB">
                <w:rPr>
                  <w:rStyle w:val="Collegamentoipertestuale"/>
                  <w:rFonts w:ascii="Arial" w:hAnsi="Arial" w:cs="Arial"/>
                </w:rPr>
                <w:t>regano@istat.it</w:t>
              </w:r>
            </w:hyperlink>
          </w:p>
        </w:tc>
      </w:tr>
    </w:tbl>
    <w:p w14:paraId="05AD2F81" w14:textId="77777777" w:rsidR="0093767A" w:rsidRDefault="0093767A" w:rsidP="00CD39C6">
      <w:pPr>
        <w:pStyle w:val="Testonotadichiusura"/>
        <w:jc w:val="both"/>
        <w:rPr>
          <w:rFonts w:ascii="Arial" w:hAnsi="Arial" w:cs="Arial"/>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511E" w14:textId="77777777" w:rsidR="0093767A" w:rsidRDefault="0093767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B46E8BB" w14:textId="77777777" w:rsidR="0093767A" w:rsidRDefault="0093767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335918"/>
      <w:docPartObj>
        <w:docPartGallery w:val="Page Numbers (Bottom of Page)"/>
        <w:docPartUnique/>
      </w:docPartObj>
    </w:sdtPr>
    <w:sdtEndPr/>
    <w:sdtContent>
      <w:p w14:paraId="73DE41F2" w14:textId="77777777" w:rsidR="0093767A" w:rsidRDefault="0093767A">
        <w:pPr>
          <w:pStyle w:val="Pidipagina"/>
        </w:pPr>
        <w:r>
          <w:rPr>
            <w:noProof/>
          </w:rPr>
          <w:fldChar w:fldCharType="begin"/>
        </w:r>
        <w:r>
          <w:rPr>
            <w:noProof/>
          </w:rPr>
          <w:instrText>PAGE   \* MERGEFORMAT</w:instrText>
        </w:r>
        <w:r>
          <w:rPr>
            <w:noProof/>
          </w:rPr>
          <w:fldChar w:fldCharType="separate"/>
        </w:r>
        <w:r w:rsidR="00BC09C6">
          <w:rPr>
            <w:noProof/>
          </w:rPr>
          <w:t>2</w:t>
        </w:r>
        <w:r>
          <w:rPr>
            <w:noProof/>
          </w:rPr>
          <w:fldChar w:fldCharType="end"/>
        </w:r>
      </w:p>
    </w:sdtContent>
  </w:sdt>
  <w:p w14:paraId="3094E2C4" w14:textId="77777777" w:rsidR="0093767A" w:rsidRDefault="0093767A" w:rsidP="00842757">
    <w:pPr>
      <w:pStyle w:val="Pidipagina"/>
      <w:tabs>
        <w:tab w:val="clear" w:pos="4819"/>
        <w:tab w:val="clear" w:pos="9638"/>
        <w:tab w:val="left" w:pos="777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FC83" w14:textId="77777777" w:rsidR="0093767A" w:rsidRPr="00C469C4" w:rsidRDefault="0093767A" w:rsidP="00701A87">
    <w:pPr>
      <w:pStyle w:val="Pidipagina"/>
      <w:ind w:left="-851"/>
      <w:rPr>
        <w:sz w:val="18"/>
      </w:rPr>
    </w:pPr>
    <w:r>
      <w:rPr>
        <w:noProof/>
        <w:sz w:val="18"/>
      </w:rPr>
      <mc:AlternateContent>
        <mc:Choice Requires="wps">
          <w:drawing>
            <wp:anchor distT="0" distB="0" distL="114300" distR="114300" simplePos="0" relativeHeight="251660288" behindDoc="0" locked="0" layoutInCell="1" allowOverlap="1" wp14:anchorId="7E7EE182" wp14:editId="649E3C06">
              <wp:simplePos x="0" y="0"/>
              <wp:positionH relativeFrom="column">
                <wp:posOffset>-216535</wp:posOffset>
              </wp:positionH>
              <wp:positionV relativeFrom="paragraph">
                <wp:posOffset>674370</wp:posOffset>
              </wp:positionV>
              <wp:extent cx="3648710" cy="762000"/>
              <wp:effectExtent l="0" t="0" r="8890" b="0"/>
              <wp:wrapNone/>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710" cy="762000"/>
                      </a:xfrm>
                      <a:prstGeom prst="rect">
                        <a:avLst/>
                      </a:prstGeom>
                      <a:noFill/>
                      <a:ln w="6350">
                        <a:noFill/>
                      </a:ln>
                    </wps:spPr>
                    <wps:txbx>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3767A" w:rsidRPr="00BC09C6" w14:paraId="4199B786" w14:textId="77777777" w:rsidTr="00125958">
                            <w:trPr>
                              <w:trHeight w:val="1195"/>
                            </w:trPr>
                            <w:tc>
                              <w:tcPr>
                                <w:tcW w:w="3544" w:type="dxa"/>
                              </w:tcPr>
                              <w:p w14:paraId="2CA96D9F" w14:textId="77777777" w:rsidR="0093767A" w:rsidRPr="004649F8" w:rsidRDefault="0093767A" w:rsidP="00125958">
                                <w:pPr>
                                  <w:rPr>
                                    <w:rFonts w:ascii="Arial Narrow" w:hAnsi="Arial Narrow"/>
                                    <w:b/>
                                    <w:bCs/>
                                    <w:color w:val="1F497D"/>
                                  </w:rPr>
                                </w:pPr>
                                <w:r w:rsidRPr="004649F8">
                                  <w:rPr>
                                    <w:rFonts w:ascii="Arial Narrow" w:hAnsi="Arial Narrow"/>
                                    <w:b/>
                                    <w:bCs/>
                                    <w:color w:val="1F497D"/>
                                  </w:rPr>
                                  <w:t>UFFICIO STAMPA</w:t>
                                </w:r>
                              </w:p>
                              <w:p w14:paraId="7ADF3F54" w14:textId="77777777" w:rsidR="0093767A" w:rsidRPr="004649F8" w:rsidRDefault="0093767A" w:rsidP="00125958">
                                <w:pPr>
                                  <w:rPr>
                                    <w:rFonts w:ascii="Arial Narrow" w:hAnsi="Arial Narrow"/>
                                    <w:color w:val="1F497D"/>
                                  </w:rPr>
                                </w:pPr>
                                <w:r w:rsidRPr="004649F8">
                                  <w:rPr>
                                    <w:rFonts w:ascii="Arial Narrow" w:hAnsi="Arial Narrow"/>
                                    <w:color w:val="1F497D"/>
                                  </w:rPr>
                                  <w:t>tel. +39 06 4673.2243/44</w:t>
                                </w:r>
                              </w:p>
                              <w:p w14:paraId="618D8029" w14:textId="77777777" w:rsidR="0093767A" w:rsidRPr="004649F8" w:rsidRDefault="006B5124" w:rsidP="00125958">
                                <w:pPr>
                                  <w:rPr>
                                    <w:rFonts w:ascii="Arial Narrow" w:hAnsi="Arial Narrow"/>
                                    <w:color w:val="1F497D"/>
                                  </w:rPr>
                                </w:pPr>
                                <w:hyperlink r:id="rId1" w:history="1">
                                  <w:r w:rsidR="0093767A" w:rsidRPr="002E68C4">
                                    <w:rPr>
                                      <w:rStyle w:val="Collegamentoipertestuale"/>
                                      <w:rFonts w:ascii="Arial Narrow" w:hAnsi="Arial Narrow"/>
                                      <w:color w:val="023859"/>
                                    </w:rPr>
                                    <w:t>ufficiostampa@istat.it</w:t>
                                  </w:r>
                                </w:hyperlink>
                              </w:p>
                            </w:tc>
                            <w:tc>
                              <w:tcPr>
                                <w:tcW w:w="2126" w:type="dxa"/>
                              </w:tcPr>
                              <w:p w14:paraId="0C7A8E79" w14:textId="77777777" w:rsidR="0093767A" w:rsidRPr="002E68C4" w:rsidRDefault="0093767A" w:rsidP="00125958">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t>tel. +39 06 4673.3102</w:t>
                                </w:r>
                                <w:r w:rsidRPr="002E68C4">
                                  <w:rPr>
                                    <w:rFonts w:ascii="Arial Narrow" w:hAnsi="Arial Narrow"/>
                                    <w:color w:val="1F497D"/>
                                    <w:lang w:val="en-US"/>
                                  </w:rPr>
                                  <w:br/>
                                </w:r>
                                <w:hyperlink r:id="rId2" w:history="1">
                                  <w:r w:rsidRPr="002E68C4">
                                    <w:rPr>
                                      <w:rStyle w:val="Collegamentoipertestuale"/>
                                      <w:rFonts w:ascii="Arial Narrow" w:hAnsi="Arial Narrow"/>
                                      <w:color w:val="023859"/>
                                      <w:lang w:val="en-US"/>
                                    </w:rPr>
                                    <w:t>contact.istat.it</w:t>
                                  </w:r>
                                </w:hyperlink>
                              </w:p>
                              <w:p w14:paraId="54B868CF" w14:textId="77777777" w:rsidR="0093767A" w:rsidRPr="002E68C4" w:rsidRDefault="0093767A" w:rsidP="00125958">
                                <w:pPr>
                                  <w:rPr>
                                    <w:rFonts w:ascii="Arial Narrow" w:hAnsi="Arial Narrow"/>
                                    <w:color w:val="1F497D"/>
                                    <w:lang w:val="en-US"/>
                                  </w:rPr>
                                </w:pPr>
                              </w:p>
                            </w:tc>
                          </w:tr>
                        </w:tbl>
                        <w:p w14:paraId="41225FDA" w14:textId="77777777" w:rsidR="0093767A" w:rsidRPr="004649F8" w:rsidRDefault="0093767A" w:rsidP="001F41FF">
                          <w:pPr>
                            <w:rPr>
                              <w:rFonts w:ascii="Arial Narrow" w:hAnsi="Arial Narrow"/>
                              <w:color w:val="1F497D"/>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EE182" id="_x0000_t202" coordsize="21600,21600" o:spt="202" path="m,l,21600r21600,l21600,xe">
              <v:stroke joinstyle="miter"/>
              <v:path gradientshapeok="t" o:connecttype="rect"/>
            </v:shapetype>
            <v:shape id="Casella di testo 24" o:spid="_x0000_s1027" type="#_x0000_t202" style="position:absolute;left:0;text-align:left;margin-left:-17.05pt;margin-top:53.1pt;width:287.3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" filled="f" stroked="f" strokeweight=".5pt">
              <v:textbox inset="0,0,0,0">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3767A" w:rsidRPr="00BC09C6" w14:paraId="4199B786" w14:textId="77777777" w:rsidTr="00125958">
                      <w:trPr>
                        <w:trHeight w:val="1195"/>
                      </w:trPr>
                      <w:tc>
                        <w:tcPr>
                          <w:tcW w:w="3544" w:type="dxa"/>
                        </w:tcPr>
                        <w:p w14:paraId="2CA96D9F" w14:textId="77777777" w:rsidR="0093767A" w:rsidRPr="004649F8" w:rsidRDefault="0093767A" w:rsidP="00125958">
                          <w:pPr>
                            <w:rPr>
                              <w:rFonts w:ascii="Arial Narrow" w:hAnsi="Arial Narrow"/>
                              <w:b/>
                              <w:bCs/>
                              <w:color w:val="1F497D"/>
                            </w:rPr>
                          </w:pPr>
                          <w:r w:rsidRPr="004649F8">
                            <w:rPr>
                              <w:rFonts w:ascii="Arial Narrow" w:hAnsi="Arial Narrow"/>
                              <w:b/>
                              <w:bCs/>
                              <w:color w:val="1F497D"/>
                            </w:rPr>
                            <w:t>UFFICIO STAMPA</w:t>
                          </w:r>
                        </w:p>
                        <w:p w14:paraId="7ADF3F54" w14:textId="77777777" w:rsidR="0093767A" w:rsidRPr="004649F8" w:rsidRDefault="0093767A" w:rsidP="00125958">
                          <w:pPr>
                            <w:rPr>
                              <w:rFonts w:ascii="Arial Narrow" w:hAnsi="Arial Narrow"/>
                              <w:color w:val="1F497D"/>
                            </w:rPr>
                          </w:pPr>
                          <w:r w:rsidRPr="004649F8">
                            <w:rPr>
                              <w:rFonts w:ascii="Arial Narrow" w:hAnsi="Arial Narrow"/>
                              <w:color w:val="1F497D"/>
                            </w:rPr>
                            <w:t>tel. +39 06 4673.2243/44</w:t>
                          </w:r>
                        </w:p>
                        <w:p w14:paraId="618D8029" w14:textId="77777777" w:rsidR="0093767A" w:rsidRPr="004649F8" w:rsidRDefault="006B5124" w:rsidP="00125958">
                          <w:pPr>
                            <w:rPr>
                              <w:rFonts w:ascii="Arial Narrow" w:hAnsi="Arial Narrow"/>
                              <w:color w:val="1F497D"/>
                            </w:rPr>
                          </w:pPr>
                          <w:hyperlink r:id="rId3" w:history="1">
                            <w:r w:rsidR="0093767A" w:rsidRPr="002E68C4">
                              <w:rPr>
                                <w:rStyle w:val="Collegamentoipertestuale"/>
                                <w:rFonts w:ascii="Arial Narrow" w:hAnsi="Arial Narrow"/>
                                <w:color w:val="023859"/>
                              </w:rPr>
                              <w:t>ufficiostampa@istat.it</w:t>
                            </w:r>
                          </w:hyperlink>
                        </w:p>
                      </w:tc>
                      <w:tc>
                        <w:tcPr>
                          <w:tcW w:w="2126" w:type="dxa"/>
                        </w:tcPr>
                        <w:p w14:paraId="0C7A8E79" w14:textId="77777777" w:rsidR="0093767A" w:rsidRPr="002E68C4" w:rsidRDefault="0093767A" w:rsidP="00125958">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t>tel. +39 06 4673.3102</w:t>
                          </w:r>
                          <w:r w:rsidRPr="002E68C4">
                            <w:rPr>
                              <w:rFonts w:ascii="Arial Narrow" w:hAnsi="Arial Narrow"/>
                              <w:color w:val="1F497D"/>
                              <w:lang w:val="en-US"/>
                            </w:rPr>
                            <w:br/>
                          </w:r>
                          <w:hyperlink r:id="rId4" w:history="1">
                            <w:r w:rsidRPr="002E68C4">
                              <w:rPr>
                                <w:rStyle w:val="Collegamentoipertestuale"/>
                                <w:rFonts w:ascii="Arial Narrow" w:hAnsi="Arial Narrow"/>
                                <w:color w:val="023859"/>
                                <w:lang w:val="en-US"/>
                              </w:rPr>
                              <w:t>contact.istat.it</w:t>
                            </w:r>
                          </w:hyperlink>
                        </w:p>
                        <w:p w14:paraId="54B868CF" w14:textId="77777777" w:rsidR="0093767A" w:rsidRPr="002E68C4" w:rsidRDefault="0093767A" w:rsidP="00125958">
                          <w:pPr>
                            <w:rPr>
                              <w:rFonts w:ascii="Arial Narrow" w:hAnsi="Arial Narrow"/>
                              <w:color w:val="1F497D"/>
                              <w:lang w:val="en-US"/>
                            </w:rPr>
                          </w:pPr>
                        </w:p>
                      </w:tc>
                    </w:tr>
                  </w:tbl>
                  <w:p w14:paraId="41225FDA" w14:textId="77777777" w:rsidR="0093767A" w:rsidRPr="004649F8" w:rsidRDefault="0093767A" w:rsidP="001F41FF">
                    <w:pPr>
                      <w:rPr>
                        <w:rFonts w:ascii="Arial Narrow" w:hAnsi="Arial Narrow"/>
                        <w:color w:val="1F497D"/>
                        <w:lang w:val="en-US"/>
                      </w:rPr>
                    </w:pPr>
                  </w:p>
                </w:txbxContent>
              </v:textbox>
            </v:shape>
          </w:pict>
        </mc:Fallback>
      </mc:AlternateContent>
    </w:r>
    <w:r w:rsidRPr="00977BD5">
      <w:rPr>
        <w:noProof/>
        <w:sz w:val="18"/>
      </w:rPr>
      <w:drawing>
        <wp:inline distT="0" distB="0" distL="0" distR="0" wp14:anchorId="25719F81" wp14:editId="1300CBDE">
          <wp:extent cx="7542000" cy="1641600"/>
          <wp:effectExtent l="0" t="0" r="190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5"/>
                  <a:stretch>
                    <a:fillRect/>
                  </a:stretch>
                </pic:blipFill>
                <pic:spPr>
                  <a:xfrm>
                    <a:off x="0" y="0"/>
                    <a:ext cx="7542000" cy="164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highlight w:val="lightGray"/>
      </w:rPr>
      <w:id w:val="-695918421"/>
      <w:docPartObj>
        <w:docPartGallery w:val="Page Numbers (Bottom of Page)"/>
        <w:docPartUnique/>
      </w:docPartObj>
    </w:sdtPr>
    <w:sdtEndPr/>
    <w:sdtContent>
      <w:p w14:paraId="60BC8CAC" w14:textId="77777777" w:rsidR="0093767A" w:rsidRDefault="0093767A">
        <w:pPr>
          <w:rPr>
            <w:rFonts w:asciiTheme="majorHAnsi" w:eastAsiaTheme="majorEastAsia" w:hAnsiTheme="majorHAnsi" w:cstheme="majorBidi"/>
          </w:rPr>
        </w:pPr>
        <w:r>
          <w:rPr>
            <w:noProof/>
            <w:sz w:val="28"/>
            <w:szCs w:val="28"/>
          </w:rPr>
          <mc:AlternateContent>
            <mc:Choice Requires="wps">
              <w:drawing>
                <wp:anchor distT="4294967295" distB="4294967295" distL="114300" distR="114300" simplePos="0" relativeHeight="251663360" behindDoc="0" locked="0" layoutInCell="1" allowOverlap="1" wp14:anchorId="17D85DB9" wp14:editId="6290354E">
                  <wp:simplePos x="0" y="0"/>
                  <wp:positionH relativeFrom="column">
                    <wp:posOffset>-10160</wp:posOffset>
                  </wp:positionH>
                  <wp:positionV relativeFrom="paragraph">
                    <wp:posOffset>-2532381</wp:posOffset>
                  </wp:positionV>
                  <wp:extent cx="6299835" cy="0"/>
                  <wp:effectExtent l="0" t="0" r="24765" b="1905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C9FECA" id="Connettore 1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54g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" strokecolor="white [3212]" strokeweight="1.25pt">
                  <o:lock v:ext="edit" shapetype="f"/>
                </v:line>
              </w:pict>
            </mc:Fallback>
          </mc:AlternateContent>
        </w:r>
        <w:r>
          <w:rPr>
            <w:noProof/>
            <w:sz w:val="28"/>
            <w:szCs w:val="28"/>
          </w:rPr>
          <mc:AlternateContent>
            <mc:Choice Requires="wps">
              <w:drawing>
                <wp:anchor distT="4294967295" distB="4294967295" distL="114300" distR="114300" simplePos="0" relativeHeight="251659264" behindDoc="0" locked="0" layoutInCell="1" allowOverlap="1" wp14:anchorId="5159ECE4" wp14:editId="01E1D4D4">
                  <wp:simplePos x="0" y="0"/>
                  <wp:positionH relativeFrom="column">
                    <wp:posOffset>-10160</wp:posOffset>
                  </wp:positionH>
                  <wp:positionV relativeFrom="paragraph">
                    <wp:posOffset>-127636</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B66E26" id="Connettore 1 2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NSIgp7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r w:rsidRPr="00A17739">
          <w:rPr>
            <w:rFonts w:ascii="Arial" w:hAnsi="Arial" w:cs="Arial"/>
            <w:noProof/>
            <w:sz w:val="22"/>
            <w:szCs w:val="22"/>
          </w:rPr>
          <w:drawing>
            <wp:anchor distT="0" distB="0" distL="114300" distR="114300" simplePos="0" relativeHeight="251657216" behindDoc="0" locked="0" layoutInCell="1" allowOverlap="1" wp14:anchorId="4FAE6F01" wp14:editId="71E556B9">
              <wp:simplePos x="0" y="0"/>
              <wp:positionH relativeFrom="column">
                <wp:posOffset>-545465</wp:posOffset>
              </wp:positionH>
              <wp:positionV relativeFrom="paragraph">
                <wp:posOffset>-3345505</wp:posOffset>
              </wp:positionV>
              <wp:extent cx="466725" cy="483235"/>
              <wp:effectExtent l="0" t="0" r="9525" b="0"/>
              <wp:wrapNone/>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sdt>
          <w:sdtPr>
            <w:rPr>
              <w:rFonts w:asciiTheme="majorHAnsi" w:eastAsiaTheme="majorEastAsia" w:hAnsiTheme="majorHAnsi" w:cstheme="majorBidi"/>
              <w:highlight w:val="lightGray"/>
            </w:rPr>
            <w:id w:val="-2036491223"/>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53120" behindDoc="0" locked="0" layoutInCell="0" allowOverlap="1" wp14:anchorId="063CF47E" wp14:editId="6B7C2DDC">
                      <wp:simplePos x="0" y="0"/>
                      <wp:positionH relativeFrom="rightMargin">
                        <wp:posOffset>179070</wp:posOffset>
                      </wp:positionH>
                      <wp:positionV relativeFrom="margin">
                        <wp:posOffset>9758045</wp:posOffset>
                      </wp:positionV>
                      <wp:extent cx="398780" cy="329565"/>
                      <wp:effectExtent l="0" t="0" r="0" b="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23803B68" w14:textId="77777777" w:rsidR="0093767A" w:rsidRPr="001B745D" w:rsidRDefault="0093767A"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BC09C6">
                                    <w:rPr>
                                      <w:rFonts w:ascii="Arial" w:hAnsi="Arial" w:cs="Arial"/>
                                      <w:b/>
                                      <w:noProof/>
                                      <w:color w:val="244061" w:themeColor="accent1" w:themeShade="80"/>
                                      <w:sz w:val="20"/>
                                      <w:szCs w:val="20"/>
                                    </w:rPr>
                                    <w:t>8</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63CF47E" id="Rettangolo 4" o:spid="_x0000_s1028" style="position:absolute;margin-left:14.1pt;margin-top:768.35pt;width:31.4pt;height:25.95pt;z-index:25165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" o:allowincell="f" filled="f" stroked="f">
                      <v:textbox>
                        <w:txbxContent>
                          <w:p w14:paraId="23803B68" w14:textId="77777777" w:rsidR="0093767A" w:rsidRPr="001B745D" w:rsidRDefault="0093767A"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BC09C6">
                              <w:rPr>
                                <w:rFonts w:ascii="Arial" w:hAnsi="Arial" w:cs="Arial"/>
                                <w:b/>
                                <w:noProof/>
                                <w:color w:val="244061" w:themeColor="accent1" w:themeShade="80"/>
                                <w:sz w:val="20"/>
                                <w:szCs w:val="20"/>
                              </w:rPr>
                              <w:t>8</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52096" behindDoc="0" locked="0" layoutInCell="1" allowOverlap="1" wp14:anchorId="15F83195" wp14:editId="6D92E0E4">
                  <wp:simplePos x="0" y="0"/>
                  <wp:positionH relativeFrom="column">
                    <wp:posOffset>5678170</wp:posOffset>
                  </wp:positionH>
                  <wp:positionV relativeFrom="paragraph">
                    <wp:posOffset>-263525</wp:posOffset>
                  </wp:positionV>
                  <wp:extent cx="1256030" cy="788035"/>
                  <wp:effectExtent l="0" t="0" r="127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51072" behindDoc="0" locked="0" layoutInCell="1" allowOverlap="1" wp14:anchorId="36CA7AC6" wp14:editId="10D4BFCB">
                      <wp:simplePos x="0" y="0"/>
                      <wp:positionH relativeFrom="column">
                        <wp:posOffset>-620395</wp:posOffset>
                      </wp:positionH>
                      <wp:positionV relativeFrom="paragraph">
                        <wp:posOffset>-3084195</wp:posOffset>
                      </wp:positionV>
                      <wp:extent cx="7553325" cy="3476625"/>
                      <wp:effectExtent l="0" t="0" r="9525" b="9525"/>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15F7" id="Rettangolo 10" o:spid="_x0000_s1026" style="position:absolute;margin-left:-48.85pt;margin-top:-242.85pt;width:594.75pt;height:27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" fillcolor="#d8d8d8 [2732]" stroked="f" strokeweight="2pt">
                      <v:path arrowok="t"/>
                    </v:rect>
                  </w:pict>
                </mc:Fallback>
              </mc:AlternateContent>
            </w:r>
          </w:sdtContent>
        </w:sdt>
      </w:p>
    </w:sdtContent>
  </w:sdt>
  <w:p w14:paraId="3C6D840B" w14:textId="77777777" w:rsidR="0093767A" w:rsidRDefault="0093767A" w:rsidP="00842757">
    <w:pPr>
      <w:pStyle w:val="Pidipagina"/>
      <w:tabs>
        <w:tab w:val="clear" w:pos="4819"/>
        <w:tab w:val="clear" w:pos="9638"/>
        <w:tab w:val="left" w:pos="777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0BC7" w14:textId="77777777" w:rsidR="0093767A" w:rsidRDefault="0093767A">
    <w:pPr>
      <w:rPr>
        <w:rFonts w:asciiTheme="majorHAnsi" w:eastAsiaTheme="majorEastAsia" w:hAnsiTheme="majorHAnsi" w:cstheme="majorBidi"/>
      </w:rPr>
    </w:pPr>
    <w:r>
      <w:rPr>
        <w:noProof/>
      </w:rPr>
      <w:drawing>
        <wp:anchor distT="0" distB="0" distL="114300" distR="114300" simplePos="0" relativeHeight="251649024" behindDoc="0" locked="0" layoutInCell="1" allowOverlap="1" wp14:anchorId="4CCE9B9F" wp14:editId="2D350A8A">
          <wp:simplePos x="0" y="0"/>
          <wp:positionH relativeFrom="column">
            <wp:posOffset>5824220</wp:posOffset>
          </wp:positionH>
          <wp:positionV relativeFrom="paragraph">
            <wp:posOffset>78105</wp:posOffset>
          </wp:positionV>
          <wp:extent cx="1256030" cy="788035"/>
          <wp:effectExtent l="0" t="0" r="1270" b="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p>
  <w:p w14:paraId="3D8EC61B" w14:textId="77777777" w:rsidR="0093767A" w:rsidRDefault="0093767A" w:rsidP="00842757">
    <w:pPr>
      <w:pStyle w:val="Pidipagina"/>
      <w:tabs>
        <w:tab w:val="clear" w:pos="4819"/>
        <w:tab w:val="clear" w:pos="9638"/>
        <w:tab w:val="left" w:pos="7773"/>
      </w:tabs>
    </w:pPr>
    <w:r>
      <w:rPr>
        <w:rFonts w:ascii="Arial Narrow" w:hAnsi="Arial Narrow"/>
        <w:noProof/>
        <w:color w:val="FFFFFF" w:themeColor="background1"/>
      </w:rPr>
      <mc:AlternateContent>
        <mc:Choice Requires="wps">
          <w:drawing>
            <wp:anchor distT="0" distB="0" distL="114300" distR="114300" simplePos="0" relativeHeight="251664384" behindDoc="0" locked="0" layoutInCell="0" allowOverlap="1" wp14:anchorId="66E2198F" wp14:editId="0AFB8374">
              <wp:simplePos x="0" y="0"/>
              <wp:positionH relativeFrom="rightMargin">
                <wp:posOffset>101600</wp:posOffset>
              </wp:positionH>
              <wp:positionV relativeFrom="margin">
                <wp:posOffset>9738995</wp:posOffset>
              </wp:positionV>
              <wp:extent cx="398780" cy="329565"/>
              <wp:effectExtent l="0" t="0" r="0" b="0"/>
              <wp:wrapNone/>
              <wp:docPr id="3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39F470AE" w14:textId="77777777" w:rsidR="0093767A" w:rsidRPr="001B745D" w:rsidRDefault="0093767A" w:rsidP="004958F0">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BC09C6">
                            <w:rPr>
                              <w:rFonts w:ascii="Arial" w:hAnsi="Arial" w:cs="Arial"/>
                              <w:b/>
                              <w:noProof/>
                              <w:color w:val="244061" w:themeColor="accent1" w:themeShade="80"/>
                              <w:sz w:val="20"/>
                              <w:szCs w:val="20"/>
                            </w:rPr>
                            <w:t>18</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66E2198F" id="_x0000_s1029" style="position:absolute;left:0;text-align:left;margin-left:8pt;margin-top:766.85pt;width:31.4pt;height:25.95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" o:allowincell="f" filled="f" stroked="f">
              <v:textbox>
                <w:txbxContent>
                  <w:p w14:paraId="39F470AE" w14:textId="77777777" w:rsidR="0093767A" w:rsidRPr="001B745D" w:rsidRDefault="0093767A" w:rsidP="004958F0">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BC09C6">
                      <w:rPr>
                        <w:rFonts w:ascii="Arial" w:hAnsi="Arial" w:cs="Arial"/>
                        <w:b/>
                        <w:noProof/>
                        <w:color w:val="244061" w:themeColor="accent1" w:themeShade="80"/>
                        <w:sz w:val="20"/>
                        <w:szCs w:val="20"/>
                      </w:rPr>
                      <w:t>18</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EED6D" w14:textId="77777777" w:rsidR="006B5124" w:rsidRDefault="006B5124">
      <w:r>
        <w:separator/>
      </w:r>
    </w:p>
  </w:footnote>
  <w:footnote w:type="continuationSeparator" w:id="0">
    <w:p w14:paraId="653FA853" w14:textId="77777777" w:rsidR="006B5124" w:rsidRDefault="006B5124">
      <w:r>
        <w:continuationSeparator/>
      </w:r>
    </w:p>
  </w:footnote>
  <w:footnote w:id="1">
    <w:p w14:paraId="6DEEC052" w14:textId="77777777" w:rsidR="0093767A" w:rsidRPr="002B1D3B" w:rsidRDefault="0093767A" w:rsidP="00194E59">
      <w:pPr>
        <w:pStyle w:val="Testonotaapidipagina"/>
        <w:spacing w:after="120"/>
        <w:jc w:val="both"/>
        <w:rPr>
          <w:rFonts w:ascii="Arial" w:hAnsi="Arial" w:cs="Arial"/>
          <w:sz w:val="16"/>
          <w:szCs w:val="16"/>
          <w:lang w:val="en-US"/>
        </w:rPr>
      </w:pPr>
      <w:r w:rsidRPr="005D248B">
        <w:rPr>
          <w:rStyle w:val="Rimandonotaapidipagina"/>
          <w:rFonts w:ascii="Arial" w:hAnsi="Arial" w:cs="Arial"/>
          <w:sz w:val="18"/>
          <w:szCs w:val="18"/>
        </w:rPr>
        <w:footnoteRef/>
      </w:r>
      <w:r w:rsidRPr="005D248B">
        <w:rPr>
          <w:rFonts w:ascii="Arial" w:hAnsi="Arial" w:cs="Arial"/>
          <w:sz w:val="18"/>
          <w:szCs w:val="18"/>
        </w:rPr>
        <w:t xml:space="preserve"> </w:t>
      </w:r>
      <w:r w:rsidRPr="002B1D3B">
        <w:rPr>
          <w:rFonts w:ascii="Arial" w:hAnsi="Arial" w:cs="Arial"/>
          <w:sz w:val="16"/>
          <w:szCs w:val="16"/>
        </w:rPr>
        <w:t>La metodologia di calcolo fa riferimento alle linee guida indicate nel manuale per la misurazione della produttività pubblicato dall’OCSE (</w:t>
      </w:r>
      <w:r w:rsidRPr="002B1D3B">
        <w:rPr>
          <w:rFonts w:ascii="Arial" w:hAnsi="Arial" w:cs="Arial"/>
          <w:i/>
          <w:iCs/>
          <w:sz w:val="16"/>
          <w:szCs w:val="16"/>
        </w:rPr>
        <w:t xml:space="preserve">Measuring Productivity. </w:t>
      </w:r>
      <w:r w:rsidRPr="002B1D3B">
        <w:rPr>
          <w:rFonts w:ascii="Arial" w:hAnsi="Arial" w:cs="Arial"/>
          <w:i/>
          <w:iCs/>
          <w:sz w:val="16"/>
          <w:szCs w:val="16"/>
          <w:lang w:val="en-GB"/>
        </w:rPr>
        <w:t>OECD Productivity Manual: A Guide to the Measurement of Industry-Level and Aggregate Productivity Growth</w:t>
      </w:r>
      <w:r w:rsidRPr="002B1D3B">
        <w:rPr>
          <w:rFonts w:ascii="Arial" w:hAnsi="Arial" w:cs="Arial"/>
          <w:sz w:val="16"/>
          <w:szCs w:val="16"/>
          <w:lang w:val="en-GB"/>
        </w:rPr>
        <w:t xml:space="preserve">, Parigi, OECD) disponibile all’indirizzo </w:t>
      </w:r>
      <w:hyperlink r:id="rId1" w:history="1">
        <w:r w:rsidRPr="002B1D3B">
          <w:rPr>
            <w:rStyle w:val="Collegamentoipertestuale"/>
            <w:rFonts w:ascii="Arial" w:hAnsi="Arial" w:cs="Arial"/>
            <w:lang w:val="en-GB"/>
          </w:rPr>
          <w:t>http://www.oecd.org/std/productivitystatistics/2352458.pdf</w:t>
        </w:r>
      </w:hyperlink>
    </w:p>
  </w:footnote>
  <w:footnote w:id="2">
    <w:p w14:paraId="7B54F90E" w14:textId="77777777" w:rsidR="0093767A" w:rsidRDefault="0093767A" w:rsidP="00194E59">
      <w:pPr>
        <w:pStyle w:val="Testonotaapidipagina"/>
        <w:jc w:val="both"/>
        <w:rPr>
          <w:rFonts w:ascii="Arial" w:hAnsi="Arial" w:cs="Arial"/>
          <w:sz w:val="16"/>
          <w:szCs w:val="16"/>
        </w:rPr>
      </w:pPr>
      <w:r w:rsidRPr="005D248B">
        <w:rPr>
          <w:rStyle w:val="Rimandonotaapidipagina"/>
          <w:rFonts w:ascii="Arial" w:hAnsi="Arial" w:cs="Arial"/>
          <w:sz w:val="18"/>
          <w:szCs w:val="18"/>
        </w:rPr>
        <w:footnoteRef/>
      </w:r>
      <w:r w:rsidRPr="005D248B">
        <w:rPr>
          <w:rFonts w:ascii="Arial" w:hAnsi="Arial" w:cs="Arial"/>
          <w:sz w:val="18"/>
          <w:szCs w:val="18"/>
        </w:rPr>
        <w:t xml:space="preserve"> </w:t>
      </w:r>
      <w:r w:rsidRPr="002B1D3B">
        <w:rPr>
          <w:rFonts w:ascii="Arial" w:hAnsi="Arial" w:cs="Arial"/>
          <w:sz w:val="16"/>
          <w:szCs w:val="16"/>
        </w:rPr>
        <w:t>Se invece teniamo conto dei mutamenti nella composizione della forza lavoro, l’equazione (11) diviene</w:t>
      </w:r>
    </w:p>
    <w:p w14:paraId="05E38440" w14:textId="77777777" w:rsidR="0093767A" w:rsidRDefault="0093767A" w:rsidP="00194E59">
      <w:pPr>
        <w:pStyle w:val="Testonotaapidipagina"/>
        <w:jc w:val="both"/>
        <w:rPr>
          <w:rFonts w:ascii="Arial" w:hAnsi="Arial" w:cs="Arial"/>
          <w:sz w:val="16"/>
          <w:szCs w:val="16"/>
        </w:rPr>
      </w:pPr>
      <w:r w:rsidRPr="008D50F4">
        <w:rPr>
          <w:rFonts w:ascii="Arial" w:hAnsi="Arial" w:cs="Arial"/>
          <w:noProof/>
          <w:position w:val="-30"/>
          <w:sz w:val="16"/>
          <w:szCs w:val="16"/>
        </w:rPr>
        <w:object w:dxaOrig="4220" w:dyaOrig="859" w14:anchorId="1A5F14FB">
          <v:shape id="_x0000_i1044" type="#_x0000_t75" alt="" style="width:209.5pt;height:45.5pt;mso-width-percent:0;mso-height-percent:0;mso-width-percent:0;mso-height-percent:0" o:ole="">
            <v:imagedata r:id="rId2" o:title=""/>
          </v:shape>
          <o:OLEObject Type="Embed" ProgID="Equation.3" ShapeID="_x0000_i1044" DrawAspect="Content" ObjectID="_1700909248" r:id="rId3"/>
        </w:object>
      </w:r>
      <w:r w:rsidRPr="002B1D3B">
        <w:rPr>
          <w:rFonts w:ascii="Arial" w:hAnsi="Arial" w:cs="Arial"/>
          <w:sz w:val="16"/>
          <w:szCs w:val="16"/>
        </w:rPr>
        <w:t xml:space="preserve"> , </w:t>
      </w:r>
    </w:p>
    <w:p w14:paraId="04554FF7" w14:textId="77777777" w:rsidR="0093767A" w:rsidRDefault="0093767A" w:rsidP="00194E59">
      <w:pPr>
        <w:pStyle w:val="Testonotaapidipagina"/>
        <w:jc w:val="both"/>
        <w:rPr>
          <w:rFonts w:ascii="Arial" w:hAnsi="Arial" w:cs="Arial"/>
          <w:sz w:val="16"/>
          <w:szCs w:val="16"/>
        </w:rPr>
      </w:pPr>
    </w:p>
    <w:p w14:paraId="57E9597F" w14:textId="77777777" w:rsidR="0093767A" w:rsidRPr="002B1D3B" w:rsidRDefault="0093767A" w:rsidP="00194E59">
      <w:pPr>
        <w:pStyle w:val="Testonotaapidipagina"/>
        <w:jc w:val="both"/>
        <w:rPr>
          <w:rFonts w:ascii="Arial" w:hAnsi="Arial" w:cs="Arial"/>
          <w:sz w:val="16"/>
          <w:szCs w:val="16"/>
        </w:rPr>
      </w:pPr>
      <w:r w:rsidRPr="002B1D3B">
        <w:rPr>
          <w:rFonts w:ascii="Arial" w:hAnsi="Arial" w:cs="Arial"/>
          <w:sz w:val="16"/>
          <w:szCs w:val="16"/>
        </w:rPr>
        <w:t xml:space="preserve">dove LQ è appunto un indice che misura i mutamenti nella </w:t>
      </w:r>
      <w:r>
        <w:rPr>
          <w:rFonts w:ascii="Arial" w:hAnsi="Arial" w:cs="Arial"/>
          <w:sz w:val="16"/>
          <w:szCs w:val="16"/>
        </w:rPr>
        <w:t>qualità</w:t>
      </w:r>
      <w:r w:rsidRPr="002B1D3B">
        <w:rPr>
          <w:rFonts w:ascii="Arial" w:hAnsi="Arial" w:cs="Arial"/>
          <w:sz w:val="16"/>
          <w:szCs w:val="16"/>
        </w:rPr>
        <w:t xml:space="preserve"> della forza lavoro. </w:t>
      </w:r>
    </w:p>
  </w:footnote>
  <w:footnote w:id="3">
    <w:p w14:paraId="2E1B41C4" w14:textId="77777777" w:rsidR="0093767A" w:rsidRPr="002B1D3B" w:rsidRDefault="0093767A" w:rsidP="00194E59">
      <w:pPr>
        <w:pStyle w:val="Testonotaapidipagina"/>
        <w:spacing w:after="120"/>
        <w:jc w:val="both"/>
        <w:rPr>
          <w:rFonts w:ascii="Arial" w:hAnsi="Arial" w:cs="Arial"/>
          <w:sz w:val="16"/>
          <w:szCs w:val="16"/>
        </w:rPr>
      </w:pPr>
      <w:r w:rsidRPr="005D248B">
        <w:rPr>
          <w:rStyle w:val="Rimandonotaapidipagina"/>
          <w:rFonts w:ascii="Arial" w:hAnsi="Arial" w:cs="Arial"/>
          <w:sz w:val="18"/>
          <w:szCs w:val="18"/>
        </w:rPr>
        <w:footnoteRef/>
      </w:r>
      <w:r w:rsidRPr="002B1D3B">
        <w:rPr>
          <w:rFonts w:ascii="Arial" w:hAnsi="Arial" w:cs="Arial"/>
          <w:sz w:val="16"/>
          <w:szCs w:val="16"/>
        </w:rPr>
        <w:t>Per tutti i tipi di beni capitali è stato selezionato un profilo di perdita di efficienza concavo verso l’origine (ovvero si è ipotizzato che la capacità produttiva decada ad un tasso crescente con l’età del bene). I ritiri dal processo produttivo sono descritti tramite una funzione di probabilità normale troncata centrata sulla vita media del bene capitale. I limiti di troncamento sono pari a +/- 40% della vita media, la varianza è assunta proporzionale alla vita media e tale da assicurare che il 90% dei ritiri avvenga entro il +/- 25% della vita media.</w:t>
      </w:r>
    </w:p>
  </w:footnote>
  <w:footnote w:id="4">
    <w:p w14:paraId="66B6D3DE" w14:textId="77777777" w:rsidR="0093767A" w:rsidRPr="002B1D3B" w:rsidRDefault="0093767A" w:rsidP="00194E59">
      <w:pPr>
        <w:pStyle w:val="Testonotaapidipagina"/>
        <w:spacing w:after="120"/>
        <w:jc w:val="both"/>
        <w:rPr>
          <w:rFonts w:ascii="Arial" w:hAnsi="Arial" w:cs="Arial"/>
          <w:sz w:val="16"/>
          <w:szCs w:val="16"/>
        </w:rPr>
      </w:pPr>
      <w:r w:rsidRPr="002B1D3B">
        <w:rPr>
          <w:rStyle w:val="Rimandonotaapidipagina"/>
          <w:rFonts w:ascii="Arial" w:hAnsi="Arial" w:cs="Arial"/>
          <w:sz w:val="16"/>
          <w:szCs w:val="16"/>
        </w:rPr>
        <w:footnoteRef/>
      </w:r>
      <w:r w:rsidRPr="002B1D3B">
        <w:rPr>
          <w:rFonts w:ascii="Arial" w:hAnsi="Arial" w:cs="Arial"/>
          <w:sz w:val="16"/>
          <w:szCs w:val="16"/>
        </w:rPr>
        <w:t xml:space="preserve"> Il tasso di rendimento nominale è calcolato partendo dall’ipotesi che il reddito del capitale (risultato lordo di gestione più la componente del reddito misto che è considerata remunerazione del capitale) debba essere uguale al costo complessivo dei servizi del capitale, ovvero RK = </w:t>
      </w:r>
      <w:r w:rsidRPr="002B1D3B">
        <w:rPr>
          <w:rFonts w:ascii="Arial" w:hAnsi="Arial" w:cs="Arial"/>
          <w:sz w:val="16"/>
          <w:szCs w:val="16"/>
        </w:rPr>
        <w:sym w:font="Symbol" w:char="F053"/>
      </w:r>
      <w:r w:rsidRPr="002B1D3B">
        <w:rPr>
          <w:rFonts w:ascii="Arial" w:hAnsi="Arial" w:cs="Arial"/>
          <w:sz w:val="16"/>
          <w:szCs w:val="16"/>
          <w:vertAlign w:val="subscript"/>
        </w:rPr>
        <w:t>i</w:t>
      </w:r>
      <w:r w:rsidRPr="002B1D3B">
        <w:rPr>
          <w:rFonts w:ascii="Arial" w:hAnsi="Arial" w:cs="Arial"/>
          <w:sz w:val="16"/>
          <w:szCs w:val="16"/>
          <w:vertAlign w:val="subscript"/>
        </w:rPr>
        <w:sym w:font="Symbol" w:char="F0CE"/>
      </w:r>
      <w:r w:rsidRPr="002B1D3B">
        <w:rPr>
          <w:rFonts w:ascii="Arial" w:hAnsi="Arial" w:cs="Arial"/>
          <w:sz w:val="16"/>
          <w:szCs w:val="16"/>
          <w:vertAlign w:val="subscript"/>
        </w:rPr>
        <w:t xml:space="preserve">n </w:t>
      </w:r>
      <w:r w:rsidRPr="002B1D3B">
        <w:rPr>
          <w:rFonts w:ascii="Arial" w:hAnsi="Arial" w:cs="Arial"/>
          <w:sz w:val="16"/>
          <w:szCs w:val="16"/>
        </w:rPr>
        <w:t>u</w:t>
      </w:r>
      <w:r w:rsidRPr="002B1D3B">
        <w:rPr>
          <w:rFonts w:ascii="Arial" w:hAnsi="Arial" w:cs="Arial"/>
          <w:sz w:val="16"/>
          <w:szCs w:val="16"/>
          <w:vertAlign w:val="superscript"/>
        </w:rPr>
        <w:t>i</w:t>
      </w:r>
      <w:r w:rsidRPr="002B1D3B">
        <w:rPr>
          <w:rFonts w:ascii="Arial" w:hAnsi="Arial" w:cs="Arial"/>
          <w:sz w:val="16"/>
          <w:szCs w:val="16"/>
          <w:vertAlign w:val="subscript"/>
        </w:rPr>
        <w:t>t</w:t>
      </w:r>
      <w:r w:rsidRPr="002B1D3B">
        <w:rPr>
          <w:rFonts w:ascii="Arial" w:hAnsi="Arial" w:cs="Arial"/>
          <w:sz w:val="16"/>
          <w:szCs w:val="16"/>
        </w:rPr>
        <w:t xml:space="preserve"> S</w:t>
      </w:r>
      <w:r w:rsidRPr="002B1D3B">
        <w:rPr>
          <w:rFonts w:ascii="Arial" w:hAnsi="Arial" w:cs="Arial"/>
          <w:sz w:val="16"/>
          <w:szCs w:val="16"/>
          <w:vertAlign w:val="superscript"/>
        </w:rPr>
        <w:t>i</w:t>
      </w:r>
      <w:r w:rsidRPr="002B1D3B">
        <w:rPr>
          <w:rFonts w:ascii="Arial" w:hAnsi="Arial" w:cs="Arial"/>
          <w:sz w:val="16"/>
          <w:szCs w:val="16"/>
          <w:vertAlign w:val="subscript"/>
        </w:rPr>
        <w:t xml:space="preserve">t </w:t>
      </w:r>
      <w:r w:rsidRPr="002B1D3B">
        <w:rPr>
          <w:rFonts w:ascii="Arial" w:hAnsi="Arial" w:cs="Arial"/>
          <w:sz w:val="16"/>
          <w:szCs w:val="16"/>
        </w:rPr>
        <w:t xml:space="preserve">= </w:t>
      </w:r>
      <w:r w:rsidRPr="002B1D3B">
        <w:rPr>
          <w:rFonts w:ascii="Arial" w:hAnsi="Arial" w:cs="Arial"/>
          <w:sz w:val="16"/>
          <w:szCs w:val="16"/>
        </w:rPr>
        <w:sym w:font="Symbol" w:char="F053"/>
      </w:r>
      <w:r w:rsidRPr="002B1D3B">
        <w:rPr>
          <w:rFonts w:ascii="Arial" w:hAnsi="Arial" w:cs="Arial"/>
          <w:sz w:val="16"/>
          <w:szCs w:val="16"/>
          <w:vertAlign w:val="subscript"/>
        </w:rPr>
        <w:t>i</w:t>
      </w:r>
      <w:r w:rsidRPr="002B1D3B">
        <w:rPr>
          <w:rFonts w:ascii="Arial" w:hAnsi="Arial" w:cs="Arial"/>
          <w:sz w:val="16"/>
          <w:szCs w:val="16"/>
          <w:vertAlign w:val="subscript"/>
        </w:rPr>
        <w:sym w:font="Symbol" w:char="F0CE"/>
      </w:r>
      <w:r w:rsidRPr="002B1D3B">
        <w:rPr>
          <w:rFonts w:ascii="Arial" w:hAnsi="Arial" w:cs="Arial"/>
          <w:sz w:val="16"/>
          <w:szCs w:val="16"/>
          <w:vertAlign w:val="subscript"/>
        </w:rPr>
        <w:t xml:space="preserve">n </w:t>
      </w:r>
      <w:r w:rsidRPr="002B1D3B">
        <w:rPr>
          <w:rFonts w:ascii="Arial" w:hAnsi="Arial" w:cs="Arial"/>
          <w:sz w:val="16"/>
          <w:szCs w:val="16"/>
        </w:rPr>
        <w:t>(r</w:t>
      </w:r>
      <w:r w:rsidRPr="002B1D3B">
        <w:rPr>
          <w:rFonts w:ascii="Arial" w:hAnsi="Arial" w:cs="Arial"/>
          <w:sz w:val="16"/>
          <w:szCs w:val="16"/>
          <w:vertAlign w:val="subscript"/>
        </w:rPr>
        <w:t>t</w:t>
      </w:r>
      <w:r w:rsidRPr="002B1D3B">
        <w:rPr>
          <w:rFonts w:ascii="Arial" w:hAnsi="Arial" w:cs="Arial"/>
          <w:sz w:val="16"/>
          <w:szCs w:val="16"/>
        </w:rPr>
        <w:t>+d</w:t>
      </w:r>
      <w:r w:rsidRPr="002B1D3B">
        <w:rPr>
          <w:rFonts w:ascii="Arial" w:hAnsi="Arial" w:cs="Arial"/>
          <w:sz w:val="16"/>
          <w:szCs w:val="16"/>
          <w:vertAlign w:val="superscript"/>
        </w:rPr>
        <w:t>i</w:t>
      </w:r>
      <w:r w:rsidRPr="002B1D3B">
        <w:rPr>
          <w:rFonts w:ascii="Arial" w:hAnsi="Arial" w:cs="Arial"/>
          <w:sz w:val="16"/>
          <w:szCs w:val="16"/>
          <w:vertAlign w:val="subscript"/>
        </w:rPr>
        <w:t>t</w:t>
      </w:r>
      <w:r w:rsidRPr="002B1D3B">
        <w:rPr>
          <w:rFonts w:ascii="Arial" w:hAnsi="Arial" w:cs="Arial"/>
          <w:sz w:val="16"/>
          <w:szCs w:val="16"/>
        </w:rPr>
        <w:t>-p</w:t>
      </w:r>
      <w:r w:rsidRPr="002B1D3B">
        <w:rPr>
          <w:rFonts w:ascii="Arial" w:hAnsi="Arial" w:cs="Arial"/>
          <w:sz w:val="16"/>
          <w:szCs w:val="16"/>
          <w:vertAlign w:val="superscript"/>
        </w:rPr>
        <w:t>i</w:t>
      </w:r>
      <w:r w:rsidRPr="002B1D3B">
        <w:rPr>
          <w:rFonts w:ascii="Arial" w:hAnsi="Arial" w:cs="Arial"/>
          <w:sz w:val="16"/>
          <w:szCs w:val="16"/>
          <w:vertAlign w:val="subscript"/>
        </w:rPr>
        <w:t>t</w:t>
      </w:r>
      <w:r w:rsidRPr="002B1D3B">
        <w:rPr>
          <w:rFonts w:ascii="Arial" w:hAnsi="Arial" w:cs="Arial"/>
          <w:sz w:val="16"/>
          <w:szCs w:val="16"/>
        </w:rPr>
        <w:t>)S</w:t>
      </w:r>
      <w:r w:rsidRPr="002B1D3B">
        <w:rPr>
          <w:rFonts w:ascii="Arial" w:hAnsi="Arial" w:cs="Arial"/>
          <w:sz w:val="16"/>
          <w:szCs w:val="16"/>
          <w:vertAlign w:val="superscript"/>
        </w:rPr>
        <w:t>i</w:t>
      </w:r>
      <w:r w:rsidRPr="002B1D3B">
        <w:rPr>
          <w:rFonts w:ascii="Arial" w:hAnsi="Arial" w:cs="Arial"/>
          <w:sz w:val="16"/>
          <w:szCs w:val="16"/>
          <w:vertAlign w:val="subscript"/>
        </w:rPr>
        <w:t>t</w:t>
      </w:r>
      <w:r w:rsidRPr="002B1D3B">
        <w:rPr>
          <w:rFonts w:ascii="Arial" w:hAnsi="Arial" w:cs="Arial"/>
          <w:sz w:val="16"/>
          <w:szCs w:val="16"/>
        </w:rPr>
        <w:t>. Tutte le componenti della precedente equazione sono note tranne r</w:t>
      </w:r>
      <w:r w:rsidRPr="002B1D3B">
        <w:rPr>
          <w:rFonts w:ascii="Arial" w:hAnsi="Arial" w:cs="Arial"/>
          <w:sz w:val="16"/>
          <w:szCs w:val="16"/>
          <w:vertAlign w:val="subscript"/>
        </w:rPr>
        <w:t>t</w:t>
      </w:r>
      <w:r w:rsidRPr="002B1D3B">
        <w:rPr>
          <w:rFonts w:ascii="Arial" w:hAnsi="Arial" w:cs="Arial"/>
          <w:sz w:val="16"/>
          <w:szCs w:val="16"/>
        </w:rPr>
        <w:t>. Il tasso di rendimento (noto in letteratura come tasso endogeno) è dato dal valore di r</w:t>
      </w:r>
      <w:r w:rsidRPr="002B1D3B">
        <w:rPr>
          <w:rFonts w:ascii="Arial" w:hAnsi="Arial" w:cs="Arial"/>
          <w:sz w:val="16"/>
          <w:szCs w:val="16"/>
          <w:vertAlign w:val="subscript"/>
        </w:rPr>
        <w:t>t</w:t>
      </w:r>
      <w:r w:rsidRPr="002B1D3B">
        <w:rPr>
          <w:rFonts w:ascii="Arial" w:hAnsi="Arial" w:cs="Arial"/>
          <w:sz w:val="16"/>
          <w:szCs w:val="16"/>
        </w:rPr>
        <w:t xml:space="preserve"> per il quale è soddisfatta la precedente equazione.</w:t>
      </w:r>
      <w:r>
        <w:rPr>
          <w:rFonts w:ascii="Arial" w:hAnsi="Arial" w:cs="Arial"/>
          <w:sz w:val="16"/>
          <w:szCs w:val="16"/>
        </w:rPr>
        <w:t xml:space="preserve"> </w:t>
      </w:r>
      <w:r w:rsidRPr="002B1D3B">
        <w:rPr>
          <w:rFonts w:ascii="Arial" w:hAnsi="Arial" w:cs="Arial"/>
          <w:sz w:val="16"/>
          <w:szCs w:val="16"/>
        </w:rPr>
        <w:t xml:space="preserve">Le altre componenti del costo d’uso sono specifiche per ogni tipo di bene. Il prezzo di acquisto del bene capitale nuovo è misurato dal corrispondente deflatore implicito degli investimenti di contabilità nazionale. Il tasso di deprezzamento al tempo t è ottenuto come rapporto tra gli ammortamenti e lo </w:t>
      </w:r>
      <w:r w:rsidRPr="00483D0B">
        <w:rPr>
          <w:rFonts w:ascii="Arial" w:hAnsi="Arial" w:cs="Arial"/>
          <w:i/>
          <w:iCs/>
          <w:sz w:val="16"/>
          <w:szCs w:val="16"/>
        </w:rPr>
        <w:t>stock</w:t>
      </w:r>
      <w:r w:rsidRPr="002B1D3B">
        <w:rPr>
          <w:rFonts w:ascii="Arial" w:hAnsi="Arial" w:cs="Arial"/>
          <w:sz w:val="16"/>
          <w:szCs w:val="16"/>
        </w:rPr>
        <w:t xml:space="preserve"> di capitale netto (entrambi valutati a valori concatenati). Il termine che esprime i guadagni/perdite in conto capitale è pensato come una misura dell’inflazione attesa. Questa è stata approssimata come una media mobile del tasso di variazione del deflatore implicito nei tre anni precedenti.</w:t>
      </w:r>
    </w:p>
  </w:footnote>
  <w:footnote w:id="5">
    <w:p w14:paraId="0EEAD96C" w14:textId="77777777" w:rsidR="0093767A" w:rsidRPr="002B1D3B" w:rsidRDefault="0093767A" w:rsidP="00194E59">
      <w:pPr>
        <w:pStyle w:val="Testonotaapidipagina"/>
        <w:spacing w:after="120"/>
        <w:jc w:val="both"/>
        <w:rPr>
          <w:rFonts w:ascii="Arial" w:hAnsi="Arial" w:cs="Arial"/>
          <w:sz w:val="16"/>
          <w:szCs w:val="16"/>
        </w:rPr>
      </w:pPr>
      <w:r w:rsidRPr="002B1D3B">
        <w:rPr>
          <w:rStyle w:val="Rimandonotaapidipagina"/>
          <w:rFonts w:ascii="Arial" w:hAnsi="Arial" w:cs="Arial"/>
          <w:sz w:val="16"/>
          <w:szCs w:val="16"/>
        </w:rPr>
        <w:footnoteRef/>
      </w:r>
      <w:r w:rsidRPr="002B1D3B">
        <w:rPr>
          <w:rFonts w:ascii="Arial" w:hAnsi="Arial" w:cs="Arial"/>
          <w:sz w:val="16"/>
          <w:szCs w:val="16"/>
        </w:rPr>
        <w:t xml:space="preserve"> Sebbene l’Indagine sia frutto della collaborazione tra Banca d’Italia e Istat, la scelta delle vite medie utilizzate nelle Misure di Produttività </w:t>
      </w:r>
      <w:r>
        <w:rPr>
          <w:rFonts w:ascii="Arial" w:hAnsi="Arial" w:cs="Arial"/>
          <w:sz w:val="16"/>
          <w:szCs w:val="16"/>
        </w:rPr>
        <w:t xml:space="preserve">(a cosa si riferisce?) </w:t>
      </w:r>
      <w:r w:rsidRPr="002B1D3B">
        <w:rPr>
          <w:rFonts w:ascii="Arial" w:hAnsi="Arial" w:cs="Arial"/>
          <w:sz w:val="16"/>
          <w:szCs w:val="16"/>
        </w:rPr>
        <w:t>non coinvolge in alcun modo la responsabilità della Banca d’Italia.</w:t>
      </w:r>
    </w:p>
  </w:footnote>
  <w:footnote w:id="6">
    <w:p w14:paraId="62A3BBAE" w14:textId="77777777" w:rsidR="0093767A" w:rsidRPr="004F4FA8" w:rsidRDefault="0093767A" w:rsidP="00194E59">
      <w:pPr>
        <w:pStyle w:val="Testonotaapidipagina"/>
        <w:spacing w:after="120"/>
        <w:jc w:val="both"/>
        <w:rPr>
          <w:rFonts w:ascii="Arial" w:hAnsi="Arial" w:cs="Arial"/>
          <w:sz w:val="16"/>
          <w:szCs w:val="16"/>
          <w:lang w:val="en-US"/>
        </w:rPr>
      </w:pPr>
      <w:r w:rsidRPr="005D248B">
        <w:rPr>
          <w:rStyle w:val="Rimandonotaapidipagina"/>
          <w:rFonts w:ascii="Arial" w:hAnsi="Arial" w:cs="Arial"/>
          <w:sz w:val="18"/>
          <w:szCs w:val="18"/>
        </w:rPr>
        <w:footnoteRef/>
      </w:r>
      <w:r w:rsidRPr="002B1D3B">
        <w:rPr>
          <w:rFonts w:ascii="Arial" w:hAnsi="Arial" w:cs="Arial"/>
          <w:sz w:val="16"/>
          <w:szCs w:val="16"/>
          <w:lang w:val="en-GB"/>
        </w:rPr>
        <w:t xml:space="preserve">OECD, </w:t>
      </w:r>
      <w:r w:rsidRPr="002B1D3B">
        <w:rPr>
          <w:rFonts w:ascii="Arial" w:hAnsi="Arial" w:cs="Arial"/>
          <w:i/>
          <w:iCs/>
          <w:sz w:val="16"/>
          <w:szCs w:val="16"/>
          <w:lang w:val="en-GB"/>
        </w:rPr>
        <w:t>Handbook on deriving capital measures of intellectual property</w:t>
      </w:r>
      <w:r w:rsidRPr="002B1D3B">
        <w:rPr>
          <w:rFonts w:ascii="Arial" w:hAnsi="Arial" w:cs="Arial"/>
          <w:sz w:val="16"/>
          <w:szCs w:val="16"/>
          <w:lang w:val="en-GB"/>
        </w:rPr>
        <w:t xml:space="preserve">, 2010, disponibile all’indirizzo </w:t>
      </w:r>
      <w:hyperlink r:id="rId4" w:history="1">
        <w:r w:rsidRPr="003A3CD0">
          <w:rPr>
            <w:rStyle w:val="Collegamentoipertestuale"/>
            <w:rFonts w:ascii="Arial" w:hAnsi="Arial" w:cs="Arial"/>
            <w:sz w:val="16"/>
            <w:szCs w:val="16"/>
            <w:lang w:val="en-GB"/>
          </w:rPr>
          <w:t>http://www.oecd.org/std/44312350.pdf</w:t>
        </w:r>
      </w:hyperlink>
      <w:r>
        <w:rPr>
          <w:rFonts w:ascii="Arial" w:hAnsi="Arial" w:cs="Arial"/>
          <w:sz w:val="16"/>
          <w:szCs w:val="16"/>
          <w:lang w:val="en-GB"/>
        </w:rPr>
        <w:t xml:space="preserve"> e </w:t>
      </w:r>
      <w:r w:rsidRPr="004F4FA8">
        <w:rPr>
          <w:rFonts w:ascii="Arial" w:hAnsi="Arial" w:cs="Arial"/>
          <w:sz w:val="16"/>
          <w:szCs w:val="16"/>
          <w:lang w:val="en-GB"/>
        </w:rPr>
        <w:t>Eurostat</w:t>
      </w:r>
      <w:r>
        <w:rPr>
          <w:rFonts w:ascii="Arial" w:hAnsi="Arial" w:cs="Arial"/>
          <w:sz w:val="16"/>
          <w:szCs w:val="16"/>
          <w:lang w:val="en-GB"/>
        </w:rPr>
        <w:t>,</w:t>
      </w:r>
      <w:r w:rsidRPr="004F4FA8">
        <w:rPr>
          <w:rFonts w:ascii="Arial" w:hAnsi="Arial" w:cs="Arial"/>
          <w:sz w:val="16"/>
          <w:szCs w:val="16"/>
          <w:lang w:val="en-GB"/>
        </w:rPr>
        <w:t xml:space="preserve"> </w:t>
      </w:r>
      <w:r w:rsidRPr="007F0772">
        <w:rPr>
          <w:rFonts w:ascii="Arial" w:hAnsi="Arial" w:cs="Arial"/>
          <w:i/>
          <w:sz w:val="16"/>
          <w:szCs w:val="16"/>
          <w:lang w:val="en-GB"/>
        </w:rPr>
        <w:t>Manual on measuring Research and Development in ESA 2010</w:t>
      </w:r>
      <w:r>
        <w:rPr>
          <w:rFonts w:ascii="Arial" w:hAnsi="Arial" w:cs="Arial"/>
          <w:sz w:val="16"/>
          <w:szCs w:val="16"/>
          <w:lang w:val="en-GB"/>
        </w:rPr>
        <w:t>,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6CE4" w14:textId="77777777" w:rsidR="0093767A" w:rsidRDefault="0093767A" w:rsidP="00DF2FE2">
    <w:pPr>
      <w:pStyle w:val="Intestazione"/>
      <w:tabs>
        <w:tab w:val="left" w:pos="0"/>
      </w:tabs>
      <w:ind w:left="-851"/>
    </w:pPr>
    <w:r>
      <w:rPr>
        <w:noProof/>
      </w:rPr>
      <mc:AlternateContent>
        <mc:Choice Requires="wps">
          <w:drawing>
            <wp:anchor distT="0" distB="0" distL="114300" distR="114300" simplePos="0" relativeHeight="251654144" behindDoc="0" locked="0" layoutInCell="1" allowOverlap="1" wp14:anchorId="47FFEC43" wp14:editId="4017904B">
              <wp:simplePos x="0" y="0"/>
              <wp:positionH relativeFrom="column">
                <wp:posOffset>5397500</wp:posOffset>
              </wp:positionH>
              <wp:positionV relativeFrom="paragraph">
                <wp:posOffset>1270</wp:posOffset>
              </wp:positionV>
              <wp:extent cx="1625600" cy="3962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wps:spPr>
                    <wps:txbx>
                      <w:txbxContent>
                        <w:p w14:paraId="1AAA927C" w14:textId="77777777" w:rsidR="0093767A" w:rsidRPr="00A804E3" w:rsidRDefault="0093767A" w:rsidP="00DF2FE2">
                          <w:pPr>
                            <w:autoSpaceDE w:val="0"/>
                            <w:autoSpaceDN w:val="0"/>
                            <w:adjustRightInd w:val="0"/>
                            <w:jc w:val="center"/>
                            <w:rPr>
                              <w:rFonts w:ascii="Arial Narrow" w:hAnsi="Arial Narrow" w:cs="Arial"/>
                              <w:b/>
                              <w:bCs/>
                              <w:color w:val="FFFFFF" w:themeColor="background1"/>
                              <w:sz w:val="8"/>
                              <w:szCs w:val="26"/>
                            </w:rPr>
                          </w:pPr>
                        </w:p>
                        <w:p w14:paraId="1CC25B11" w14:textId="77777777" w:rsidR="0093767A" w:rsidRPr="00690C34" w:rsidRDefault="0093767A"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13</w:t>
                          </w:r>
                          <w:r w:rsidRPr="00977BD5">
                            <w:rPr>
                              <w:rFonts w:ascii="Arial Narrow" w:hAnsi="Arial Narrow" w:cs="Arial"/>
                              <w:b/>
                              <w:bCs/>
                              <w:color w:val="FFFFFF" w:themeColor="background1"/>
                              <w:sz w:val="26"/>
                              <w:szCs w:val="26"/>
                            </w:rPr>
                            <w:t xml:space="preserve"> </w:t>
                          </w:r>
                          <w:r>
                            <w:rPr>
                              <w:rFonts w:ascii="Arial Narrow" w:hAnsi="Arial Narrow" w:cs="Arial"/>
                              <w:b/>
                              <w:bCs/>
                              <w:color w:val="FFFFFF" w:themeColor="background1"/>
                              <w:sz w:val="26"/>
                              <w:szCs w:val="26"/>
                            </w:rPr>
                            <w:t>DIC</w:t>
                          </w:r>
                          <w:r w:rsidRPr="00977BD5">
                            <w:rPr>
                              <w:rFonts w:ascii="Arial Narrow" w:hAnsi="Arial Narrow" w:cs="Arial"/>
                              <w:b/>
                              <w:bCs/>
                              <w:color w:val="FFFFFF" w:themeColor="background1"/>
                              <w:sz w:val="26"/>
                              <w:szCs w:val="26"/>
                            </w:rPr>
                            <w:t xml:space="preserve">EMBRE </w:t>
                          </w:r>
                          <w:r>
                            <w:rPr>
                              <w:rFonts w:ascii="Arial Narrow" w:hAnsi="Arial Narrow" w:cs="Arial"/>
                              <w:b/>
                              <w:bCs/>
                              <w:color w:val="FFFFFF" w:themeColor="background1"/>
                              <w:sz w:val="26"/>
                              <w:szCs w:val="26"/>
                            </w:rPr>
                            <w:t>2021</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FEC43" id="_x0000_t202" coordsize="21600,21600" o:spt="202" path="m,l,21600r21600,l21600,xe">
              <v:stroke joinstyle="miter"/>
              <v:path gradientshapeok="t" o:connecttype="rect"/>
            </v:shapetype>
            <v:shape id="Text Box 2" o:spid="_x0000_s1026" type="#_x0000_t202" style="position:absolute;left:0;text-align:left;margin-left:425pt;margin-top:.1pt;width:128pt;height:3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" fillcolor="#1f497d [3215]" stroked="f">
              <v:textbox inset="1.5mm,,1.5mm">
                <w:txbxContent>
                  <w:p w14:paraId="1AAA927C" w14:textId="77777777" w:rsidR="0093767A" w:rsidRPr="00A804E3" w:rsidRDefault="0093767A" w:rsidP="00DF2FE2">
                    <w:pPr>
                      <w:autoSpaceDE w:val="0"/>
                      <w:autoSpaceDN w:val="0"/>
                      <w:adjustRightInd w:val="0"/>
                      <w:jc w:val="center"/>
                      <w:rPr>
                        <w:rFonts w:ascii="Arial Narrow" w:hAnsi="Arial Narrow" w:cs="Arial"/>
                        <w:b/>
                        <w:bCs/>
                        <w:color w:val="FFFFFF" w:themeColor="background1"/>
                        <w:sz w:val="8"/>
                        <w:szCs w:val="26"/>
                      </w:rPr>
                    </w:pPr>
                  </w:p>
                  <w:p w14:paraId="1CC25B11" w14:textId="77777777" w:rsidR="0093767A" w:rsidRPr="00690C34" w:rsidRDefault="0093767A"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13</w:t>
                    </w:r>
                    <w:r w:rsidRPr="00977BD5">
                      <w:rPr>
                        <w:rFonts w:ascii="Arial Narrow" w:hAnsi="Arial Narrow" w:cs="Arial"/>
                        <w:b/>
                        <w:bCs/>
                        <w:color w:val="FFFFFF" w:themeColor="background1"/>
                        <w:sz w:val="26"/>
                        <w:szCs w:val="26"/>
                      </w:rPr>
                      <w:t xml:space="preserve"> </w:t>
                    </w:r>
                    <w:r>
                      <w:rPr>
                        <w:rFonts w:ascii="Arial Narrow" w:hAnsi="Arial Narrow" w:cs="Arial"/>
                        <w:b/>
                        <w:bCs/>
                        <w:color w:val="FFFFFF" w:themeColor="background1"/>
                        <w:sz w:val="26"/>
                        <w:szCs w:val="26"/>
                      </w:rPr>
                      <w:t>DIC</w:t>
                    </w:r>
                    <w:r w:rsidRPr="00977BD5">
                      <w:rPr>
                        <w:rFonts w:ascii="Arial Narrow" w:hAnsi="Arial Narrow" w:cs="Arial"/>
                        <w:b/>
                        <w:bCs/>
                        <w:color w:val="FFFFFF" w:themeColor="background1"/>
                        <w:sz w:val="26"/>
                        <w:szCs w:val="26"/>
                      </w:rPr>
                      <w:t xml:space="preserve">EMBRE </w:t>
                    </w:r>
                    <w:r>
                      <w:rPr>
                        <w:rFonts w:ascii="Arial Narrow" w:hAnsi="Arial Narrow" w:cs="Arial"/>
                        <w:b/>
                        <w:bCs/>
                        <w:color w:val="FFFFFF" w:themeColor="background1"/>
                        <w:sz w:val="26"/>
                        <w:szCs w:val="26"/>
                      </w:rPr>
                      <w:t>2021</w:t>
                    </w:r>
                  </w:p>
                </w:txbxContent>
              </v:textbox>
            </v:shape>
          </w:pict>
        </mc:Fallback>
      </mc:AlternateContent>
    </w:r>
    <w:r w:rsidRPr="003C4791">
      <w:rPr>
        <w:noProof/>
        <w:highlight w:val="yellow"/>
      </w:rPr>
      <w:drawing>
        <wp:inline distT="0" distB="0" distL="0" distR="0" wp14:anchorId="630771CC" wp14:editId="2FA5962C">
          <wp:extent cx="7560000" cy="1645200"/>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93767A" w:rsidRPr="00DD6CCE" w14:paraId="621714C4" w14:textId="77777777" w:rsidTr="00C312B1">
      <w:trPr>
        <w:trHeight w:hRule="exact" w:val="567"/>
      </w:trPr>
      <w:tc>
        <w:tcPr>
          <w:tcW w:w="9323" w:type="dxa"/>
          <w:shd w:val="clear" w:color="auto" w:fill="1F497D" w:themeFill="text2"/>
          <w:vAlign w:val="center"/>
        </w:tcPr>
        <w:p w14:paraId="1A0A2A7B" w14:textId="77777777" w:rsidR="0093767A" w:rsidRPr="005D6783" w:rsidRDefault="0093767A" w:rsidP="00C312B1">
          <w:pPr>
            <w:pStyle w:val="Intestazione"/>
            <w:spacing w:before="120"/>
            <w:ind w:left="567"/>
            <w:jc w:val="left"/>
            <w:rPr>
              <w:rFonts w:ascii="Arial Narrow" w:hAnsi="Arial Narrow"/>
              <w:color w:val="FFFFFF" w:themeColor="background1"/>
              <w:sz w:val="24"/>
            </w:rPr>
          </w:pPr>
          <w:r>
            <w:rPr>
              <w:rFonts w:ascii="Arial Narrow" w:hAnsi="Arial Narrow"/>
              <w:color w:val="FFFFFF" w:themeColor="background1"/>
              <w:sz w:val="24"/>
            </w:rPr>
            <w:t>MISURE DI PRODUTTIVITÀ</w:t>
          </w:r>
        </w:p>
      </w:tc>
      <w:tc>
        <w:tcPr>
          <w:tcW w:w="3016" w:type="dxa"/>
          <w:shd w:val="clear" w:color="auto" w:fill="1F497D" w:themeFill="text2"/>
          <w:vAlign w:val="center"/>
        </w:tcPr>
        <w:p w14:paraId="130C8355" w14:textId="77777777" w:rsidR="0093767A" w:rsidRPr="00DD6CCE" w:rsidRDefault="0093767A"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61312" behindDoc="0" locked="0" layoutInCell="1" allowOverlap="1" wp14:anchorId="2099B960" wp14:editId="4469546B">
                <wp:simplePos x="0" y="0"/>
                <wp:positionH relativeFrom="column">
                  <wp:posOffset>598805</wp:posOffset>
                </wp:positionH>
                <wp:positionV relativeFrom="paragraph">
                  <wp:posOffset>-1905</wp:posOffset>
                </wp:positionV>
                <wp:extent cx="695325" cy="198120"/>
                <wp:effectExtent l="0" t="0" r="952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anchor>
            </w:drawing>
          </w:r>
        </w:p>
      </w:tc>
    </w:tr>
  </w:tbl>
  <w:p w14:paraId="2A848895" w14:textId="77777777" w:rsidR="0093767A" w:rsidRPr="007D0BF5" w:rsidRDefault="0093767A"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5548"/>
    <w:multiLevelType w:val="hybridMultilevel"/>
    <w:tmpl w:val="1EDC2BFE"/>
    <w:lvl w:ilvl="0" w:tplc="492A4A4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4FF"/>
    <w:rsid w:val="00000DE6"/>
    <w:rsid w:val="00001763"/>
    <w:rsid w:val="000020C7"/>
    <w:rsid w:val="00002177"/>
    <w:rsid w:val="0000396F"/>
    <w:rsid w:val="000042EB"/>
    <w:rsid w:val="00004970"/>
    <w:rsid w:val="00006D10"/>
    <w:rsid w:val="00007066"/>
    <w:rsid w:val="000075FC"/>
    <w:rsid w:val="0000784B"/>
    <w:rsid w:val="00007F49"/>
    <w:rsid w:val="00010170"/>
    <w:rsid w:val="00011037"/>
    <w:rsid w:val="000127DE"/>
    <w:rsid w:val="00013278"/>
    <w:rsid w:val="00014F90"/>
    <w:rsid w:val="0001544F"/>
    <w:rsid w:val="00016F4D"/>
    <w:rsid w:val="0001738B"/>
    <w:rsid w:val="00020C03"/>
    <w:rsid w:val="00022348"/>
    <w:rsid w:val="00023B4F"/>
    <w:rsid w:val="0002428F"/>
    <w:rsid w:val="0002505D"/>
    <w:rsid w:val="000308B0"/>
    <w:rsid w:val="00030D17"/>
    <w:rsid w:val="00031115"/>
    <w:rsid w:val="000314E4"/>
    <w:rsid w:val="0003264F"/>
    <w:rsid w:val="0003298F"/>
    <w:rsid w:val="00033635"/>
    <w:rsid w:val="00033F2B"/>
    <w:rsid w:val="000343A2"/>
    <w:rsid w:val="00035516"/>
    <w:rsid w:val="00035FE8"/>
    <w:rsid w:val="00036154"/>
    <w:rsid w:val="00036B6F"/>
    <w:rsid w:val="00036C51"/>
    <w:rsid w:val="00036D48"/>
    <w:rsid w:val="0004131D"/>
    <w:rsid w:val="00041DC5"/>
    <w:rsid w:val="000425AA"/>
    <w:rsid w:val="000426E7"/>
    <w:rsid w:val="00043696"/>
    <w:rsid w:val="000444BF"/>
    <w:rsid w:val="00044BA7"/>
    <w:rsid w:val="0004526F"/>
    <w:rsid w:val="00045472"/>
    <w:rsid w:val="000463B5"/>
    <w:rsid w:val="000467F2"/>
    <w:rsid w:val="00047479"/>
    <w:rsid w:val="0004769F"/>
    <w:rsid w:val="000476DC"/>
    <w:rsid w:val="00047A1F"/>
    <w:rsid w:val="000507CF"/>
    <w:rsid w:val="00051999"/>
    <w:rsid w:val="0005356B"/>
    <w:rsid w:val="000541C4"/>
    <w:rsid w:val="000541EC"/>
    <w:rsid w:val="0005451A"/>
    <w:rsid w:val="00057EFB"/>
    <w:rsid w:val="00061F0C"/>
    <w:rsid w:val="00062A73"/>
    <w:rsid w:val="00063871"/>
    <w:rsid w:val="00064102"/>
    <w:rsid w:val="0006492B"/>
    <w:rsid w:val="00065A97"/>
    <w:rsid w:val="00066051"/>
    <w:rsid w:val="000665DC"/>
    <w:rsid w:val="00066F5C"/>
    <w:rsid w:val="000679B2"/>
    <w:rsid w:val="0007093C"/>
    <w:rsid w:val="00070FF7"/>
    <w:rsid w:val="000717CD"/>
    <w:rsid w:val="0007183B"/>
    <w:rsid w:val="000718B8"/>
    <w:rsid w:val="00071F99"/>
    <w:rsid w:val="00072EE8"/>
    <w:rsid w:val="0007346F"/>
    <w:rsid w:val="0007364E"/>
    <w:rsid w:val="000737C5"/>
    <w:rsid w:val="00075049"/>
    <w:rsid w:val="00076B04"/>
    <w:rsid w:val="00077332"/>
    <w:rsid w:val="00080193"/>
    <w:rsid w:val="00081681"/>
    <w:rsid w:val="00082198"/>
    <w:rsid w:val="000824CF"/>
    <w:rsid w:val="00082F25"/>
    <w:rsid w:val="00082F91"/>
    <w:rsid w:val="00083EA8"/>
    <w:rsid w:val="0008427D"/>
    <w:rsid w:val="000843B1"/>
    <w:rsid w:val="0008573D"/>
    <w:rsid w:val="00085D39"/>
    <w:rsid w:val="000860AB"/>
    <w:rsid w:val="0008701E"/>
    <w:rsid w:val="0008722E"/>
    <w:rsid w:val="00087F2B"/>
    <w:rsid w:val="00091477"/>
    <w:rsid w:val="00091C18"/>
    <w:rsid w:val="000940FB"/>
    <w:rsid w:val="0009519B"/>
    <w:rsid w:val="00095707"/>
    <w:rsid w:val="00096098"/>
    <w:rsid w:val="000A0304"/>
    <w:rsid w:val="000A1739"/>
    <w:rsid w:val="000A1A44"/>
    <w:rsid w:val="000A2167"/>
    <w:rsid w:val="000A2B36"/>
    <w:rsid w:val="000A2CE3"/>
    <w:rsid w:val="000A35DD"/>
    <w:rsid w:val="000A3DA6"/>
    <w:rsid w:val="000A4F3E"/>
    <w:rsid w:val="000A5962"/>
    <w:rsid w:val="000A6EC9"/>
    <w:rsid w:val="000B0188"/>
    <w:rsid w:val="000B1EA2"/>
    <w:rsid w:val="000B2771"/>
    <w:rsid w:val="000B2835"/>
    <w:rsid w:val="000B33BB"/>
    <w:rsid w:val="000B4257"/>
    <w:rsid w:val="000B4826"/>
    <w:rsid w:val="000B4CDE"/>
    <w:rsid w:val="000B54EA"/>
    <w:rsid w:val="000B5CF0"/>
    <w:rsid w:val="000B5F30"/>
    <w:rsid w:val="000B5F37"/>
    <w:rsid w:val="000B6060"/>
    <w:rsid w:val="000B68CB"/>
    <w:rsid w:val="000B6E6E"/>
    <w:rsid w:val="000B78AF"/>
    <w:rsid w:val="000B7ABA"/>
    <w:rsid w:val="000C0E96"/>
    <w:rsid w:val="000C23C8"/>
    <w:rsid w:val="000C24A9"/>
    <w:rsid w:val="000C2AF7"/>
    <w:rsid w:val="000C3ACA"/>
    <w:rsid w:val="000C51F9"/>
    <w:rsid w:val="000C5C9E"/>
    <w:rsid w:val="000C5D95"/>
    <w:rsid w:val="000C5DC0"/>
    <w:rsid w:val="000C683D"/>
    <w:rsid w:val="000C6D3F"/>
    <w:rsid w:val="000C7172"/>
    <w:rsid w:val="000C7AF6"/>
    <w:rsid w:val="000C7E7F"/>
    <w:rsid w:val="000D01FA"/>
    <w:rsid w:val="000D1435"/>
    <w:rsid w:val="000D1FF1"/>
    <w:rsid w:val="000D20C3"/>
    <w:rsid w:val="000D231B"/>
    <w:rsid w:val="000D31ED"/>
    <w:rsid w:val="000D3343"/>
    <w:rsid w:val="000D3BE3"/>
    <w:rsid w:val="000D4700"/>
    <w:rsid w:val="000D49B6"/>
    <w:rsid w:val="000D5E76"/>
    <w:rsid w:val="000D61A6"/>
    <w:rsid w:val="000D758D"/>
    <w:rsid w:val="000E01E0"/>
    <w:rsid w:val="000E0F08"/>
    <w:rsid w:val="000E2017"/>
    <w:rsid w:val="000E2097"/>
    <w:rsid w:val="000E28C7"/>
    <w:rsid w:val="000E2C69"/>
    <w:rsid w:val="000E3177"/>
    <w:rsid w:val="000E3BE8"/>
    <w:rsid w:val="000E4C5D"/>
    <w:rsid w:val="000F080C"/>
    <w:rsid w:val="000F0DE8"/>
    <w:rsid w:val="000F2103"/>
    <w:rsid w:val="000F3706"/>
    <w:rsid w:val="000F3938"/>
    <w:rsid w:val="000F3EE9"/>
    <w:rsid w:val="000F440B"/>
    <w:rsid w:val="000F56AC"/>
    <w:rsid w:val="000F56B4"/>
    <w:rsid w:val="000F5E14"/>
    <w:rsid w:val="000F5F7E"/>
    <w:rsid w:val="000F61BC"/>
    <w:rsid w:val="000F6BD7"/>
    <w:rsid w:val="000F6D28"/>
    <w:rsid w:val="000F6D2C"/>
    <w:rsid w:val="000F73C6"/>
    <w:rsid w:val="000F7425"/>
    <w:rsid w:val="00101A70"/>
    <w:rsid w:val="00101EBD"/>
    <w:rsid w:val="00102064"/>
    <w:rsid w:val="00102103"/>
    <w:rsid w:val="00102185"/>
    <w:rsid w:val="00102284"/>
    <w:rsid w:val="001035E3"/>
    <w:rsid w:val="001038B2"/>
    <w:rsid w:val="001042B2"/>
    <w:rsid w:val="00104474"/>
    <w:rsid w:val="00104E17"/>
    <w:rsid w:val="001051FB"/>
    <w:rsid w:val="00105905"/>
    <w:rsid w:val="00105931"/>
    <w:rsid w:val="001059FA"/>
    <w:rsid w:val="001115BC"/>
    <w:rsid w:val="00111A23"/>
    <w:rsid w:val="00111DB1"/>
    <w:rsid w:val="00112B06"/>
    <w:rsid w:val="00112D4E"/>
    <w:rsid w:val="00112DB1"/>
    <w:rsid w:val="00113587"/>
    <w:rsid w:val="001152B6"/>
    <w:rsid w:val="001178D5"/>
    <w:rsid w:val="00117928"/>
    <w:rsid w:val="00117C9A"/>
    <w:rsid w:val="00117FE2"/>
    <w:rsid w:val="0012282C"/>
    <w:rsid w:val="00123033"/>
    <w:rsid w:val="0012394C"/>
    <w:rsid w:val="00123E17"/>
    <w:rsid w:val="00124010"/>
    <w:rsid w:val="00125958"/>
    <w:rsid w:val="001266B6"/>
    <w:rsid w:val="00126BF6"/>
    <w:rsid w:val="00127A7C"/>
    <w:rsid w:val="00131166"/>
    <w:rsid w:val="00131B50"/>
    <w:rsid w:val="00133310"/>
    <w:rsid w:val="001349F8"/>
    <w:rsid w:val="001350C3"/>
    <w:rsid w:val="00135378"/>
    <w:rsid w:val="00135B50"/>
    <w:rsid w:val="00136280"/>
    <w:rsid w:val="001365DB"/>
    <w:rsid w:val="001365F6"/>
    <w:rsid w:val="00136A09"/>
    <w:rsid w:val="00137C1A"/>
    <w:rsid w:val="001425B5"/>
    <w:rsid w:val="0014327D"/>
    <w:rsid w:val="0014340B"/>
    <w:rsid w:val="00143BC5"/>
    <w:rsid w:val="001447EA"/>
    <w:rsid w:val="00146579"/>
    <w:rsid w:val="001471E6"/>
    <w:rsid w:val="00150B77"/>
    <w:rsid w:val="00150D80"/>
    <w:rsid w:val="001512E9"/>
    <w:rsid w:val="001517D8"/>
    <w:rsid w:val="001523E8"/>
    <w:rsid w:val="00152C53"/>
    <w:rsid w:val="00153311"/>
    <w:rsid w:val="00154931"/>
    <w:rsid w:val="00156870"/>
    <w:rsid w:val="001569C5"/>
    <w:rsid w:val="00157219"/>
    <w:rsid w:val="00157F5E"/>
    <w:rsid w:val="0016067A"/>
    <w:rsid w:val="00161868"/>
    <w:rsid w:val="00161A02"/>
    <w:rsid w:val="001620B8"/>
    <w:rsid w:val="0016359C"/>
    <w:rsid w:val="001639C5"/>
    <w:rsid w:val="00163CE2"/>
    <w:rsid w:val="001661BE"/>
    <w:rsid w:val="00166241"/>
    <w:rsid w:val="001663CB"/>
    <w:rsid w:val="00167170"/>
    <w:rsid w:val="00171303"/>
    <w:rsid w:val="00171977"/>
    <w:rsid w:val="00172A70"/>
    <w:rsid w:val="00173008"/>
    <w:rsid w:val="00174BBF"/>
    <w:rsid w:val="00174FE1"/>
    <w:rsid w:val="001754E7"/>
    <w:rsid w:val="00176D20"/>
    <w:rsid w:val="0018019C"/>
    <w:rsid w:val="00180E98"/>
    <w:rsid w:val="00181074"/>
    <w:rsid w:val="00181263"/>
    <w:rsid w:val="001815CC"/>
    <w:rsid w:val="00181C60"/>
    <w:rsid w:val="00181D0F"/>
    <w:rsid w:val="001820F5"/>
    <w:rsid w:val="001826FE"/>
    <w:rsid w:val="00182894"/>
    <w:rsid w:val="001854ED"/>
    <w:rsid w:val="00187341"/>
    <w:rsid w:val="00190006"/>
    <w:rsid w:val="00190158"/>
    <w:rsid w:val="001907FB"/>
    <w:rsid w:val="00191477"/>
    <w:rsid w:val="001917F1"/>
    <w:rsid w:val="00191911"/>
    <w:rsid w:val="00191EA1"/>
    <w:rsid w:val="001936BF"/>
    <w:rsid w:val="00193A8D"/>
    <w:rsid w:val="00193B65"/>
    <w:rsid w:val="00194757"/>
    <w:rsid w:val="00194E59"/>
    <w:rsid w:val="00194F41"/>
    <w:rsid w:val="00195299"/>
    <w:rsid w:val="00195481"/>
    <w:rsid w:val="001958B2"/>
    <w:rsid w:val="0019616E"/>
    <w:rsid w:val="0019745C"/>
    <w:rsid w:val="00197D76"/>
    <w:rsid w:val="001A0217"/>
    <w:rsid w:val="001A0EFE"/>
    <w:rsid w:val="001A10C1"/>
    <w:rsid w:val="001A1346"/>
    <w:rsid w:val="001A29C8"/>
    <w:rsid w:val="001A3102"/>
    <w:rsid w:val="001A4C6D"/>
    <w:rsid w:val="001A4D1F"/>
    <w:rsid w:val="001A611B"/>
    <w:rsid w:val="001A62B0"/>
    <w:rsid w:val="001A62B5"/>
    <w:rsid w:val="001A7CAF"/>
    <w:rsid w:val="001A7F1A"/>
    <w:rsid w:val="001B41C2"/>
    <w:rsid w:val="001B4D79"/>
    <w:rsid w:val="001B64E1"/>
    <w:rsid w:val="001B743D"/>
    <w:rsid w:val="001B745D"/>
    <w:rsid w:val="001B7BC8"/>
    <w:rsid w:val="001C0092"/>
    <w:rsid w:val="001C0BF3"/>
    <w:rsid w:val="001C333E"/>
    <w:rsid w:val="001C3445"/>
    <w:rsid w:val="001C3E12"/>
    <w:rsid w:val="001C6222"/>
    <w:rsid w:val="001C635F"/>
    <w:rsid w:val="001C6D75"/>
    <w:rsid w:val="001C77B0"/>
    <w:rsid w:val="001D0137"/>
    <w:rsid w:val="001D0EB7"/>
    <w:rsid w:val="001D3DA7"/>
    <w:rsid w:val="001D475E"/>
    <w:rsid w:val="001D5186"/>
    <w:rsid w:val="001D5578"/>
    <w:rsid w:val="001D6301"/>
    <w:rsid w:val="001D64EE"/>
    <w:rsid w:val="001D6BC4"/>
    <w:rsid w:val="001D6FBA"/>
    <w:rsid w:val="001D7102"/>
    <w:rsid w:val="001D75A9"/>
    <w:rsid w:val="001D7A31"/>
    <w:rsid w:val="001D7A7B"/>
    <w:rsid w:val="001D7ED4"/>
    <w:rsid w:val="001D7F6A"/>
    <w:rsid w:val="001E1BA2"/>
    <w:rsid w:val="001E42F3"/>
    <w:rsid w:val="001E6D2C"/>
    <w:rsid w:val="001F1697"/>
    <w:rsid w:val="001F1D30"/>
    <w:rsid w:val="001F2DCA"/>
    <w:rsid w:val="001F41FF"/>
    <w:rsid w:val="001F486C"/>
    <w:rsid w:val="001F58C7"/>
    <w:rsid w:val="001F5D7B"/>
    <w:rsid w:val="001F609C"/>
    <w:rsid w:val="001F61BA"/>
    <w:rsid w:val="001F6677"/>
    <w:rsid w:val="001F66E4"/>
    <w:rsid w:val="002000AC"/>
    <w:rsid w:val="0020087D"/>
    <w:rsid w:val="00202C51"/>
    <w:rsid w:val="00202E62"/>
    <w:rsid w:val="00203F9E"/>
    <w:rsid w:val="0020556C"/>
    <w:rsid w:val="002056F7"/>
    <w:rsid w:val="002058AC"/>
    <w:rsid w:val="00205ADF"/>
    <w:rsid w:val="00205D0A"/>
    <w:rsid w:val="00205E2A"/>
    <w:rsid w:val="00206DEE"/>
    <w:rsid w:val="002072B2"/>
    <w:rsid w:val="002103C3"/>
    <w:rsid w:val="00210DA8"/>
    <w:rsid w:val="00210DE0"/>
    <w:rsid w:val="0021197E"/>
    <w:rsid w:val="00212529"/>
    <w:rsid w:val="0021285C"/>
    <w:rsid w:val="002137BA"/>
    <w:rsid w:val="00214722"/>
    <w:rsid w:val="00214B49"/>
    <w:rsid w:val="002155CF"/>
    <w:rsid w:val="00215C33"/>
    <w:rsid w:val="00215FD0"/>
    <w:rsid w:val="00220D5E"/>
    <w:rsid w:val="00221079"/>
    <w:rsid w:val="002222D4"/>
    <w:rsid w:val="00222966"/>
    <w:rsid w:val="00223359"/>
    <w:rsid w:val="00224936"/>
    <w:rsid w:val="00224B4F"/>
    <w:rsid w:val="00224FE1"/>
    <w:rsid w:val="00225A82"/>
    <w:rsid w:val="00225B32"/>
    <w:rsid w:val="00226116"/>
    <w:rsid w:val="002268E7"/>
    <w:rsid w:val="00226C04"/>
    <w:rsid w:val="002270A1"/>
    <w:rsid w:val="00230239"/>
    <w:rsid w:val="00230982"/>
    <w:rsid w:val="00230AF5"/>
    <w:rsid w:val="002323B9"/>
    <w:rsid w:val="002330DF"/>
    <w:rsid w:val="0023376A"/>
    <w:rsid w:val="002346F2"/>
    <w:rsid w:val="002402C9"/>
    <w:rsid w:val="00240909"/>
    <w:rsid w:val="00240EAE"/>
    <w:rsid w:val="00241F74"/>
    <w:rsid w:val="00243F15"/>
    <w:rsid w:val="00244329"/>
    <w:rsid w:val="00246065"/>
    <w:rsid w:val="0024697E"/>
    <w:rsid w:val="0024708F"/>
    <w:rsid w:val="00250448"/>
    <w:rsid w:val="00250A8D"/>
    <w:rsid w:val="00251CA6"/>
    <w:rsid w:val="002521EC"/>
    <w:rsid w:val="0025287B"/>
    <w:rsid w:val="002533A7"/>
    <w:rsid w:val="002542DD"/>
    <w:rsid w:val="00254523"/>
    <w:rsid w:val="00254851"/>
    <w:rsid w:val="00255A74"/>
    <w:rsid w:val="00255D3D"/>
    <w:rsid w:val="002568ED"/>
    <w:rsid w:val="002573E5"/>
    <w:rsid w:val="002604A1"/>
    <w:rsid w:val="002617CA"/>
    <w:rsid w:val="002617E8"/>
    <w:rsid w:val="00261BED"/>
    <w:rsid w:val="00261E46"/>
    <w:rsid w:val="00262419"/>
    <w:rsid w:val="002624A2"/>
    <w:rsid w:val="002626E4"/>
    <w:rsid w:val="0026334D"/>
    <w:rsid w:val="00263991"/>
    <w:rsid w:val="00264BF7"/>
    <w:rsid w:val="00264DC5"/>
    <w:rsid w:val="002655FE"/>
    <w:rsid w:val="002665A8"/>
    <w:rsid w:val="00266C71"/>
    <w:rsid w:val="002674BB"/>
    <w:rsid w:val="002700BA"/>
    <w:rsid w:val="002707AE"/>
    <w:rsid w:val="00270E8B"/>
    <w:rsid w:val="00271B23"/>
    <w:rsid w:val="0027204B"/>
    <w:rsid w:val="002722DA"/>
    <w:rsid w:val="00272675"/>
    <w:rsid w:val="002727C7"/>
    <w:rsid w:val="0027327E"/>
    <w:rsid w:val="002734A4"/>
    <w:rsid w:val="00273608"/>
    <w:rsid w:val="00273A74"/>
    <w:rsid w:val="00274C09"/>
    <w:rsid w:val="002756D5"/>
    <w:rsid w:val="00275A35"/>
    <w:rsid w:val="00275E9E"/>
    <w:rsid w:val="00275F5F"/>
    <w:rsid w:val="0027624F"/>
    <w:rsid w:val="00276CE3"/>
    <w:rsid w:val="00277EAA"/>
    <w:rsid w:val="0028087D"/>
    <w:rsid w:val="00280C4D"/>
    <w:rsid w:val="00281E5C"/>
    <w:rsid w:val="002822D3"/>
    <w:rsid w:val="00282350"/>
    <w:rsid w:val="0028289B"/>
    <w:rsid w:val="00282971"/>
    <w:rsid w:val="00283CE4"/>
    <w:rsid w:val="00285170"/>
    <w:rsid w:val="0028627A"/>
    <w:rsid w:val="00286634"/>
    <w:rsid w:val="00286EEB"/>
    <w:rsid w:val="00287599"/>
    <w:rsid w:val="00287928"/>
    <w:rsid w:val="00290760"/>
    <w:rsid w:val="00291A83"/>
    <w:rsid w:val="00291BC0"/>
    <w:rsid w:val="002936EA"/>
    <w:rsid w:val="002940AA"/>
    <w:rsid w:val="002940B7"/>
    <w:rsid w:val="00294DC2"/>
    <w:rsid w:val="00295F01"/>
    <w:rsid w:val="0029661E"/>
    <w:rsid w:val="00297BB2"/>
    <w:rsid w:val="002A07C4"/>
    <w:rsid w:val="002A0A0A"/>
    <w:rsid w:val="002A0D85"/>
    <w:rsid w:val="002A18E8"/>
    <w:rsid w:val="002A1EED"/>
    <w:rsid w:val="002A2226"/>
    <w:rsid w:val="002A2D78"/>
    <w:rsid w:val="002A2EA8"/>
    <w:rsid w:val="002A4BA6"/>
    <w:rsid w:val="002A5097"/>
    <w:rsid w:val="002A5447"/>
    <w:rsid w:val="002A5F61"/>
    <w:rsid w:val="002A6126"/>
    <w:rsid w:val="002A6BD1"/>
    <w:rsid w:val="002B3762"/>
    <w:rsid w:val="002B4A54"/>
    <w:rsid w:val="002C0018"/>
    <w:rsid w:val="002C062D"/>
    <w:rsid w:val="002C0D94"/>
    <w:rsid w:val="002C1AD7"/>
    <w:rsid w:val="002C24B2"/>
    <w:rsid w:val="002C3847"/>
    <w:rsid w:val="002C4572"/>
    <w:rsid w:val="002C6EE8"/>
    <w:rsid w:val="002C79A8"/>
    <w:rsid w:val="002C7B51"/>
    <w:rsid w:val="002D0557"/>
    <w:rsid w:val="002D0B5D"/>
    <w:rsid w:val="002D1385"/>
    <w:rsid w:val="002D18E7"/>
    <w:rsid w:val="002D1983"/>
    <w:rsid w:val="002D2882"/>
    <w:rsid w:val="002D2A78"/>
    <w:rsid w:val="002D3C11"/>
    <w:rsid w:val="002D5AFB"/>
    <w:rsid w:val="002D5ECA"/>
    <w:rsid w:val="002D6C8C"/>
    <w:rsid w:val="002D72B5"/>
    <w:rsid w:val="002D7EAD"/>
    <w:rsid w:val="002E0444"/>
    <w:rsid w:val="002E11AD"/>
    <w:rsid w:val="002E1323"/>
    <w:rsid w:val="002E2D2D"/>
    <w:rsid w:val="002E33E4"/>
    <w:rsid w:val="002E4387"/>
    <w:rsid w:val="002E47FC"/>
    <w:rsid w:val="002E5123"/>
    <w:rsid w:val="002E5718"/>
    <w:rsid w:val="002E7582"/>
    <w:rsid w:val="002E7D2F"/>
    <w:rsid w:val="002F00AA"/>
    <w:rsid w:val="002F0454"/>
    <w:rsid w:val="002F10BE"/>
    <w:rsid w:val="002F21DF"/>
    <w:rsid w:val="002F2D89"/>
    <w:rsid w:val="002F308A"/>
    <w:rsid w:val="002F436A"/>
    <w:rsid w:val="002F43FC"/>
    <w:rsid w:val="002F65BF"/>
    <w:rsid w:val="002F78F5"/>
    <w:rsid w:val="00300653"/>
    <w:rsid w:val="003011F2"/>
    <w:rsid w:val="00302C17"/>
    <w:rsid w:val="00302D74"/>
    <w:rsid w:val="003032B0"/>
    <w:rsid w:val="00304C63"/>
    <w:rsid w:val="00305A32"/>
    <w:rsid w:val="0030749A"/>
    <w:rsid w:val="0030756B"/>
    <w:rsid w:val="003105F9"/>
    <w:rsid w:val="0031131E"/>
    <w:rsid w:val="0031188E"/>
    <w:rsid w:val="00311F7E"/>
    <w:rsid w:val="003122DE"/>
    <w:rsid w:val="003138E9"/>
    <w:rsid w:val="00313B46"/>
    <w:rsid w:val="00314D9C"/>
    <w:rsid w:val="003152CD"/>
    <w:rsid w:val="003158F5"/>
    <w:rsid w:val="00315A68"/>
    <w:rsid w:val="0031685A"/>
    <w:rsid w:val="003172DF"/>
    <w:rsid w:val="00317B3E"/>
    <w:rsid w:val="003215E2"/>
    <w:rsid w:val="0032369B"/>
    <w:rsid w:val="00323E06"/>
    <w:rsid w:val="00324021"/>
    <w:rsid w:val="003243EA"/>
    <w:rsid w:val="003247E0"/>
    <w:rsid w:val="00325458"/>
    <w:rsid w:val="00327940"/>
    <w:rsid w:val="00330AEC"/>
    <w:rsid w:val="00332547"/>
    <w:rsid w:val="003342E0"/>
    <w:rsid w:val="00334605"/>
    <w:rsid w:val="00334AF5"/>
    <w:rsid w:val="00334BE0"/>
    <w:rsid w:val="0033574F"/>
    <w:rsid w:val="00336195"/>
    <w:rsid w:val="003363F4"/>
    <w:rsid w:val="003373DE"/>
    <w:rsid w:val="003379EA"/>
    <w:rsid w:val="00340275"/>
    <w:rsid w:val="003406B4"/>
    <w:rsid w:val="00340A11"/>
    <w:rsid w:val="00340B6B"/>
    <w:rsid w:val="00340EC1"/>
    <w:rsid w:val="00341069"/>
    <w:rsid w:val="00342438"/>
    <w:rsid w:val="00342658"/>
    <w:rsid w:val="00343312"/>
    <w:rsid w:val="00343EFB"/>
    <w:rsid w:val="0034404A"/>
    <w:rsid w:val="003448E7"/>
    <w:rsid w:val="00344EB0"/>
    <w:rsid w:val="003463DA"/>
    <w:rsid w:val="003468CB"/>
    <w:rsid w:val="00346D2E"/>
    <w:rsid w:val="00350415"/>
    <w:rsid w:val="0035093A"/>
    <w:rsid w:val="003510C4"/>
    <w:rsid w:val="00351D51"/>
    <w:rsid w:val="00353F2A"/>
    <w:rsid w:val="003558F7"/>
    <w:rsid w:val="00356C2F"/>
    <w:rsid w:val="00356C84"/>
    <w:rsid w:val="00356FFD"/>
    <w:rsid w:val="003578F2"/>
    <w:rsid w:val="003600B1"/>
    <w:rsid w:val="00360674"/>
    <w:rsid w:val="003617DE"/>
    <w:rsid w:val="003629F7"/>
    <w:rsid w:val="00362C82"/>
    <w:rsid w:val="00363685"/>
    <w:rsid w:val="00363B41"/>
    <w:rsid w:val="00364030"/>
    <w:rsid w:val="0036488D"/>
    <w:rsid w:val="00365AA3"/>
    <w:rsid w:val="00365D0A"/>
    <w:rsid w:val="003669F9"/>
    <w:rsid w:val="00366EDD"/>
    <w:rsid w:val="00366EEA"/>
    <w:rsid w:val="00366F0A"/>
    <w:rsid w:val="0036799C"/>
    <w:rsid w:val="00367A0C"/>
    <w:rsid w:val="003705AB"/>
    <w:rsid w:val="0037067D"/>
    <w:rsid w:val="00370FD4"/>
    <w:rsid w:val="00371103"/>
    <w:rsid w:val="00372D41"/>
    <w:rsid w:val="00373868"/>
    <w:rsid w:val="00375770"/>
    <w:rsid w:val="00376040"/>
    <w:rsid w:val="00376C25"/>
    <w:rsid w:val="00377640"/>
    <w:rsid w:val="00381013"/>
    <w:rsid w:val="00381463"/>
    <w:rsid w:val="00381A59"/>
    <w:rsid w:val="00382A55"/>
    <w:rsid w:val="00383153"/>
    <w:rsid w:val="0038412A"/>
    <w:rsid w:val="00384667"/>
    <w:rsid w:val="00384ABB"/>
    <w:rsid w:val="00384B0B"/>
    <w:rsid w:val="00385126"/>
    <w:rsid w:val="00385F96"/>
    <w:rsid w:val="00390780"/>
    <w:rsid w:val="00391048"/>
    <w:rsid w:val="00391190"/>
    <w:rsid w:val="003916E5"/>
    <w:rsid w:val="00391CED"/>
    <w:rsid w:val="00391E06"/>
    <w:rsid w:val="00391F2A"/>
    <w:rsid w:val="00392EA3"/>
    <w:rsid w:val="00395195"/>
    <w:rsid w:val="00395E53"/>
    <w:rsid w:val="00397D8D"/>
    <w:rsid w:val="00397EAE"/>
    <w:rsid w:val="003A06E6"/>
    <w:rsid w:val="003A1257"/>
    <w:rsid w:val="003A154B"/>
    <w:rsid w:val="003A1C4A"/>
    <w:rsid w:val="003A2D6A"/>
    <w:rsid w:val="003A460A"/>
    <w:rsid w:val="003A5196"/>
    <w:rsid w:val="003A64FA"/>
    <w:rsid w:val="003A71C5"/>
    <w:rsid w:val="003A7882"/>
    <w:rsid w:val="003B185F"/>
    <w:rsid w:val="003B3908"/>
    <w:rsid w:val="003B3C70"/>
    <w:rsid w:val="003B4168"/>
    <w:rsid w:val="003B5DA1"/>
    <w:rsid w:val="003B5E1A"/>
    <w:rsid w:val="003B636D"/>
    <w:rsid w:val="003B6B0E"/>
    <w:rsid w:val="003B6D15"/>
    <w:rsid w:val="003B6E67"/>
    <w:rsid w:val="003B78D6"/>
    <w:rsid w:val="003C00C6"/>
    <w:rsid w:val="003C0B2F"/>
    <w:rsid w:val="003C1656"/>
    <w:rsid w:val="003C1F9F"/>
    <w:rsid w:val="003C284C"/>
    <w:rsid w:val="003C37D4"/>
    <w:rsid w:val="003C4213"/>
    <w:rsid w:val="003C45F2"/>
    <w:rsid w:val="003C4791"/>
    <w:rsid w:val="003C5792"/>
    <w:rsid w:val="003C6140"/>
    <w:rsid w:val="003C6562"/>
    <w:rsid w:val="003C6BB6"/>
    <w:rsid w:val="003C6E2F"/>
    <w:rsid w:val="003C74F3"/>
    <w:rsid w:val="003C792E"/>
    <w:rsid w:val="003D05FA"/>
    <w:rsid w:val="003D0B5C"/>
    <w:rsid w:val="003D10B4"/>
    <w:rsid w:val="003D4B09"/>
    <w:rsid w:val="003D50E4"/>
    <w:rsid w:val="003D5353"/>
    <w:rsid w:val="003D5769"/>
    <w:rsid w:val="003D5A13"/>
    <w:rsid w:val="003D6304"/>
    <w:rsid w:val="003D678C"/>
    <w:rsid w:val="003D69F8"/>
    <w:rsid w:val="003D6A81"/>
    <w:rsid w:val="003D72B6"/>
    <w:rsid w:val="003E061E"/>
    <w:rsid w:val="003E19C3"/>
    <w:rsid w:val="003E1FE4"/>
    <w:rsid w:val="003E382C"/>
    <w:rsid w:val="003E3949"/>
    <w:rsid w:val="003E458F"/>
    <w:rsid w:val="003E4BEB"/>
    <w:rsid w:val="003E637D"/>
    <w:rsid w:val="003E7549"/>
    <w:rsid w:val="003E7984"/>
    <w:rsid w:val="003F071D"/>
    <w:rsid w:val="003F08B2"/>
    <w:rsid w:val="003F1181"/>
    <w:rsid w:val="003F20FF"/>
    <w:rsid w:val="003F28F3"/>
    <w:rsid w:val="003F2949"/>
    <w:rsid w:val="003F30C3"/>
    <w:rsid w:val="003F43F8"/>
    <w:rsid w:val="003F5A7E"/>
    <w:rsid w:val="003F65F1"/>
    <w:rsid w:val="003F65F8"/>
    <w:rsid w:val="003F6617"/>
    <w:rsid w:val="003F7B71"/>
    <w:rsid w:val="004002AF"/>
    <w:rsid w:val="00400784"/>
    <w:rsid w:val="004009A3"/>
    <w:rsid w:val="0040125C"/>
    <w:rsid w:val="00402315"/>
    <w:rsid w:val="00402A07"/>
    <w:rsid w:val="0040381E"/>
    <w:rsid w:val="0040426C"/>
    <w:rsid w:val="00404CA4"/>
    <w:rsid w:val="00405D71"/>
    <w:rsid w:val="00406A4D"/>
    <w:rsid w:val="00407053"/>
    <w:rsid w:val="00407C3F"/>
    <w:rsid w:val="00407DEA"/>
    <w:rsid w:val="00410321"/>
    <w:rsid w:val="004107FB"/>
    <w:rsid w:val="0041126B"/>
    <w:rsid w:val="00414778"/>
    <w:rsid w:val="00414F8A"/>
    <w:rsid w:val="004159AF"/>
    <w:rsid w:val="00415FDA"/>
    <w:rsid w:val="004160A0"/>
    <w:rsid w:val="0041667E"/>
    <w:rsid w:val="004168C4"/>
    <w:rsid w:val="00416B4D"/>
    <w:rsid w:val="00417D17"/>
    <w:rsid w:val="00420036"/>
    <w:rsid w:val="004201A8"/>
    <w:rsid w:val="00421BBB"/>
    <w:rsid w:val="0042246F"/>
    <w:rsid w:val="00424072"/>
    <w:rsid w:val="0042447C"/>
    <w:rsid w:val="004248C5"/>
    <w:rsid w:val="0042497B"/>
    <w:rsid w:val="00424B45"/>
    <w:rsid w:val="00424CB9"/>
    <w:rsid w:val="0042529E"/>
    <w:rsid w:val="004252F4"/>
    <w:rsid w:val="0042561D"/>
    <w:rsid w:val="0042762B"/>
    <w:rsid w:val="004309DA"/>
    <w:rsid w:val="004310F8"/>
    <w:rsid w:val="00433AE7"/>
    <w:rsid w:val="00434048"/>
    <w:rsid w:val="0043441A"/>
    <w:rsid w:val="00434505"/>
    <w:rsid w:val="00434AE5"/>
    <w:rsid w:val="00435CB0"/>
    <w:rsid w:val="00436186"/>
    <w:rsid w:val="0043767A"/>
    <w:rsid w:val="00437806"/>
    <w:rsid w:val="004407DC"/>
    <w:rsid w:val="00440A6A"/>
    <w:rsid w:val="00440F7C"/>
    <w:rsid w:val="0044115C"/>
    <w:rsid w:val="0044170B"/>
    <w:rsid w:val="004431DD"/>
    <w:rsid w:val="00445DAA"/>
    <w:rsid w:val="004460A6"/>
    <w:rsid w:val="004466D1"/>
    <w:rsid w:val="00447C72"/>
    <w:rsid w:val="00450209"/>
    <w:rsid w:val="00450258"/>
    <w:rsid w:val="004517DC"/>
    <w:rsid w:val="004520DD"/>
    <w:rsid w:val="004528BC"/>
    <w:rsid w:val="00452B04"/>
    <w:rsid w:val="00452C22"/>
    <w:rsid w:val="00453658"/>
    <w:rsid w:val="00453B63"/>
    <w:rsid w:val="004542F7"/>
    <w:rsid w:val="00460328"/>
    <w:rsid w:val="00461DA5"/>
    <w:rsid w:val="00462036"/>
    <w:rsid w:val="00462387"/>
    <w:rsid w:val="00462D5F"/>
    <w:rsid w:val="004633F7"/>
    <w:rsid w:val="00463467"/>
    <w:rsid w:val="00463EFC"/>
    <w:rsid w:val="0046402A"/>
    <w:rsid w:val="004646A1"/>
    <w:rsid w:val="0046539E"/>
    <w:rsid w:val="00466259"/>
    <w:rsid w:val="004712B9"/>
    <w:rsid w:val="004721A0"/>
    <w:rsid w:val="00472CFF"/>
    <w:rsid w:val="00473605"/>
    <w:rsid w:val="004746EF"/>
    <w:rsid w:val="0047471D"/>
    <w:rsid w:val="00474882"/>
    <w:rsid w:val="00475309"/>
    <w:rsid w:val="00475AE6"/>
    <w:rsid w:val="00475D73"/>
    <w:rsid w:val="00476107"/>
    <w:rsid w:val="00476BF6"/>
    <w:rsid w:val="00476E7D"/>
    <w:rsid w:val="0047746A"/>
    <w:rsid w:val="0047751E"/>
    <w:rsid w:val="004819F7"/>
    <w:rsid w:val="00482990"/>
    <w:rsid w:val="00483D0B"/>
    <w:rsid w:val="00484475"/>
    <w:rsid w:val="00484846"/>
    <w:rsid w:val="00484BA9"/>
    <w:rsid w:val="00484FD0"/>
    <w:rsid w:val="0048614C"/>
    <w:rsid w:val="00486171"/>
    <w:rsid w:val="00486C02"/>
    <w:rsid w:val="00487093"/>
    <w:rsid w:val="004875BE"/>
    <w:rsid w:val="0048761E"/>
    <w:rsid w:val="00487FAD"/>
    <w:rsid w:val="0049059A"/>
    <w:rsid w:val="00490A81"/>
    <w:rsid w:val="00490C49"/>
    <w:rsid w:val="00490E77"/>
    <w:rsid w:val="00491348"/>
    <w:rsid w:val="00491389"/>
    <w:rsid w:val="004913C7"/>
    <w:rsid w:val="004926B4"/>
    <w:rsid w:val="00492BCA"/>
    <w:rsid w:val="00492F4E"/>
    <w:rsid w:val="00493137"/>
    <w:rsid w:val="00493668"/>
    <w:rsid w:val="0049424F"/>
    <w:rsid w:val="004958F0"/>
    <w:rsid w:val="00497063"/>
    <w:rsid w:val="00497B7F"/>
    <w:rsid w:val="004A01F0"/>
    <w:rsid w:val="004A1760"/>
    <w:rsid w:val="004A1BA9"/>
    <w:rsid w:val="004A3256"/>
    <w:rsid w:val="004A3A61"/>
    <w:rsid w:val="004A42D3"/>
    <w:rsid w:val="004A49DB"/>
    <w:rsid w:val="004A68C3"/>
    <w:rsid w:val="004A7607"/>
    <w:rsid w:val="004A78D8"/>
    <w:rsid w:val="004B0588"/>
    <w:rsid w:val="004B06C7"/>
    <w:rsid w:val="004B1382"/>
    <w:rsid w:val="004B30C9"/>
    <w:rsid w:val="004B312A"/>
    <w:rsid w:val="004B34C7"/>
    <w:rsid w:val="004B35E4"/>
    <w:rsid w:val="004B48BE"/>
    <w:rsid w:val="004B49F3"/>
    <w:rsid w:val="004B69E8"/>
    <w:rsid w:val="004B6ACB"/>
    <w:rsid w:val="004B6AEC"/>
    <w:rsid w:val="004B743E"/>
    <w:rsid w:val="004B77D3"/>
    <w:rsid w:val="004B781A"/>
    <w:rsid w:val="004C16F4"/>
    <w:rsid w:val="004C56C4"/>
    <w:rsid w:val="004C6A9E"/>
    <w:rsid w:val="004C726D"/>
    <w:rsid w:val="004D00FE"/>
    <w:rsid w:val="004D03E5"/>
    <w:rsid w:val="004D2B01"/>
    <w:rsid w:val="004D3DD3"/>
    <w:rsid w:val="004D4C09"/>
    <w:rsid w:val="004D528E"/>
    <w:rsid w:val="004D57EA"/>
    <w:rsid w:val="004D7FE0"/>
    <w:rsid w:val="004E039B"/>
    <w:rsid w:val="004E086A"/>
    <w:rsid w:val="004E18DE"/>
    <w:rsid w:val="004E2410"/>
    <w:rsid w:val="004E3652"/>
    <w:rsid w:val="004E376F"/>
    <w:rsid w:val="004E52C0"/>
    <w:rsid w:val="004E5585"/>
    <w:rsid w:val="004E69FF"/>
    <w:rsid w:val="004E754F"/>
    <w:rsid w:val="004F1BCC"/>
    <w:rsid w:val="004F203D"/>
    <w:rsid w:val="004F25BD"/>
    <w:rsid w:val="004F263D"/>
    <w:rsid w:val="004F477D"/>
    <w:rsid w:val="004F4AED"/>
    <w:rsid w:val="004F4D96"/>
    <w:rsid w:val="004F4FA8"/>
    <w:rsid w:val="004F6E64"/>
    <w:rsid w:val="004F728C"/>
    <w:rsid w:val="004F7CE8"/>
    <w:rsid w:val="005003CF"/>
    <w:rsid w:val="0050195C"/>
    <w:rsid w:val="00502E67"/>
    <w:rsid w:val="00504EBF"/>
    <w:rsid w:val="005051AE"/>
    <w:rsid w:val="00506EB6"/>
    <w:rsid w:val="00515819"/>
    <w:rsid w:val="00515D0C"/>
    <w:rsid w:val="005160A0"/>
    <w:rsid w:val="00516316"/>
    <w:rsid w:val="005169BA"/>
    <w:rsid w:val="0051707A"/>
    <w:rsid w:val="00517186"/>
    <w:rsid w:val="0051720F"/>
    <w:rsid w:val="005205E2"/>
    <w:rsid w:val="00523E0A"/>
    <w:rsid w:val="005252BC"/>
    <w:rsid w:val="005263CF"/>
    <w:rsid w:val="005272CA"/>
    <w:rsid w:val="00530B85"/>
    <w:rsid w:val="00530D2D"/>
    <w:rsid w:val="00531049"/>
    <w:rsid w:val="005311B1"/>
    <w:rsid w:val="0053147C"/>
    <w:rsid w:val="0053162B"/>
    <w:rsid w:val="00532CEB"/>
    <w:rsid w:val="0053322A"/>
    <w:rsid w:val="005338E6"/>
    <w:rsid w:val="005338F2"/>
    <w:rsid w:val="005373F7"/>
    <w:rsid w:val="00540056"/>
    <w:rsid w:val="00540184"/>
    <w:rsid w:val="005409AE"/>
    <w:rsid w:val="005418FE"/>
    <w:rsid w:val="00542566"/>
    <w:rsid w:val="005425DD"/>
    <w:rsid w:val="005428D7"/>
    <w:rsid w:val="00542A17"/>
    <w:rsid w:val="00542BBB"/>
    <w:rsid w:val="00545631"/>
    <w:rsid w:val="00545AC4"/>
    <w:rsid w:val="00545CD6"/>
    <w:rsid w:val="00546215"/>
    <w:rsid w:val="00546CEB"/>
    <w:rsid w:val="00546EAC"/>
    <w:rsid w:val="0055209F"/>
    <w:rsid w:val="00552588"/>
    <w:rsid w:val="00552789"/>
    <w:rsid w:val="00552F83"/>
    <w:rsid w:val="005553A1"/>
    <w:rsid w:val="0055625D"/>
    <w:rsid w:val="0056042E"/>
    <w:rsid w:val="00563604"/>
    <w:rsid w:val="0056389B"/>
    <w:rsid w:val="00563C3D"/>
    <w:rsid w:val="00564F55"/>
    <w:rsid w:val="00566100"/>
    <w:rsid w:val="0056789E"/>
    <w:rsid w:val="00567F52"/>
    <w:rsid w:val="005702FA"/>
    <w:rsid w:val="005738AE"/>
    <w:rsid w:val="00574B65"/>
    <w:rsid w:val="00576121"/>
    <w:rsid w:val="0058002A"/>
    <w:rsid w:val="00580FF4"/>
    <w:rsid w:val="005812F1"/>
    <w:rsid w:val="00581762"/>
    <w:rsid w:val="00581A20"/>
    <w:rsid w:val="005832C6"/>
    <w:rsid w:val="005836C4"/>
    <w:rsid w:val="00584A0E"/>
    <w:rsid w:val="0058702E"/>
    <w:rsid w:val="00587489"/>
    <w:rsid w:val="00587B20"/>
    <w:rsid w:val="00587BCA"/>
    <w:rsid w:val="0059207A"/>
    <w:rsid w:val="00594322"/>
    <w:rsid w:val="00594EE8"/>
    <w:rsid w:val="005A0D49"/>
    <w:rsid w:val="005A0E05"/>
    <w:rsid w:val="005A18C5"/>
    <w:rsid w:val="005A2AF9"/>
    <w:rsid w:val="005A3044"/>
    <w:rsid w:val="005A38AE"/>
    <w:rsid w:val="005A38FA"/>
    <w:rsid w:val="005A5415"/>
    <w:rsid w:val="005A6AC4"/>
    <w:rsid w:val="005A6D0A"/>
    <w:rsid w:val="005A738C"/>
    <w:rsid w:val="005B1011"/>
    <w:rsid w:val="005B28F8"/>
    <w:rsid w:val="005B4C3B"/>
    <w:rsid w:val="005B5A53"/>
    <w:rsid w:val="005B6B12"/>
    <w:rsid w:val="005B6E0B"/>
    <w:rsid w:val="005C0052"/>
    <w:rsid w:val="005C1DA8"/>
    <w:rsid w:val="005C3369"/>
    <w:rsid w:val="005C3547"/>
    <w:rsid w:val="005C3828"/>
    <w:rsid w:val="005C4AE1"/>
    <w:rsid w:val="005C51C2"/>
    <w:rsid w:val="005C557A"/>
    <w:rsid w:val="005C573F"/>
    <w:rsid w:val="005C5B84"/>
    <w:rsid w:val="005C673B"/>
    <w:rsid w:val="005C724C"/>
    <w:rsid w:val="005C76E1"/>
    <w:rsid w:val="005C7D61"/>
    <w:rsid w:val="005C7D66"/>
    <w:rsid w:val="005D02DA"/>
    <w:rsid w:val="005D1CBE"/>
    <w:rsid w:val="005D291B"/>
    <w:rsid w:val="005D3F96"/>
    <w:rsid w:val="005D5059"/>
    <w:rsid w:val="005D55A6"/>
    <w:rsid w:val="005D5E20"/>
    <w:rsid w:val="005D63E7"/>
    <w:rsid w:val="005D6783"/>
    <w:rsid w:val="005D6A70"/>
    <w:rsid w:val="005D750F"/>
    <w:rsid w:val="005E0157"/>
    <w:rsid w:val="005E0395"/>
    <w:rsid w:val="005E06A4"/>
    <w:rsid w:val="005E0FE0"/>
    <w:rsid w:val="005E1230"/>
    <w:rsid w:val="005E33A2"/>
    <w:rsid w:val="005E3AB5"/>
    <w:rsid w:val="005E3CAD"/>
    <w:rsid w:val="005E4E9A"/>
    <w:rsid w:val="005E5122"/>
    <w:rsid w:val="005E57CA"/>
    <w:rsid w:val="005E7157"/>
    <w:rsid w:val="005E7AD8"/>
    <w:rsid w:val="005E7B1C"/>
    <w:rsid w:val="005F007E"/>
    <w:rsid w:val="005F07E1"/>
    <w:rsid w:val="005F1B5E"/>
    <w:rsid w:val="005F259D"/>
    <w:rsid w:val="005F3397"/>
    <w:rsid w:val="005F4012"/>
    <w:rsid w:val="005F63E1"/>
    <w:rsid w:val="005F6D04"/>
    <w:rsid w:val="005F7AE7"/>
    <w:rsid w:val="005F7D99"/>
    <w:rsid w:val="00600116"/>
    <w:rsid w:val="00602ED4"/>
    <w:rsid w:val="006040BF"/>
    <w:rsid w:val="00604D49"/>
    <w:rsid w:val="00604E5A"/>
    <w:rsid w:val="00604F1A"/>
    <w:rsid w:val="0060521F"/>
    <w:rsid w:val="006056FC"/>
    <w:rsid w:val="00606323"/>
    <w:rsid w:val="006066C0"/>
    <w:rsid w:val="00607DD6"/>
    <w:rsid w:val="006109AA"/>
    <w:rsid w:val="00610C4C"/>
    <w:rsid w:val="00611388"/>
    <w:rsid w:val="00611B6C"/>
    <w:rsid w:val="00612BD3"/>
    <w:rsid w:val="00613886"/>
    <w:rsid w:val="006147C6"/>
    <w:rsid w:val="00614886"/>
    <w:rsid w:val="00614E97"/>
    <w:rsid w:val="006151B0"/>
    <w:rsid w:val="00615215"/>
    <w:rsid w:val="0061545C"/>
    <w:rsid w:val="00615DBB"/>
    <w:rsid w:val="00617D8A"/>
    <w:rsid w:val="00617F1D"/>
    <w:rsid w:val="00620FE8"/>
    <w:rsid w:val="00621363"/>
    <w:rsid w:val="006220F6"/>
    <w:rsid w:val="00622925"/>
    <w:rsid w:val="00622BD9"/>
    <w:rsid w:val="006239EA"/>
    <w:rsid w:val="00624046"/>
    <w:rsid w:val="00624461"/>
    <w:rsid w:val="00625181"/>
    <w:rsid w:val="00626288"/>
    <w:rsid w:val="0062723D"/>
    <w:rsid w:val="00627416"/>
    <w:rsid w:val="00627A24"/>
    <w:rsid w:val="00627A6C"/>
    <w:rsid w:val="00627D87"/>
    <w:rsid w:val="00630CA2"/>
    <w:rsid w:val="00640037"/>
    <w:rsid w:val="006409F0"/>
    <w:rsid w:val="00640C26"/>
    <w:rsid w:val="00642951"/>
    <w:rsid w:val="00643153"/>
    <w:rsid w:val="006433D3"/>
    <w:rsid w:val="00643C4B"/>
    <w:rsid w:val="00643DB9"/>
    <w:rsid w:val="00644292"/>
    <w:rsid w:val="00644524"/>
    <w:rsid w:val="00644BC1"/>
    <w:rsid w:val="0064502D"/>
    <w:rsid w:val="0064661D"/>
    <w:rsid w:val="00646E35"/>
    <w:rsid w:val="00646E5A"/>
    <w:rsid w:val="00647C09"/>
    <w:rsid w:val="00650314"/>
    <w:rsid w:val="0065099D"/>
    <w:rsid w:val="00650B43"/>
    <w:rsid w:val="00650DA8"/>
    <w:rsid w:val="006529F1"/>
    <w:rsid w:val="00652F23"/>
    <w:rsid w:val="0065386F"/>
    <w:rsid w:val="00653938"/>
    <w:rsid w:val="00653A80"/>
    <w:rsid w:val="0065402F"/>
    <w:rsid w:val="00654C27"/>
    <w:rsid w:val="00654EF1"/>
    <w:rsid w:val="00655C0C"/>
    <w:rsid w:val="00655C24"/>
    <w:rsid w:val="00656777"/>
    <w:rsid w:val="00657661"/>
    <w:rsid w:val="0066004B"/>
    <w:rsid w:val="006607C5"/>
    <w:rsid w:val="00661677"/>
    <w:rsid w:val="006618F3"/>
    <w:rsid w:val="0066266F"/>
    <w:rsid w:val="006646A8"/>
    <w:rsid w:val="0066507D"/>
    <w:rsid w:val="00665380"/>
    <w:rsid w:val="00665DE0"/>
    <w:rsid w:val="00665F6C"/>
    <w:rsid w:val="0066616A"/>
    <w:rsid w:val="00666728"/>
    <w:rsid w:val="00667115"/>
    <w:rsid w:val="00667BAD"/>
    <w:rsid w:val="006713A5"/>
    <w:rsid w:val="0067178E"/>
    <w:rsid w:val="0067240A"/>
    <w:rsid w:val="006724EB"/>
    <w:rsid w:val="00673039"/>
    <w:rsid w:val="0067318A"/>
    <w:rsid w:val="00674A47"/>
    <w:rsid w:val="00674D02"/>
    <w:rsid w:val="00675B02"/>
    <w:rsid w:val="00675EAB"/>
    <w:rsid w:val="006776CE"/>
    <w:rsid w:val="006817C8"/>
    <w:rsid w:val="00681FBE"/>
    <w:rsid w:val="006825C6"/>
    <w:rsid w:val="00683B7A"/>
    <w:rsid w:val="0068442D"/>
    <w:rsid w:val="00686B7F"/>
    <w:rsid w:val="00687894"/>
    <w:rsid w:val="00690C34"/>
    <w:rsid w:val="00691BE0"/>
    <w:rsid w:val="006920B4"/>
    <w:rsid w:val="006928DA"/>
    <w:rsid w:val="0069345C"/>
    <w:rsid w:val="00694392"/>
    <w:rsid w:val="006950AD"/>
    <w:rsid w:val="00695F6B"/>
    <w:rsid w:val="00696F81"/>
    <w:rsid w:val="00697C6D"/>
    <w:rsid w:val="006A036B"/>
    <w:rsid w:val="006A0421"/>
    <w:rsid w:val="006A2844"/>
    <w:rsid w:val="006A30D9"/>
    <w:rsid w:val="006A3672"/>
    <w:rsid w:val="006A3D5F"/>
    <w:rsid w:val="006A411C"/>
    <w:rsid w:val="006A4BDE"/>
    <w:rsid w:val="006A4D90"/>
    <w:rsid w:val="006A53D2"/>
    <w:rsid w:val="006A70AA"/>
    <w:rsid w:val="006A791E"/>
    <w:rsid w:val="006A79BD"/>
    <w:rsid w:val="006A7A93"/>
    <w:rsid w:val="006B0735"/>
    <w:rsid w:val="006B08F6"/>
    <w:rsid w:val="006B2CA5"/>
    <w:rsid w:val="006B31EB"/>
    <w:rsid w:val="006B49B3"/>
    <w:rsid w:val="006B4E91"/>
    <w:rsid w:val="006B5124"/>
    <w:rsid w:val="006B6346"/>
    <w:rsid w:val="006B7069"/>
    <w:rsid w:val="006B7DDA"/>
    <w:rsid w:val="006C003D"/>
    <w:rsid w:val="006C3343"/>
    <w:rsid w:val="006C47E8"/>
    <w:rsid w:val="006C4808"/>
    <w:rsid w:val="006C4C38"/>
    <w:rsid w:val="006C5C86"/>
    <w:rsid w:val="006C5F65"/>
    <w:rsid w:val="006D07E6"/>
    <w:rsid w:val="006D10ED"/>
    <w:rsid w:val="006D1348"/>
    <w:rsid w:val="006D1BC2"/>
    <w:rsid w:val="006D1C37"/>
    <w:rsid w:val="006D3F5F"/>
    <w:rsid w:val="006D4525"/>
    <w:rsid w:val="006D509F"/>
    <w:rsid w:val="006D5651"/>
    <w:rsid w:val="006D5CDC"/>
    <w:rsid w:val="006D6F77"/>
    <w:rsid w:val="006D7005"/>
    <w:rsid w:val="006D70DC"/>
    <w:rsid w:val="006D7674"/>
    <w:rsid w:val="006D7BA7"/>
    <w:rsid w:val="006D7ED7"/>
    <w:rsid w:val="006E00CF"/>
    <w:rsid w:val="006E06AE"/>
    <w:rsid w:val="006E1270"/>
    <w:rsid w:val="006E1950"/>
    <w:rsid w:val="006E1967"/>
    <w:rsid w:val="006E2AE6"/>
    <w:rsid w:val="006E2E81"/>
    <w:rsid w:val="006E3543"/>
    <w:rsid w:val="006E48CF"/>
    <w:rsid w:val="006F04AB"/>
    <w:rsid w:val="006F0679"/>
    <w:rsid w:val="006F0DD9"/>
    <w:rsid w:val="006F26B5"/>
    <w:rsid w:val="006F2DE6"/>
    <w:rsid w:val="006F3253"/>
    <w:rsid w:val="006F4395"/>
    <w:rsid w:val="006F4B18"/>
    <w:rsid w:val="006F6265"/>
    <w:rsid w:val="006F65A2"/>
    <w:rsid w:val="006F6A41"/>
    <w:rsid w:val="006F76CE"/>
    <w:rsid w:val="006F7FB6"/>
    <w:rsid w:val="007014AB"/>
    <w:rsid w:val="007017C6"/>
    <w:rsid w:val="007019D5"/>
    <w:rsid w:val="00701A87"/>
    <w:rsid w:val="00701C8B"/>
    <w:rsid w:val="00701DD6"/>
    <w:rsid w:val="00702733"/>
    <w:rsid w:val="00703028"/>
    <w:rsid w:val="00703CF1"/>
    <w:rsid w:val="0070417A"/>
    <w:rsid w:val="00704805"/>
    <w:rsid w:val="007052C2"/>
    <w:rsid w:val="00706B69"/>
    <w:rsid w:val="00711002"/>
    <w:rsid w:val="00711AF0"/>
    <w:rsid w:val="00711E55"/>
    <w:rsid w:val="007120D0"/>
    <w:rsid w:val="00712264"/>
    <w:rsid w:val="007125C9"/>
    <w:rsid w:val="00712EA1"/>
    <w:rsid w:val="00713606"/>
    <w:rsid w:val="00715C32"/>
    <w:rsid w:val="007165FF"/>
    <w:rsid w:val="00717666"/>
    <w:rsid w:val="00720468"/>
    <w:rsid w:val="00720816"/>
    <w:rsid w:val="00721FE4"/>
    <w:rsid w:val="00722DF5"/>
    <w:rsid w:val="00723936"/>
    <w:rsid w:val="00723E14"/>
    <w:rsid w:val="00723E4D"/>
    <w:rsid w:val="0072421B"/>
    <w:rsid w:val="00725048"/>
    <w:rsid w:val="007250D0"/>
    <w:rsid w:val="0072590A"/>
    <w:rsid w:val="00725A5F"/>
    <w:rsid w:val="0072712E"/>
    <w:rsid w:val="00727856"/>
    <w:rsid w:val="00730A52"/>
    <w:rsid w:val="00731104"/>
    <w:rsid w:val="00731B62"/>
    <w:rsid w:val="007323D2"/>
    <w:rsid w:val="007325E5"/>
    <w:rsid w:val="00732E05"/>
    <w:rsid w:val="00733850"/>
    <w:rsid w:val="0073451F"/>
    <w:rsid w:val="00734944"/>
    <w:rsid w:val="00734995"/>
    <w:rsid w:val="00734B77"/>
    <w:rsid w:val="00735FDB"/>
    <w:rsid w:val="00736ECE"/>
    <w:rsid w:val="00737109"/>
    <w:rsid w:val="00740042"/>
    <w:rsid w:val="007416B1"/>
    <w:rsid w:val="00741AF9"/>
    <w:rsid w:val="00741C58"/>
    <w:rsid w:val="0074248E"/>
    <w:rsid w:val="00743AAE"/>
    <w:rsid w:val="00743C37"/>
    <w:rsid w:val="00744E83"/>
    <w:rsid w:val="007458FC"/>
    <w:rsid w:val="00746395"/>
    <w:rsid w:val="00746B38"/>
    <w:rsid w:val="00746EDB"/>
    <w:rsid w:val="00747715"/>
    <w:rsid w:val="007518D6"/>
    <w:rsid w:val="00751F39"/>
    <w:rsid w:val="007520F6"/>
    <w:rsid w:val="0075228C"/>
    <w:rsid w:val="00753101"/>
    <w:rsid w:val="00753299"/>
    <w:rsid w:val="007537D2"/>
    <w:rsid w:val="00753807"/>
    <w:rsid w:val="007539EA"/>
    <w:rsid w:val="007541A8"/>
    <w:rsid w:val="00755D7C"/>
    <w:rsid w:val="007560B0"/>
    <w:rsid w:val="00756D63"/>
    <w:rsid w:val="00756E11"/>
    <w:rsid w:val="00757A6A"/>
    <w:rsid w:val="00757AD9"/>
    <w:rsid w:val="00762FD8"/>
    <w:rsid w:val="00763FA1"/>
    <w:rsid w:val="00764FDA"/>
    <w:rsid w:val="007652D5"/>
    <w:rsid w:val="007655A7"/>
    <w:rsid w:val="007656E6"/>
    <w:rsid w:val="00766E62"/>
    <w:rsid w:val="007676FE"/>
    <w:rsid w:val="00767EDF"/>
    <w:rsid w:val="00770564"/>
    <w:rsid w:val="00770569"/>
    <w:rsid w:val="00770618"/>
    <w:rsid w:val="00770F4A"/>
    <w:rsid w:val="00771894"/>
    <w:rsid w:val="00772A8C"/>
    <w:rsid w:val="00773006"/>
    <w:rsid w:val="0077327E"/>
    <w:rsid w:val="00773F0E"/>
    <w:rsid w:val="00776BAC"/>
    <w:rsid w:val="00777783"/>
    <w:rsid w:val="00777905"/>
    <w:rsid w:val="00777B40"/>
    <w:rsid w:val="00777FFD"/>
    <w:rsid w:val="007802C5"/>
    <w:rsid w:val="007843FE"/>
    <w:rsid w:val="00784A6D"/>
    <w:rsid w:val="00784BC9"/>
    <w:rsid w:val="007853D4"/>
    <w:rsid w:val="00785BAF"/>
    <w:rsid w:val="00786369"/>
    <w:rsid w:val="00786FCF"/>
    <w:rsid w:val="0078778B"/>
    <w:rsid w:val="00787D61"/>
    <w:rsid w:val="0079038A"/>
    <w:rsid w:val="00790924"/>
    <w:rsid w:val="0079296D"/>
    <w:rsid w:val="00792EA1"/>
    <w:rsid w:val="00793F70"/>
    <w:rsid w:val="00794F51"/>
    <w:rsid w:val="007955CC"/>
    <w:rsid w:val="0079585F"/>
    <w:rsid w:val="007971F5"/>
    <w:rsid w:val="007979DE"/>
    <w:rsid w:val="00797FEC"/>
    <w:rsid w:val="007A390A"/>
    <w:rsid w:val="007A441D"/>
    <w:rsid w:val="007A4F40"/>
    <w:rsid w:val="007A5955"/>
    <w:rsid w:val="007A59B7"/>
    <w:rsid w:val="007A6C88"/>
    <w:rsid w:val="007A72F9"/>
    <w:rsid w:val="007B0741"/>
    <w:rsid w:val="007B0B6B"/>
    <w:rsid w:val="007B29BA"/>
    <w:rsid w:val="007B351F"/>
    <w:rsid w:val="007B3C1F"/>
    <w:rsid w:val="007B405F"/>
    <w:rsid w:val="007B51D5"/>
    <w:rsid w:val="007B5A1C"/>
    <w:rsid w:val="007B71CE"/>
    <w:rsid w:val="007B77BC"/>
    <w:rsid w:val="007B7A96"/>
    <w:rsid w:val="007C0451"/>
    <w:rsid w:val="007C17B4"/>
    <w:rsid w:val="007C38B5"/>
    <w:rsid w:val="007C3E99"/>
    <w:rsid w:val="007C4CA9"/>
    <w:rsid w:val="007C50BA"/>
    <w:rsid w:val="007C5CF3"/>
    <w:rsid w:val="007C61A9"/>
    <w:rsid w:val="007C762E"/>
    <w:rsid w:val="007C7A28"/>
    <w:rsid w:val="007D0706"/>
    <w:rsid w:val="007D0BF5"/>
    <w:rsid w:val="007D198C"/>
    <w:rsid w:val="007D3A37"/>
    <w:rsid w:val="007D7876"/>
    <w:rsid w:val="007E041E"/>
    <w:rsid w:val="007E1CEE"/>
    <w:rsid w:val="007E2A8C"/>
    <w:rsid w:val="007E2D10"/>
    <w:rsid w:val="007E2F58"/>
    <w:rsid w:val="007E329F"/>
    <w:rsid w:val="007E32FD"/>
    <w:rsid w:val="007E44F7"/>
    <w:rsid w:val="007E5434"/>
    <w:rsid w:val="007E6EAA"/>
    <w:rsid w:val="007F03C2"/>
    <w:rsid w:val="007F0772"/>
    <w:rsid w:val="007F0F18"/>
    <w:rsid w:val="007F2708"/>
    <w:rsid w:val="007F3386"/>
    <w:rsid w:val="007F3428"/>
    <w:rsid w:val="007F4507"/>
    <w:rsid w:val="007F4FCF"/>
    <w:rsid w:val="007F6C31"/>
    <w:rsid w:val="007F7F20"/>
    <w:rsid w:val="00802373"/>
    <w:rsid w:val="00802CAA"/>
    <w:rsid w:val="00802D58"/>
    <w:rsid w:val="008046FD"/>
    <w:rsid w:val="008048D7"/>
    <w:rsid w:val="00804BB3"/>
    <w:rsid w:val="00807397"/>
    <w:rsid w:val="00811331"/>
    <w:rsid w:val="00811BD3"/>
    <w:rsid w:val="00813E0B"/>
    <w:rsid w:val="008141E3"/>
    <w:rsid w:val="00814C9D"/>
    <w:rsid w:val="008159D7"/>
    <w:rsid w:val="00815CF2"/>
    <w:rsid w:val="0081600D"/>
    <w:rsid w:val="008169C3"/>
    <w:rsid w:val="00817D27"/>
    <w:rsid w:val="00821622"/>
    <w:rsid w:val="00821D3F"/>
    <w:rsid w:val="00821FC9"/>
    <w:rsid w:val="00822E27"/>
    <w:rsid w:val="00823346"/>
    <w:rsid w:val="008236B6"/>
    <w:rsid w:val="00823914"/>
    <w:rsid w:val="0082443B"/>
    <w:rsid w:val="00824879"/>
    <w:rsid w:val="00824A2E"/>
    <w:rsid w:val="00824B9D"/>
    <w:rsid w:val="008263D1"/>
    <w:rsid w:val="008266C1"/>
    <w:rsid w:val="00826BBA"/>
    <w:rsid w:val="00826BBD"/>
    <w:rsid w:val="008275E0"/>
    <w:rsid w:val="0082769B"/>
    <w:rsid w:val="0083033A"/>
    <w:rsid w:val="0083114D"/>
    <w:rsid w:val="00831943"/>
    <w:rsid w:val="0083317F"/>
    <w:rsid w:val="00833D48"/>
    <w:rsid w:val="008341E9"/>
    <w:rsid w:val="00834513"/>
    <w:rsid w:val="0083552C"/>
    <w:rsid w:val="00840325"/>
    <w:rsid w:val="0084259C"/>
    <w:rsid w:val="00842757"/>
    <w:rsid w:val="0084363D"/>
    <w:rsid w:val="00843870"/>
    <w:rsid w:val="00843980"/>
    <w:rsid w:val="00844266"/>
    <w:rsid w:val="00844532"/>
    <w:rsid w:val="008464BB"/>
    <w:rsid w:val="00846E3E"/>
    <w:rsid w:val="008470FD"/>
    <w:rsid w:val="00847F76"/>
    <w:rsid w:val="0085176B"/>
    <w:rsid w:val="00852768"/>
    <w:rsid w:val="00852929"/>
    <w:rsid w:val="00855A1A"/>
    <w:rsid w:val="008571E3"/>
    <w:rsid w:val="00860701"/>
    <w:rsid w:val="00861243"/>
    <w:rsid w:val="008616FE"/>
    <w:rsid w:val="00862305"/>
    <w:rsid w:val="00862729"/>
    <w:rsid w:val="008639E5"/>
    <w:rsid w:val="008643CB"/>
    <w:rsid w:val="00864880"/>
    <w:rsid w:val="00866530"/>
    <w:rsid w:val="008706C0"/>
    <w:rsid w:val="00870E99"/>
    <w:rsid w:val="008715A1"/>
    <w:rsid w:val="00871988"/>
    <w:rsid w:val="00872088"/>
    <w:rsid w:val="008730DF"/>
    <w:rsid w:val="008736B0"/>
    <w:rsid w:val="0087563E"/>
    <w:rsid w:val="008760DB"/>
    <w:rsid w:val="008768F4"/>
    <w:rsid w:val="008769BD"/>
    <w:rsid w:val="00880829"/>
    <w:rsid w:val="00881097"/>
    <w:rsid w:val="0088271B"/>
    <w:rsid w:val="00884824"/>
    <w:rsid w:val="0088532A"/>
    <w:rsid w:val="008855DE"/>
    <w:rsid w:val="008856BD"/>
    <w:rsid w:val="00886215"/>
    <w:rsid w:val="008866C7"/>
    <w:rsid w:val="00886A55"/>
    <w:rsid w:val="00891A2A"/>
    <w:rsid w:val="0089259E"/>
    <w:rsid w:val="00892AD8"/>
    <w:rsid w:val="008932E1"/>
    <w:rsid w:val="00893B2B"/>
    <w:rsid w:val="00893BA7"/>
    <w:rsid w:val="00894DF4"/>
    <w:rsid w:val="00895C43"/>
    <w:rsid w:val="00895DDD"/>
    <w:rsid w:val="00896E8F"/>
    <w:rsid w:val="0089762E"/>
    <w:rsid w:val="00897654"/>
    <w:rsid w:val="00897C43"/>
    <w:rsid w:val="008A1F50"/>
    <w:rsid w:val="008A27A9"/>
    <w:rsid w:val="008A2858"/>
    <w:rsid w:val="008A2EFD"/>
    <w:rsid w:val="008A36DC"/>
    <w:rsid w:val="008A59E6"/>
    <w:rsid w:val="008A59E9"/>
    <w:rsid w:val="008A6115"/>
    <w:rsid w:val="008A69B3"/>
    <w:rsid w:val="008A6B56"/>
    <w:rsid w:val="008A796E"/>
    <w:rsid w:val="008A79F0"/>
    <w:rsid w:val="008B0652"/>
    <w:rsid w:val="008B0890"/>
    <w:rsid w:val="008B2979"/>
    <w:rsid w:val="008B2CDB"/>
    <w:rsid w:val="008B38B9"/>
    <w:rsid w:val="008B50D1"/>
    <w:rsid w:val="008B5503"/>
    <w:rsid w:val="008B6F55"/>
    <w:rsid w:val="008B7585"/>
    <w:rsid w:val="008B7ACF"/>
    <w:rsid w:val="008C0102"/>
    <w:rsid w:val="008C1277"/>
    <w:rsid w:val="008C1565"/>
    <w:rsid w:val="008C336E"/>
    <w:rsid w:val="008C5312"/>
    <w:rsid w:val="008C69D8"/>
    <w:rsid w:val="008C6D2A"/>
    <w:rsid w:val="008D0861"/>
    <w:rsid w:val="008D0CC9"/>
    <w:rsid w:val="008D0D4E"/>
    <w:rsid w:val="008D0EF5"/>
    <w:rsid w:val="008D1E1E"/>
    <w:rsid w:val="008D356B"/>
    <w:rsid w:val="008D5F2F"/>
    <w:rsid w:val="008D67E9"/>
    <w:rsid w:val="008D67F1"/>
    <w:rsid w:val="008D6A83"/>
    <w:rsid w:val="008D6C16"/>
    <w:rsid w:val="008E02DC"/>
    <w:rsid w:val="008E0438"/>
    <w:rsid w:val="008E0BE6"/>
    <w:rsid w:val="008E22E3"/>
    <w:rsid w:val="008E234A"/>
    <w:rsid w:val="008E3C19"/>
    <w:rsid w:val="008E49CE"/>
    <w:rsid w:val="008E63D1"/>
    <w:rsid w:val="008E63DD"/>
    <w:rsid w:val="008E64B0"/>
    <w:rsid w:val="008E778A"/>
    <w:rsid w:val="008F08A4"/>
    <w:rsid w:val="008F09E6"/>
    <w:rsid w:val="008F10E9"/>
    <w:rsid w:val="008F231F"/>
    <w:rsid w:val="008F2A73"/>
    <w:rsid w:val="008F3AC5"/>
    <w:rsid w:val="008F40CF"/>
    <w:rsid w:val="008F7D23"/>
    <w:rsid w:val="00900286"/>
    <w:rsid w:val="009012B3"/>
    <w:rsid w:val="00901537"/>
    <w:rsid w:val="00902CFC"/>
    <w:rsid w:val="00902ED6"/>
    <w:rsid w:val="009054DE"/>
    <w:rsid w:val="00905973"/>
    <w:rsid w:val="00910B37"/>
    <w:rsid w:val="00910C72"/>
    <w:rsid w:val="0091397D"/>
    <w:rsid w:val="00913E0B"/>
    <w:rsid w:val="00913E8C"/>
    <w:rsid w:val="0091519C"/>
    <w:rsid w:val="00915B9F"/>
    <w:rsid w:val="00915D0B"/>
    <w:rsid w:val="009172EA"/>
    <w:rsid w:val="0091735E"/>
    <w:rsid w:val="00917549"/>
    <w:rsid w:val="0091786E"/>
    <w:rsid w:val="009208F4"/>
    <w:rsid w:val="00920934"/>
    <w:rsid w:val="009221B6"/>
    <w:rsid w:val="00922792"/>
    <w:rsid w:val="00923493"/>
    <w:rsid w:val="009236C1"/>
    <w:rsid w:val="00923DA4"/>
    <w:rsid w:val="00924C83"/>
    <w:rsid w:val="009258A5"/>
    <w:rsid w:val="00926004"/>
    <w:rsid w:val="00926B12"/>
    <w:rsid w:val="0092786D"/>
    <w:rsid w:val="00930F48"/>
    <w:rsid w:val="0093107D"/>
    <w:rsid w:val="0093129E"/>
    <w:rsid w:val="00931A47"/>
    <w:rsid w:val="0093209D"/>
    <w:rsid w:val="009320AF"/>
    <w:rsid w:val="00932E01"/>
    <w:rsid w:val="00933FEE"/>
    <w:rsid w:val="009358AC"/>
    <w:rsid w:val="00936C69"/>
    <w:rsid w:val="0093767A"/>
    <w:rsid w:val="00937E13"/>
    <w:rsid w:val="00940665"/>
    <w:rsid w:val="00942C85"/>
    <w:rsid w:val="0094358E"/>
    <w:rsid w:val="00943C93"/>
    <w:rsid w:val="009444F4"/>
    <w:rsid w:val="0094507D"/>
    <w:rsid w:val="009450A9"/>
    <w:rsid w:val="009450C0"/>
    <w:rsid w:val="009451B3"/>
    <w:rsid w:val="009455BD"/>
    <w:rsid w:val="00946265"/>
    <w:rsid w:val="009466E0"/>
    <w:rsid w:val="00946CA4"/>
    <w:rsid w:val="0094758C"/>
    <w:rsid w:val="009500BE"/>
    <w:rsid w:val="0095032B"/>
    <w:rsid w:val="00951800"/>
    <w:rsid w:val="00951BF9"/>
    <w:rsid w:val="00951E52"/>
    <w:rsid w:val="00951FE1"/>
    <w:rsid w:val="0095280F"/>
    <w:rsid w:val="00952D8A"/>
    <w:rsid w:val="00953998"/>
    <w:rsid w:val="00953DA4"/>
    <w:rsid w:val="009557B7"/>
    <w:rsid w:val="009604D5"/>
    <w:rsid w:val="00960567"/>
    <w:rsid w:val="00960C44"/>
    <w:rsid w:val="00960D03"/>
    <w:rsid w:val="00961CEF"/>
    <w:rsid w:val="00962AEB"/>
    <w:rsid w:val="0096326C"/>
    <w:rsid w:val="00964DD5"/>
    <w:rsid w:val="00966BB3"/>
    <w:rsid w:val="0096704E"/>
    <w:rsid w:val="00967A56"/>
    <w:rsid w:val="0097132C"/>
    <w:rsid w:val="00971727"/>
    <w:rsid w:val="009717EF"/>
    <w:rsid w:val="00971995"/>
    <w:rsid w:val="00971D88"/>
    <w:rsid w:val="00971FF6"/>
    <w:rsid w:val="00972013"/>
    <w:rsid w:val="00973F5B"/>
    <w:rsid w:val="009742BD"/>
    <w:rsid w:val="00974CD2"/>
    <w:rsid w:val="0097598B"/>
    <w:rsid w:val="00975B07"/>
    <w:rsid w:val="00976301"/>
    <w:rsid w:val="00976CBC"/>
    <w:rsid w:val="00977540"/>
    <w:rsid w:val="00977BD5"/>
    <w:rsid w:val="009801FD"/>
    <w:rsid w:val="00980A36"/>
    <w:rsid w:val="009821AF"/>
    <w:rsid w:val="0098241D"/>
    <w:rsid w:val="00982A4B"/>
    <w:rsid w:val="00982FE8"/>
    <w:rsid w:val="009831E4"/>
    <w:rsid w:val="00983445"/>
    <w:rsid w:val="009839AF"/>
    <w:rsid w:val="00983ED9"/>
    <w:rsid w:val="0098499D"/>
    <w:rsid w:val="009867D2"/>
    <w:rsid w:val="0098711F"/>
    <w:rsid w:val="00987771"/>
    <w:rsid w:val="00987AB9"/>
    <w:rsid w:val="009901CB"/>
    <w:rsid w:val="009926B8"/>
    <w:rsid w:val="00993AA1"/>
    <w:rsid w:val="009952A1"/>
    <w:rsid w:val="00996C3D"/>
    <w:rsid w:val="00997A93"/>
    <w:rsid w:val="009A0943"/>
    <w:rsid w:val="009A3F5A"/>
    <w:rsid w:val="009A48D5"/>
    <w:rsid w:val="009A4AC7"/>
    <w:rsid w:val="009A4C79"/>
    <w:rsid w:val="009A5618"/>
    <w:rsid w:val="009A63E7"/>
    <w:rsid w:val="009A66CE"/>
    <w:rsid w:val="009A6A41"/>
    <w:rsid w:val="009A73C9"/>
    <w:rsid w:val="009A77F3"/>
    <w:rsid w:val="009B0D80"/>
    <w:rsid w:val="009B11D6"/>
    <w:rsid w:val="009B26D3"/>
    <w:rsid w:val="009B3D44"/>
    <w:rsid w:val="009B3E12"/>
    <w:rsid w:val="009B40B4"/>
    <w:rsid w:val="009B4138"/>
    <w:rsid w:val="009B6E57"/>
    <w:rsid w:val="009B72AB"/>
    <w:rsid w:val="009B7948"/>
    <w:rsid w:val="009C005D"/>
    <w:rsid w:val="009C015D"/>
    <w:rsid w:val="009C0DD1"/>
    <w:rsid w:val="009C1246"/>
    <w:rsid w:val="009C1E4A"/>
    <w:rsid w:val="009C3538"/>
    <w:rsid w:val="009C4027"/>
    <w:rsid w:val="009C48EE"/>
    <w:rsid w:val="009C4DFF"/>
    <w:rsid w:val="009C5079"/>
    <w:rsid w:val="009C5276"/>
    <w:rsid w:val="009C5431"/>
    <w:rsid w:val="009C7168"/>
    <w:rsid w:val="009C72C1"/>
    <w:rsid w:val="009D090E"/>
    <w:rsid w:val="009D0FCA"/>
    <w:rsid w:val="009D1A4D"/>
    <w:rsid w:val="009D1E32"/>
    <w:rsid w:val="009D2F7B"/>
    <w:rsid w:val="009D2FD1"/>
    <w:rsid w:val="009D325E"/>
    <w:rsid w:val="009D343E"/>
    <w:rsid w:val="009D4779"/>
    <w:rsid w:val="009D5FF0"/>
    <w:rsid w:val="009D6235"/>
    <w:rsid w:val="009D6E5C"/>
    <w:rsid w:val="009D731A"/>
    <w:rsid w:val="009D7340"/>
    <w:rsid w:val="009D7B36"/>
    <w:rsid w:val="009E2E8F"/>
    <w:rsid w:val="009E3259"/>
    <w:rsid w:val="009E3B8C"/>
    <w:rsid w:val="009E44CE"/>
    <w:rsid w:val="009E594C"/>
    <w:rsid w:val="009E74CF"/>
    <w:rsid w:val="009F1993"/>
    <w:rsid w:val="009F2211"/>
    <w:rsid w:val="009F3165"/>
    <w:rsid w:val="009F3830"/>
    <w:rsid w:val="009F3E74"/>
    <w:rsid w:val="009F3F1F"/>
    <w:rsid w:val="009F6564"/>
    <w:rsid w:val="009F6780"/>
    <w:rsid w:val="009F762E"/>
    <w:rsid w:val="009F7A25"/>
    <w:rsid w:val="009F7EC6"/>
    <w:rsid w:val="00A006FA"/>
    <w:rsid w:val="00A00E87"/>
    <w:rsid w:val="00A014CE"/>
    <w:rsid w:val="00A015E3"/>
    <w:rsid w:val="00A01662"/>
    <w:rsid w:val="00A025E9"/>
    <w:rsid w:val="00A03E3B"/>
    <w:rsid w:val="00A04A3C"/>
    <w:rsid w:val="00A07225"/>
    <w:rsid w:val="00A07C5C"/>
    <w:rsid w:val="00A07EC7"/>
    <w:rsid w:val="00A105D0"/>
    <w:rsid w:val="00A108A1"/>
    <w:rsid w:val="00A11232"/>
    <w:rsid w:val="00A12181"/>
    <w:rsid w:val="00A138BE"/>
    <w:rsid w:val="00A13930"/>
    <w:rsid w:val="00A13D2B"/>
    <w:rsid w:val="00A14964"/>
    <w:rsid w:val="00A14CC6"/>
    <w:rsid w:val="00A14DDB"/>
    <w:rsid w:val="00A159CF"/>
    <w:rsid w:val="00A17739"/>
    <w:rsid w:val="00A17D4A"/>
    <w:rsid w:val="00A17FA1"/>
    <w:rsid w:val="00A20892"/>
    <w:rsid w:val="00A20A66"/>
    <w:rsid w:val="00A215C7"/>
    <w:rsid w:val="00A22021"/>
    <w:rsid w:val="00A233E0"/>
    <w:rsid w:val="00A237A0"/>
    <w:rsid w:val="00A24858"/>
    <w:rsid w:val="00A24B9F"/>
    <w:rsid w:val="00A24F8D"/>
    <w:rsid w:val="00A2532B"/>
    <w:rsid w:val="00A253EE"/>
    <w:rsid w:val="00A257C5"/>
    <w:rsid w:val="00A2593B"/>
    <w:rsid w:val="00A278CF"/>
    <w:rsid w:val="00A30131"/>
    <w:rsid w:val="00A3067B"/>
    <w:rsid w:val="00A3067F"/>
    <w:rsid w:val="00A30902"/>
    <w:rsid w:val="00A31C04"/>
    <w:rsid w:val="00A3267A"/>
    <w:rsid w:val="00A33254"/>
    <w:rsid w:val="00A341D1"/>
    <w:rsid w:val="00A354FE"/>
    <w:rsid w:val="00A40216"/>
    <w:rsid w:val="00A4090D"/>
    <w:rsid w:val="00A426A4"/>
    <w:rsid w:val="00A449C5"/>
    <w:rsid w:val="00A44FF5"/>
    <w:rsid w:val="00A4657F"/>
    <w:rsid w:val="00A4695A"/>
    <w:rsid w:val="00A50D02"/>
    <w:rsid w:val="00A51A81"/>
    <w:rsid w:val="00A523DF"/>
    <w:rsid w:val="00A53308"/>
    <w:rsid w:val="00A53692"/>
    <w:rsid w:val="00A53FD3"/>
    <w:rsid w:val="00A5590F"/>
    <w:rsid w:val="00A56532"/>
    <w:rsid w:val="00A56FEB"/>
    <w:rsid w:val="00A606B6"/>
    <w:rsid w:val="00A60BFF"/>
    <w:rsid w:val="00A60E86"/>
    <w:rsid w:val="00A63190"/>
    <w:rsid w:val="00A63BA2"/>
    <w:rsid w:val="00A65EB3"/>
    <w:rsid w:val="00A66B0B"/>
    <w:rsid w:val="00A67F36"/>
    <w:rsid w:val="00A70026"/>
    <w:rsid w:val="00A7071C"/>
    <w:rsid w:val="00A71F79"/>
    <w:rsid w:val="00A72050"/>
    <w:rsid w:val="00A720D9"/>
    <w:rsid w:val="00A72356"/>
    <w:rsid w:val="00A72E4C"/>
    <w:rsid w:val="00A73247"/>
    <w:rsid w:val="00A73DB2"/>
    <w:rsid w:val="00A740D1"/>
    <w:rsid w:val="00A74414"/>
    <w:rsid w:val="00A747AE"/>
    <w:rsid w:val="00A76B74"/>
    <w:rsid w:val="00A76C19"/>
    <w:rsid w:val="00A804E3"/>
    <w:rsid w:val="00A8075D"/>
    <w:rsid w:val="00A81D85"/>
    <w:rsid w:val="00A82102"/>
    <w:rsid w:val="00A8221D"/>
    <w:rsid w:val="00A82FD7"/>
    <w:rsid w:val="00A8311C"/>
    <w:rsid w:val="00A832EC"/>
    <w:rsid w:val="00A84E62"/>
    <w:rsid w:val="00A851CE"/>
    <w:rsid w:val="00A859C9"/>
    <w:rsid w:val="00A85C2C"/>
    <w:rsid w:val="00A9064D"/>
    <w:rsid w:val="00A9194B"/>
    <w:rsid w:val="00A920A1"/>
    <w:rsid w:val="00A92142"/>
    <w:rsid w:val="00A92BC2"/>
    <w:rsid w:val="00A93096"/>
    <w:rsid w:val="00A93684"/>
    <w:rsid w:val="00A93E68"/>
    <w:rsid w:val="00A95467"/>
    <w:rsid w:val="00A97ECF"/>
    <w:rsid w:val="00AA126F"/>
    <w:rsid w:val="00AA3882"/>
    <w:rsid w:val="00AA4998"/>
    <w:rsid w:val="00AA4B4C"/>
    <w:rsid w:val="00AA7780"/>
    <w:rsid w:val="00AA784D"/>
    <w:rsid w:val="00AA7A45"/>
    <w:rsid w:val="00AB0A10"/>
    <w:rsid w:val="00AB190B"/>
    <w:rsid w:val="00AB1BDF"/>
    <w:rsid w:val="00AB298C"/>
    <w:rsid w:val="00AB3945"/>
    <w:rsid w:val="00AB3C24"/>
    <w:rsid w:val="00AB44D7"/>
    <w:rsid w:val="00AB47ED"/>
    <w:rsid w:val="00AB5C19"/>
    <w:rsid w:val="00AB7339"/>
    <w:rsid w:val="00AC01E2"/>
    <w:rsid w:val="00AC0376"/>
    <w:rsid w:val="00AC067F"/>
    <w:rsid w:val="00AC0B23"/>
    <w:rsid w:val="00AC0BF3"/>
    <w:rsid w:val="00AC0E32"/>
    <w:rsid w:val="00AC174E"/>
    <w:rsid w:val="00AC1A00"/>
    <w:rsid w:val="00AC1E0F"/>
    <w:rsid w:val="00AC31C8"/>
    <w:rsid w:val="00AC37DF"/>
    <w:rsid w:val="00AC44E1"/>
    <w:rsid w:val="00AC4586"/>
    <w:rsid w:val="00AC473E"/>
    <w:rsid w:val="00AC6A41"/>
    <w:rsid w:val="00AC6EF3"/>
    <w:rsid w:val="00AC6FB1"/>
    <w:rsid w:val="00AC7520"/>
    <w:rsid w:val="00AC76A2"/>
    <w:rsid w:val="00AC7739"/>
    <w:rsid w:val="00AC7AA3"/>
    <w:rsid w:val="00AD1FCE"/>
    <w:rsid w:val="00AD250B"/>
    <w:rsid w:val="00AD2EDD"/>
    <w:rsid w:val="00AD30E7"/>
    <w:rsid w:val="00AD31F0"/>
    <w:rsid w:val="00AD5D57"/>
    <w:rsid w:val="00AD624D"/>
    <w:rsid w:val="00AD6544"/>
    <w:rsid w:val="00AD6F1D"/>
    <w:rsid w:val="00AE03EF"/>
    <w:rsid w:val="00AE0F30"/>
    <w:rsid w:val="00AE0FB8"/>
    <w:rsid w:val="00AE1633"/>
    <w:rsid w:val="00AE1E72"/>
    <w:rsid w:val="00AE209C"/>
    <w:rsid w:val="00AE22EC"/>
    <w:rsid w:val="00AE2895"/>
    <w:rsid w:val="00AE4E3D"/>
    <w:rsid w:val="00AE561A"/>
    <w:rsid w:val="00AE6241"/>
    <w:rsid w:val="00AE6955"/>
    <w:rsid w:val="00AE74A1"/>
    <w:rsid w:val="00AE776E"/>
    <w:rsid w:val="00AF1F30"/>
    <w:rsid w:val="00AF2FF8"/>
    <w:rsid w:val="00AF4946"/>
    <w:rsid w:val="00AF5D33"/>
    <w:rsid w:val="00AF6543"/>
    <w:rsid w:val="00B00264"/>
    <w:rsid w:val="00B0059A"/>
    <w:rsid w:val="00B007C7"/>
    <w:rsid w:val="00B0118F"/>
    <w:rsid w:val="00B029E2"/>
    <w:rsid w:val="00B02B8C"/>
    <w:rsid w:val="00B03631"/>
    <w:rsid w:val="00B038B0"/>
    <w:rsid w:val="00B057C2"/>
    <w:rsid w:val="00B05F9B"/>
    <w:rsid w:val="00B06014"/>
    <w:rsid w:val="00B06226"/>
    <w:rsid w:val="00B06739"/>
    <w:rsid w:val="00B068CF"/>
    <w:rsid w:val="00B06A2D"/>
    <w:rsid w:val="00B06FD5"/>
    <w:rsid w:val="00B07652"/>
    <w:rsid w:val="00B07BDE"/>
    <w:rsid w:val="00B07D04"/>
    <w:rsid w:val="00B1032E"/>
    <w:rsid w:val="00B11118"/>
    <w:rsid w:val="00B11CEA"/>
    <w:rsid w:val="00B12768"/>
    <w:rsid w:val="00B1297B"/>
    <w:rsid w:val="00B12D9D"/>
    <w:rsid w:val="00B13A7B"/>
    <w:rsid w:val="00B15087"/>
    <w:rsid w:val="00B151D6"/>
    <w:rsid w:val="00B153F4"/>
    <w:rsid w:val="00B1751A"/>
    <w:rsid w:val="00B21218"/>
    <w:rsid w:val="00B21974"/>
    <w:rsid w:val="00B21D25"/>
    <w:rsid w:val="00B22EF8"/>
    <w:rsid w:val="00B232E2"/>
    <w:rsid w:val="00B23840"/>
    <w:rsid w:val="00B244C6"/>
    <w:rsid w:val="00B24734"/>
    <w:rsid w:val="00B25C89"/>
    <w:rsid w:val="00B260CA"/>
    <w:rsid w:val="00B260FA"/>
    <w:rsid w:val="00B27955"/>
    <w:rsid w:val="00B30926"/>
    <w:rsid w:val="00B316F7"/>
    <w:rsid w:val="00B328F3"/>
    <w:rsid w:val="00B32E9B"/>
    <w:rsid w:val="00B336C3"/>
    <w:rsid w:val="00B3376E"/>
    <w:rsid w:val="00B33872"/>
    <w:rsid w:val="00B340F5"/>
    <w:rsid w:val="00B34DB2"/>
    <w:rsid w:val="00B35453"/>
    <w:rsid w:val="00B36B20"/>
    <w:rsid w:val="00B36BCC"/>
    <w:rsid w:val="00B37092"/>
    <w:rsid w:val="00B4178B"/>
    <w:rsid w:val="00B45443"/>
    <w:rsid w:val="00B45744"/>
    <w:rsid w:val="00B47379"/>
    <w:rsid w:val="00B47382"/>
    <w:rsid w:val="00B473E1"/>
    <w:rsid w:val="00B47507"/>
    <w:rsid w:val="00B47DDC"/>
    <w:rsid w:val="00B500FA"/>
    <w:rsid w:val="00B506F1"/>
    <w:rsid w:val="00B50B89"/>
    <w:rsid w:val="00B52AD9"/>
    <w:rsid w:val="00B5371D"/>
    <w:rsid w:val="00B5435C"/>
    <w:rsid w:val="00B5537B"/>
    <w:rsid w:val="00B5538A"/>
    <w:rsid w:val="00B56882"/>
    <w:rsid w:val="00B5742C"/>
    <w:rsid w:val="00B57967"/>
    <w:rsid w:val="00B579B6"/>
    <w:rsid w:val="00B57B0E"/>
    <w:rsid w:val="00B626C1"/>
    <w:rsid w:val="00B63566"/>
    <w:rsid w:val="00B64049"/>
    <w:rsid w:val="00B643FD"/>
    <w:rsid w:val="00B644DE"/>
    <w:rsid w:val="00B64A3C"/>
    <w:rsid w:val="00B653FF"/>
    <w:rsid w:val="00B670B3"/>
    <w:rsid w:val="00B67EBB"/>
    <w:rsid w:val="00B7043D"/>
    <w:rsid w:val="00B707EE"/>
    <w:rsid w:val="00B70BB6"/>
    <w:rsid w:val="00B730EC"/>
    <w:rsid w:val="00B73198"/>
    <w:rsid w:val="00B73243"/>
    <w:rsid w:val="00B73B61"/>
    <w:rsid w:val="00B74503"/>
    <w:rsid w:val="00B748B0"/>
    <w:rsid w:val="00B74F90"/>
    <w:rsid w:val="00B77C5B"/>
    <w:rsid w:val="00B800AC"/>
    <w:rsid w:val="00B804A7"/>
    <w:rsid w:val="00B808C6"/>
    <w:rsid w:val="00B80A06"/>
    <w:rsid w:val="00B80BA0"/>
    <w:rsid w:val="00B81BC5"/>
    <w:rsid w:val="00B82883"/>
    <w:rsid w:val="00B83105"/>
    <w:rsid w:val="00B83487"/>
    <w:rsid w:val="00B85EB6"/>
    <w:rsid w:val="00B86124"/>
    <w:rsid w:val="00B8620D"/>
    <w:rsid w:val="00B8631F"/>
    <w:rsid w:val="00B8788F"/>
    <w:rsid w:val="00B87EEB"/>
    <w:rsid w:val="00B9047A"/>
    <w:rsid w:val="00B91ABE"/>
    <w:rsid w:val="00B92212"/>
    <w:rsid w:val="00B9274A"/>
    <w:rsid w:val="00B93723"/>
    <w:rsid w:val="00B947E4"/>
    <w:rsid w:val="00B95152"/>
    <w:rsid w:val="00B96170"/>
    <w:rsid w:val="00B962E2"/>
    <w:rsid w:val="00BA0981"/>
    <w:rsid w:val="00BA0F54"/>
    <w:rsid w:val="00BA12AB"/>
    <w:rsid w:val="00BA16D5"/>
    <w:rsid w:val="00BA1B72"/>
    <w:rsid w:val="00BA3289"/>
    <w:rsid w:val="00BA43D1"/>
    <w:rsid w:val="00BA603F"/>
    <w:rsid w:val="00BA7715"/>
    <w:rsid w:val="00BB14D7"/>
    <w:rsid w:val="00BB1773"/>
    <w:rsid w:val="00BB27C0"/>
    <w:rsid w:val="00BB412F"/>
    <w:rsid w:val="00BB4481"/>
    <w:rsid w:val="00BB5350"/>
    <w:rsid w:val="00BB6682"/>
    <w:rsid w:val="00BB7730"/>
    <w:rsid w:val="00BB7D3D"/>
    <w:rsid w:val="00BC044C"/>
    <w:rsid w:val="00BC06D7"/>
    <w:rsid w:val="00BC09C6"/>
    <w:rsid w:val="00BC1528"/>
    <w:rsid w:val="00BC260C"/>
    <w:rsid w:val="00BC2EC8"/>
    <w:rsid w:val="00BC4BFB"/>
    <w:rsid w:val="00BC5F48"/>
    <w:rsid w:val="00BC6EE0"/>
    <w:rsid w:val="00BC7CE3"/>
    <w:rsid w:val="00BD04E6"/>
    <w:rsid w:val="00BD1173"/>
    <w:rsid w:val="00BD1CFE"/>
    <w:rsid w:val="00BD295B"/>
    <w:rsid w:val="00BD2A55"/>
    <w:rsid w:val="00BD61A1"/>
    <w:rsid w:val="00BD6BE3"/>
    <w:rsid w:val="00BE0123"/>
    <w:rsid w:val="00BE0E59"/>
    <w:rsid w:val="00BE14A9"/>
    <w:rsid w:val="00BE173C"/>
    <w:rsid w:val="00BE19EA"/>
    <w:rsid w:val="00BE3884"/>
    <w:rsid w:val="00BE3DBD"/>
    <w:rsid w:val="00BE5359"/>
    <w:rsid w:val="00BE58E9"/>
    <w:rsid w:val="00BE608E"/>
    <w:rsid w:val="00BE649A"/>
    <w:rsid w:val="00BE7E10"/>
    <w:rsid w:val="00BF0CC5"/>
    <w:rsid w:val="00BF0D8F"/>
    <w:rsid w:val="00BF2BD5"/>
    <w:rsid w:val="00BF301D"/>
    <w:rsid w:val="00BF4516"/>
    <w:rsid w:val="00BF4A92"/>
    <w:rsid w:val="00BF4C03"/>
    <w:rsid w:val="00BF586D"/>
    <w:rsid w:val="00BF621A"/>
    <w:rsid w:val="00BF6CD7"/>
    <w:rsid w:val="00BF70EB"/>
    <w:rsid w:val="00BF7DC8"/>
    <w:rsid w:val="00C01BDB"/>
    <w:rsid w:val="00C025F0"/>
    <w:rsid w:val="00C0405B"/>
    <w:rsid w:val="00C0474C"/>
    <w:rsid w:val="00C04F09"/>
    <w:rsid w:val="00C05285"/>
    <w:rsid w:val="00C1106E"/>
    <w:rsid w:val="00C120CF"/>
    <w:rsid w:val="00C143CA"/>
    <w:rsid w:val="00C14501"/>
    <w:rsid w:val="00C14C10"/>
    <w:rsid w:val="00C1509A"/>
    <w:rsid w:val="00C157B1"/>
    <w:rsid w:val="00C161F8"/>
    <w:rsid w:val="00C171BB"/>
    <w:rsid w:val="00C17920"/>
    <w:rsid w:val="00C17FC1"/>
    <w:rsid w:val="00C21AC0"/>
    <w:rsid w:val="00C21EE1"/>
    <w:rsid w:val="00C22AB1"/>
    <w:rsid w:val="00C249C8"/>
    <w:rsid w:val="00C250A1"/>
    <w:rsid w:val="00C2519E"/>
    <w:rsid w:val="00C25664"/>
    <w:rsid w:val="00C26774"/>
    <w:rsid w:val="00C268BA"/>
    <w:rsid w:val="00C26FCB"/>
    <w:rsid w:val="00C309B1"/>
    <w:rsid w:val="00C30A25"/>
    <w:rsid w:val="00C312B1"/>
    <w:rsid w:val="00C31321"/>
    <w:rsid w:val="00C315FD"/>
    <w:rsid w:val="00C31969"/>
    <w:rsid w:val="00C32543"/>
    <w:rsid w:val="00C3272B"/>
    <w:rsid w:val="00C330A4"/>
    <w:rsid w:val="00C332FB"/>
    <w:rsid w:val="00C33CDB"/>
    <w:rsid w:val="00C34558"/>
    <w:rsid w:val="00C34B65"/>
    <w:rsid w:val="00C3502D"/>
    <w:rsid w:val="00C37784"/>
    <w:rsid w:val="00C4036D"/>
    <w:rsid w:val="00C413FB"/>
    <w:rsid w:val="00C421E4"/>
    <w:rsid w:val="00C4281F"/>
    <w:rsid w:val="00C42C82"/>
    <w:rsid w:val="00C4429D"/>
    <w:rsid w:val="00C44391"/>
    <w:rsid w:val="00C44915"/>
    <w:rsid w:val="00C44FCF"/>
    <w:rsid w:val="00C45214"/>
    <w:rsid w:val="00C469C4"/>
    <w:rsid w:val="00C470D9"/>
    <w:rsid w:val="00C47A89"/>
    <w:rsid w:val="00C47BAA"/>
    <w:rsid w:val="00C47EB1"/>
    <w:rsid w:val="00C51D28"/>
    <w:rsid w:val="00C51EF4"/>
    <w:rsid w:val="00C51FE1"/>
    <w:rsid w:val="00C5269A"/>
    <w:rsid w:val="00C53C7D"/>
    <w:rsid w:val="00C568A1"/>
    <w:rsid w:val="00C56FA3"/>
    <w:rsid w:val="00C57B0E"/>
    <w:rsid w:val="00C608A2"/>
    <w:rsid w:val="00C6186C"/>
    <w:rsid w:val="00C61D8C"/>
    <w:rsid w:val="00C61E78"/>
    <w:rsid w:val="00C61F51"/>
    <w:rsid w:val="00C62A1F"/>
    <w:rsid w:val="00C6403F"/>
    <w:rsid w:val="00C64C6E"/>
    <w:rsid w:val="00C65721"/>
    <w:rsid w:val="00C671CB"/>
    <w:rsid w:val="00C677D4"/>
    <w:rsid w:val="00C67C7E"/>
    <w:rsid w:val="00C67F69"/>
    <w:rsid w:val="00C70244"/>
    <w:rsid w:val="00C70307"/>
    <w:rsid w:val="00C70E39"/>
    <w:rsid w:val="00C718BC"/>
    <w:rsid w:val="00C72A90"/>
    <w:rsid w:val="00C75734"/>
    <w:rsid w:val="00C7684A"/>
    <w:rsid w:val="00C76947"/>
    <w:rsid w:val="00C774E6"/>
    <w:rsid w:val="00C77543"/>
    <w:rsid w:val="00C778CD"/>
    <w:rsid w:val="00C806F7"/>
    <w:rsid w:val="00C80896"/>
    <w:rsid w:val="00C80C0D"/>
    <w:rsid w:val="00C80D03"/>
    <w:rsid w:val="00C821D9"/>
    <w:rsid w:val="00C841C8"/>
    <w:rsid w:val="00C842CB"/>
    <w:rsid w:val="00C84A98"/>
    <w:rsid w:val="00C856CC"/>
    <w:rsid w:val="00C86242"/>
    <w:rsid w:val="00C86887"/>
    <w:rsid w:val="00C86CB9"/>
    <w:rsid w:val="00C91EBC"/>
    <w:rsid w:val="00C920D4"/>
    <w:rsid w:val="00C92777"/>
    <w:rsid w:val="00C936C8"/>
    <w:rsid w:val="00C93A59"/>
    <w:rsid w:val="00C94A71"/>
    <w:rsid w:val="00C95BFB"/>
    <w:rsid w:val="00C96323"/>
    <w:rsid w:val="00C971B8"/>
    <w:rsid w:val="00CA14FD"/>
    <w:rsid w:val="00CA1618"/>
    <w:rsid w:val="00CA1933"/>
    <w:rsid w:val="00CA2CE1"/>
    <w:rsid w:val="00CA35CD"/>
    <w:rsid w:val="00CA3618"/>
    <w:rsid w:val="00CA3B4E"/>
    <w:rsid w:val="00CA469E"/>
    <w:rsid w:val="00CA4B91"/>
    <w:rsid w:val="00CA5E57"/>
    <w:rsid w:val="00CA6819"/>
    <w:rsid w:val="00CA68A3"/>
    <w:rsid w:val="00CA6EA5"/>
    <w:rsid w:val="00CA6FA9"/>
    <w:rsid w:val="00CA7BB0"/>
    <w:rsid w:val="00CB13E7"/>
    <w:rsid w:val="00CB1800"/>
    <w:rsid w:val="00CB3428"/>
    <w:rsid w:val="00CB4535"/>
    <w:rsid w:val="00CB520B"/>
    <w:rsid w:val="00CB531C"/>
    <w:rsid w:val="00CB60E2"/>
    <w:rsid w:val="00CB6578"/>
    <w:rsid w:val="00CB66D4"/>
    <w:rsid w:val="00CB6E33"/>
    <w:rsid w:val="00CB76A4"/>
    <w:rsid w:val="00CC0DBA"/>
    <w:rsid w:val="00CC1605"/>
    <w:rsid w:val="00CC1D48"/>
    <w:rsid w:val="00CC1DBD"/>
    <w:rsid w:val="00CC2514"/>
    <w:rsid w:val="00CC25E3"/>
    <w:rsid w:val="00CC2D05"/>
    <w:rsid w:val="00CC35C5"/>
    <w:rsid w:val="00CC37A8"/>
    <w:rsid w:val="00CC568C"/>
    <w:rsid w:val="00CC5A1F"/>
    <w:rsid w:val="00CC5AE9"/>
    <w:rsid w:val="00CC69AA"/>
    <w:rsid w:val="00CD0D49"/>
    <w:rsid w:val="00CD1168"/>
    <w:rsid w:val="00CD13BD"/>
    <w:rsid w:val="00CD1F47"/>
    <w:rsid w:val="00CD2012"/>
    <w:rsid w:val="00CD2869"/>
    <w:rsid w:val="00CD2EED"/>
    <w:rsid w:val="00CD3187"/>
    <w:rsid w:val="00CD39C6"/>
    <w:rsid w:val="00CD4611"/>
    <w:rsid w:val="00CD5060"/>
    <w:rsid w:val="00CD5525"/>
    <w:rsid w:val="00CD5746"/>
    <w:rsid w:val="00CD5984"/>
    <w:rsid w:val="00CD5EBE"/>
    <w:rsid w:val="00CD5EDB"/>
    <w:rsid w:val="00CD647F"/>
    <w:rsid w:val="00CD6E22"/>
    <w:rsid w:val="00CD7723"/>
    <w:rsid w:val="00CE03E9"/>
    <w:rsid w:val="00CE080F"/>
    <w:rsid w:val="00CE0D8D"/>
    <w:rsid w:val="00CE1D93"/>
    <w:rsid w:val="00CE31E0"/>
    <w:rsid w:val="00CE376C"/>
    <w:rsid w:val="00CE4083"/>
    <w:rsid w:val="00CE42DA"/>
    <w:rsid w:val="00CE4570"/>
    <w:rsid w:val="00CE4C73"/>
    <w:rsid w:val="00CE4C86"/>
    <w:rsid w:val="00CE63AD"/>
    <w:rsid w:val="00CE6781"/>
    <w:rsid w:val="00CE68CE"/>
    <w:rsid w:val="00CE6B44"/>
    <w:rsid w:val="00CE764B"/>
    <w:rsid w:val="00CF099B"/>
    <w:rsid w:val="00CF2312"/>
    <w:rsid w:val="00CF2A02"/>
    <w:rsid w:val="00CF2F04"/>
    <w:rsid w:val="00CF3244"/>
    <w:rsid w:val="00CF39E9"/>
    <w:rsid w:val="00CF4B55"/>
    <w:rsid w:val="00CF4B5A"/>
    <w:rsid w:val="00CF58D3"/>
    <w:rsid w:val="00CF5E2E"/>
    <w:rsid w:val="00CF6474"/>
    <w:rsid w:val="00CF66EE"/>
    <w:rsid w:val="00CF7005"/>
    <w:rsid w:val="00CF705E"/>
    <w:rsid w:val="00CF7B90"/>
    <w:rsid w:val="00CF7BD8"/>
    <w:rsid w:val="00D02663"/>
    <w:rsid w:val="00D03C40"/>
    <w:rsid w:val="00D042A3"/>
    <w:rsid w:val="00D0569F"/>
    <w:rsid w:val="00D06F18"/>
    <w:rsid w:val="00D07013"/>
    <w:rsid w:val="00D07147"/>
    <w:rsid w:val="00D0767F"/>
    <w:rsid w:val="00D07771"/>
    <w:rsid w:val="00D10307"/>
    <w:rsid w:val="00D122C6"/>
    <w:rsid w:val="00D12888"/>
    <w:rsid w:val="00D13129"/>
    <w:rsid w:val="00D1316F"/>
    <w:rsid w:val="00D13A70"/>
    <w:rsid w:val="00D13AAF"/>
    <w:rsid w:val="00D144D9"/>
    <w:rsid w:val="00D16EE4"/>
    <w:rsid w:val="00D17479"/>
    <w:rsid w:val="00D209F8"/>
    <w:rsid w:val="00D21330"/>
    <w:rsid w:val="00D2212A"/>
    <w:rsid w:val="00D25835"/>
    <w:rsid w:val="00D27883"/>
    <w:rsid w:val="00D303BB"/>
    <w:rsid w:val="00D3050C"/>
    <w:rsid w:val="00D315D3"/>
    <w:rsid w:val="00D31CDB"/>
    <w:rsid w:val="00D35127"/>
    <w:rsid w:val="00D351E1"/>
    <w:rsid w:val="00D35F9D"/>
    <w:rsid w:val="00D36F3C"/>
    <w:rsid w:val="00D37804"/>
    <w:rsid w:val="00D37CAA"/>
    <w:rsid w:val="00D4126F"/>
    <w:rsid w:val="00D41871"/>
    <w:rsid w:val="00D419A6"/>
    <w:rsid w:val="00D41AC7"/>
    <w:rsid w:val="00D430A9"/>
    <w:rsid w:val="00D43A17"/>
    <w:rsid w:val="00D43C20"/>
    <w:rsid w:val="00D44D39"/>
    <w:rsid w:val="00D468BC"/>
    <w:rsid w:val="00D4740B"/>
    <w:rsid w:val="00D47A06"/>
    <w:rsid w:val="00D5011E"/>
    <w:rsid w:val="00D5056C"/>
    <w:rsid w:val="00D51306"/>
    <w:rsid w:val="00D5138C"/>
    <w:rsid w:val="00D532AF"/>
    <w:rsid w:val="00D53746"/>
    <w:rsid w:val="00D53E80"/>
    <w:rsid w:val="00D5642D"/>
    <w:rsid w:val="00D56E21"/>
    <w:rsid w:val="00D575C5"/>
    <w:rsid w:val="00D577B0"/>
    <w:rsid w:val="00D600A7"/>
    <w:rsid w:val="00D60808"/>
    <w:rsid w:val="00D61245"/>
    <w:rsid w:val="00D629D5"/>
    <w:rsid w:val="00D62C1E"/>
    <w:rsid w:val="00D6322D"/>
    <w:rsid w:val="00D66E8E"/>
    <w:rsid w:val="00D675EC"/>
    <w:rsid w:val="00D67813"/>
    <w:rsid w:val="00D7023A"/>
    <w:rsid w:val="00D70A44"/>
    <w:rsid w:val="00D70DEF"/>
    <w:rsid w:val="00D71152"/>
    <w:rsid w:val="00D71B1B"/>
    <w:rsid w:val="00D739A2"/>
    <w:rsid w:val="00D74180"/>
    <w:rsid w:val="00D7426E"/>
    <w:rsid w:val="00D7473F"/>
    <w:rsid w:val="00D74827"/>
    <w:rsid w:val="00D74F32"/>
    <w:rsid w:val="00D75041"/>
    <w:rsid w:val="00D7591F"/>
    <w:rsid w:val="00D75D9D"/>
    <w:rsid w:val="00D76D0D"/>
    <w:rsid w:val="00D800AC"/>
    <w:rsid w:val="00D806F2"/>
    <w:rsid w:val="00D81122"/>
    <w:rsid w:val="00D8152D"/>
    <w:rsid w:val="00D819C0"/>
    <w:rsid w:val="00D81D3A"/>
    <w:rsid w:val="00D825C1"/>
    <w:rsid w:val="00D836AB"/>
    <w:rsid w:val="00D83D08"/>
    <w:rsid w:val="00D84A3D"/>
    <w:rsid w:val="00D84D26"/>
    <w:rsid w:val="00D8720A"/>
    <w:rsid w:val="00D87A0D"/>
    <w:rsid w:val="00D87F07"/>
    <w:rsid w:val="00D90433"/>
    <w:rsid w:val="00D90C34"/>
    <w:rsid w:val="00D9378C"/>
    <w:rsid w:val="00D94D39"/>
    <w:rsid w:val="00D9557C"/>
    <w:rsid w:val="00D95581"/>
    <w:rsid w:val="00D96160"/>
    <w:rsid w:val="00D965CB"/>
    <w:rsid w:val="00D96DD3"/>
    <w:rsid w:val="00DA2686"/>
    <w:rsid w:val="00DA3A08"/>
    <w:rsid w:val="00DA416C"/>
    <w:rsid w:val="00DA6BFD"/>
    <w:rsid w:val="00DA7044"/>
    <w:rsid w:val="00DA7A7D"/>
    <w:rsid w:val="00DB0737"/>
    <w:rsid w:val="00DB0D33"/>
    <w:rsid w:val="00DB0FCF"/>
    <w:rsid w:val="00DB117E"/>
    <w:rsid w:val="00DB15D9"/>
    <w:rsid w:val="00DB2230"/>
    <w:rsid w:val="00DB2635"/>
    <w:rsid w:val="00DB3303"/>
    <w:rsid w:val="00DB570E"/>
    <w:rsid w:val="00DB7D64"/>
    <w:rsid w:val="00DC09AF"/>
    <w:rsid w:val="00DC0BDC"/>
    <w:rsid w:val="00DC0D11"/>
    <w:rsid w:val="00DC0F51"/>
    <w:rsid w:val="00DC2869"/>
    <w:rsid w:val="00DC344C"/>
    <w:rsid w:val="00DC34BF"/>
    <w:rsid w:val="00DC420B"/>
    <w:rsid w:val="00DC4329"/>
    <w:rsid w:val="00DC5A10"/>
    <w:rsid w:val="00DC73DA"/>
    <w:rsid w:val="00DD1259"/>
    <w:rsid w:val="00DD17BA"/>
    <w:rsid w:val="00DD1994"/>
    <w:rsid w:val="00DD1DD1"/>
    <w:rsid w:val="00DD2455"/>
    <w:rsid w:val="00DD2C1A"/>
    <w:rsid w:val="00DD2C38"/>
    <w:rsid w:val="00DD3835"/>
    <w:rsid w:val="00DD3A55"/>
    <w:rsid w:val="00DD3D54"/>
    <w:rsid w:val="00DD4648"/>
    <w:rsid w:val="00DD481F"/>
    <w:rsid w:val="00DD6CCE"/>
    <w:rsid w:val="00DD781D"/>
    <w:rsid w:val="00DE002D"/>
    <w:rsid w:val="00DE2149"/>
    <w:rsid w:val="00DE2FB0"/>
    <w:rsid w:val="00DE30F6"/>
    <w:rsid w:val="00DE389F"/>
    <w:rsid w:val="00DE434F"/>
    <w:rsid w:val="00DE43E9"/>
    <w:rsid w:val="00DE5A1D"/>
    <w:rsid w:val="00DE5B8A"/>
    <w:rsid w:val="00DE660D"/>
    <w:rsid w:val="00DE7C13"/>
    <w:rsid w:val="00DE7C3C"/>
    <w:rsid w:val="00DF073B"/>
    <w:rsid w:val="00DF1834"/>
    <w:rsid w:val="00DF273A"/>
    <w:rsid w:val="00DF2A58"/>
    <w:rsid w:val="00DF2F05"/>
    <w:rsid w:val="00DF2FE2"/>
    <w:rsid w:val="00DF3831"/>
    <w:rsid w:val="00DF4ACE"/>
    <w:rsid w:val="00DF4FC5"/>
    <w:rsid w:val="00DF67CF"/>
    <w:rsid w:val="00DF6F3F"/>
    <w:rsid w:val="00DF7ED6"/>
    <w:rsid w:val="00E003CE"/>
    <w:rsid w:val="00E013D6"/>
    <w:rsid w:val="00E03720"/>
    <w:rsid w:val="00E03FE7"/>
    <w:rsid w:val="00E05599"/>
    <w:rsid w:val="00E05C5D"/>
    <w:rsid w:val="00E06964"/>
    <w:rsid w:val="00E0697E"/>
    <w:rsid w:val="00E0761B"/>
    <w:rsid w:val="00E103E2"/>
    <w:rsid w:val="00E10732"/>
    <w:rsid w:val="00E10D09"/>
    <w:rsid w:val="00E10D6E"/>
    <w:rsid w:val="00E10EF6"/>
    <w:rsid w:val="00E11036"/>
    <w:rsid w:val="00E11493"/>
    <w:rsid w:val="00E11BD2"/>
    <w:rsid w:val="00E11EE7"/>
    <w:rsid w:val="00E1245E"/>
    <w:rsid w:val="00E144BA"/>
    <w:rsid w:val="00E14C9B"/>
    <w:rsid w:val="00E15D3C"/>
    <w:rsid w:val="00E16679"/>
    <w:rsid w:val="00E17C8C"/>
    <w:rsid w:val="00E17E0B"/>
    <w:rsid w:val="00E2031A"/>
    <w:rsid w:val="00E20611"/>
    <w:rsid w:val="00E20DB6"/>
    <w:rsid w:val="00E224CB"/>
    <w:rsid w:val="00E22F9A"/>
    <w:rsid w:val="00E2366F"/>
    <w:rsid w:val="00E23838"/>
    <w:rsid w:val="00E251B8"/>
    <w:rsid w:val="00E25C02"/>
    <w:rsid w:val="00E25C58"/>
    <w:rsid w:val="00E26A6A"/>
    <w:rsid w:val="00E27ED2"/>
    <w:rsid w:val="00E30755"/>
    <w:rsid w:val="00E30F92"/>
    <w:rsid w:val="00E312CF"/>
    <w:rsid w:val="00E314CB"/>
    <w:rsid w:val="00E31998"/>
    <w:rsid w:val="00E31D1D"/>
    <w:rsid w:val="00E31E10"/>
    <w:rsid w:val="00E3297C"/>
    <w:rsid w:val="00E329E7"/>
    <w:rsid w:val="00E32BF2"/>
    <w:rsid w:val="00E331C7"/>
    <w:rsid w:val="00E339B0"/>
    <w:rsid w:val="00E354DD"/>
    <w:rsid w:val="00E3696E"/>
    <w:rsid w:val="00E36B00"/>
    <w:rsid w:val="00E36BA7"/>
    <w:rsid w:val="00E37104"/>
    <w:rsid w:val="00E374E3"/>
    <w:rsid w:val="00E378AB"/>
    <w:rsid w:val="00E379A3"/>
    <w:rsid w:val="00E37DA2"/>
    <w:rsid w:val="00E40424"/>
    <w:rsid w:val="00E40AA1"/>
    <w:rsid w:val="00E40AFB"/>
    <w:rsid w:val="00E41235"/>
    <w:rsid w:val="00E435E4"/>
    <w:rsid w:val="00E459BB"/>
    <w:rsid w:val="00E45A22"/>
    <w:rsid w:val="00E463FC"/>
    <w:rsid w:val="00E4699C"/>
    <w:rsid w:val="00E46BA8"/>
    <w:rsid w:val="00E478AB"/>
    <w:rsid w:val="00E47D18"/>
    <w:rsid w:val="00E50114"/>
    <w:rsid w:val="00E50A41"/>
    <w:rsid w:val="00E517B8"/>
    <w:rsid w:val="00E52708"/>
    <w:rsid w:val="00E52FEE"/>
    <w:rsid w:val="00E5326B"/>
    <w:rsid w:val="00E55525"/>
    <w:rsid w:val="00E5567D"/>
    <w:rsid w:val="00E56207"/>
    <w:rsid w:val="00E563DD"/>
    <w:rsid w:val="00E564B1"/>
    <w:rsid w:val="00E565EE"/>
    <w:rsid w:val="00E56BB2"/>
    <w:rsid w:val="00E56D9B"/>
    <w:rsid w:val="00E601BA"/>
    <w:rsid w:val="00E60493"/>
    <w:rsid w:val="00E62895"/>
    <w:rsid w:val="00E6418D"/>
    <w:rsid w:val="00E6426E"/>
    <w:rsid w:val="00E6448D"/>
    <w:rsid w:val="00E64CEB"/>
    <w:rsid w:val="00E66A4A"/>
    <w:rsid w:val="00E66B63"/>
    <w:rsid w:val="00E67B68"/>
    <w:rsid w:val="00E70B33"/>
    <w:rsid w:val="00E70D27"/>
    <w:rsid w:val="00E71797"/>
    <w:rsid w:val="00E71C7F"/>
    <w:rsid w:val="00E721BA"/>
    <w:rsid w:val="00E725FB"/>
    <w:rsid w:val="00E753D8"/>
    <w:rsid w:val="00E76DF0"/>
    <w:rsid w:val="00E77FA3"/>
    <w:rsid w:val="00E80B57"/>
    <w:rsid w:val="00E813B7"/>
    <w:rsid w:val="00E81762"/>
    <w:rsid w:val="00E8253A"/>
    <w:rsid w:val="00E84071"/>
    <w:rsid w:val="00E843B2"/>
    <w:rsid w:val="00E84682"/>
    <w:rsid w:val="00E86807"/>
    <w:rsid w:val="00E869C6"/>
    <w:rsid w:val="00E87306"/>
    <w:rsid w:val="00E93853"/>
    <w:rsid w:val="00E93A9A"/>
    <w:rsid w:val="00E940D6"/>
    <w:rsid w:val="00E9424B"/>
    <w:rsid w:val="00E949C2"/>
    <w:rsid w:val="00E95063"/>
    <w:rsid w:val="00E9635B"/>
    <w:rsid w:val="00E97AB1"/>
    <w:rsid w:val="00EA0139"/>
    <w:rsid w:val="00EA11C4"/>
    <w:rsid w:val="00EA1E2A"/>
    <w:rsid w:val="00EA20E2"/>
    <w:rsid w:val="00EA26EA"/>
    <w:rsid w:val="00EA27FB"/>
    <w:rsid w:val="00EA2A72"/>
    <w:rsid w:val="00EA30D2"/>
    <w:rsid w:val="00EA3C6E"/>
    <w:rsid w:val="00EA5609"/>
    <w:rsid w:val="00EA6FED"/>
    <w:rsid w:val="00EB24F0"/>
    <w:rsid w:val="00EB31F0"/>
    <w:rsid w:val="00EB45E7"/>
    <w:rsid w:val="00EB4C39"/>
    <w:rsid w:val="00EB5421"/>
    <w:rsid w:val="00EB5DBC"/>
    <w:rsid w:val="00EB6738"/>
    <w:rsid w:val="00EB6A3E"/>
    <w:rsid w:val="00EB7A20"/>
    <w:rsid w:val="00EC005D"/>
    <w:rsid w:val="00EC05F4"/>
    <w:rsid w:val="00EC0894"/>
    <w:rsid w:val="00EC1774"/>
    <w:rsid w:val="00EC1F27"/>
    <w:rsid w:val="00EC2078"/>
    <w:rsid w:val="00EC2DA7"/>
    <w:rsid w:val="00EC3108"/>
    <w:rsid w:val="00EC3428"/>
    <w:rsid w:val="00EC37B2"/>
    <w:rsid w:val="00EC4CC1"/>
    <w:rsid w:val="00EC556D"/>
    <w:rsid w:val="00EC569F"/>
    <w:rsid w:val="00EC72EF"/>
    <w:rsid w:val="00EC799E"/>
    <w:rsid w:val="00EC7FC6"/>
    <w:rsid w:val="00ED1080"/>
    <w:rsid w:val="00ED1A7B"/>
    <w:rsid w:val="00ED1B87"/>
    <w:rsid w:val="00ED2FDF"/>
    <w:rsid w:val="00ED3F3D"/>
    <w:rsid w:val="00ED45A5"/>
    <w:rsid w:val="00ED4BC8"/>
    <w:rsid w:val="00ED6D34"/>
    <w:rsid w:val="00ED73AB"/>
    <w:rsid w:val="00ED7C3F"/>
    <w:rsid w:val="00EE1632"/>
    <w:rsid w:val="00EE1652"/>
    <w:rsid w:val="00EE30E2"/>
    <w:rsid w:val="00EE36C1"/>
    <w:rsid w:val="00EE419B"/>
    <w:rsid w:val="00EE43FC"/>
    <w:rsid w:val="00EE4D01"/>
    <w:rsid w:val="00EE5667"/>
    <w:rsid w:val="00EE7644"/>
    <w:rsid w:val="00EE797B"/>
    <w:rsid w:val="00EE7F83"/>
    <w:rsid w:val="00EF05AC"/>
    <w:rsid w:val="00EF0D97"/>
    <w:rsid w:val="00EF1D84"/>
    <w:rsid w:val="00EF273D"/>
    <w:rsid w:val="00EF36D6"/>
    <w:rsid w:val="00EF3E7C"/>
    <w:rsid w:val="00EF41BB"/>
    <w:rsid w:val="00EF6059"/>
    <w:rsid w:val="00EF6112"/>
    <w:rsid w:val="00EF665E"/>
    <w:rsid w:val="00EF6D0F"/>
    <w:rsid w:val="00EF6EFE"/>
    <w:rsid w:val="00EF7161"/>
    <w:rsid w:val="00EF78BC"/>
    <w:rsid w:val="00F0014A"/>
    <w:rsid w:val="00F009BD"/>
    <w:rsid w:val="00F01921"/>
    <w:rsid w:val="00F01FCF"/>
    <w:rsid w:val="00F02BB7"/>
    <w:rsid w:val="00F037E1"/>
    <w:rsid w:val="00F03AA1"/>
    <w:rsid w:val="00F03D97"/>
    <w:rsid w:val="00F056E6"/>
    <w:rsid w:val="00F060E3"/>
    <w:rsid w:val="00F063CB"/>
    <w:rsid w:val="00F07E3A"/>
    <w:rsid w:val="00F113B7"/>
    <w:rsid w:val="00F117A8"/>
    <w:rsid w:val="00F12DA8"/>
    <w:rsid w:val="00F15356"/>
    <w:rsid w:val="00F153B8"/>
    <w:rsid w:val="00F17306"/>
    <w:rsid w:val="00F1741F"/>
    <w:rsid w:val="00F174B5"/>
    <w:rsid w:val="00F20540"/>
    <w:rsid w:val="00F208DC"/>
    <w:rsid w:val="00F22362"/>
    <w:rsid w:val="00F22ECA"/>
    <w:rsid w:val="00F232B1"/>
    <w:rsid w:val="00F23B3A"/>
    <w:rsid w:val="00F24986"/>
    <w:rsid w:val="00F25A99"/>
    <w:rsid w:val="00F26E46"/>
    <w:rsid w:val="00F27409"/>
    <w:rsid w:val="00F312FD"/>
    <w:rsid w:val="00F31B06"/>
    <w:rsid w:val="00F32608"/>
    <w:rsid w:val="00F34A3C"/>
    <w:rsid w:val="00F3599C"/>
    <w:rsid w:val="00F36E49"/>
    <w:rsid w:val="00F36FF0"/>
    <w:rsid w:val="00F3706A"/>
    <w:rsid w:val="00F37CD5"/>
    <w:rsid w:val="00F41128"/>
    <w:rsid w:val="00F42482"/>
    <w:rsid w:val="00F4297D"/>
    <w:rsid w:val="00F43D2F"/>
    <w:rsid w:val="00F44962"/>
    <w:rsid w:val="00F45648"/>
    <w:rsid w:val="00F45DE8"/>
    <w:rsid w:val="00F460F5"/>
    <w:rsid w:val="00F47384"/>
    <w:rsid w:val="00F474FF"/>
    <w:rsid w:val="00F47D3E"/>
    <w:rsid w:val="00F5100B"/>
    <w:rsid w:val="00F53247"/>
    <w:rsid w:val="00F541B0"/>
    <w:rsid w:val="00F551E1"/>
    <w:rsid w:val="00F5557A"/>
    <w:rsid w:val="00F55A82"/>
    <w:rsid w:val="00F55E87"/>
    <w:rsid w:val="00F55F21"/>
    <w:rsid w:val="00F562D5"/>
    <w:rsid w:val="00F6005B"/>
    <w:rsid w:val="00F60318"/>
    <w:rsid w:val="00F60515"/>
    <w:rsid w:val="00F60F8B"/>
    <w:rsid w:val="00F62BDA"/>
    <w:rsid w:val="00F63466"/>
    <w:rsid w:val="00F656EC"/>
    <w:rsid w:val="00F6674D"/>
    <w:rsid w:val="00F66B13"/>
    <w:rsid w:val="00F700AB"/>
    <w:rsid w:val="00F703CB"/>
    <w:rsid w:val="00F70C78"/>
    <w:rsid w:val="00F71181"/>
    <w:rsid w:val="00F7279F"/>
    <w:rsid w:val="00F728E3"/>
    <w:rsid w:val="00F72FF9"/>
    <w:rsid w:val="00F734F2"/>
    <w:rsid w:val="00F73C61"/>
    <w:rsid w:val="00F74570"/>
    <w:rsid w:val="00F74EB9"/>
    <w:rsid w:val="00F75031"/>
    <w:rsid w:val="00F757A0"/>
    <w:rsid w:val="00F76067"/>
    <w:rsid w:val="00F77F9D"/>
    <w:rsid w:val="00F815AC"/>
    <w:rsid w:val="00F81DA6"/>
    <w:rsid w:val="00F8264F"/>
    <w:rsid w:val="00F8278B"/>
    <w:rsid w:val="00F828D6"/>
    <w:rsid w:val="00F82B43"/>
    <w:rsid w:val="00F82C98"/>
    <w:rsid w:val="00F84DEC"/>
    <w:rsid w:val="00F85E1E"/>
    <w:rsid w:val="00F871D5"/>
    <w:rsid w:val="00F909DA"/>
    <w:rsid w:val="00F9130C"/>
    <w:rsid w:val="00F92516"/>
    <w:rsid w:val="00F929CE"/>
    <w:rsid w:val="00F929EF"/>
    <w:rsid w:val="00F92B3D"/>
    <w:rsid w:val="00F92BD7"/>
    <w:rsid w:val="00F932F9"/>
    <w:rsid w:val="00F965E8"/>
    <w:rsid w:val="00F96DEE"/>
    <w:rsid w:val="00F97511"/>
    <w:rsid w:val="00F97A68"/>
    <w:rsid w:val="00F97B15"/>
    <w:rsid w:val="00FA03B8"/>
    <w:rsid w:val="00FA076D"/>
    <w:rsid w:val="00FA1DB6"/>
    <w:rsid w:val="00FA25B7"/>
    <w:rsid w:val="00FA2F50"/>
    <w:rsid w:val="00FA5706"/>
    <w:rsid w:val="00FA5E55"/>
    <w:rsid w:val="00FB06D3"/>
    <w:rsid w:val="00FB13C4"/>
    <w:rsid w:val="00FB167F"/>
    <w:rsid w:val="00FB191B"/>
    <w:rsid w:val="00FB2586"/>
    <w:rsid w:val="00FB26D3"/>
    <w:rsid w:val="00FB2FC9"/>
    <w:rsid w:val="00FB34FF"/>
    <w:rsid w:val="00FB390E"/>
    <w:rsid w:val="00FB46CC"/>
    <w:rsid w:val="00FB58BE"/>
    <w:rsid w:val="00FC1531"/>
    <w:rsid w:val="00FC20B0"/>
    <w:rsid w:val="00FC37DF"/>
    <w:rsid w:val="00FC3946"/>
    <w:rsid w:val="00FC3DE3"/>
    <w:rsid w:val="00FC4087"/>
    <w:rsid w:val="00FC4695"/>
    <w:rsid w:val="00FC5DE4"/>
    <w:rsid w:val="00FC6A26"/>
    <w:rsid w:val="00FC7CAA"/>
    <w:rsid w:val="00FC7F3F"/>
    <w:rsid w:val="00FD18BE"/>
    <w:rsid w:val="00FD2B26"/>
    <w:rsid w:val="00FD307C"/>
    <w:rsid w:val="00FD371A"/>
    <w:rsid w:val="00FD3762"/>
    <w:rsid w:val="00FD4331"/>
    <w:rsid w:val="00FD53D3"/>
    <w:rsid w:val="00FD595C"/>
    <w:rsid w:val="00FD6131"/>
    <w:rsid w:val="00FD6189"/>
    <w:rsid w:val="00FD6540"/>
    <w:rsid w:val="00FE1CC8"/>
    <w:rsid w:val="00FE380A"/>
    <w:rsid w:val="00FE3B31"/>
    <w:rsid w:val="00FE42F7"/>
    <w:rsid w:val="00FE47F6"/>
    <w:rsid w:val="00FE4896"/>
    <w:rsid w:val="00FE4907"/>
    <w:rsid w:val="00FE493D"/>
    <w:rsid w:val="00FE5183"/>
    <w:rsid w:val="00FE5644"/>
    <w:rsid w:val="00FE56E3"/>
    <w:rsid w:val="00FE72F1"/>
    <w:rsid w:val="00FE76EC"/>
    <w:rsid w:val="00FE77A8"/>
    <w:rsid w:val="00FE7A27"/>
    <w:rsid w:val="00FF0DA6"/>
    <w:rsid w:val="00FF1B80"/>
    <w:rsid w:val="00FF243F"/>
    <w:rsid w:val="00FF2EF0"/>
    <w:rsid w:val="00FF306F"/>
    <w:rsid w:val="00FF4074"/>
    <w:rsid w:val="00FF4261"/>
    <w:rsid w:val="00FF4747"/>
    <w:rsid w:val="00FF5D82"/>
    <w:rsid w:val="00FF7ADA"/>
    <w:rsid w:val="00FF7C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2C05B9"/>
  <w15:docId w15:val="{B2831A04-7573-4E31-81E3-B086244D0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B34FF"/>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basedOn w:val="Normale"/>
    <w:link w:val="TestonotaapidipaginaCarattere"/>
    <w:uiPriority w:val="99"/>
    <w:semiHidden/>
    <w:rsid w:val="00FB34FF"/>
    <w:rPr>
      <w:sz w:val="20"/>
      <w:szCs w:val="20"/>
    </w:rPr>
  </w:style>
  <w:style w:type="character" w:styleId="Rimandonotaapidipagina">
    <w:name w:val="footnote reference"/>
    <w:uiPriority w:val="99"/>
    <w:semiHidden/>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basedOn w:val="Carpredefinitoparagrafo"/>
    <w:link w:val="Testonotaapidipagina"/>
    <w:uiPriority w:val="99"/>
    <w:semiHidden/>
    <w:rsid w:val="00DD1259"/>
  </w:style>
  <w:style w:type="paragraph" w:styleId="Testonotadichiusura">
    <w:name w:val="endnote text"/>
    <w:basedOn w:val="Normale"/>
    <w:link w:val="TestonotadichiusuraCarattere"/>
    <w:semiHidden/>
    <w:unhideWhenUsed/>
    <w:rsid w:val="00C91EBC"/>
    <w:rPr>
      <w:sz w:val="20"/>
      <w:szCs w:val="20"/>
    </w:rPr>
  </w:style>
  <w:style w:type="character" w:customStyle="1" w:styleId="TestonotadichiusuraCarattere">
    <w:name w:val="Testo nota di chiusura Carattere"/>
    <w:basedOn w:val="Carpredefinitoparagrafo"/>
    <w:link w:val="Testonotadichiusura"/>
    <w:semiHidden/>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character" w:customStyle="1" w:styleId="object">
    <w:name w:val="object"/>
    <w:basedOn w:val="Carpredefinitoparagrafo"/>
    <w:rsid w:val="00683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11455">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751971146">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201491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oleObject" Target="embeddings/oleObject3.bin"/><Relationship Id="rId39" Type="http://schemas.openxmlformats.org/officeDocument/2006/relationships/image" Target="media/image16.wmf"/><Relationship Id="rId21" Type="http://schemas.openxmlformats.org/officeDocument/2006/relationships/image" Target="media/image6.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0.wmf"/><Relationship Id="rId50" Type="http://schemas.openxmlformats.org/officeDocument/2006/relationships/oleObject" Target="embeddings/oleObject16.bin"/><Relationship Id="rId55" Type="http://schemas.openxmlformats.org/officeDocument/2006/relationships/image" Target="media/image24.w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8.wmf"/><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4.xml"/><Relationship Id="rId29" Type="http://schemas.openxmlformats.org/officeDocument/2006/relationships/image" Target="media/image10.wmf"/><Relationship Id="rId41" Type="http://schemas.openxmlformats.org/officeDocument/2006/relationships/image" Target="media/image17.wmf"/><Relationship Id="rId54"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wmf"/><Relationship Id="rId28" Type="http://schemas.openxmlformats.org/officeDocument/2006/relationships/oleObject" Target="embeddings/oleObject4.bin"/><Relationship Id="rId36" Type="http://schemas.openxmlformats.org/officeDocument/2006/relationships/oleObject" Target="embeddings/oleObject9.bin"/><Relationship Id="rId49" Type="http://schemas.openxmlformats.org/officeDocument/2006/relationships/image" Target="media/image21.wmf"/><Relationship Id="rId57"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oleObject" Target="embeddings/oleObject13.bin"/><Relationship Id="rId52"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oleObject" Target="embeddings/oleObject1.bin"/><Relationship Id="rId27" Type="http://schemas.openxmlformats.org/officeDocument/2006/relationships/image" Target="media/image9.wmf"/><Relationship Id="rId30" Type="http://schemas.openxmlformats.org/officeDocument/2006/relationships/oleObject" Target="embeddings/oleObject5.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5.bin"/><Relationship Id="rId56" Type="http://schemas.openxmlformats.org/officeDocument/2006/relationships/oleObject" Target="embeddings/oleObject19.bin"/><Relationship Id="rId8" Type="http://schemas.openxmlformats.org/officeDocument/2006/relationships/footer" Target="footer1.xml"/><Relationship Id="rId51" Type="http://schemas.openxmlformats.org/officeDocument/2006/relationships/image" Target="media/image22.wmf"/><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2" Type="http://schemas.openxmlformats.org/officeDocument/2006/relationships/hyperlink" Target="mailto:regano@istat.it" TargetMode="External"/><Relationship Id="rId1" Type="http://schemas.openxmlformats.org/officeDocument/2006/relationships/hyperlink" Target="mailto:fimiani@istat.it"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ufficiostampa@istat.it" TargetMode="External"/><Relationship Id="rId2" Type="http://schemas.openxmlformats.org/officeDocument/2006/relationships/hyperlink" Target="https://contact.istat.it/" TargetMode="External"/><Relationship Id="rId1" Type="http://schemas.openxmlformats.org/officeDocument/2006/relationships/hyperlink" Target="mailto:ufficiostampa@istat.it" TargetMode="External"/><Relationship Id="rId5" Type="http://schemas.openxmlformats.org/officeDocument/2006/relationships/image" Target="media/image2.jpeg"/><Relationship Id="rId4" Type="http://schemas.openxmlformats.org/officeDocument/2006/relationships/hyperlink" Target="https://contact.istat.it/"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image" Target="media/image12.wmf"/><Relationship Id="rId1" Type="http://schemas.openxmlformats.org/officeDocument/2006/relationships/hyperlink" Target="http://www.oecd.org/std/productivitystatistics/2352458.pdf" TargetMode="External"/><Relationship Id="rId4" Type="http://schemas.openxmlformats.org/officeDocument/2006/relationships/hyperlink" Target="http://www.oecd.org/std/4431235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bosnia\Bosnia\DCCN\annu\investim\tfp_bench19\Diffusione\Rel21b\Figure_Produttivit&#224;_formule_Rel21b.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bosnia\Bosnia\DCCN\annu\investim\tfp_bench19\Diffusione\Rel21b\Figure_Produttivit&#224;_formule_Rel21b.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bosnia\Bosnia\DCCN\annu\investim\tfp_bench19\Diffusione\Rel21b\Figure_Produttivit&#224;_formule_Rel21b.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bosnia\Bosnia\DCCN\annu\investim\tfp_bench19\Diffusione\Rel21b\Figure_Produttivit&#224;_formule_Rel21b.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bosnia\Bosnia\DCCN\annu\investim\tfp_bench19\Diffusione\Rel21b\Figure_Produttivit&#224;_formule_Rel21b.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bosnia\Bosnia\DCCN\annu\investim\tfp_bench19\Diffusione\Rel21b\Figure_Produttivit&#224;_formule_Rel21b.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bosnia\Bosnia\DCCN\annu\investim\tfp_bench19\Diffusione\Rel21b\Figure_Produttivit&#224;_formule_Rel21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153618360027814E-2"/>
          <c:y val="0.12547505700684083"/>
          <c:w val="0.9563955497839628"/>
          <c:h val="0.77242944640146116"/>
        </c:manualLayout>
      </c:layout>
      <c:barChart>
        <c:barDir val="col"/>
        <c:grouping val="clustered"/>
        <c:varyColors val="0"/>
        <c:ser>
          <c:idx val="3"/>
          <c:order val="0"/>
          <c:tx>
            <c:strRef>
              <c:f>'Prospetto 2'!$B$8</c:f>
              <c:strCache>
                <c:ptCount val="1"/>
                <c:pt idx="0">
                  <c:v>1995-2020</c:v>
                </c:pt>
              </c:strCache>
            </c:strRef>
          </c:tx>
          <c:spPr>
            <a:solidFill>
              <a:srgbClr val="9BBB59"/>
            </a:solidFill>
          </c:spPr>
          <c:invertIfNegative val="0"/>
          <c:cat>
            <c:strRef>
              <c:f>'Prospetto 2'!$C$6:$J$6</c:f>
              <c:strCache>
                <c:ptCount val="5"/>
                <c:pt idx="0">
                  <c:v>EU27</c:v>
                </c:pt>
                <c:pt idx="1">
                  <c:v>DE</c:v>
                </c:pt>
                <c:pt idx="2">
                  <c:v>ES</c:v>
                </c:pt>
                <c:pt idx="3">
                  <c:v>FR</c:v>
                </c:pt>
                <c:pt idx="4">
                  <c:v>IT</c:v>
                </c:pt>
              </c:strCache>
            </c:strRef>
          </c:cat>
          <c:val>
            <c:numRef>
              <c:f>'Prospetto 2'!$C$8:$J$8</c:f>
              <c:numCache>
                <c:formatCode>#,##0.0;\-\ #,##0.0;_-\ "- "</c:formatCode>
                <c:ptCount val="5"/>
                <c:pt idx="0">
                  <c:v>1.5361107327897641</c:v>
                </c:pt>
                <c:pt idx="1">
                  <c:v>1.3112741881982082</c:v>
                </c:pt>
                <c:pt idx="2">
                  <c:v>0.44594303816642972</c:v>
                </c:pt>
                <c:pt idx="3">
                  <c:v>1.2281777173700714</c:v>
                </c:pt>
                <c:pt idx="4">
                  <c:v>0.39742738437804653</c:v>
                </c:pt>
              </c:numCache>
            </c:numRef>
          </c:val>
          <c:extLst>
            <c:ext xmlns:c16="http://schemas.microsoft.com/office/drawing/2014/chart" uri="{C3380CC4-5D6E-409C-BE32-E72D297353CC}">
              <c16:uniqueId val="{00000000-6343-4EDD-8DFE-2BD8CCD508B1}"/>
            </c:ext>
          </c:extLst>
        </c:ser>
        <c:ser>
          <c:idx val="0"/>
          <c:order val="1"/>
          <c:tx>
            <c:strRef>
              <c:f>'Prospetto 2'!$B$11</c:f>
              <c:strCache>
                <c:ptCount val="1"/>
                <c:pt idx="0">
                  <c:v>2014-2020</c:v>
                </c:pt>
              </c:strCache>
            </c:strRef>
          </c:tx>
          <c:spPr>
            <a:solidFill>
              <a:srgbClr val="006482"/>
            </a:solidFill>
          </c:spPr>
          <c:invertIfNegative val="0"/>
          <c:cat>
            <c:strRef>
              <c:f>'Prospetto 2'!$C$6:$J$6</c:f>
              <c:strCache>
                <c:ptCount val="5"/>
                <c:pt idx="0">
                  <c:v>EU27</c:v>
                </c:pt>
                <c:pt idx="1">
                  <c:v>DE</c:v>
                </c:pt>
                <c:pt idx="2">
                  <c:v>ES</c:v>
                </c:pt>
                <c:pt idx="3">
                  <c:v>FR</c:v>
                </c:pt>
                <c:pt idx="4">
                  <c:v>IT</c:v>
                </c:pt>
              </c:strCache>
            </c:strRef>
          </c:cat>
          <c:val>
            <c:numRef>
              <c:f>'Prospetto 2'!$C$11:$J$11</c:f>
              <c:numCache>
                <c:formatCode>#,##0.0;\-\ #,##0.0;_-\ "- "</c:formatCode>
                <c:ptCount val="5"/>
                <c:pt idx="0">
                  <c:v>1.1980497278979878</c:v>
                </c:pt>
                <c:pt idx="1">
                  <c:v>1.0450728091668144</c:v>
                </c:pt>
                <c:pt idx="2">
                  <c:v>-4.6118142000006752E-2</c:v>
                </c:pt>
                <c:pt idx="3">
                  <c:v>0.5292062893689885</c:v>
                </c:pt>
                <c:pt idx="4">
                  <c:v>0.50577431327549793</c:v>
                </c:pt>
              </c:numCache>
            </c:numRef>
          </c:val>
          <c:extLst>
            <c:ext xmlns:c16="http://schemas.microsoft.com/office/drawing/2014/chart" uri="{C3380CC4-5D6E-409C-BE32-E72D297353CC}">
              <c16:uniqueId val="{00000001-6343-4EDD-8DFE-2BD8CCD508B1}"/>
            </c:ext>
          </c:extLst>
        </c:ser>
        <c:ser>
          <c:idx val="1"/>
          <c:order val="2"/>
          <c:tx>
            <c:strRef>
              <c:f>'Prospetto 2'!$B$12</c:f>
              <c:strCache>
                <c:ptCount val="1"/>
                <c:pt idx="0">
                  <c:v>2019</c:v>
                </c:pt>
              </c:strCache>
            </c:strRef>
          </c:tx>
          <c:spPr>
            <a:solidFill>
              <a:srgbClr val="003B5C"/>
            </a:solidFill>
            <a:ln>
              <a:solidFill>
                <a:srgbClr val="003B5C"/>
              </a:solidFill>
            </a:ln>
          </c:spPr>
          <c:invertIfNegative val="0"/>
          <c:cat>
            <c:strRef>
              <c:f>'Prospetto 2'!$C$6:$J$6</c:f>
              <c:strCache>
                <c:ptCount val="5"/>
                <c:pt idx="0">
                  <c:v>EU27</c:v>
                </c:pt>
                <c:pt idx="1">
                  <c:v>DE</c:v>
                </c:pt>
                <c:pt idx="2">
                  <c:v>ES</c:v>
                </c:pt>
                <c:pt idx="3">
                  <c:v>FR</c:v>
                </c:pt>
                <c:pt idx="4">
                  <c:v>IT</c:v>
                </c:pt>
              </c:strCache>
            </c:strRef>
          </c:cat>
          <c:val>
            <c:numRef>
              <c:f>'Prospetto 2'!$C$12:$J$12</c:f>
              <c:numCache>
                <c:formatCode>#,##0.0;\-\ #,##0.0;_-\ "- "</c:formatCode>
                <c:ptCount val="5"/>
                <c:pt idx="0">
                  <c:v>1.3608808454412236</c:v>
                </c:pt>
                <c:pt idx="1">
                  <c:v>0.51178093093114008</c:v>
                </c:pt>
                <c:pt idx="2">
                  <c:v>-7.8283931694994272E-2</c:v>
                </c:pt>
                <c:pt idx="3">
                  <c:v>0.61609797985593429</c:v>
                </c:pt>
                <c:pt idx="4">
                  <c:v>0.54100000000000004</c:v>
                </c:pt>
              </c:numCache>
            </c:numRef>
          </c:val>
          <c:extLst>
            <c:ext xmlns:c16="http://schemas.microsoft.com/office/drawing/2014/chart" uri="{C3380CC4-5D6E-409C-BE32-E72D297353CC}">
              <c16:uniqueId val="{00000002-6343-4EDD-8DFE-2BD8CCD508B1}"/>
            </c:ext>
          </c:extLst>
        </c:ser>
        <c:ser>
          <c:idx val="2"/>
          <c:order val="3"/>
          <c:tx>
            <c:strRef>
              <c:f>'Prospetto 2'!$B$13</c:f>
              <c:strCache>
                <c:ptCount val="1"/>
                <c:pt idx="0">
                  <c:v>2020</c:v>
                </c:pt>
              </c:strCache>
            </c:strRef>
          </c:tx>
          <c:spPr>
            <a:solidFill>
              <a:srgbClr val="888888"/>
            </a:solidFill>
            <a:ln>
              <a:solidFill>
                <a:srgbClr val="A6A6A6"/>
              </a:solidFill>
            </a:ln>
          </c:spPr>
          <c:invertIfNegative val="0"/>
          <c:cat>
            <c:strRef>
              <c:f>'Prospetto 2'!$C$6:$J$6</c:f>
              <c:strCache>
                <c:ptCount val="5"/>
                <c:pt idx="0">
                  <c:v>EU27</c:v>
                </c:pt>
                <c:pt idx="1">
                  <c:v>DE</c:v>
                </c:pt>
                <c:pt idx="2">
                  <c:v>ES</c:v>
                </c:pt>
                <c:pt idx="3">
                  <c:v>FR</c:v>
                </c:pt>
                <c:pt idx="4">
                  <c:v>IT</c:v>
                </c:pt>
              </c:strCache>
            </c:strRef>
          </c:cat>
          <c:val>
            <c:numRef>
              <c:f>'Prospetto 2'!$C$13:$J$13</c:f>
              <c:numCache>
                <c:formatCode>#,##0.0;\-\ #,##0.0;_-\ "- "</c:formatCode>
                <c:ptCount val="5"/>
                <c:pt idx="0">
                  <c:v>-0.12049254116633308</c:v>
                </c:pt>
                <c:pt idx="1">
                  <c:v>0.40990655086226574</c:v>
                </c:pt>
                <c:pt idx="2">
                  <c:v>-2.8401289386760911</c:v>
                </c:pt>
                <c:pt idx="3">
                  <c:v>-1.0807141726728628</c:v>
                </c:pt>
                <c:pt idx="4">
                  <c:v>1.2689999999999995</c:v>
                </c:pt>
              </c:numCache>
            </c:numRef>
          </c:val>
          <c:extLst>
            <c:ext xmlns:c16="http://schemas.microsoft.com/office/drawing/2014/chart" uri="{C3380CC4-5D6E-409C-BE32-E72D297353CC}">
              <c16:uniqueId val="{00000003-6343-4EDD-8DFE-2BD8CCD508B1}"/>
            </c:ext>
          </c:extLst>
        </c:ser>
        <c:dLbls>
          <c:showLegendKey val="0"/>
          <c:showVal val="0"/>
          <c:showCatName val="0"/>
          <c:showSerName val="0"/>
          <c:showPercent val="0"/>
          <c:showBubbleSize val="0"/>
        </c:dLbls>
        <c:gapWidth val="49"/>
        <c:axId val="297529776"/>
        <c:axId val="297527536"/>
      </c:barChart>
      <c:catAx>
        <c:axId val="297529776"/>
        <c:scaling>
          <c:orientation val="minMax"/>
        </c:scaling>
        <c:delete val="0"/>
        <c:axPos val="b"/>
        <c:majorGridlines>
          <c:spPr>
            <a:ln w="15875" cap="flat" cmpd="sng" algn="ctr">
              <a:solidFill>
                <a:srgbClr val="FFFFFF"/>
              </a:solidFill>
              <a:prstDash val="solid"/>
              <a:round/>
              <a:headEnd type="none" w="med" len="med"/>
              <a:tailEnd type="none" w="med" len="med"/>
            </a:ln>
          </c:spPr>
        </c:majorGridlines>
        <c:numFmt formatCode="General" sourceLinked="1"/>
        <c:majorTickMark val="none"/>
        <c:minorTickMark val="none"/>
        <c:tickLblPos val="low"/>
        <c:spPr>
          <a:ln>
            <a:solidFill>
              <a:sysClr val="window" lastClr="FFFFFF"/>
            </a:solidFill>
          </a:ln>
        </c:spPr>
        <c:txPr>
          <a:bodyPr rot="0" vert="horz"/>
          <a:lstStyle/>
          <a:p>
            <a:pPr>
              <a:defRPr sz="1000" b="1"/>
            </a:pPr>
            <a:endParaRPr lang="it-IT"/>
          </a:p>
        </c:txPr>
        <c:crossAx val="297527536"/>
        <c:crosses val="autoZero"/>
        <c:auto val="1"/>
        <c:lblAlgn val="ctr"/>
        <c:lblOffset val="0"/>
        <c:tickMarkSkip val="1"/>
        <c:noMultiLvlLbl val="0"/>
      </c:catAx>
      <c:valAx>
        <c:axId val="297527536"/>
        <c:scaling>
          <c:orientation val="minMax"/>
          <c:max val="3"/>
          <c:min val="-3"/>
        </c:scaling>
        <c:delete val="0"/>
        <c:axPos val="l"/>
        <c:majorGridlines>
          <c:spPr>
            <a:ln w="15875" cmpd="sng">
              <a:solidFill>
                <a:srgbClr val="FFFFFF">
                  <a:lumMod val="100000"/>
                </a:srgbClr>
              </a:solidFill>
              <a:prstDash val="sysDot"/>
            </a:ln>
          </c:spPr>
        </c:majorGridlines>
        <c:numFmt formatCode="0" sourceLinked="0"/>
        <c:majorTickMark val="out"/>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rot="0" vert="horz"/>
          <a:lstStyle/>
          <a:p>
            <a:pPr>
              <a:defRPr/>
            </a:pPr>
            <a:endParaRPr lang="it-IT"/>
          </a:p>
        </c:txPr>
        <c:crossAx val="297529776"/>
        <c:crosses val="autoZero"/>
        <c:crossBetween val="between"/>
      </c:valAx>
      <c:spPr>
        <a:noFill/>
        <a:ln w="9525" cap="flat" cmpd="sng" algn="ctr">
          <a:solidFill>
            <a:sysClr val="window" lastClr="FFFFFF"/>
          </a:solidFill>
          <a:prstDash val="solid"/>
          <a:round/>
          <a:headEnd type="none" w="med" len="med"/>
          <a:tailEnd type="none" w="med" len="med"/>
        </a:ln>
      </c:spPr>
    </c:plotArea>
    <c:legend>
      <c:legendPos val="t"/>
      <c:layout>
        <c:manualLayout>
          <c:xMode val="edge"/>
          <c:yMode val="edge"/>
          <c:x val="0.3113332262038675"/>
          <c:y val="3.6923076923076947E-2"/>
          <c:w val="0.39288262436583216"/>
          <c:h val="9.9003755299818294E-2"/>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771281769582225E-2"/>
          <c:y val="0.12054583333333332"/>
          <c:w val="0.92613443336786261"/>
          <c:h val="0.73378870772371441"/>
        </c:manualLayout>
      </c:layout>
      <c:lineChart>
        <c:grouping val="standard"/>
        <c:varyColors val="0"/>
        <c:ser>
          <c:idx val="0"/>
          <c:order val="0"/>
          <c:tx>
            <c:strRef>
              <c:f>'Figura 3'!$E$16</c:f>
              <c:strCache>
                <c:ptCount val="1"/>
                <c:pt idx="0">
                  <c:v>Produttività del capitale</c:v>
                </c:pt>
              </c:strCache>
            </c:strRef>
          </c:tx>
          <c:spPr>
            <a:ln w="25400" cap="rnd" cmpd="sng" algn="ctr">
              <a:solidFill>
                <a:srgbClr val="888888"/>
              </a:solidFill>
              <a:prstDash val="solid"/>
              <a:round/>
              <a:headEnd type="none" w="med" len="med"/>
              <a:tailEnd type="none" w="med" len="med"/>
            </a:ln>
          </c:spPr>
          <c:marker>
            <c:symbol val="none"/>
          </c:marker>
          <c:cat>
            <c:numRef>
              <c:f>'Figura 3'!$D$17:$D$42</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'Figura 3'!$E$17:$E$42</c:f>
              <c:numCache>
                <c:formatCode>#,##0.0_ ;\-#,##0.0\ </c:formatCode>
                <c:ptCount val="26"/>
                <c:pt idx="0">
                  <c:v>120.72220299999998</c:v>
                </c:pt>
                <c:pt idx="1">
                  <c:v>119.957832</c:v>
                </c:pt>
                <c:pt idx="2">
                  <c:v>119.366173</c:v>
                </c:pt>
                <c:pt idx="3">
                  <c:v>117.86403799999998</c:v>
                </c:pt>
                <c:pt idx="4">
                  <c:v>116.33054799999998</c:v>
                </c:pt>
                <c:pt idx="5">
                  <c:v>117.282966</c:v>
                </c:pt>
                <c:pt idx="6">
                  <c:v>115.35678099999997</c:v>
                </c:pt>
                <c:pt idx="7">
                  <c:v>111.780173</c:v>
                </c:pt>
                <c:pt idx="8">
                  <c:v>109.24568300000003</c:v>
                </c:pt>
                <c:pt idx="9">
                  <c:v>109.527874</c:v>
                </c:pt>
                <c:pt idx="10">
                  <c:v>108.668454</c:v>
                </c:pt>
                <c:pt idx="11">
                  <c:v>108.999397</c:v>
                </c:pt>
                <c:pt idx="12">
                  <c:v>109.330179</c:v>
                </c:pt>
                <c:pt idx="13">
                  <c:v>106.57359799999998</c:v>
                </c:pt>
                <c:pt idx="14">
                  <c:v>98.808701999999954</c:v>
                </c:pt>
                <c:pt idx="15">
                  <c:v>101.15718200000001</c:v>
                </c:pt>
                <c:pt idx="16">
                  <c:v>101.77908100000001</c:v>
                </c:pt>
                <c:pt idx="17">
                  <c:v>99.027751999999978</c:v>
                </c:pt>
                <c:pt idx="18">
                  <c:v>98.373289999999983</c:v>
                </c:pt>
                <c:pt idx="19">
                  <c:v>98.763847999999982</c:v>
                </c:pt>
                <c:pt idx="20">
                  <c:v>100</c:v>
                </c:pt>
                <c:pt idx="21">
                  <c:v>101.788556</c:v>
                </c:pt>
                <c:pt idx="22">
                  <c:v>103.52335600000001</c:v>
                </c:pt>
                <c:pt idx="23">
                  <c:v>103.801277</c:v>
                </c:pt>
                <c:pt idx="24">
                  <c:v>103.587307</c:v>
                </c:pt>
                <c:pt idx="25">
                  <c:v>92.656283000000002</c:v>
                </c:pt>
              </c:numCache>
            </c:numRef>
          </c:val>
          <c:smooth val="0"/>
          <c:extLst>
            <c:ext xmlns:c16="http://schemas.microsoft.com/office/drawing/2014/chart" uri="{C3380CC4-5D6E-409C-BE32-E72D297353CC}">
              <c16:uniqueId val="{00000000-9ED8-4542-8A45-62B69502F6B5}"/>
            </c:ext>
          </c:extLst>
        </c:ser>
        <c:ser>
          <c:idx val="2"/>
          <c:order val="1"/>
          <c:tx>
            <c:strRef>
              <c:f>'Figura 3'!$F$16</c:f>
              <c:strCache>
                <c:ptCount val="1"/>
                <c:pt idx="0">
                  <c:v>Valore aggiunto</c:v>
                </c:pt>
              </c:strCache>
            </c:strRef>
          </c:tx>
          <c:spPr>
            <a:ln w="25400" cap="rnd" cmpd="sng" algn="ctr">
              <a:solidFill>
                <a:srgbClr val="D22630"/>
              </a:solidFill>
              <a:prstDash val="solid"/>
              <a:round/>
              <a:headEnd type="none" w="med" len="med"/>
              <a:tailEnd type="none" w="med" len="med"/>
            </a:ln>
          </c:spPr>
          <c:marker>
            <c:symbol val="none"/>
          </c:marker>
          <c:cat>
            <c:numRef>
              <c:f>'Figura 3'!$D$17:$D$42</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'Figura 3'!$F$17:$F$42</c:f>
              <c:numCache>
                <c:formatCode>#,##0.0_ ;\-#,##0.0\ </c:formatCode>
                <c:ptCount val="26"/>
                <c:pt idx="0">
                  <c:v>89.683117999999979</c:v>
                </c:pt>
                <c:pt idx="1">
                  <c:v>91.260926999999995</c:v>
                </c:pt>
                <c:pt idx="2">
                  <c:v>93.200622999999993</c:v>
                </c:pt>
                <c:pt idx="3">
                  <c:v>94.784481</c:v>
                </c:pt>
                <c:pt idx="4">
                  <c:v>96.475805999999977</c:v>
                </c:pt>
                <c:pt idx="5">
                  <c:v>100.96360199999999</c:v>
                </c:pt>
                <c:pt idx="6">
                  <c:v>102.483052</c:v>
                </c:pt>
                <c:pt idx="7">
                  <c:v>102.422179</c:v>
                </c:pt>
                <c:pt idx="8">
                  <c:v>102.189016</c:v>
                </c:pt>
                <c:pt idx="9">
                  <c:v>104.406138</c:v>
                </c:pt>
                <c:pt idx="10">
                  <c:v>105.48221500000002</c:v>
                </c:pt>
                <c:pt idx="11">
                  <c:v>107.82445</c:v>
                </c:pt>
                <c:pt idx="12">
                  <c:v>110.331647</c:v>
                </c:pt>
                <c:pt idx="13">
                  <c:v>109.184454</c:v>
                </c:pt>
                <c:pt idx="14">
                  <c:v>100.93163100000002</c:v>
                </c:pt>
                <c:pt idx="15">
                  <c:v>103.731346</c:v>
                </c:pt>
                <c:pt idx="16">
                  <c:v>104.54662100000003</c:v>
                </c:pt>
                <c:pt idx="17">
                  <c:v>100.91721900000006</c:v>
                </c:pt>
                <c:pt idx="18">
                  <c:v>98.975211000000002</c:v>
                </c:pt>
                <c:pt idx="19">
                  <c:v>99.030145000000005</c:v>
                </c:pt>
                <c:pt idx="20">
                  <c:v>100</c:v>
                </c:pt>
                <c:pt idx="21">
                  <c:v>102.05647999999998</c:v>
                </c:pt>
                <c:pt idx="22">
                  <c:v>104.556426</c:v>
                </c:pt>
                <c:pt idx="23">
                  <c:v>105.811898</c:v>
                </c:pt>
                <c:pt idx="24">
                  <c:v>106.331743</c:v>
                </c:pt>
                <c:pt idx="25">
                  <c:v>94.518837999999988</c:v>
                </c:pt>
              </c:numCache>
            </c:numRef>
          </c:val>
          <c:smooth val="0"/>
          <c:extLst>
            <c:ext xmlns:c16="http://schemas.microsoft.com/office/drawing/2014/chart" uri="{C3380CC4-5D6E-409C-BE32-E72D297353CC}">
              <c16:uniqueId val="{00000001-9ED8-4542-8A45-62B69502F6B5}"/>
            </c:ext>
          </c:extLst>
        </c:ser>
        <c:ser>
          <c:idx val="3"/>
          <c:order val="2"/>
          <c:tx>
            <c:strRef>
              <c:f>'Figura 3'!$G$16</c:f>
              <c:strCache>
                <c:ptCount val="1"/>
                <c:pt idx="0">
                  <c:v>Input di capitale</c:v>
                </c:pt>
              </c:strCache>
            </c:strRef>
          </c:tx>
          <c:spPr>
            <a:ln w="25400" cap="rnd" cmpd="sng" algn="ctr">
              <a:solidFill>
                <a:srgbClr val="008264"/>
              </a:solidFill>
              <a:prstDash val="solid"/>
              <a:round/>
              <a:headEnd type="none" w="med" len="med"/>
              <a:tailEnd type="none" w="med" len="med"/>
            </a:ln>
          </c:spPr>
          <c:marker>
            <c:symbol val="none"/>
          </c:marker>
          <c:cat>
            <c:numRef>
              <c:f>'Figura 3'!$D$17:$D$42</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'Figura 3'!$G$17:$G$42</c:f>
              <c:numCache>
                <c:formatCode>#,##0.0_ ;\-#,##0.0\ </c:formatCode>
                <c:ptCount val="26"/>
                <c:pt idx="0">
                  <c:v>74.288834999999978</c:v>
                </c:pt>
                <c:pt idx="1">
                  <c:v>76.077506999999983</c:v>
                </c:pt>
                <c:pt idx="2">
                  <c:v>78.079594</c:v>
                </c:pt>
                <c:pt idx="3">
                  <c:v>80.418491000000003</c:v>
                </c:pt>
                <c:pt idx="4">
                  <c:v>82.932477999999989</c:v>
                </c:pt>
                <c:pt idx="5">
                  <c:v>86.085478999999964</c:v>
                </c:pt>
                <c:pt idx="6">
                  <c:v>88.840075999999982</c:v>
                </c:pt>
                <c:pt idx="7">
                  <c:v>91.628216999999978</c:v>
                </c:pt>
                <c:pt idx="8">
                  <c:v>93.540553000000031</c:v>
                </c:pt>
                <c:pt idx="9">
                  <c:v>95.323805999999976</c:v>
                </c:pt>
                <c:pt idx="10">
                  <c:v>97.067926000000028</c:v>
                </c:pt>
                <c:pt idx="11">
                  <c:v>98.922060999999999</c:v>
                </c:pt>
                <c:pt idx="12">
                  <c:v>100.91600300000003</c:v>
                </c:pt>
                <c:pt idx="13">
                  <c:v>102.44981500000003</c:v>
                </c:pt>
                <c:pt idx="14">
                  <c:v>102.14852399999999</c:v>
                </c:pt>
                <c:pt idx="15">
                  <c:v>102.54471700000002</c:v>
                </c:pt>
                <c:pt idx="16">
                  <c:v>102.71916299999999</c:v>
                </c:pt>
                <c:pt idx="17">
                  <c:v>101.908018</c:v>
                </c:pt>
                <c:pt idx="18">
                  <c:v>100.611875</c:v>
                </c:pt>
                <c:pt idx="19">
                  <c:v>100.26963000000002</c:v>
                </c:pt>
                <c:pt idx="20">
                  <c:v>100</c:v>
                </c:pt>
                <c:pt idx="21">
                  <c:v>100.26321600000003</c:v>
                </c:pt>
                <c:pt idx="22">
                  <c:v>100.99791000000003</c:v>
                </c:pt>
                <c:pt idx="23">
                  <c:v>101.93698999999999</c:v>
                </c:pt>
                <c:pt idx="24">
                  <c:v>102.649395</c:v>
                </c:pt>
                <c:pt idx="25">
                  <c:v>102.010177</c:v>
                </c:pt>
              </c:numCache>
            </c:numRef>
          </c:val>
          <c:smooth val="0"/>
          <c:extLst>
            <c:ext xmlns:c16="http://schemas.microsoft.com/office/drawing/2014/chart" uri="{C3380CC4-5D6E-409C-BE32-E72D297353CC}">
              <c16:uniqueId val="{00000002-9ED8-4542-8A45-62B69502F6B5}"/>
            </c:ext>
          </c:extLst>
        </c:ser>
        <c:dLbls>
          <c:showLegendKey val="0"/>
          <c:showVal val="0"/>
          <c:showCatName val="0"/>
          <c:showSerName val="0"/>
          <c:showPercent val="0"/>
          <c:showBubbleSize val="0"/>
        </c:dLbls>
        <c:smooth val="0"/>
        <c:axId val="260062144"/>
        <c:axId val="265128736"/>
      </c:lineChart>
      <c:dateAx>
        <c:axId val="260062144"/>
        <c:scaling>
          <c:orientation val="minMax"/>
        </c:scaling>
        <c:delete val="0"/>
        <c:axPos val="b"/>
        <c:majorGridlines>
          <c:spPr>
            <a:ln w="15875" cap="flat" cmpd="sng" algn="ctr">
              <a:solidFill>
                <a:srgbClr val="FFFFFF"/>
              </a:solidFill>
              <a:prstDash val="solid"/>
              <a:round/>
              <a:headEnd type="none" w="med" len="med"/>
              <a:tailEnd type="none" w="med" len="med"/>
            </a:ln>
          </c:spPr>
        </c:majorGridlines>
        <c:numFmt formatCode="General" sourceLinked="1"/>
        <c:majorTickMark val="none"/>
        <c:minorTickMark val="none"/>
        <c:tickLblPos val="low"/>
        <c:spPr>
          <a:ln w="3175">
            <a:noFill/>
            <a:prstDash val="solid"/>
          </a:ln>
        </c:spPr>
        <c:txPr>
          <a:bodyPr rot="0" vert="horz"/>
          <a:lstStyle/>
          <a:p>
            <a:pPr>
              <a:defRPr sz="1000" b="1"/>
            </a:pPr>
            <a:endParaRPr lang="it-IT"/>
          </a:p>
        </c:txPr>
        <c:crossAx val="265128736"/>
        <c:crosses val="autoZero"/>
        <c:auto val="0"/>
        <c:lblOffset val="0"/>
        <c:baseTimeUnit val="days"/>
      </c:dateAx>
      <c:valAx>
        <c:axId val="265128736"/>
        <c:scaling>
          <c:orientation val="minMax"/>
          <c:max val="130"/>
          <c:min val="60"/>
        </c:scaling>
        <c:delete val="0"/>
        <c:axPos val="l"/>
        <c:majorGridlines>
          <c:spPr>
            <a:ln w="15875">
              <a:solidFill>
                <a:srgbClr val="FFFFFF">
                  <a:lumMod val="100000"/>
                </a:srgbClr>
              </a:solidFill>
            </a:ln>
          </c:spPr>
        </c:majorGridlines>
        <c:numFmt formatCode="0" sourceLinked="0"/>
        <c:majorTickMark val="none"/>
        <c:minorTickMark val="none"/>
        <c:tickLblPos val="nextTo"/>
        <c:spPr>
          <a:noFill/>
          <a:ln w="3175" cap="flat" cmpd="sng" algn="ctr">
            <a:noFill/>
            <a:prstDash val="solid"/>
            <a:round/>
          </a:ln>
          <a:effectLst/>
          <a:extLst>
            <a:ext uri="{91240B29-F687-4F45-9708-019B960494DF}">
              <a14:hiddenLine xmlns:a14="http://schemas.microsoft.com/office/drawing/2010/main" w="3175" cap="flat" cmpd="sng" algn="ctr">
                <a:solidFill>
                  <a:srgbClr val="000000"/>
                </a:solidFill>
                <a:prstDash val="solid"/>
                <a:round/>
              </a14:hiddenLine>
            </a:ext>
          </a:extLst>
        </c:spPr>
        <c:txPr>
          <a:bodyPr rot="0" vert="horz"/>
          <a:lstStyle/>
          <a:p>
            <a:pPr>
              <a:defRPr/>
            </a:pPr>
            <a:endParaRPr lang="it-IT"/>
          </a:p>
        </c:txPr>
        <c:crossAx val="260062144"/>
        <c:crosses val="autoZero"/>
        <c:crossBetween val="between"/>
        <c:majorUnit val="10"/>
      </c:valAx>
      <c:spPr>
        <a:noFill/>
        <a:ln w="25400" cap="flat" cmpd="sng" algn="ctr">
          <a:noFill/>
          <a:prstDash val="solid"/>
          <a:round/>
          <a:headEnd type="none" w="med" len="med"/>
          <a:tailEnd type="none" w="med" len="med"/>
        </a:ln>
      </c:spPr>
    </c:plotArea>
    <c:legend>
      <c:legendPos val="t"/>
      <c:layout>
        <c:manualLayout>
          <c:xMode val="edge"/>
          <c:yMode val="edge"/>
          <c:x val="0.21201186186186197"/>
          <c:y val="5.879629629629634E-3"/>
          <c:w val="0.57597612612612614"/>
          <c:h val="9.4592129629629679E-2"/>
        </c:manualLayout>
      </c:layout>
      <c:overlay val="0"/>
      <c:spPr>
        <a:noFill/>
        <a:ln w="25400">
          <a:noFill/>
        </a:ln>
      </c:spPr>
    </c:legend>
    <c:plotVisOnly val="1"/>
    <c:dispBlanksAs val="gap"/>
    <c:showDLblsOverMax val="0"/>
  </c:chart>
  <c:spPr>
    <a:noFill/>
    <a:ln w="9525">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153618360027814E-2"/>
          <c:y val="0.12547505700684083"/>
          <c:w val="0.9563955497839628"/>
          <c:h val="0.77242944640146138"/>
        </c:manualLayout>
      </c:layout>
      <c:barChart>
        <c:barDir val="col"/>
        <c:grouping val="clustered"/>
        <c:varyColors val="0"/>
        <c:ser>
          <c:idx val="1"/>
          <c:order val="1"/>
          <c:tx>
            <c:strRef>
              <c:f>'Figura 1'!$F$21</c:f>
              <c:strCache>
                <c:ptCount val="1"/>
                <c:pt idx="0">
                  <c:v>Produttività del lavoro</c:v>
                </c:pt>
              </c:strCache>
            </c:strRef>
          </c:tx>
          <c:spPr>
            <a:solidFill>
              <a:srgbClr val="003B5C"/>
            </a:solidFill>
            <a:ln>
              <a:solidFill>
                <a:srgbClr val="003B5C"/>
              </a:solidFill>
            </a:ln>
          </c:spPr>
          <c:invertIfNegative val="0"/>
          <c:cat>
            <c:numRef>
              <c:f>'Figura 1'!$D$23:$D$47</c:f>
              <c:numCache>
                <c:formatCode>General</c:formatCod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'Figura 1'!$F$23:$F$47</c:f>
              <c:numCache>
                <c:formatCode>#,##0.0_ ;\-#,##0.0\ </c:formatCode>
                <c:ptCount val="25"/>
                <c:pt idx="0">
                  <c:v>0.69000000000000017</c:v>
                </c:pt>
                <c:pt idx="1">
                  <c:v>1.7429999999999997</c:v>
                </c:pt>
                <c:pt idx="2">
                  <c:v>-0.42800000000000016</c:v>
                </c:pt>
                <c:pt idx="3">
                  <c:v>0.77000000000000024</c:v>
                </c:pt>
                <c:pt idx="4">
                  <c:v>3.895999999999999</c:v>
                </c:pt>
                <c:pt idx="5">
                  <c:v>-0.20200000000000001</c:v>
                </c:pt>
                <c:pt idx="6">
                  <c:v>-1.0149999999999995</c:v>
                </c:pt>
                <c:pt idx="7">
                  <c:v>-0.96600000000000019</c:v>
                </c:pt>
                <c:pt idx="8">
                  <c:v>1.466</c:v>
                </c:pt>
                <c:pt idx="9">
                  <c:v>0.65500000000000025</c:v>
                </c:pt>
                <c:pt idx="10">
                  <c:v>-0.18400000000000005</c:v>
                </c:pt>
                <c:pt idx="11">
                  <c:v>0.3600000000000001</c:v>
                </c:pt>
                <c:pt idx="12">
                  <c:v>-0.66100000000000025</c:v>
                </c:pt>
                <c:pt idx="13">
                  <c:v>-3.7280000000000002</c:v>
                </c:pt>
                <c:pt idx="14">
                  <c:v>3.2880000000000007</c:v>
                </c:pt>
                <c:pt idx="15">
                  <c:v>0.62200000000000022</c:v>
                </c:pt>
                <c:pt idx="16">
                  <c:v>-0.77700000000000025</c:v>
                </c:pt>
                <c:pt idx="17">
                  <c:v>1.079</c:v>
                </c:pt>
                <c:pt idx="18">
                  <c:v>0.28200000000000008</c:v>
                </c:pt>
                <c:pt idx="19">
                  <c:v>4.5999999999999999E-2</c:v>
                </c:pt>
                <c:pt idx="20">
                  <c:v>9.5000000000000029E-2</c:v>
                </c:pt>
                <c:pt idx="21">
                  <c:v>1.042</c:v>
                </c:pt>
                <c:pt idx="22">
                  <c:v>3.4000000000000002E-2</c:v>
                </c:pt>
                <c:pt idx="23">
                  <c:v>0.54100000000000004</c:v>
                </c:pt>
                <c:pt idx="24">
                  <c:v>1.2689999999999995</c:v>
                </c:pt>
              </c:numCache>
            </c:numRef>
          </c:val>
          <c:extLst>
            <c:ext xmlns:c16="http://schemas.microsoft.com/office/drawing/2014/chart" uri="{C3380CC4-5D6E-409C-BE32-E72D297353CC}">
              <c16:uniqueId val="{00000000-230B-4ECD-BC06-028483037950}"/>
            </c:ext>
          </c:extLst>
        </c:ser>
        <c:ser>
          <c:idx val="2"/>
          <c:order val="2"/>
          <c:tx>
            <c:strRef>
              <c:f>'Figura 1'!$G$21</c:f>
              <c:strCache>
                <c:ptCount val="1"/>
                <c:pt idx="0">
                  <c:v>Produttività del capitale</c:v>
                </c:pt>
              </c:strCache>
            </c:strRef>
          </c:tx>
          <c:spPr>
            <a:solidFill>
              <a:srgbClr val="888888"/>
            </a:solidFill>
            <a:ln>
              <a:noFill/>
            </a:ln>
          </c:spPr>
          <c:invertIfNegative val="0"/>
          <c:cat>
            <c:numRef>
              <c:f>'Figura 1'!$D$23:$D$47</c:f>
              <c:numCache>
                <c:formatCode>General</c:formatCod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'Figura 1'!$G$23:$G$47</c:f>
              <c:numCache>
                <c:formatCode>#,##0.0_ ;\-#,##0.0\ </c:formatCode>
                <c:ptCount val="25"/>
                <c:pt idx="0">
                  <c:v>-0.63500000000000023</c:v>
                </c:pt>
                <c:pt idx="1">
                  <c:v>-0.49400000000000016</c:v>
                </c:pt>
                <c:pt idx="2">
                  <c:v>-1.266</c:v>
                </c:pt>
                <c:pt idx="3">
                  <c:v>-1.31</c:v>
                </c:pt>
                <c:pt idx="4">
                  <c:v>0.81499999999999995</c:v>
                </c:pt>
                <c:pt idx="5">
                  <c:v>-1.6559999999999995</c:v>
                </c:pt>
                <c:pt idx="6">
                  <c:v>-3.15</c:v>
                </c:pt>
                <c:pt idx="7">
                  <c:v>-2.2930000000000001</c:v>
                </c:pt>
                <c:pt idx="8">
                  <c:v>0.25800000000000001</c:v>
                </c:pt>
                <c:pt idx="9">
                  <c:v>-0.78800000000000003</c:v>
                </c:pt>
                <c:pt idx="10">
                  <c:v>0.30400000000000016</c:v>
                </c:pt>
                <c:pt idx="11">
                  <c:v>0.30300000000000016</c:v>
                </c:pt>
                <c:pt idx="12">
                  <c:v>-2.5539999999999998</c:v>
                </c:pt>
                <c:pt idx="13">
                  <c:v>-7.5649999999999986</c:v>
                </c:pt>
                <c:pt idx="14">
                  <c:v>2.3489999999999998</c:v>
                </c:pt>
                <c:pt idx="15">
                  <c:v>0.61300000000000021</c:v>
                </c:pt>
                <c:pt idx="16">
                  <c:v>-2.74</c:v>
                </c:pt>
                <c:pt idx="17">
                  <c:v>-0.66300000000000026</c:v>
                </c:pt>
                <c:pt idx="18">
                  <c:v>0.39600000000000013</c:v>
                </c:pt>
                <c:pt idx="19">
                  <c:v>1.244</c:v>
                </c:pt>
                <c:pt idx="20">
                  <c:v>1.7729999999999995</c:v>
                </c:pt>
                <c:pt idx="21">
                  <c:v>1.6900000000000004</c:v>
                </c:pt>
                <c:pt idx="22">
                  <c:v>0.26800000000000002</c:v>
                </c:pt>
                <c:pt idx="23">
                  <c:v>-0.20600000000000004</c:v>
                </c:pt>
                <c:pt idx="24">
                  <c:v>-11.152000000000003</c:v>
                </c:pt>
              </c:numCache>
            </c:numRef>
          </c:val>
          <c:extLst>
            <c:ext xmlns:c16="http://schemas.microsoft.com/office/drawing/2014/chart" uri="{C3380CC4-5D6E-409C-BE32-E72D297353CC}">
              <c16:uniqueId val="{00000001-230B-4ECD-BC06-028483037950}"/>
            </c:ext>
          </c:extLst>
        </c:ser>
        <c:ser>
          <c:idx val="3"/>
          <c:order val="3"/>
          <c:tx>
            <c:strRef>
              <c:f>'Figura 1'!$H$21</c:f>
              <c:strCache>
                <c:ptCount val="1"/>
                <c:pt idx="0">
                  <c:v>Produttività totale dei fattori</c:v>
                </c:pt>
              </c:strCache>
            </c:strRef>
          </c:tx>
          <c:spPr>
            <a:solidFill>
              <a:srgbClr val="008264"/>
            </a:solidFill>
            <a:ln>
              <a:solidFill>
                <a:srgbClr val="008264"/>
              </a:solidFill>
            </a:ln>
          </c:spPr>
          <c:invertIfNegative val="0"/>
          <c:cat>
            <c:numRef>
              <c:f>'Figura 1'!$D$23:$D$47</c:f>
              <c:numCache>
                <c:formatCode>General</c:formatCod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'Figura 1'!$H$23:$H$47</c:f>
              <c:numCache>
                <c:formatCode>#,##0.0_ ;\-#,##0.0\ </c:formatCode>
                <c:ptCount val="25"/>
                <c:pt idx="0">
                  <c:v>0.17200000000000001</c:v>
                </c:pt>
                <c:pt idx="1">
                  <c:v>0.90900000000000003</c:v>
                </c:pt>
                <c:pt idx="2">
                  <c:v>-0.71300000000000019</c:v>
                </c:pt>
                <c:pt idx="3">
                  <c:v>1.7999999999999999E-2</c:v>
                </c:pt>
                <c:pt idx="4">
                  <c:v>2.7589999999999999</c:v>
                </c:pt>
                <c:pt idx="5">
                  <c:v>-0.74900000000000022</c:v>
                </c:pt>
                <c:pt idx="6">
                  <c:v>-1.827</c:v>
                </c:pt>
                <c:pt idx="7">
                  <c:v>-1.4709999999999996</c:v>
                </c:pt>
                <c:pt idx="8">
                  <c:v>1.0189999999999995</c:v>
                </c:pt>
                <c:pt idx="9">
                  <c:v>0.13700000000000001</c:v>
                </c:pt>
                <c:pt idx="10">
                  <c:v>-1.7000000000000001E-2</c:v>
                </c:pt>
                <c:pt idx="11">
                  <c:v>0.34</c:v>
                </c:pt>
                <c:pt idx="12">
                  <c:v>-1.306</c:v>
                </c:pt>
                <c:pt idx="13">
                  <c:v>-4.9779999999999998</c:v>
                </c:pt>
                <c:pt idx="14">
                  <c:v>2.9949999999999997</c:v>
                </c:pt>
                <c:pt idx="15">
                  <c:v>0.61700000000000021</c:v>
                </c:pt>
                <c:pt idx="16">
                  <c:v>-1.3819999999999995</c:v>
                </c:pt>
                <c:pt idx="17">
                  <c:v>0.54</c:v>
                </c:pt>
                <c:pt idx="18">
                  <c:v>0.30700000000000011</c:v>
                </c:pt>
                <c:pt idx="19">
                  <c:v>0.40300000000000002</c:v>
                </c:pt>
                <c:pt idx="20">
                  <c:v>0.62400000000000022</c:v>
                </c:pt>
                <c:pt idx="21">
                  <c:v>1.258</c:v>
                </c:pt>
                <c:pt idx="22">
                  <c:v>0.10900000000000003</c:v>
                </c:pt>
                <c:pt idx="23">
                  <c:v>0.29700000000000015</c:v>
                </c:pt>
                <c:pt idx="24">
                  <c:v>-2.7240000000000002</c:v>
                </c:pt>
              </c:numCache>
            </c:numRef>
          </c:val>
          <c:extLst>
            <c:ext xmlns:c16="http://schemas.microsoft.com/office/drawing/2014/chart" uri="{C3380CC4-5D6E-409C-BE32-E72D297353CC}">
              <c16:uniqueId val="{00000002-230B-4ECD-BC06-028483037950}"/>
            </c:ext>
          </c:extLst>
        </c:ser>
        <c:dLbls>
          <c:showLegendKey val="0"/>
          <c:showVal val="0"/>
          <c:showCatName val="0"/>
          <c:showSerName val="0"/>
          <c:showPercent val="0"/>
          <c:showBubbleSize val="0"/>
        </c:dLbls>
        <c:gapWidth val="49"/>
        <c:axId val="262354672"/>
        <c:axId val="261148000"/>
      </c:barChart>
      <c:lineChart>
        <c:grouping val="standard"/>
        <c:varyColors val="0"/>
        <c:ser>
          <c:idx val="0"/>
          <c:order val="0"/>
          <c:tx>
            <c:strRef>
              <c:f>'Figura 1'!$E$21</c:f>
              <c:strCache>
                <c:ptCount val="1"/>
                <c:pt idx="0">
                  <c:v>Valore aggiunto</c:v>
                </c:pt>
              </c:strCache>
            </c:strRef>
          </c:tx>
          <c:spPr>
            <a:ln w="28575">
              <a:solidFill>
                <a:srgbClr val="D22630"/>
              </a:solidFill>
            </a:ln>
          </c:spPr>
          <c:marker>
            <c:symbol val="none"/>
          </c:marker>
          <c:cat>
            <c:numRef>
              <c:f>'Figura 1'!$D$23:$D$47</c:f>
              <c:numCache>
                <c:formatCode>General</c:formatCod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'Figura 1'!$E$23:$E$47</c:f>
              <c:numCache>
                <c:formatCode>#,##0.0_ ;\-#,##0.0\ </c:formatCode>
                <c:ptCount val="25"/>
                <c:pt idx="0">
                  <c:v>1.744</c:v>
                </c:pt>
                <c:pt idx="1">
                  <c:v>2.1030000000000002</c:v>
                </c:pt>
                <c:pt idx="2">
                  <c:v>1.6850000000000001</c:v>
                </c:pt>
                <c:pt idx="3">
                  <c:v>1.7689999999999995</c:v>
                </c:pt>
                <c:pt idx="4">
                  <c:v>4.5469999999999997</c:v>
                </c:pt>
                <c:pt idx="5">
                  <c:v>1.494</c:v>
                </c:pt>
                <c:pt idx="6">
                  <c:v>-5.9000000000000011E-2</c:v>
                </c:pt>
                <c:pt idx="7">
                  <c:v>-0.22800000000000001</c:v>
                </c:pt>
                <c:pt idx="8">
                  <c:v>2.1459999999999999</c:v>
                </c:pt>
                <c:pt idx="9">
                  <c:v>1.0249999999999995</c:v>
                </c:pt>
                <c:pt idx="10">
                  <c:v>2.1959999999999997</c:v>
                </c:pt>
                <c:pt idx="11">
                  <c:v>2.2989999999999999</c:v>
                </c:pt>
                <c:pt idx="12">
                  <c:v>-1.0449999999999995</c:v>
                </c:pt>
                <c:pt idx="13">
                  <c:v>-7.8599999999999985</c:v>
                </c:pt>
                <c:pt idx="14">
                  <c:v>2.7359999999999998</c:v>
                </c:pt>
                <c:pt idx="15">
                  <c:v>0.78300000000000003</c:v>
                </c:pt>
                <c:pt idx="16">
                  <c:v>-3.532999999999999</c:v>
                </c:pt>
                <c:pt idx="17">
                  <c:v>-1.9430000000000001</c:v>
                </c:pt>
                <c:pt idx="18">
                  <c:v>5.5000000000000014E-2</c:v>
                </c:pt>
                <c:pt idx="19">
                  <c:v>0.9750000000000002</c:v>
                </c:pt>
                <c:pt idx="20">
                  <c:v>2.0359999999999991</c:v>
                </c:pt>
                <c:pt idx="21">
                  <c:v>2.42</c:v>
                </c:pt>
                <c:pt idx="22">
                  <c:v>1.1940000000000004</c:v>
                </c:pt>
                <c:pt idx="23">
                  <c:v>0.4900000000000001</c:v>
                </c:pt>
                <c:pt idx="24">
                  <c:v>-11.776</c:v>
                </c:pt>
              </c:numCache>
            </c:numRef>
          </c:val>
          <c:smooth val="0"/>
          <c:extLst>
            <c:ext xmlns:c16="http://schemas.microsoft.com/office/drawing/2014/chart" uri="{C3380CC4-5D6E-409C-BE32-E72D297353CC}">
              <c16:uniqueId val="{00000003-230B-4ECD-BC06-028483037950}"/>
            </c:ext>
          </c:extLst>
        </c:ser>
        <c:dLbls>
          <c:showLegendKey val="0"/>
          <c:showVal val="0"/>
          <c:showCatName val="0"/>
          <c:showSerName val="0"/>
          <c:showPercent val="0"/>
          <c:showBubbleSize val="0"/>
        </c:dLbls>
        <c:marker val="1"/>
        <c:smooth val="0"/>
        <c:axId val="262354672"/>
        <c:axId val="261148000"/>
      </c:lineChart>
      <c:catAx>
        <c:axId val="262354672"/>
        <c:scaling>
          <c:orientation val="minMax"/>
        </c:scaling>
        <c:delete val="0"/>
        <c:axPos val="b"/>
        <c:majorGridlines>
          <c:spPr>
            <a:ln w="15875" cap="flat" cmpd="sng" algn="ctr">
              <a:solidFill>
                <a:srgbClr val="FFFFFF"/>
              </a:solidFill>
              <a:prstDash val="solid"/>
              <a:round/>
              <a:headEnd type="none" w="med" len="med"/>
              <a:tailEnd type="none" w="med" len="med"/>
            </a:ln>
          </c:spPr>
        </c:majorGridlines>
        <c:numFmt formatCode="General" sourceLinked="1"/>
        <c:majorTickMark val="none"/>
        <c:minorTickMark val="none"/>
        <c:tickLblPos val="low"/>
        <c:spPr>
          <a:ln>
            <a:solidFill>
              <a:sysClr val="window" lastClr="FFFFFF"/>
            </a:solidFill>
          </a:ln>
        </c:spPr>
        <c:txPr>
          <a:bodyPr rot="0" vert="horz"/>
          <a:lstStyle/>
          <a:p>
            <a:pPr>
              <a:defRPr sz="1000" b="1"/>
            </a:pPr>
            <a:endParaRPr lang="it-IT"/>
          </a:p>
        </c:txPr>
        <c:crossAx val="261148000"/>
        <c:crosses val="autoZero"/>
        <c:auto val="1"/>
        <c:lblAlgn val="ctr"/>
        <c:lblOffset val="0"/>
        <c:tickLblSkip val="2"/>
        <c:tickMarkSkip val="1"/>
        <c:noMultiLvlLbl val="0"/>
      </c:catAx>
      <c:valAx>
        <c:axId val="261148000"/>
        <c:scaling>
          <c:orientation val="minMax"/>
        </c:scaling>
        <c:delete val="0"/>
        <c:axPos val="l"/>
        <c:majorGridlines>
          <c:spPr>
            <a:ln w="15875" cmpd="sng">
              <a:solidFill>
                <a:srgbClr val="FFFFFF">
                  <a:lumMod val="100000"/>
                </a:srgbClr>
              </a:solidFill>
              <a:prstDash val="sysDot"/>
            </a:ln>
          </c:spPr>
        </c:majorGridlines>
        <c:numFmt formatCode="0" sourceLinked="0"/>
        <c:majorTickMark val="out"/>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rot="0" vert="horz"/>
          <a:lstStyle/>
          <a:p>
            <a:pPr>
              <a:defRPr/>
            </a:pPr>
            <a:endParaRPr lang="it-IT"/>
          </a:p>
        </c:txPr>
        <c:crossAx val="262354672"/>
        <c:crosses val="autoZero"/>
        <c:crossBetween val="between"/>
      </c:valAx>
      <c:spPr>
        <a:noFill/>
        <a:ln w="9525" cap="flat" cmpd="sng" algn="ctr">
          <a:solidFill>
            <a:srgbClr val="FFFFFF"/>
          </a:solidFill>
          <a:prstDash val="solid"/>
          <a:round/>
          <a:headEnd type="none" w="med" len="med"/>
          <a:tailEnd type="none" w="med" len="med"/>
        </a:ln>
      </c:spPr>
    </c:plotArea>
    <c:legend>
      <c:legendPos val="t"/>
      <c:layout>
        <c:manualLayout>
          <c:xMode val="edge"/>
          <c:yMode val="edge"/>
          <c:x val="3.7956606606606602E-2"/>
          <c:y val="2.6785365910243737E-2"/>
          <c:w val="0.92315180180180167"/>
          <c:h val="4.3092591948150322E-2"/>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40769346506847E-2"/>
          <c:y val="0.1349217592592592"/>
          <c:w val="0.96059230653493155"/>
          <c:h val="0.73644335845157582"/>
        </c:manualLayout>
      </c:layout>
      <c:barChart>
        <c:barDir val="col"/>
        <c:grouping val="stacked"/>
        <c:varyColors val="0"/>
        <c:ser>
          <c:idx val="3"/>
          <c:order val="0"/>
          <c:tx>
            <c:strRef>
              <c:f>'Figura 5'!$E$64</c:f>
              <c:strCache>
                <c:ptCount val="1"/>
                <c:pt idx="0">
                  <c:v>Ore lavorate</c:v>
                </c:pt>
              </c:strCache>
            </c:strRef>
          </c:tx>
          <c:spPr>
            <a:solidFill>
              <a:srgbClr val="888888"/>
            </a:solidFill>
            <a:ln w="25400">
              <a:noFill/>
            </a:ln>
          </c:spPr>
          <c:invertIfNegative val="0"/>
          <c:dLbls>
            <c:dLbl>
              <c:idx val="5"/>
              <c:layout>
                <c:manualLayout>
                  <c:x val="-4.5121263395375881E-3"/>
                  <c:y val="3.73831775700934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03-4DDA-8C56-87542E3C3CCE}"/>
                </c:ext>
              </c:extLst>
            </c:dLbl>
            <c:dLbl>
              <c:idx val="6"/>
              <c:layout>
                <c:manualLayout>
                  <c:x val="-1.4232789403461147E-16"/>
                  <c:y val="-5.08158014227334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03-4DDA-8C56-87542E3C3CCE}"/>
                </c:ext>
              </c:extLst>
            </c:dLbl>
            <c:dLbl>
              <c:idx val="7"/>
              <c:layout>
                <c:manualLayout>
                  <c:x val="0"/>
                  <c:y val="-2.33881979705807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03-4DDA-8C56-87542E3C3CCE}"/>
                </c:ext>
              </c:extLst>
            </c:dLbl>
            <c:numFmt formatCode="#,##0.0" sourceLinked="0"/>
            <c:spPr>
              <a:noFill/>
              <a:ln w="25400">
                <a:noFill/>
              </a:ln>
            </c:spPr>
            <c:txPr>
              <a:bodyPr/>
              <a:lstStyle/>
              <a:p>
                <a:pPr>
                  <a:defRPr sz="800" b="1" i="0" u="none" strike="noStrike" baseline="0">
                    <a:solidFill>
                      <a:sysClr val="windowText" lastClr="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5'!$D$65:$D$70</c:f>
              <c:strCache>
                <c:ptCount val="6"/>
                <c:pt idx="0">
                  <c:v>1995-2020</c:v>
                </c:pt>
                <c:pt idx="1">
                  <c:v>2003-2009</c:v>
                </c:pt>
                <c:pt idx="2">
                  <c:v>2009-2014</c:v>
                </c:pt>
                <c:pt idx="3">
                  <c:v>2014-2020</c:v>
                </c:pt>
                <c:pt idx="4">
                  <c:v>2019 </c:v>
                </c:pt>
                <c:pt idx="5">
                  <c:v>2020 </c:v>
                </c:pt>
              </c:strCache>
            </c:strRef>
          </c:cat>
          <c:val>
            <c:numRef>
              <c:f>'Figura 5'!$E$65:$E$70</c:f>
              <c:numCache>
                <c:formatCode>#,##0.0;\-\ #,##0.0;_-\ "- "</c:formatCode>
                <c:ptCount val="6"/>
                <c:pt idx="0">
                  <c:v>-0.15587838324893083</c:v>
                </c:pt>
                <c:pt idx="1">
                  <c:v>7.6362474636604324E-2</c:v>
                </c:pt>
                <c:pt idx="2">
                  <c:v>-0.8854565379104784</c:v>
                </c:pt>
                <c:pt idx="3">
                  <c:v>-0.86358284867822377</c:v>
                </c:pt>
                <c:pt idx="4">
                  <c:v>-3.500000000000001E-2</c:v>
                </c:pt>
                <c:pt idx="5">
                  <c:v>-8.8510000000000026</c:v>
                </c:pt>
              </c:numCache>
            </c:numRef>
          </c:val>
          <c:extLst>
            <c:ext xmlns:c16="http://schemas.microsoft.com/office/drawing/2014/chart" uri="{C3380CC4-5D6E-409C-BE32-E72D297353CC}">
              <c16:uniqueId val="{00000003-5603-4DDA-8C56-87542E3C3CCE}"/>
            </c:ext>
          </c:extLst>
        </c:ser>
        <c:ser>
          <c:idx val="4"/>
          <c:order val="1"/>
          <c:tx>
            <c:strRef>
              <c:f>'Figura 5'!$F$64</c:f>
              <c:strCache>
                <c:ptCount val="1"/>
                <c:pt idx="0">
                  <c:v>Input di capitale</c:v>
                </c:pt>
              </c:strCache>
            </c:strRef>
          </c:tx>
          <c:spPr>
            <a:solidFill>
              <a:srgbClr val="003B5C"/>
            </a:solidFill>
            <a:ln w="25400">
              <a:noFill/>
            </a:ln>
          </c:spPr>
          <c:invertIfNegative val="0"/>
          <c:dLbls>
            <c:dLbl>
              <c:idx val="0"/>
              <c:layout>
                <c:manualLayout>
                  <c:x val="-1.8479106488810427E-17"/>
                  <c:y val="-2.97359637110578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03-4DDA-8C56-87542E3C3CCE}"/>
                </c:ext>
              </c:extLst>
            </c:dLbl>
            <c:dLbl>
              <c:idx val="1"/>
              <c:layout>
                <c:manualLayout>
                  <c:x val="2.0159258139300102E-3"/>
                  <c:y val="-3.2608695652173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03-4F54-AA31-F89883C8376A}"/>
                </c:ext>
              </c:extLst>
            </c:dLbl>
            <c:dLbl>
              <c:idx val="2"/>
              <c:layout>
                <c:manualLayout>
                  <c:x val="2.0159258139300475E-3"/>
                  <c:y val="-2.7173913043478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03-4F54-AA31-F89883C8376A}"/>
                </c:ext>
              </c:extLst>
            </c:dLbl>
            <c:dLbl>
              <c:idx val="3"/>
              <c:layout>
                <c:manualLayout>
                  <c:x val="2.0159258139300475E-3"/>
                  <c:y val="-3.2608695652173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03-4F54-AA31-F89883C8376A}"/>
                </c:ext>
              </c:extLst>
            </c:dLbl>
            <c:dLbl>
              <c:idx val="4"/>
              <c:layout>
                <c:manualLayout>
                  <c:x val="4.0318516278600967E-3"/>
                  <c:y val="9.04506162273194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03-4DDA-8C56-87542E3C3CCE}"/>
                </c:ext>
              </c:extLst>
            </c:dLbl>
            <c:dLbl>
              <c:idx val="7"/>
              <c:layout>
                <c:manualLayout>
                  <c:x val="-2.4783142623473258E-3"/>
                  <c:y val="-3.64212774611756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03-4DDA-8C56-87542E3C3CCE}"/>
                </c:ext>
              </c:extLst>
            </c:dLbl>
            <c:numFmt formatCode="#,##0.0" sourceLinked="0"/>
            <c:spPr>
              <a:noFill/>
              <a:ln w="25400">
                <a:noFill/>
              </a:ln>
            </c:spPr>
            <c:txPr>
              <a:bodyPr/>
              <a:lstStyle/>
              <a:p>
                <a:pPr>
                  <a:defRPr sz="800" b="1" i="0" u="none" strike="noStrike" baseline="0">
                    <a:solidFill>
                      <a:sysClr val="windowText" lastClr="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5'!$D$65:$D$70</c:f>
              <c:strCache>
                <c:ptCount val="6"/>
                <c:pt idx="0">
                  <c:v>1995-2020</c:v>
                </c:pt>
                <c:pt idx="1">
                  <c:v>2003-2009</c:v>
                </c:pt>
                <c:pt idx="2">
                  <c:v>2009-2014</c:v>
                </c:pt>
                <c:pt idx="3">
                  <c:v>2014-2020</c:v>
                </c:pt>
                <c:pt idx="4">
                  <c:v>2019 </c:v>
                </c:pt>
                <c:pt idx="5">
                  <c:v>2020 </c:v>
                </c:pt>
              </c:strCache>
            </c:strRef>
          </c:cat>
          <c:val>
            <c:numRef>
              <c:f>'Figura 5'!$F$65:$F$70</c:f>
              <c:numCache>
                <c:formatCode>#,##0.0;\-\ #,##0.0;_-\ "- "</c:formatCode>
                <c:ptCount val="6"/>
                <c:pt idx="0">
                  <c:v>0.47387927321824752</c:v>
                </c:pt>
                <c:pt idx="1">
                  <c:v>0.51951147191304758</c:v>
                </c:pt>
                <c:pt idx="2">
                  <c:v>-0.10614362775753788</c:v>
                </c:pt>
                <c:pt idx="3">
                  <c:v>9.6046094749135932E-2</c:v>
                </c:pt>
                <c:pt idx="4">
                  <c:v>0.22800000000000001</c:v>
                </c:pt>
                <c:pt idx="5">
                  <c:v>-0.20100000000000001</c:v>
                </c:pt>
              </c:numCache>
            </c:numRef>
          </c:val>
          <c:extLst>
            <c:ext xmlns:c16="http://schemas.microsoft.com/office/drawing/2014/chart" uri="{C3380CC4-5D6E-409C-BE32-E72D297353CC}">
              <c16:uniqueId val="{00000007-5603-4DDA-8C56-87542E3C3CCE}"/>
            </c:ext>
          </c:extLst>
        </c:ser>
        <c:ser>
          <c:idx val="0"/>
          <c:order val="2"/>
          <c:tx>
            <c:strRef>
              <c:f>'Figura 5'!$G$64</c:f>
              <c:strCache>
                <c:ptCount val="1"/>
                <c:pt idx="0">
                  <c:v>Produttività totale dei fattori</c:v>
                </c:pt>
              </c:strCache>
            </c:strRef>
          </c:tx>
          <c:spPr>
            <a:solidFill>
              <a:srgbClr val="9BBB59"/>
            </a:solidFill>
            <a:ln>
              <a:noFill/>
            </a:ln>
          </c:spPr>
          <c:invertIfNegative val="0"/>
          <c:dLbls>
            <c:dLbl>
              <c:idx val="0"/>
              <c:layout>
                <c:manualLayout>
                  <c:x val="4.0318516278600967E-3"/>
                  <c:y val="-6.32287743923313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03-4DDA-8C56-87542E3C3CCE}"/>
                </c:ext>
              </c:extLst>
            </c:dLbl>
            <c:dLbl>
              <c:idx val="1"/>
              <c:layout>
                <c:manualLayout>
                  <c:x val="4.0318516278600594E-3"/>
                  <c:y val="-4.47590722355358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03-4DDA-8C56-87542E3C3CCE}"/>
                </c:ext>
              </c:extLst>
            </c:dLbl>
            <c:dLbl>
              <c:idx val="3"/>
              <c:layout>
                <c:manualLayout>
                  <c:x val="6.047777441790146E-3"/>
                  <c:y val="-5.434782608695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03-4F54-AA31-F89883C8376A}"/>
                </c:ext>
              </c:extLst>
            </c:dLbl>
            <c:dLbl>
              <c:idx val="4"/>
              <c:layout>
                <c:manualLayout>
                  <c:x val="-1.4783285191048339E-16"/>
                  <c:y val="-2.7173913043478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03-4F54-AA31-F89883C8376A}"/>
                </c:ext>
              </c:extLst>
            </c:dLbl>
            <c:dLbl>
              <c:idx val="6"/>
              <c:layout>
                <c:manualLayout>
                  <c:x val="-2.4783142623473258E-3"/>
                  <c:y val="-2.18579297672015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03-4DDA-8C56-87542E3C3CCE}"/>
                </c:ext>
              </c:extLst>
            </c:dLbl>
            <c:dLbl>
              <c:idx val="7"/>
              <c:layout>
                <c:manualLayout>
                  <c:x val="0"/>
                  <c:y val="-3.73831775700934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03-4DDA-8C56-87542E3C3CCE}"/>
                </c:ext>
              </c:extLst>
            </c:dLbl>
            <c:numFmt formatCode="#,##0.0" sourceLinked="0"/>
            <c:spPr>
              <a:noFill/>
              <a:ln w="25400">
                <a:noFill/>
              </a:ln>
            </c:spPr>
            <c:txPr>
              <a:bodyPr/>
              <a:lstStyle/>
              <a:p>
                <a:pPr>
                  <a:defRPr sz="800" b="1" i="0" u="none" strike="noStrike" baseline="0">
                    <a:solidFill>
                      <a:sysClr val="windowText" lastClr="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5'!$D$65:$D$70</c:f>
              <c:strCache>
                <c:ptCount val="6"/>
                <c:pt idx="0">
                  <c:v>1995-2020</c:v>
                </c:pt>
                <c:pt idx="1">
                  <c:v>2003-2009</c:v>
                </c:pt>
                <c:pt idx="2">
                  <c:v>2009-2014</c:v>
                </c:pt>
                <c:pt idx="3">
                  <c:v>2014-2020</c:v>
                </c:pt>
                <c:pt idx="4">
                  <c:v>2019 </c:v>
                </c:pt>
                <c:pt idx="5">
                  <c:v>2020 </c:v>
                </c:pt>
              </c:strCache>
            </c:strRef>
          </c:cat>
          <c:val>
            <c:numRef>
              <c:f>'Figura 5'!$G$65:$G$70</c:f>
              <c:numCache>
                <c:formatCode>#,##0.0;\-\ #,##0.0;_-\ "- "</c:formatCode>
                <c:ptCount val="6"/>
                <c:pt idx="0">
                  <c:v>-0.10649313296652313</c:v>
                </c:pt>
                <c:pt idx="1">
                  <c:v>-0.79764657944179085</c:v>
                </c:pt>
                <c:pt idx="2">
                  <c:v>0.61735821288886372</c:v>
                </c:pt>
                <c:pt idx="3">
                  <c:v>-5.5626681595866171E-3</c:v>
                </c:pt>
                <c:pt idx="4">
                  <c:v>0.29700000000000015</c:v>
                </c:pt>
                <c:pt idx="5">
                  <c:v>-2.7240000000000002</c:v>
                </c:pt>
              </c:numCache>
            </c:numRef>
          </c:val>
          <c:extLst>
            <c:ext xmlns:c16="http://schemas.microsoft.com/office/drawing/2014/chart" uri="{C3380CC4-5D6E-409C-BE32-E72D297353CC}">
              <c16:uniqueId val="{0000000C-5603-4DDA-8C56-87542E3C3CCE}"/>
            </c:ext>
          </c:extLst>
        </c:ser>
        <c:dLbls>
          <c:showLegendKey val="0"/>
          <c:showVal val="0"/>
          <c:showCatName val="0"/>
          <c:showSerName val="0"/>
          <c:showPercent val="0"/>
          <c:showBubbleSize val="0"/>
        </c:dLbls>
        <c:gapWidth val="55"/>
        <c:overlap val="100"/>
        <c:axId val="189213808"/>
        <c:axId val="189214368"/>
      </c:barChart>
      <c:lineChart>
        <c:grouping val="stacked"/>
        <c:varyColors val="0"/>
        <c:ser>
          <c:idx val="1"/>
          <c:order val="3"/>
          <c:tx>
            <c:strRef>
              <c:f>'Figura 5'!$H$64</c:f>
              <c:strCache>
                <c:ptCount val="1"/>
                <c:pt idx="0">
                  <c:v>Valore aggiunto</c:v>
                </c:pt>
              </c:strCache>
            </c:strRef>
          </c:tx>
          <c:spPr>
            <a:ln>
              <a:noFill/>
            </a:ln>
          </c:spPr>
          <c:marker>
            <c:symbol val="diamond"/>
            <c:size val="7"/>
            <c:spPr>
              <a:solidFill>
                <a:srgbClr val="D22630"/>
              </a:solidFill>
              <a:ln>
                <a:solidFill>
                  <a:srgbClr val="D22630"/>
                </a:solidFill>
              </a:ln>
            </c:spPr>
          </c:marker>
          <c:cat>
            <c:strRef>
              <c:f>'Figura 5'!$D$65:$D$70</c:f>
              <c:strCache>
                <c:ptCount val="6"/>
                <c:pt idx="0">
                  <c:v>1995-2020</c:v>
                </c:pt>
                <c:pt idx="1">
                  <c:v>2003-2009</c:v>
                </c:pt>
                <c:pt idx="2">
                  <c:v>2009-2014</c:v>
                </c:pt>
                <c:pt idx="3">
                  <c:v>2014-2020</c:v>
                </c:pt>
                <c:pt idx="4">
                  <c:v>2019 </c:v>
                </c:pt>
                <c:pt idx="5">
                  <c:v>2020 </c:v>
                </c:pt>
              </c:strCache>
            </c:strRef>
          </c:cat>
          <c:val>
            <c:numRef>
              <c:f>'Figura 5'!$H$65:$H$70</c:f>
              <c:numCache>
                <c:formatCode>#,##0.0;\-\ #,##0.0;_-\ "- "</c:formatCode>
                <c:ptCount val="6"/>
                <c:pt idx="0">
                  <c:v>0.21028724344311917</c:v>
                </c:pt>
                <c:pt idx="1">
                  <c:v>-0.20613441095100887</c:v>
                </c:pt>
                <c:pt idx="2">
                  <c:v>-0.37965882851408461</c:v>
                </c:pt>
                <c:pt idx="3">
                  <c:v>-0.7740741647863314</c:v>
                </c:pt>
                <c:pt idx="4">
                  <c:v>0.4900000000000001</c:v>
                </c:pt>
                <c:pt idx="5">
                  <c:v>-11.776</c:v>
                </c:pt>
              </c:numCache>
            </c:numRef>
          </c:val>
          <c:smooth val="0"/>
          <c:extLst>
            <c:ext xmlns:c16="http://schemas.microsoft.com/office/drawing/2014/chart" uri="{C3380CC4-5D6E-409C-BE32-E72D297353CC}">
              <c16:uniqueId val="{0000000D-5603-4DDA-8C56-87542E3C3CCE}"/>
            </c:ext>
          </c:extLst>
        </c:ser>
        <c:dLbls>
          <c:showLegendKey val="0"/>
          <c:showVal val="0"/>
          <c:showCatName val="0"/>
          <c:showSerName val="0"/>
          <c:showPercent val="0"/>
          <c:showBubbleSize val="0"/>
        </c:dLbls>
        <c:marker val="1"/>
        <c:smooth val="0"/>
        <c:axId val="189213808"/>
        <c:axId val="189214368"/>
      </c:lineChart>
      <c:catAx>
        <c:axId val="189213808"/>
        <c:scaling>
          <c:orientation val="minMax"/>
        </c:scaling>
        <c:delete val="0"/>
        <c:axPos val="b"/>
        <c:majorGridlines>
          <c:spPr>
            <a:ln w="15875" cap="flat" cmpd="sng" algn="ctr">
              <a:solidFill>
                <a:srgbClr val="FFFFFF"/>
              </a:solidFill>
              <a:prstDash val="sysDash"/>
              <a:round/>
              <a:headEnd type="none" w="med" len="med"/>
              <a:tailEnd type="none" w="med" len="med"/>
            </a:ln>
          </c:spPr>
        </c:majorGridlines>
        <c:numFmt formatCode="General" sourceLinked="1"/>
        <c:majorTickMark val="none"/>
        <c:minorTickMark val="none"/>
        <c:tickLblPos val="low"/>
        <c:spPr>
          <a:ln w="3175">
            <a:solidFill>
              <a:sysClr val="window" lastClr="FFFFFF"/>
            </a:solidFill>
            <a:prstDash val="solid"/>
          </a:ln>
        </c:spPr>
        <c:txPr>
          <a:bodyPr rot="0" vert="horz"/>
          <a:lstStyle/>
          <a:p>
            <a:pPr>
              <a:defRPr sz="1000" b="1" i="0" u="none" strike="noStrike" baseline="0">
                <a:solidFill>
                  <a:srgbClr val="000000"/>
                </a:solidFill>
                <a:latin typeface="Arial Narrow"/>
                <a:ea typeface="Arial Narrow"/>
                <a:cs typeface="Arial Narrow"/>
              </a:defRPr>
            </a:pPr>
            <a:endParaRPr lang="it-IT"/>
          </a:p>
        </c:txPr>
        <c:crossAx val="189214368"/>
        <c:crosses val="autoZero"/>
        <c:auto val="1"/>
        <c:lblAlgn val="ctr"/>
        <c:lblOffset val="0"/>
        <c:tickLblSkip val="1"/>
        <c:tickMarkSkip val="1"/>
        <c:noMultiLvlLbl val="0"/>
      </c:catAx>
      <c:valAx>
        <c:axId val="189214368"/>
        <c:scaling>
          <c:orientation val="minMax"/>
          <c:max val="1"/>
        </c:scaling>
        <c:delete val="0"/>
        <c:axPos val="l"/>
        <c:majorGridlines>
          <c:spPr>
            <a:ln w="15875">
              <a:solidFill>
                <a:srgbClr val="FFFFFF">
                  <a:lumMod val="100000"/>
                </a:srgbClr>
              </a:solidFill>
            </a:ln>
          </c:spPr>
        </c:majorGridlines>
        <c:numFmt formatCode="0" sourceLinked="0"/>
        <c:majorTickMark val="none"/>
        <c:minorTickMark val="none"/>
        <c:tickLblPos val="nextTo"/>
        <c:spPr>
          <a:noFill/>
          <a:ln w="3175" cap="flat" cmpd="sng" algn="ctr">
            <a:noFill/>
            <a:prstDash val="solid"/>
            <a:round/>
          </a:ln>
          <a:effectLst/>
          <a:extLst>
            <a:ext uri="{91240B29-F687-4F45-9708-019B960494DF}">
              <a14:hiddenLine xmlns:a14="http://schemas.microsoft.com/office/drawing/2010/main" w="3175" cap="flat" cmpd="sng" algn="ctr">
                <a:solidFill>
                  <a:srgbClr val="000000"/>
                </a:solidFill>
                <a:prstDash val="solid"/>
                <a:round/>
              </a14:hiddenLine>
            </a:ext>
          </a:extLst>
        </c:spPr>
        <c:txPr>
          <a:bodyPr rot="0" vert="horz"/>
          <a:lstStyle/>
          <a:p>
            <a:pPr>
              <a:defRPr sz="800" b="0" i="0" u="none" strike="noStrike" baseline="0">
                <a:solidFill>
                  <a:srgbClr val="000000"/>
                </a:solidFill>
                <a:latin typeface="Arial Narrow"/>
                <a:ea typeface="Arial Narrow"/>
                <a:cs typeface="Arial Narrow"/>
              </a:defRPr>
            </a:pPr>
            <a:endParaRPr lang="it-IT"/>
          </a:p>
        </c:txPr>
        <c:crossAx val="189213808"/>
        <c:crosses val="autoZero"/>
        <c:crossBetween val="between"/>
        <c:minorUnit val="0.1"/>
      </c:valAx>
      <c:spPr>
        <a:noFill/>
        <a:ln w="25400" cap="flat" cmpd="sng" algn="ctr">
          <a:noFill/>
          <a:prstDash val="solid"/>
          <a:round/>
          <a:headEnd type="none" w="med" len="med"/>
          <a:tailEnd type="none" w="med" len="med"/>
        </a:ln>
      </c:spPr>
    </c:plotArea>
    <c:legend>
      <c:legendPos val="t"/>
      <c:layout>
        <c:manualLayout>
          <c:xMode val="edge"/>
          <c:yMode val="edge"/>
          <c:x val="0.15178018018018027"/>
          <c:y val="2.3518518518518518E-2"/>
          <c:w val="0.70406711711711711"/>
          <c:h val="8.7244900300589706E-2"/>
        </c:manualLayout>
      </c:layout>
      <c:overlay val="0"/>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legend>
    <c:plotVisOnly val="1"/>
    <c:dispBlanksAs val="gap"/>
    <c:showDLblsOverMax val="0"/>
  </c:chart>
  <c:spPr>
    <a:noFill/>
    <a:ln w="9525">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059508779327198E-2"/>
          <c:y val="0.10633244789180787"/>
          <c:w val="0.9062106061770967"/>
          <c:h val="0.73060820586890318"/>
        </c:manualLayout>
      </c:layout>
      <c:barChart>
        <c:barDir val="col"/>
        <c:grouping val="stacked"/>
        <c:varyColors val="0"/>
        <c:ser>
          <c:idx val="3"/>
          <c:order val="0"/>
          <c:tx>
            <c:strRef>
              <c:f>'Figura 6'!$E$62</c:f>
              <c:strCache>
                <c:ptCount val="1"/>
                <c:pt idx="0">
                  <c:v>Intensità del capitale</c:v>
                </c:pt>
              </c:strCache>
            </c:strRef>
          </c:tx>
          <c:spPr>
            <a:solidFill>
              <a:srgbClr val="9BBB59"/>
            </a:solidFill>
            <a:ln w="25400">
              <a:noFill/>
            </a:ln>
            <a:effectLst/>
          </c:spPr>
          <c:invertIfNegative val="0"/>
          <c:dLbls>
            <c:dLbl>
              <c:idx val="3"/>
              <c:layout>
                <c:manualLayout>
                  <c:x val="-1.4111480697510413E-2"/>
                  <c:y val="5.04032258064516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76-4659-B098-353C66611EEF}"/>
                </c:ext>
              </c:extLst>
            </c:dLbl>
            <c:dLbl>
              <c:idx val="5"/>
              <c:layout>
                <c:manualLayout>
                  <c:x val="3.2124650883712151E-3"/>
                  <c:y val="-2.9392621285242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28-4303-B8EB-5FEC823AFB43}"/>
                </c:ext>
              </c:extLst>
            </c:dLbl>
            <c:dLbl>
              <c:idx val="6"/>
              <c:layout>
                <c:manualLayout>
                  <c:x val="0"/>
                  <c:y val="-1.66147455867082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28-4303-B8EB-5FEC823AFB43}"/>
                </c:ext>
              </c:extLst>
            </c:dLbl>
            <c:dLbl>
              <c:idx val="7"/>
              <c:layout>
                <c:manualLayout>
                  <c:x val="0"/>
                  <c:y val="-2.33881979705807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28-4303-B8EB-5FEC823AFB43}"/>
                </c:ext>
              </c:extLst>
            </c:dLbl>
            <c:spPr>
              <a:noFill/>
              <a:ln w="25400">
                <a:noFill/>
              </a:ln>
            </c:spPr>
            <c:txPr>
              <a:bodyPr/>
              <a:lstStyle/>
              <a:p>
                <a:pPr>
                  <a:defRPr sz="800" b="1" i="0" u="none" strike="noStrike" baseline="0">
                    <a:solidFill>
                      <a:sysClr val="windowText" lastClr="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6'!$D$63:$D$68</c:f>
              <c:strCache>
                <c:ptCount val="6"/>
                <c:pt idx="0">
                  <c:v>1995-2020</c:v>
                </c:pt>
                <c:pt idx="1">
                  <c:v>2003-2009</c:v>
                </c:pt>
                <c:pt idx="2">
                  <c:v>2009-2014</c:v>
                </c:pt>
                <c:pt idx="3">
                  <c:v>2014-2020</c:v>
                </c:pt>
                <c:pt idx="4">
                  <c:v>2019 </c:v>
                </c:pt>
                <c:pt idx="5">
                  <c:v>2020 </c:v>
                </c:pt>
              </c:strCache>
            </c:strRef>
          </c:cat>
          <c:val>
            <c:numRef>
              <c:f>'Figura 6'!$E$63:$E$68</c:f>
              <c:numCache>
                <c:formatCode>#,##0.0;\-\ #,##0.0;_-\ "- "</c:formatCode>
                <c:ptCount val="6"/>
                <c:pt idx="0">
                  <c:v>0.50442797568481801</c:v>
                </c:pt>
                <c:pt idx="1">
                  <c:v>0.45302306083088173</c:v>
                </c:pt>
                <c:pt idx="2">
                  <c:v>0.28360139002274742</c:v>
                </c:pt>
                <c:pt idx="3">
                  <c:v>0.51147023264916969</c:v>
                </c:pt>
                <c:pt idx="4">
                  <c:v>0.24500000000000005</c:v>
                </c:pt>
                <c:pt idx="5">
                  <c:v>3.992999999999999</c:v>
                </c:pt>
              </c:numCache>
            </c:numRef>
          </c:val>
          <c:extLst>
            <c:ext xmlns:c16="http://schemas.microsoft.com/office/drawing/2014/chart" uri="{C3380CC4-5D6E-409C-BE32-E72D297353CC}">
              <c16:uniqueId val="{00000003-6128-4303-B8EB-5FEC823AFB43}"/>
            </c:ext>
          </c:extLst>
        </c:ser>
        <c:ser>
          <c:idx val="4"/>
          <c:order val="1"/>
          <c:tx>
            <c:strRef>
              <c:f>'Figura 6'!$F$62</c:f>
              <c:strCache>
                <c:ptCount val="1"/>
                <c:pt idx="0">
                  <c:v>Produttività totale dei fattori</c:v>
                </c:pt>
              </c:strCache>
            </c:strRef>
          </c:tx>
          <c:spPr>
            <a:solidFill>
              <a:srgbClr val="888888"/>
            </a:solidFill>
            <a:ln w="25400">
              <a:noFill/>
            </a:ln>
          </c:spPr>
          <c:invertIfNegative val="0"/>
          <c:dLbls>
            <c:dLbl>
              <c:idx val="0"/>
              <c:layout>
                <c:manualLayout>
                  <c:x val="2.0159258139300289E-3"/>
                  <c:y val="-1.68938119126238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28-4303-B8EB-5FEC823AFB43}"/>
                </c:ext>
              </c:extLst>
            </c:dLbl>
            <c:dLbl>
              <c:idx val="1"/>
              <c:layout>
                <c:manualLayout>
                  <c:x val="1.1301883303292872E-4"/>
                  <c:y val="-6.0483474091948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28-4303-B8EB-5FEC823AFB43}"/>
                </c:ext>
              </c:extLst>
            </c:dLbl>
            <c:dLbl>
              <c:idx val="3"/>
              <c:layout>
                <c:manualLayout>
                  <c:x val="6.0477774417900714E-3"/>
                  <c:y val="-1.512096774193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76-4659-B098-353C66611EEF}"/>
                </c:ext>
              </c:extLst>
            </c:dLbl>
            <c:dLbl>
              <c:idx val="4"/>
              <c:layout>
                <c:manualLayout>
                  <c:x val="4.0318516278600967E-3"/>
                  <c:y val="6.67390303530607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28-4303-B8EB-5FEC823AFB43}"/>
                </c:ext>
              </c:extLst>
            </c:dLbl>
            <c:dLbl>
              <c:idx val="7"/>
              <c:layout>
                <c:manualLayout>
                  <c:x val="-2.4783142623473258E-3"/>
                  <c:y val="-3.64212774611756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28-4303-B8EB-5FEC823AFB43}"/>
                </c:ext>
              </c:extLst>
            </c:dLbl>
            <c:spPr>
              <a:noFill/>
              <a:ln w="25400">
                <a:noFill/>
              </a:ln>
            </c:spPr>
            <c:txPr>
              <a:bodyPr/>
              <a:lstStyle/>
              <a:p>
                <a:pPr>
                  <a:defRPr sz="800" b="1" i="0" u="none" strike="noStrike" baseline="0">
                    <a:solidFill>
                      <a:sysClr val="windowText" lastClr="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6'!$D$63:$D$68</c:f>
              <c:strCache>
                <c:ptCount val="6"/>
                <c:pt idx="0">
                  <c:v>1995-2020</c:v>
                </c:pt>
                <c:pt idx="1">
                  <c:v>2003-2009</c:v>
                </c:pt>
                <c:pt idx="2">
                  <c:v>2009-2014</c:v>
                </c:pt>
                <c:pt idx="3">
                  <c:v>2014-2020</c:v>
                </c:pt>
                <c:pt idx="4">
                  <c:v>2019 </c:v>
                </c:pt>
                <c:pt idx="5">
                  <c:v>2020 </c:v>
                </c:pt>
              </c:strCache>
            </c:strRef>
          </c:cat>
          <c:val>
            <c:numRef>
              <c:f>'Figura 6'!$F$63:$F$68</c:f>
              <c:numCache>
                <c:formatCode>#,##0.0;\-\ #,##0.0;_-\ "- "</c:formatCode>
                <c:ptCount val="6"/>
                <c:pt idx="0">
                  <c:v>-0.10649313296652313</c:v>
                </c:pt>
                <c:pt idx="1">
                  <c:v>-0.79764657944179085</c:v>
                </c:pt>
                <c:pt idx="2">
                  <c:v>0.61735821288886372</c:v>
                </c:pt>
                <c:pt idx="3">
                  <c:v>-5.5626681595866171E-3</c:v>
                </c:pt>
                <c:pt idx="4">
                  <c:v>0.29700000000000015</c:v>
                </c:pt>
                <c:pt idx="5">
                  <c:v>-2.7240000000000002</c:v>
                </c:pt>
              </c:numCache>
            </c:numRef>
          </c:val>
          <c:extLst>
            <c:ext xmlns:c16="http://schemas.microsoft.com/office/drawing/2014/chart" uri="{C3380CC4-5D6E-409C-BE32-E72D297353CC}">
              <c16:uniqueId val="{00000008-6128-4303-B8EB-5FEC823AFB43}"/>
            </c:ext>
          </c:extLst>
        </c:ser>
        <c:dLbls>
          <c:showLegendKey val="0"/>
          <c:showVal val="0"/>
          <c:showCatName val="0"/>
          <c:showSerName val="0"/>
          <c:showPercent val="0"/>
          <c:showBubbleSize val="0"/>
        </c:dLbls>
        <c:gapWidth val="55"/>
        <c:overlap val="100"/>
        <c:axId val="262987152"/>
        <c:axId val="262987712"/>
      </c:barChart>
      <c:lineChart>
        <c:grouping val="stacked"/>
        <c:varyColors val="0"/>
        <c:ser>
          <c:idx val="1"/>
          <c:order val="2"/>
          <c:tx>
            <c:strRef>
              <c:f>'Figura 6'!$G$62</c:f>
              <c:strCache>
                <c:ptCount val="1"/>
                <c:pt idx="0">
                  <c:v>Produttività del lavoro</c:v>
                </c:pt>
              </c:strCache>
            </c:strRef>
          </c:tx>
          <c:spPr>
            <a:ln>
              <a:noFill/>
            </a:ln>
          </c:spPr>
          <c:marker>
            <c:symbol val="diamond"/>
            <c:size val="7"/>
            <c:spPr>
              <a:solidFill>
                <a:srgbClr val="003B5C"/>
              </a:solidFill>
              <a:ln>
                <a:solidFill>
                  <a:srgbClr val="003B5C"/>
                </a:solidFill>
              </a:ln>
            </c:spPr>
          </c:marker>
          <c:cat>
            <c:strRef>
              <c:f>'Figura 6'!$D$63:$D$68</c:f>
              <c:strCache>
                <c:ptCount val="6"/>
                <c:pt idx="0">
                  <c:v>1995-2020</c:v>
                </c:pt>
                <c:pt idx="1">
                  <c:v>2003-2009</c:v>
                </c:pt>
                <c:pt idx="2">
                  <c:v>2009-2014</c:v>
                </c:pt>
                <c:pt idx="3">
                  <c:v>2014-2020</c:v>
                </c:pt>
                <c:pt idx="4">
                  <c:v>2019 </c:v>
                </c:pt>
                <c:pt idx="5">
                  <c:v>2020 </c:v>
                </c:pt>
              </c:strCache>
            </c:strRef>
          </c:cat>
          <c:val>
            <c:numRef>
              <c:f>'Figura 6'!$G$63:$G$68</c:f>
              <c:numCache>
                <c:formatCode>#,##0.0;\-\ #,##0.0;_-\ "- "</c:formatCode>
                <c:ptCount val="6"/>
                <c:pt idx="0">
                  <c:v>0.39742738437804653</c:v>
                </c:pt>
                <c:pt idx="1">
                  <c:v>-0.34826740024641589</c:v>
                </c:pt>
                <c:pt idx="2">
                  <c:v>0.90296828356530867</c:v>
                </c:pt>
                <c:pt idx="3">
                  <c:v>0.50577431327549793</c:v>
                </c:pt>
                <c:pt idx="4">
                  <c:v>0.54100000000000004</c:v>
                </c:pt>
                <c:pt idx="5">
                  <c:v>1.2689999999999995</c:v>
                </c:pt>
              </c:numCache>
            </c:numRef>
          </c:val>
          <c:smooth val="0"/>
          <c:extLst>
            <c:ext xmlns:c16="http://schemas.microsoft.com/office/drawing/2014/chart" uri="{C3380CC4-5D6E-409C-BE32-E72D297353CC}">
              <c16:uniqueId val="{00000009-6128-4303-B8EB-5FEC823AFB43}"/>
            </c:ext>
          </c:extLst>
        </c:ser>
        <c:dLbls>
          <c:showLegendKey val="0"/>
          <c:showVal val="0"/>
          <c:showCatName val="0"/>
          <c:showSerName val="0"/>
          <c:showPercent val="0"/>
          <c:showBubbleSize val="0"/>
        </c:dLbls>
        <c:marker val="1"/>
        <c:smooth val="0"/>
        <c:axId val="262987152"/>
        <c:axId val="262987712"/>
      </c:lineChart>
      <c:catAx>
        <c:axId val="262987152"/>
        <c:scaling>
          <c:orientation val="minMax"/>
        </c:scaling>
        <c:delete val="0"/>
        <c:axPos val="b"/>
        <c:majorGridlines>
          <c:spPr>
            <a:ln w="12700" cap="flat" cmpd="sng" algn="ctr">
              <a:solidFill>
                <a:srgbClr val="FFFFFF"/>
              </a:solidFill>
              <a:prstDash val="solid"/>
              <a:round/>
              <a:headEnd type="none" w="med" len="med"/>
              <a:tailEnd type="none" w="med" len="med"/>
            </a:ln>
          </c:spPr>
        </c:majorGridlines>
        <c:numFmt formatCode="General" sourceLinked="1"/>
        <c:majorTickMark val="none"/>
        <c:minorTickMark val="none"/>
        <c:tickLblPos val="low"/>
        <c:spPr>
          <a:ln w="3175">
            <a:solidFill>
              <a:sysClr val="window" lastClr="FFFFFF"/>
            </a:solidFill>
            <a:prstDash val="solid"/>
          </a:ln>
        </c:spPr>
        <c:txPr>
          <a:bodyPr rot="0" vert="horz"/>
          <a:lstStyle/>
          <a:p>
            <a:pPr>
              <a:defRPr sz="1000" b="1" i="0" u="none" strike="noStrike" baseline="0">
                <a:solidFill>
                  <a:srgbClr val="000000"/>
                </a:solidFill>
                <a:latin typeface="Arial Narrow"/>
                <a:ea typeface="Arial Narrow"/>
                <a:cs typeface="Arial Narrow"/>
              </a:defRPr>
            </a:pPr>
            <a:endParaRPr lang="it-IT"/>
          </a:p>
        </c:txPr>
        <c:crossAx val="262987712"/>
        <c:crosses val="autoZero"/>
        <c:auto val="1"/>
        <c:lblAlgn val="ctr"/>
        <c:lblOffset val="0"/>
        <c:tickLblSkip val="1"/>
        <c:tickMarkSkip val="1"/>
        <c:noMultiLvlLbl val="0"/>
      </c:catAx>
      <c:valAx>
        <c:axId val="262987712"/>
        <c:scaling>
          <c:orientation val="minMax"/>
        </c:scaling>
        <c:delete val="0"/>
        <c:axPos val="l"/>
        <c:majorGridlines>
          <c:spPr>
            <a:ln w="12700">
              <a:solidFill>
                <a:srgbClr val="FFFFFF">
                  <a:lumMod val="100000"/>
                </a:srgbClr>
              </a:solidFill>
            </a:ln>
          </c:spPr>
        </c:majorGridlines>
        <c:numFmt formatCode="0" sourceLinked="0"/>
        <c:majorTickMark val="none"/>
        <c:minorTickMark val="none"/>
        <c:tickLblPos val="nextTo"/>
        <c:spPr>
          <a:noFill/>
          <a:ln w="3175" cap="flat" cmpd="sng" algn="ctr">
            <a:noFill/>
            <a:prstDash val="solid"/>
            <a:round/>
          </a:ln>
          <a:effectLst/>
          <a:extLst>
            <a:ext uri="{91240B29-F687-4F45-9708-019B960494DF}">
              <a14:hiddenLine xmlns:a14="http://schemas.microsoft.com/office/drawing/2010/main" w="3175" cap="flat" cmpd="sng" algn="ctr">
                <a:solidFill>
                  <a:srgbClr val="000000"/>
                </a:solidFill>
                <a:prstDash val="solid"/>
                <a:round/>
              </a14:hiddenLine>
            </a:ext>
          </a:extLst>
        </c:spPr>
        <c:txPr>
          <a:bodyPr rot="0" vert="horz"/>
          <a:lstStyle/>
          <a:p>
            <a:pPr>
              <a:defRPr sz="800" b="0" i="0" u="none" strike="noStrike" baseline="0">
                <a:solidFill>
                  <a:srgbClr val="000000"/>
                </a:solidFill>
                <a:latin typeface="Arial Narrow"/>
                <a:ea typeface="Arial Narrow"/>
                <a:cs typeface="Arial Narrow"/>
              </a:defRPr>
            </a:pPr>
            <a:endParaRPr lang="it-IT"/>
          </a:p>
        </c:txPr>
        <c:crossAx val="262987152"/>
        <c:crosses val="autoZero"/>
        <c:crossBetween val="between"/>
        <c:minorUnit val="0.1"/>
      </c:valAx>
      <c:spPr>
        <a:noFill/>
        <a:ln w="25400" cap="flat" cmpd="sng" algn="ctr">
          <a:noFill/>
          <a:prstDash val="solid"/>
          <a:round/>
          <a:headEnd type="none" w="med" len="med"/>
          <a:tailEnd type="none" w="med" len="med"/>
        </a:ln>
      </c:spPr>
    </c:plotArea>
    <c:legend>
      <c:legendPos val="t"/>
      <c:layout>
        <c:manualLayout>
          <c:xMode val="edge"/>
          <c:yMode val="edge"/>
          <c:x val="0.2072282282282282"/>
          <c:y val="1.7638888888888891E-2"/>
          <c:w val="0.58812846910269756"/>
          <c:h val="8.9683587626550973E-2"/>
        </c:manualLayout>
      </c:layout>
      <c:overlay val="0"/>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legend>
    <c:plotVisOnly val="1"/>
    <c:dispBlanksAs val="gap"/>
    <c:showDLblsOverMax val="0"/>
  </c:chart>
  <c:spPr>
    <a:noFill/>
    <a:ln w="9525">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93835493160547"/>
          <c:y val="0.13730601092896175"/>
          <c:w val="0.5000509959203262"/>
          <c:h val="0.70213023679417175"/>
        </c:manualLayout>
      </c:layout>
      <c:barChart>
        <c:barDir val="bar"/>
        <c:grouping val="clustered"/>
        <c:varyColors val="0"/>
        <c:ser>
          <c:idx val="3"/>
          <c:order val="3"/>
          <c:tx>
            <c:strRef>
              <c:f>'Prospetto 6a'!$H$88</c:f>
              <c:strCache>
                <c:ptCount val="1"/>
                <c:pt idx="0">
                  <c:v>2014-2020</c:v>
                </c:pt>
              </c:strCache>
            </c:strRef>
          </c:tx>
          <c:spPr>
            <a:solidFill>
              <a:srgbClr val="1F497D">
                <a:lumMod val="75000"/>
              </a:srgbClr>
            </a:solidFill>
          </c:spPr>
          <c:invertIfNegative val="0"/>
          <c:cat>
            <c:strRef>
              <c:f>'Prospetto 6a'!$C$89:$C$98</c:f>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f>'Prospetto 6a'!$H$89:$H$98</c:f>
              <c:numCache>
                <c:formatCode>0.0</c:formatCode>
                <c:ptCount val="9"/>
                <c:pt idx="0">
                  <c:v>-0.89460528044094101</c:v>
                </c:pt>
                <c:pt idx="1">
                  <c:v>0.90862389618553463</c:v>
                </c:pt>
                <c:pt idx="2">
                  <c:v>0.87321279469729762</c:v>
                </c:pt>
                <c:pt idx="3">
                  <c:v>0.72325902049885682</c:v>
                </c:pt>
                <c:pt idx="4">
                  <c:v>0.99639031253431232</c:v>
                </c:pt>
                <c:pt idx="5">
                  <c:v>1.2949903410755192</c:v>
                </c:pt>
                <c:pt idx="6">
                  <c:v>-0.63787131804718999</c:v>
                </c:pt>
                <c:pt idx="7">
                  <c:v>-0.18314859025870822</c:v>
                </c:pt>
                <c:pt idx="8">
                  <c:v>-0.19574958367081235</c:v>
                </c:pt>
              </c:numCache>
            </c:numRef>
          </c:val>
          <c:extLst>
            <c:ext xmlns:c16="http://schemas.microsoft.com/office/drawing/2014/chart" uri="{C3380CC4-5D6E-409C-BE32-E72D297353CC}">
              <c16:uniqueId val="{00000000-640F-4DEF-AAF1-BA4651163976}"/>
            </c:ext>
          </c:extLst>
        </c:ser>
        <c:ser>
          <c:idx val="4"/>
          <c:order val="4"/>
          <c:tx>
            <c:strRef>
              <c:f>'Prospetto 6a'!$I$88</c:f>
              <c:strCache>
                <c:ptCount val="1"/>
                <c:pt idx="0">
                  <c:v>2019</c:v>
                </c:pt>
              </c:strCache>
            </c:strRef>
          </c:tx>
          <c:spPr>
            <a:solidFill>
              <a:srgbClr val="9BBB59"/>
            </a:solidFill>
          </c:spPr>
          <c:invertIfNegative val="0"/>
          <c:cat>
            <c:strRef>
              <c:f>'Prospetto 6a'!$C$89:$C$98</c:f>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f>'Prospetto 6a'!$I$89:$I$98</c:f>
              <c:numCache>
                <c:formatCode>0.0</c:formatCode>
                <c:ptCount val="9"/>
                <c:pt idx="0">
                  <c:v>-2.0000000000000009E-3</c:v>
                </c:pt>
                <c:pt idx="1">
                  <c:v>-3.4000000000000002E-2</c:v>
                </c:pt>
                <c:pt idx="2">
                  <c:v>2.8339999999999992</c:v>
                </c:pt>
                <c:pt idx="3">
                  <c:v>1.5389999999999995</c:v>
                </c:pt>
                <c:pt idx="4">
                  <c:v>1.032</c:v>
                </c:pt>
                <c:pt idx="5">
                  <c:v>0.15600000000000006</c:v>
                </c:pt>
                <c:pt idx="6">
                  <c:v>-2.0719999999999992</c:v>
                </c:pt>
                <c:pt idx="7">
                  <c:v>-0.74400000000000022</c:v>
                </c:pt>
                <c:pt idx="8">
                  <c:v>2.0149999999999997</c:v>
                </c:pt>
              </c:numCache>
            </c:numRef>
          </c:val>
          <c:extLst>
            <c:ext xmlns:c16="http://schemas.microsoft.com/office/drawing/2014/chart" uri="{C3380CC4-5D6E-409C-BE32-E72D297353CC}">
              <c16:uniqueId val="{00000001-640F-4DEF-AAF1-BA4651163976}"/>
            </c:ext>
          </c:extLst>
        </c:ser>
        <c:ser>
          <c:idx val="5"/>
          <c:order val="5"/>
          <c:tx>
            <c:strRef>
              <c:f>'Prospetto 6a'!$J$88</c:f>
              <c:strCache>
                <c:ptCount val="1"/>
                <c:pt idx="0">
                  <c:v>2020</c:v>
                </c:pt>
              </c:strCache>
            </c:strRef>
          </c:tx>
          <c:spPr>
            <a:solidFill>
              <a:sysClr val="window" lastClr="FFFFFF">
                <a:lumMod val="65000"/>
              </a:sysClr>
            </a:solidFill>
          </c:spPr>
          <c:invertIfNegative val="0"/>
          <c:cat>
            <c:strRef>
              <c:f>'Prospetto 6a'!$C$89:$C$98</c:f>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f>'Prospetto 6a'!$J$89:$J$98</c:f>
              <c:numCache>
                <c:formatCode>0.0</c:formatCode>
                <c:ptCount val="9"/>
                <c:pt idx="0">
                  <c:v>-3.915999999999999</c:v>
                </c:pt>
                <c:pt idx="1">
                  <c:v>6.1000000000000013E-2</c:v>
                </c:pt>
                <c:pt idx="2">
                  <c:v>2.8089999999999997</c:v>
                </c:pt>
                <c:pt idx="3">
                  <c:v>-0.161</c:v>
                </c:pt>
                <c:pt idx="4">
                  <c:v>5.681</c:v>
                </c:pt>
                <c:pt idx="5">
                  <c:v>6.3090000000000002</c:v>
                </c:pt>
                <c:pt idx="6">
                  <c:v>-0.37000000000000011</c:v>
                </c:pt>
                <c:pt idx="7">
                  <c:v>5.6989999999999981</c:v>
                </c:pt>
                <c:pt idx="8">
                  <c:v>-1.4999999999999998E-2</c:v>
                </c:pt>
              </c:numCache>
            </c:numRef>
          </c:val>
          <c:extLst>
            <c:ext xmlns:c16="http://schemas.microsoft.com/office/drawing/2014/chart" uri="{C3380CC4-5D6E-409C-BE32-E72D297353CC}">
              <c16:uniqueId val="{00000002-640F-4DEF-AAF1-BA4651163976}"/>
            </c:ext>
          </c:extLst>
        </c:ser>
        <c:dLbls>
          <c:showLegendKey val="0"/>
          <c:showVal val="0"/>
          <c:showCatName val="0"/>
          <c:showSerName val="0"/>
          <c:showPercent val="0"/>
          <c:showBubbleSize val="0"/>
        </c:dLbls>
        <c:gapWidth val="31"/>
        <c:axId val="263214224"/>
        <c:axId val="263214784"/>
        <c:extLst>
          <c:ext xmlns:c15="http://schemas.microsoft.com/office/drawing/2012/chart" uri="{02D57815-91ED-43cb-92C2-25804820EDAC}">
            <c15:filteredBarSeries>
              <c15:ser>
                <c:idx val="0"/>
                <c:order val="0"/>
                <c:tx>
                  <c:strRef>
                    <c:extLst>
                      <c:ext uri="{02D57815-91ED-43cb-92C2-25804820EDAC}">
                        <c15:formulaRef>
                          <c15:sqref>'Prospetto 6a'!$E$88</c15:sqref>
                        </c15:formulaRef>
                      </c:ext>
                    </c:extLst>
                    <c:strCache>
                      <c:ptCount val="1"/>
                      <c:pt idx="0">
                        <c:v>1995-2020</c:v>
                      </c:pt>
                    </c:strCache>
                  </c:strRef>
                </c:tx>
                <c:invertIfNegative val="0"/>
                <c:dPt>
                  <c:idx val="0"/>
                  <c:invertIfNegative val="0"/>
                  <c:bubble3D val="0"/>
                  <c:spPr>
                    <a:solidFill>
                      <a:schemeClr val="tx2"/>
                    </a:solidFill>
                  </c:spPr>
                  <c:extLst>
                    <c:ext xmlns:c16="http://schemas.microsoft.com/office/drawing/2014/chart" uri="{C3380CC4-5D6E-409C-BE32-E72D297353CC}">
                      <c16:uniqueId val="{00000004-640F-4DEF-AAF1-BA4651163976}"/>
                    </c:ext>
                  </c:extLst>
                </c:dPt>
                <c:dPt>
                  <c:idx val="1"/>
                  <c:invertIfNegative val="0"/>
                  <c:bubble3D val="0"/>
                  <c:spPr>
                    <a:solidFill>
                      <a:schemeClr val="tx2"/>
                    </a:solidFill>
                  </c:spPr>
                  <c:extLst>
                    <c:ext xmlns:c16="http://schemas.microsoft.com/office/drawing/2014/chart" uri="{C3380CC4-5D6E-409C-BE32-E72D297353CC}">
                      <c16:uniqueId val="{00000006-640F-4DEF-AAF1-BA4651163976}"/>
                    </c:ext>
                  </c:extLst>
                </c:dPt>
                <c:dPt>
                  <c:idx val="2"/>
                  <c:invertIfNegative val="0"/>
                  <c:bubble3D val="0"/>
                  <c:spPr>
                    <a:solidFill>
                      <a:schemeClr val="tx2"/>
                    </a:solidFill>
                  </c:spPr>
                  <c:extLst>
                    <c:ext xmlns:c16="http://schemas.microsoft.com/office/drawing/2014/chart" uri="{C3380CC4-5D6E-409C-BE32-E72D297353CC}">
                      <c16:uniqueId val="{00000008-640F-4DEF-AAF1-BA4651163976}"/>
                    </c:ext>
                  </c:extLst>
                </c:dPt>
                <c:dPt>
                  <c:idx val="3"/>
                  <c:invertIfNegative val="0"/>
                  <c:bubble3D val="0"/>
                  <c:spPr>
                    <a:solidFill>
                      <a:schemeClr val="tx2"/>
                    </a:solidFill>
                  </c:spPr>
                  <c:extLst>
                    <c:ext xmlns:c16="http://schemas.microsoft.com/office/drawing/2014/chart" uri="{C3380CC4-5D6E-409C-BE32-E72D297353CC}">
                      <c16:uniqueId val="{0000000A-640F-4DEF-AAF1-BA4651163976}"/>
                    </c:ext>
                  </c:extLst>
                </c:dPt>
                <c:dPt>
                  <c:idx val="4"/>
                  <c:invertIfNegative val="0"/>
                  <c:bubble3D val="0"/>
                  <c:spPr>
                    <a:solidFill>
                      <a:schemeClr val="tx2"/>
                    </a:solidFill>
                  </c:spPr>
                  <c:extLst>
                    <c:ext xmlns:c16="http://schemas.microsoft.com/office/drawing/2014/chart" uri="{C3380CC4-5D6E-409C-BE32-E72D297353CC}">
                      <c16:uniqueId val="{0000000C-640F-4DEF-AAF1-BA4651163976}"/>
                    </c:ext>
                  </c:extLst>
                </c:dPt>
                <c:dPt>
                  <c:idx val="5"/>
                  <c:invertIfNegative val="0"/>
                  <c:bubble3D val="0"/>
                  <c:spPr>
                    <a:solidFill>
                      <a:schemeClr val="tx2"/>
                    </a:solidFill>
                  </c:spPr>
                  <c:extLst>
                    <c:ext xmlns:c16="http://schemas.microsoft.com/office/drawing/2014/chart" uri="{C3380CC4-5D6E-409C-BE32-E72D297353CC}">
                      <c16:uniqueId val="{0000000E-640F-4DEF-AAF1-BA4651163976}"/>
                    </c:ext>
                  </c:extLst>
                </c:dPt>
                <c:dPt>
                  <c:idx val="6"/>
                  <c:invertIfNegative val="0"/>
                  <c:bubble3D val="0"/>
                  <c:spPr>
                    <a:solidFill>
                      <a:schemeClr val="tx2"/>
                    </a:solidFill>
                  </c:spPr>
                  <c:extLst>
                    <c:ext xmlns:c16="http://schemas.microsoft.com/office/drawing/2014/chart" uri="{C3380CC4-5D6E-409C-BE32-E72D297353CC}">
                      <c16:uniqueId val="{00000010-640F-4DEF-AAF1-BA4651163976}"/>
                    </c:ext>
                  </c:extLst>
                </c:dPt>
                <c:dPt>
                  <c:idx val="7"/>
                  <c:invertIfNegative val="0"/>
                  <c:bubble3D val="0"/>
                  <c:spPr>
                    <a:solidFill>
                      <a:schemeClr val="tx2"/>
                    </a:solidFill>
                  </c:spPr>
                  <c:extLst>
                    <c:ext xmlns:c16="http://schemas.microsoft.com/office/drawing/2014/chart" uri="{C3380CC4-5D6E-409C-BE32-E72D297353CC}">
                      <c16:uniqueId val="{00000012-640F-4DEF-AAF1-BA4651163976}"/>
                    </c:ext>
                  </c:extLst>
                </c:dPt>
                <c:cat>
                  <c:strRef>
                    <c:extLst>
                      <c:ext uri="{02D57815-91ED-43cb-92C2-25804820EDAC}">
                        <c15:formulaRef>
                          <c15:sqref>'Prospetto 6a'!$C$89:$C$98</c15:sqref>
                        </c15:formulaRef>
                      </c:ext>
                    </c:extLst>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extLst>
                      <c:ext uri="{02D57815-91ED-43cb-92C2-25804820EDAC}">
                        <c15:formulaRef>
                          <c15:sqref>'Prospetto 6a'!$E$89:$E$98</c15:sqref>
                        </c15:formulaRef>
                      </c:ext>
                    </c:extLst>
                    <c:numCache>
                      <c:formatCode>0.0</c:formatCode>
                      <c:ptCount val="9"/>
                      <c:pt idx="0">
                        <c:v>1.188805404675497</c:v>
                      </c:pt>
                      <c:pt idx="1">
                        <c:v>0.83071014068505367</c:v>
                      </c:pt>
                      <c:pt idx="2">
                        <c:v>-0.99066407404658774</c:v>
                      </c:pt>
                      <c:pt idx="3">
                        <c:v>0.78281681579928097</c:v>
                      </c:pt>
                      <c:pt idx="4">
                        <c:v>2.1987863292840304</c:v>
                      </c:pt>
                      <c:pt idx="5">
                        <c:v>1.5845899768909488</c:v>
                      </c:pt>
                      <c:pt idx="6">
                        <c:v>-1.9385802260457385</c:v>
                      </c:pt>
                      <c:pt idx="7">
                        <c:v>-1.1550289311811457</c:v>
                      </c:pt>
                      <c:pt idx="8">
                        <c:v>-0.20799498138723838</c:v>
                      </c:pt>
                    </c:numCache>
                  </c:numRef>
                </c:val>
                <c:extLst>
                  <c:ext xmlns:c16="http://schemas.microsoft.com/office/drawing/2014/chart" uri="{C3380CC4-5D6E-409C-BE32-E72D297353CC}">
                    <c16:uniqueId val="{00000013-640F-4DEF-AAF1-BA4651163976}"/>
                  </c:ext>
                </c:extLst>
              </c15:ser>
            </c15:filteredBarSeries>
            <c15:filteredBarSeries>
              <c15:ser>
                <c:idx val="2"/>
                <c:order val="1"/>
                <c:tx>
                  <c:strRef>
                    <c:extLst xmlns:c15="http://schemas.microsoft.com/office/drawing/2012/chart">
                      <c:ext xmlns:c15="http://schemas.microsoft.com/office/drawing/2012/chart" uri="{02D57815-91ED-43cb-92C2-25804820EDAC}">
                        <c15:formulaRef>
                          <c15:sqref>'Prospetto 6a'!$F$88</c15:sqref>
                        </c15:formulaRef>
                      </c:ext>
                    </c:extLst>
                    <c:strCache>
                      <c:ptCount val="1"/>
                      <c:pt idx="0">
                        <c:v>2003-2009</c:v>
                      </c:pt>
                    </c:strCache>
                  </c:strRef>
                </c:tx>
                <c:spPr>
                  <a:solidFill>
                    <a:schemeClr val="bg1">
                      <a:lumMod val="65000"/>
                    </a:schemeClr>
                  </a:solidFill>
                </c:spPr>
                <c:invertIfNegative val="0"/>
                <c:cat>
                  <c:strRef>
                    <c:extLst xmlns:c15="http://schemas.microsoft.com/office/drawing/2012/chart">
                      <c:ext xmlns:c15="http://schemas.microsoft.com/office/drawing/2012/chart" uri="{02D57815-91ED-43cb-92C2-25804820EDAC}">
                        <c15:formulaRef>
                          <c15:sqref>'Prospetto 6a'!$C$89:$C$98</c15:sqref>
                        </c15:formulaRef>
                      </c:ext>
                    </c:extLst>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extLst xmlns:c15="http://schemas.microsoft.com/office/drawing/2012/chart">
                      <c:ext xmlns:c15="http://schemas.microsoft.com/office/drawing/2012/chart" uri="{02D57815-91ED-43cb-92C2-25804820EDAC}">
                        <c15:formulaRef>
                          <c15:sqref>'Prospetto 6a'!$F$89:$F$98</c15:sqref>
                        </c15:formulaRef>
                      </c:ext>
                    </c:extLst>
                    <c:numCache>
                      <c:formatCode>0.0</c:formatCode>
                      <c:ptCount val="9"/>
                      <c:pt idx="0">
                        <c:v>2.2874061794852851</c:v>
                      </c:pt>
                      <c:pt idx="1">
                        <c:v>-6.2160644426301204E-2</c:v>
                      </c:pt>
                      <c:pt idx="2">
                        <c:v>-3.2422923831115114</c:v>
                      </c:pt>
                      <c:pt idx="3">
                        <c:v>8.4749316727150692E-2</c:v>
                      </c:pt>
                      <c:pt idx="4">
                        <c:v>2.1842841463659335</c:v>
                      </c:pt>
                      <c:pt idx="5">
                        <c:v>2.3507985180769353</c:v>
                      </c:pt>
                      <c:pt idx="6">
                        <c:v>-3.573041598000759</c:v>
                      </c:pt>
                      <c:pt idx="7">
                        <c:v>0.20757889128606433</c:v>
                      </c:pt>
                      <c:pt idx="8">
                        <c:v>4.0841453717210818E-2</c:v>
                      </c:pt>
                    </c:numCache>
                  </c:numRef>
                </c:val>
                <c:extLst xmlns:c15="http://schemas.microsoft.com/office/drawing/2012/chart">
                  <c:ext xmlns:c16="http://schemas.microsoft.com/office/drawing/2014/chart" uri="{C3380CC4-5D6E-409C-BE32-E72D297353CC}">
                    <c16:uniqueId val="{00000014-640F-4DEF-AAF1-BA4651163976}"/>
                  </c:ext>
                </c:extLst>
              </c15:ser>
            </c15:filteredBarSeries>
            <c15:filteredBarSeries>
              <c15:ser>
                <c:idx val="1"/>
                <c:order val="2"/>
                <c:tx>
                  <c:strRef>
                    <c:extLst xmlns:c15="http://schemas.microsoft.com/office/drawing/2012/chart">
                      <c:ext xmlns:c15="http://schemas.microsoft.com/office/drawing/2012/chart" uri="{02D57815-91ED-43cb-92C2-25804820EDAC}">
                        <c15:formulaRef>
                          <c15:sqref>'Prospetto 6a'!$G$88</c15:sqref>
                        </c15:formulaRef>
                      </c:ext>
                    </c:extLst>
                    <c:strCache>
                      <c:ptCount val="1"/>
                      <c:pt idx="0">
                        <c:v>2009-2014</c:v>
                      </c:pt>
                    </c:strCache>
                  </c:strRef>
                </c:tx>
                <c:spPr>
                  <a:solidFill>
                    <a:schemeClr val="accent1"/>
                  </a:solidFill>
                </c:spPr>
                <c:invertIfNegative val="0"/>
                <c:cat>
                  <c:strRef>
                    <c:extLst xmlns:c15="http://schemas.microsoft.com/office/drawing/2012/chart">
                      <c:ext xmlns:c15="http://schemas.microsoft.com/office/drawing/2012/chart" uri="{02D57815-91ED-43cb-92C2-25804820EDAC}">
                        <c15:formulaRef>
                          <c15:sqref>'Prospetto 6a'!$C$89:$C$98</c15:sqref>
                        </c15:formulaRef>
                      </c:ext>
                    </c:extLst>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extLst xmlns:c15="http://schemas.microsoft.com/office/drawing/2012/chart">
                      <c:ext xmlns:c15="http://schemas.microsoft.com/office/drawing/2012/chart" uri="{02D57815-91ED-43cb-92C2-25804820EDAC}">
                        <c15:formulaRef>
                          <c15:sqref>'Prospetto 6a'!$G$89:$G$98</c15:sqref>
                        </c15:formulaRef>
                      </c:ext>
                    </c:extLst>
                    <c:numCache>
                      <c:formatCode>0.0</c:formatCode>
                      <c:ptCount val="9"/>
                      <c:pt idx="0">
                        <c:v>1.2762205646471569</c:v>
                      </c:pt>
                      <c:pt idx="1">
                        <c:v>2.4919828715572079</c:v>
                      </c:pt>
                      <c:pt idx="2">
                        <c:v>-1.2166476103832591</c:v>
                      </c:pt>
                      <c:pt idx="3">
                        <c:v>1.4841228403883466</c:v>
                      </c:pt>
                      <c:pt idx="4">
                        <c:v>0.97805952742107127</c:v>
                      </c:pt>
                      <c:pt idx="5">
                        <c:v>2.6927173797803183</c:v>
                      </c:pt>
                      <c:pt idx="6">
                        <c:v>-1.5291652655695875</c:v>
                      </c:pt>
                      <c:pt idx="7">
                        <c:v>-1.8295354503476413</c:v>
                      </c:pt>
                      <c:pt idx="8">
                        <c:v>-0.71552937654846271</c:v>
                      </c:pt>
                    </c:numCache>
                  </c:numRef>
                </c:val>
                <c:extLst xmlns:c15="http://schemas.microsoft.com/office/drawing/2012/chart">
                  <c:ext xmlns:c16="http://schemas.microsoft.com/office/drawing/2014/chart" uri="{C3380CC4-5D6E-409C-BE32-E72D297353CC}">
                    <c16:uniqueId val="{00000015-640F-4DEF-AAF1-BA4651163976}"/>
                  </c:ext>
                </c:extLst>
              </c15:ser>
            </c15:filteredBarSeries>
          </c:ext>
        </c:extLst>
      </c:barChart>
      <c:catAx>
        <c:axId val="263214224"/>
        <c:scaling>
          <c:orientation val="maxMin"/>
        </c:scaling>
        <c:delete val="0"/>
        <c:axPos val="l"/>
        <c:majorGridlines>
          <c:spPr>
            <a:ln w="9525" cap="flat" cmpd="sng" algn="ctr">
              <a:solidFill>
                <a:sysClr val="window" lastClr="FFFFFF"/>
              </a:solidFill>
              <a:prstDash val="solid"/>
              <a:round/>
              <a:headEnd type="none" w="med" len="med"/>
              <a:tailEnd type="none" w="med" len="med"/>
            </a:ln>
          </c:spPr>
        </c:majorGridlines>
        <c:numFmt formatCode="@" sourceLinked="0"/>
        <c:majorTickMark val="out"/>
        <c:minorTickMark val="none"/>
        <c:tickLblPos val="low"/>
        <c:spPr>
          <a:ln>
            <a:solidFill>
              <a:sysClr val="window" lastClr="FFFFFF"/>
            </a:solidFill>
          </a:ln>
        </c:spPr>
        <c:txPr>
          <a:bodyPr rot="0" vert="horz"/>
          <a:lstStyle/>
          <a:p>
            <a:pPr rtl="0">
              <a:defRPr/>
            </a:pPr>
            <a:endParaRPr lang="it-IT"/>
          </a:p>
        </c:txPr>
        <c:crossAx val="263214784"/>
        <c:crosses val="autoZero"/>
        <c:auto val="0"/>
        <c:lblAlgn val="ctr"/>
        <c:lblOffset val="0"/>
        <c:noMultiLvlLbl val="0"/>
      </c:catAx>
      <c:valAx>
        <c:axId val="263214784"/>
        <c:scaling>
          <c:orientation val="minMax"/>
        </c:scaling>
        <c:delete val="0"/>
        <c:axPos val="b"/>
        <c:majorGridlines>
          <c:spPr>
            <a:ln w="9525" cap="flat" cmpd="sng" algn="ctr">
              <a:solidFill>
                <a:sysClr val="window" lastClr="FFFFFF"/>
              </a:solidFill>
              <a:prstDash val="solid"/>
              <a:round/>
              <a:headEnd type="none" w="med" len="med"/>
              <a:tailEnd type="none" w="med" len="med"/>
            </a:ln>
          </c:spPr>
        </c:majorGridlines>
        <c:numFmt formatCode="0.0" sourceLinked="1"/>
        <c:majorTickMark val="none"/>
        <c:minorTickMark val="none"/>
        <c:tickLblPos val="nextTo"/>
        <c:spPr>
          <a:ln>
            <a:solidFill>
              <a:sysClr val="window" lastClr="FFFFFF"/>
            </a:solidFill>
          </a:ln>
        </c:spPr>
        <c:txPr>
          <a:bodyPr rot="0" vert="horz"/>
          <a:lstStyle/>
          <a:p>
            <a:pPr>
              <a:defRPr/>
            </a:pPr>
            <a:endParaRPr lang="it-IT"/>
          </a:p>
        </c:txPr>
        <c:crossAx val="263214224"/>
        <c:crosses val="max"/>
        <c:crossBetween val="between"/>
      </c:valAx>
      <c:spPr>
        <a:noFill/>
        <a:ln w="25400">
          <a:noFill/>
        </a:ln>
      </c:spPr>
    </c:plotArea>
    <c:legend>
      <c:legendPos val="t"/>
      <c:overlay val="0"/>
    </c:legend>
    <c:plotVisOnly val="1"/>
    <c:dispBlanksAs val="gap"/>
    <c:showDLblsOverMax val="0"/>
  </c:chart>
  <c:spPr>
    <a:noFill/>
    <a:ln>
      <a:noFill/>
    </a:ln>
  </c:spPr>
  <c:txPr>
    <a:bodyPr/>
    <a:lstStyle/>
    <a:p>
      <a:pPr>
        <a:defRPr sz="800" b="0" i="0" u="none" strike="noStrike" baseline="0">
          <a:solidFill>
            <a:srgbClr val="000000"/>
          </a:solidFill>
          <a:latin typeface="Arial Narrow" panose="020B0606020202030204" pitchFamily="34" charset="0"/>
          <a:ea typeface="Calibri"/>
          <a:cs typeface="Calibri"/>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93835493160547"/>
          <c:y val="0.13730601092896175"/>
          <c:w val="0.5000509959203262"/>
          <c:h val="0.70213023679417175"/>
        </c:manualLayout>
      </c:layout>
      <c:barChart>
        <c:barDir val="bar"/>
        <c:grouping val="clustered"/>
        <c:varyColors val="0"/>
        <c:ser>
          <c:idx val="3"/>
          <c:order val="3"/>
          <c:tx>
            <c:strRef>
              <c:f>'Prospetto 6b'!$H$88</c:f>
              <c:strCache>
                <c:ptCount val="1"/>
                <c:pt idx="0">
                  <c:v>2014-2020</c:v>
                </c:pt>
              </c:strCache>
            </c:strRef>
          </c:tx>
          <c:spPr>
            <a:solidFill>
              <a:srgbClr val="1F497D">
                <a:lumMod val="75000"/>
              </a:srgbClr>
            </a:solidFill>
          </c:spPr>
          <c:invertIfNegative val="0"/>
          <c:cat>
            <c:strRef>
              <c:f>'Prospetto 6b'!$C$89:$C$98</c:f>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f>'Prospetto 6b'!$H$89:$H$98</c:f>
              <c:numCache>
                <c:formatCode>0.0</c:formatCode>
                <c:ptCount val="9"/>
                <c:pt idx="0">
                  <c:v>-1.9498098873571568E-2</c:v>
                </c:pt>
                <c:pt idx="1">
                  <c:v>0.12307567602398711</c:v>
                </c:pt>
                <c:pt idx="2">
                  <c:v>8.0198808727405285E-2</c:v>
                </c:pt>
                <c:pt idx="3">
                  <c:v>0.26618698344274011</c:v>
                </c:pt>
                <c:pt idx="4">
                  <c:v>6.5021129577824688E-2</c:v>
                </c:pt>
                <c:pt idx="5">
                  <c:v>1.6668055632718129E-2</c:v>
                </c:pt>
                <c:pt idx="6">
                  <c:v>-5.6150896147177942E-2</c:v>
                </c:pt>
                <c:pt idx="7">
                  <c:v>8.8337234837032597E-3</c:v>
                </c:pt>
                <c:pt idx="8">
                  <c:v>2.066880236935021E-2</c:v>
                </c:pt>
              </c:numCache>
            </c:numRef>
          </c:val>
          <c:extLst>
            <c:ext xmlns:c16="http://schemas.microsoft.com/office/drawing/2014/chart" uri="{C3380CC4-5D6E-409C-BE32-E72D297353CC}">
              <c16:uniqueId val="{00000000-2DDD-45DB-8235-4C87DE57B6FA}"/>
            </c:ext>
          </c:extLst>
        </c:ser>
        <c:ser>
          <c:idx val="4"/>
          <c:order val="4"/>
          <c:tx>
            <c:strRef>
              <c:f>'Prospetto 6b'!$I$88</c:f>
              <c:strCache>
                <c:ptCount val="1"/>
                <c:pt idx="0">
                  <c:v>2019</c:v>
                </c:pt>
              </c:strCache>
            </c:strRef>
          </c:tx>
          <c:spPr>
            <a:solidFill>
              <a:srgbClr val="9BBB59"/>
            </a:solidFill>
          </c:spPr>
          <c:invertIfNegative val="0"/>
          <c:cat>
            <c:strRef>
              <c:f>'Prospetto 6b'!$C$89:$C$98</c:f>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f>'Prospetto 6b'!$I$89:$I$98</c:f>
              <c:numCache>
                <c:formatCode>0.0</c:formatCode>
                <c:ptCount val="9"/>
                <c:pt idx="0">
                  <c:v>5.8000000000000003E-2</c:v>
                </c:pt>
                <c:pt idx="1">
                  <c:v>-2.9000000000000001E-2</c:v>
                </c:pt>
                <c:pt idx="2">
                  <c:v>0.16700000000000001</c:v>
                </c:pt>
                <c:pt idx="3">
                  <c:v>0.45200000000000001</c:v>
                </c:pt>
                <c:pt idx="4">
                  <c:v>8.0000000000000029E-2</c:v>
                </c:pt>
                <c:pt idx="5">
                  <c:v>3.2000000000000015E-2</c:v>
                </c:pt>
                <c:pt idx="6">
                  <c:v>-0.26200000000000001</c:v>
                </c:pt>
                <c:pt idx="7">
                  <c:v>-4.1000000000000002E-2</c:v>
                </c:pt>
                <c:pt idx="8">
                  <c:v>8.5000000000000006E-2</c:v>
                </c:pt>
              </c:numCache>
            </c:numRef>
          </c:val>
          <c:extLst>
            <c:ext xmlns:c16="http://schemas.microsoft.com/office/drawing/2014/chart" uri="{C3380CC4-5D6E-409C-BE32-E72D297353CC}">
              <c16:uniqueId val="{00000001-2DDD-45DB-8235-4C87DE57B6FA}"/>
            </c:ext>
          </c:extLst>
        </c:ser>
        <c:ser>
          <c:idx val="5"/>
          <c:order val="5"/>
          <c:tx>
            <c:strRef>
              <c:f>'Prospetto 6b'!$J$88</c:f>
              <c:strCache>
                <c:ptCount val="1"/>
                <c:pt idx="0">
                  <c:v>2020</c:v>
                </c:pt>
              </c:strCache>
            </c:strRef>
          </c:tx>
          <c:spPr>
            <a:solidFill>
              <a:sysClr val="window" lastClr="FFFFFF">
                <a:lumMod val="65000"/>
              </a:sysClr>
            </a:solidFill>
          </c:spPr>
          <c:invertIfNegative val="0"/>
          <c:cat>
            <c:strRef>
              <c:f>'Prospetto 6b'!$C$89:$C$98</c:f>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f>'Prospetto 6b'!$J$89:$J$98</c:f>
              <c:numCache>
                <c:formatCode>0.0</c:formatCode>
                <c:ptCount val="9"/>
                <c:pt idx="0">
                  <c:v>-9.0000000000000028E-3</c:v>
                </c:pt>
                <c:pt idx="1">
                  <c:v>-0.8510000000000002</c:v>
                </c:pt>
                <c:pt idx="2">
                  <c:v>0.34300000000000008</c:v>
                </c:pt>
                <c:pt idx="3">
                  <c:v>0.55700000000000005</c:v>
                </c:pt>
                <c:pt idx="4">
                  <c:v>0.23500000000000001</c:v>
                </c:pt>
                <c:pt idx="5">
                  <c:v>0.11899999999999998</c:v>
                </c:pt>
                <c:pt idx="6">
                  <c:v>0.24200000000000005</c:v>
                </c:pt>
                <c:pt idx="7">
                  <c:v>0.43400000000000011</c:v>
                </c:pt>
                <c:pt idx="8">
                  <c:v>0.19900000000000001</c:v>
                </c:pt>
              </c:numCache>
            </c:numRef>
          </c:val>
          <c:extLst>
            <c:ext xmlns:c16="http://schemas.microsoft.com/office/drawing/2014/chart" uri="{C3380CC4-5D6E-409C-BE32-E72D297353CC}">
              <c16:uniqueId val="{00000002-2DDD-45DB-8235-4C87DE57B6FA}"/>
            </c:ext>
          </c:extLst>
        </c:ser>
        <c:dLbls>
          <c:showLegendKey val="0"/>
          <c:showVal val="0"/>
          <c:showCatName val="0"/>
          <c:showSerName val="0"/>
          <c:showPercent val="0"/>
          <c:showBubbleSize val="0"/>
        </c:dLbls>
        <c:gapWidth val="31"/>
        <c:axId val="263642272"/>
        <c:axId val="263087072"/>
        <c:extLst>
          <c:ext xmlns:c15="http://schemas.microsoft.com/office/drawing/2012/chart" uri="{02D57815-91ED-43cb-92C2-25804820EDAC}">
            <c15:filteredBarSeries>
              <c15:ser>
                <c:idx val="0"/>
                <c:order val="0"/>
                <c:tx>
                  <c:strRef>
                    <c:extLst>
                      <c:ext uri="{02D57815-91ED-43cb-92C2-25804820EDAC}">
                        <c15:formulaRef>
                          <c15:sqref>'Prospetto 6b'!$E$88</c15:sqref>
                        </c15:formulaRef>
                      </c:ext>
                    </c:extLst>
                    <c:strCache>
                      <c:ptCount val="1"/>
                      <c:pt idx="0">
                        <c:v>1995-2020</c:v>
                      </c:pt>
                    </c:strCache>
                  </c:strRef>
                </c:tx>
                <c:invertIfNegative val="0"/>
                <c:dPt>
                  <c:idx val="0"/>
                  <c:invertIfNegative val="0"/>
                  <c:bubble3D val="0"/>
                  <c:spPr>
                    <a:solidFill>
                      <a:schemeClr val="tx2"/>
                    </a:solidFill>
                  </c:spPr>
                  <c:extLst>
                    <c:ext xmlns:c16="http://schemas.microsoft.com/office/drawing/2014/chart" uri="{C3380CC4-5D6E-409C-BE32-E72D297353CC}">
                      <c16:uniqueId val="{00000004-2DDD-45DB-8235-4C87DE57B6FA}"/>
                    </c:ext>
                  </c:extLst>
                </c:dPt>
                <c:dPt>
                  <c:idx val="1"/>
                  <c:invertIfNegative val="0"/>
                  <c:bubble3D val="0"/>
                  <c:spPr>
                    <a:solidFill>
                      <a:schemeClr val="tx2"/>
                    </a:solidFill>
                  </c:spPr>
                  <c:extLst>
                    <c:ext xmlns:c16="http://schemas.microsoft.com/office/drawing/2014/chart" uri="{C3380CC4-5D6E-409C-BE32-E72D297353CC}">
                      <c16:uniqueId val="{00000006-2DDD-45DB-8235-4C87DE57B6FA}"/>
                    </c:ext>
                  </c:extLst>
                </c:dPt>
                <c:dPt>
                  <c:idx val="2"/>
                  <c:invertIfNegative val="0"/>
                  <c:bubble3D val="0"/>
                  <c:spPr>
                    <a:solidFill>
                      <a:schemeClr val="tx2"/>
                    </a:solidFill>
                  </c:spPr>
                  <c:extLst>
                    <c:ext xmlns:c16="http://schemas.microsoft.com/office/drawing/2014/chart" uri="{C3380CC4-5D6E-409C-BE32-E72D297353CC}">
                      <c16:uniqueId val="{00000008-2DDD-45DB-8235-4C87DE57B6FA}"/>
                    </c:ext>
                  </c:extLst>
                </c:dPt>
                <c:dPt>
                  <c:idx val="3"/>
                  <c:invertIfNegative val="0"/>
                  <c:bubble3D val="0"/>
                  <c:spPr>
                    <a:solidFill>
                      <a:schemeClr val="tx2"/>
                    </a:solidFill>
                  </c:spPr>
                  <c:extLst>
                    <c:ext xmlns:c16="http://schemas.microsoft.com/office/drawing/2014/chart" uri="{C3380CC4-5D6E-409C-BE32-E72D297353CC}">
                      <c16:uniqueId val="{0000000A-2DDD-45DB-8235-4C87DE57B6FA}"/>
                    </c:ext>
                  </c:extLst>
                </c:dPt>
                <c:dPt>
                  <c:idx val="4"/>
                  <c:invertIfNegative val="0"/>
                  <c:bubble3D val="0"/>
                  <c:spPr>
                    <a:solidFill>
                      <a:schemeClr val="tx2"/>
                    </a:solidFill>
                  </c:spPr>
                  <c:extLst>
                    <c:ext xmlns:c16="http://schemas.microsoft.com/office/drawing/2014/chart" uri="{C3380CC4-5D6E-409C-BE32-E72D297353CC}">
                      <c16:uniqueId val="{0000000C-2DDD-45DB-8235-4C87DE57B6FA}"/>
                    </c:ext>
                  </c:extLst>
                </c:dPt>
                <c:dPt>
                  <c:idx val="5"/>
                  <c:invertIfNegative val="0"/>
                  <c:bubble3D val="0"/>
                  <c:spPr>
                    <a:solidFill>
                      <a:schemeClr val="tx2"/>
                    </a:solidFill>
                  </c:spPr>
                  <c:extLst>
                    <c:ext xmlns:c16="http://schemas.microsoft.com/office/drawing/2014/chart" uri="{C3380CC4-5D6E-409C-BE32-E72D297353CC}">
                      <c16:uniqueId val="{0000000E-2DDD-45DB-8235-4C87DE57B6FA}"/>
                    </c:ext>
                  </c:extLst>
                </c:dPt>
                <c:dPt>
                  <c:idx val="6"/>
                  <c:invertIfNegative val="0"/>
                  <c:bubble3D val="0"/>
                  <c:spPr>
                    <a:solidFill>
                      <a:schemeClr val="tx2"/>
                    </a:solidFill>
                  </c:spPr>
                  <c:extLst>
                    <c:ext xmlns:c16="http://schemas.microsoft.com/office/drawing/2014/chart" uri="{C3380CC4-5D6E-409C-BE32-E72D297353CC}">
                      <c16:uniqueId val="{00000010-2DDD-45DB-8235-4C87DE57B6FA}"/>
                    </c:ext>
                  </c:extLst>
                </c:dPt>
                <c:dPt>
                  <c:idx val="7"/>
                  <c:invertIfNegative val="0"/>
                  <c:bubble3D val="0"/>
                  <c:spPr>
                    <a:solidFill>
                      <a:schemeClr val="tx2"/>
                    </a:solidFill>
                  </c:spPr>
                  <c:extLst>
                    <c:ext xmlns:c16="http://schemas.microsoft.com/office/drawing/2014/chart" uri="{C3380CC4-5D6E-409C-BE32-E72D297353CC}">
                      <c16:uniqueId val="{00000012-2DDD-45DB-8235-4C87DE57B6FA}"/>
                    </c:ext>
                  </c:extLst>
                </c:dPt>
                <c:cat>
                  <c:strRef>
                    <c:extLst>
                      <c:ext uri="{02D57815-91ED-43cb-92C2-25804820EDAC}">
                        <c15:formulaRef>
                          <c15:sqref>'Prospetto 6b'!$C$89:$C$98</c15:sqref>
                        </c15:formulaRef>
                      </c:ext>
                    </c:extLst>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extLst>
                      <c:ext uri="{02D57815-91ED-43cb-92C2-25804820EDAC}">
                        <c15:formulaRef>
                          <c15:sqref>'Prospetto 6b'!$E$89:$E$98</c15:sqref>
                        </c15:formulaRef>
                      </c:ext>
                    </c:extLst>
                    <c:numCache>
                      <c:formatCode>0.0</c:formatCode>
                      <c:ptCount val="9"/>
                      <c:pt idx="0">
                        <c:v>9.6766788875513043E-2</c:v>
                      </c:pt>
                      <c:pt idx="1">
                        <c:v>0.1610896101388315</c:v>
                      </c:pt>
                      <c:pt idx="2">
                        <c:v>-7.6890424151732084E-2</c:v>
                      </c:pt>
                      <c:pt idx="3">
                        <c:v>0.23359240292764039</c:v>
                      </c:pt>
                      <c:pt idx="4">
                        <c:v>0.14774904150436363</c:v>
                      </c:pt>
                      <c:pt idx="5">
                        <c:v>8.5716715797290455E-2</c:v>
                      </c:pt>
                      <c:pt idx="6">
                        <c:v>-0.18926067568719729</c:v>
                      </c:pt>
                      <c:pt idx="7">
                        <c:v>-5.6743894559296848E-2</c:v>
                      </c:pt>
                      <c:pt idx="8">
                        <c:v>-4.5998942016178823E-3</c:v>
                      </c:pt>
                    </c:numCache>
                  </c:numRef>
                </c:val>
                <c:extLst>
                  <c:ext xmlns:c16="http://schemas.microsoft.com/office/drawing/2014/chart" uri="{C3380CC4-5D6E-409C-BE32-E72D297353CC}">
                    <c16:uniqueId val="{00000013-2DDD-45DB-8235-4C87DE57B6FA}"/>
                  </c:ext>
                </c:extLst>
              </c15:ser>
            </c15:filteredBarSeries>
            <c15:filteredBarSeries>
              <c15:ser>
                <c:idx val="2"/>
                <c:order val="1"/>
                <c:tx>
                  <c:strRef>
                    <c:extLst xmlns:c15="http://schemas.microsoft.com/office/drawing/2012/chart">
                      <c:ext xmlns:c15="http://schemas.microsoft.com/office/drawing/2012/chart" uri="{02D57815-91ED-43cb-92C2-25804820EDAC}">
                        <c15:formulaRef>
                          <c15:sqref>'Prospetto 6b'!$F$88</c15:sqref>
                        </c15:formulaRef>
                      </c:ext>
                    </c:extLst>
                    <c:strCache>
                      <c:ptCount val="1"/>
                      <c:pt idx="0">
                        <c:v>2003-2009</c:v>
                      </c:pt>
                    </c:strCache>
                  </c:strRef>
                </c:tx>
                <c:spPr>
                  <a:solidFill>
                    <a:schemeClr val="bg1">
                      <a:lumMod val="65000"/>
                    </a:schemeClr>
                  </a:solidFill>
                </c:spPr>
                <c:invertIfNegative val="0"/>
                <c:cat>
                  <c:strRef>
                    <c:extLst xmlns:c15="http://schemas.microsoft.com/office/drawing/2012/chart">
                      <c:ext xmlns:c15="http://schemas.microsoft.com/office/drawing/2012/chart" uri="{02D57815-91ED-43cb-92C2-25804820EDAC}">
                        <c15:formulaRef>
                          <c15:sqref>'Prospetto 6b'!$C$89:$C$98</c15:sqref>
                        </c15:formulaRef>
                      </c:ext>
                    </c:extLst>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extLst xmlns:c15="http://schemas.microsoft.com/office/drawing/2012/chart">
                      <c:ext xmlns:c15="http://schemas.microsoft.com/office/drawing/2012/chart" uri="{02D57815-91ED-43cb-92C2-25804820EDAC}">
                        <c15:formulaRef>
                          <c15:sqref>'Prospetto 6b'!$F$89:$F$98</c15:sqref>
                        </c15:formulaRef>
                      </c:ext>
                    </c:extLst>
                    <c:numCache>
                      <c:formatCode>0.0</c:formatCode>
                      <c:ptCount val="9"/>
                      <c:pt idx="0">
                        <c:v>0.1224081910777608</c:v>
                      </c:pt>
                      <c:pt idx="1">
                        <c:v>-7.4971882029928327E-2</c:v>
                      </c:pt>
                      <c:pt idx="2">
                        <c:v>-0.30885539071673351</c:v>
                      </c:pt>
                      <c:pt idx="3">
                        <c:v>2.2335827407893305E-2</c:v>
                      </c:pt>
                      <c:pt idx="4">
                        <c:v>0.12858259662509308</c:v>
                      </c:pt>
                      <c:pt idx="5">
                        <c:v>0.20704738102077513</c:v>
                      </c:pt>
                      <c:pt idx="6">
                        <c:v>-0.42974062763521115</c:v>
                      </c:pt>
                      <c:pt idx="7">
                        <c:v>-1.8333165278772157E-3</c:v>
                      </c:pt>
                      <c:pt idx="8">
                        <c:v>-1.2332572809037323E-2</c:v>
                      </c:pt>
                    </c:numCache>
                  </c:numRef>
                </c:val>
                <c:extLst xmlns:c15="http://schemas.microsoft.com/office/drawing/2012/chart">
                  <c:ext xmlns:c16="http://schemas.microsoft.com/office/drawing/2014/chart" uri="{C3380CC4-5D6E-409C-BE32-E72D297353CC}">
                    <c16:uniqueId val="{00000014-2DDD-45DB-8235-4C87DE57B6FA}"/>
                  </c:ext>
                </c:extLst>
              </c15:ser>
            </c15:filteredBarSeries>
            <c15:filteredBarSeries>
              <c15:ser>
                <c:idx val="1"/>
                <c:order val="2"/>
                <c:tx>
                  <c:strRef>
                    <c:extLst xmlns:c15="http://schemas.microsoft.com/office/drawing/2012/chart">
                      <c:ext xmlns:c15="http://schemas.microsoft.com/office/drawing/2012/chart" uri="{02D57815-91ED-43cb-92C2-25804820EDAC}">
                        <c15:formulaRef>
                          <c15:sqref>'Prospetto 6b'!$G$88</c15:sqref>
                        </c15:formulaRef>
                      </c:ext>
                    </c:extLst>
                    <c:strCache>
                      <c:ptCount val="1"/>
                      <c:pt idx="0">
                        <c:v>2009-2014</c:v>
                      </c:pt>
                    </c:strCache>
                  </c:strRef>
                </c:tx>
                <c:spPr>
                  <a:solidFill>
                    <a:schemeClr val="accent1"/>
                  </a:solidFill>
                </c:spPr>
                <c:invertIfNegative val="0"/>
                <c:cat>
                  <c:strRef>
                    <c:extLst xmlns:c15="http://schemas.microsoft.com/office/drawing/2012/chart">
                      <c:ext xmlns:c15="http://schemas.microsoft.com/office/drawing/2012/chart" uri="{02D57815-91ED-43cb-92C2-25804820EDAC}">
                        <c15:formulaRef>
                          <c15:sqref>'Prospetto 6b'!$C$89:$C$98</c15:sqref>
                        </c15:formulaRef>
                      </c:ext>
                    </c:extLst>
                    <c:strCache>
                      <c:ptCount val="9"/>
                      <c:pt idx="0">
                        <c:v>Agricoltura, silvicoltura e pesca</c:v>
                      </c:pt>
                      <c:pt idx="1">
                        <c:v>Attività estrattiva e manifatturiera</c:v>
                      </c:pt>
                      <c:pt idx="2">
                        <c:v>Costruzioni</c:v>
                      </c:pt>
                      <c:pt idx="3">
                        <c:v>Commercio, trasporti e ricettività</c:v>
                      </c:pt>
                      <c:pt idx="4">
                        <c:v>Servizi di informazione</c:v>
                      </c:pt>
                      <c:pt idx="5">
                        <c:v>Attività finanziarie e assicurative</c:v>
                      </c:pt>
                      <c:pt idx="6">
                        <c:v>Attività professionali e scientifiche</c:v>
                      </c:pt>
                      <c:pt idx="7">
                        <c:v>Istruzione, sanità e assistenza</c:v>
                      </c:pt>
                      <c:pt idx="8">
                        <c:v>Attività artistiche e intrattenimento</c:v>
                      </c:pt>
                    </c:strCache>
                  </c:strRef>
                </c:cat>
                <c:val>
                  <c:numRef>
                    <c:extLst xmlns:c15="http://schemas.microsoft.com/office/drawing/2012/chart">
                      <c:ext xmlns:c15="http://schemas.microsoft.com/office/drawing/2012/chart" uri="{02D57815-91ED-43cb-92C2-25804820EDAC}">
                        <c15:formulaRef>
                          <c15:sqref>'Prospetto 6b'!$G$89:$G$98</c15:sqref>
                        </c15:formulaRef>
                      </c:ext>
                    </c:extLst>
                    <c:numCache>
                      <c:formatCode>0.0</c:formatCode>
                      <c:ptCount val="9"/>
                      <c:pt idx="0">
                        <c:v>8.9640152791403693E-2</c:v>
                      </c:pt>
                      <c:pt idx="1">
                        <c:v>0.54146062794677707</c:v>
                      </c:pt>
                      <c:pt idx="2">
                        <c:v>2.8000392003679764E-3</c:v>
                      </c:pt>
                      <c:pt idx="3">
                        <c:v>0.45844767053930813</c:v>
                      </c:pt>
                      <c:pt idx="4">
                        <c:v>1.0800583220982318E-2</c:v>
                      </c:pt>
                      <c:pt idx="5">
                        <c:v>0.11686823776464461</c:v>
                      </c:pt>
                      <c:pt idx="6">
                        <c:v>-0.18802301484609485</c:v>
                      </c:pt>
                      <c:pt idx="7">
                        <c:v>-0.10274717890158547</c:v>
                      </c:pt>
                      <c:pt idx="8">
                        <c:v>-2.7196301135368195E-2</c:v>
                      </c:pt>
                    </c:numCache>
                  </c:numRef>
                </c:val>
                <c:extLst xmlns:c15="http://schemas.microsoft.com/office/drawing/2012/chart">
                  <c:ext xmlns:c16="http://schemas.microsoft.com/office/drawing/2014/chart" uri="{C3380CC4-5D6E-409C-BE32-E72D297353CC}">
                    <c16:uniqueId val="{00000015-2DDD-45DB-8235-4C87DE57B6FA}"/>
                  </c:ext>
                </c:extLst>
              </c15:ser>
            </c15:filteredBarSeries>
          </c:ext>
        </c:extLst>
      </c:barChart>
      <c:catAx>
        <c:axId val="263642272"/>
        <c:scaling>
          <c:orientation val="maxMin"/>
        </c:scaling>
        <c:delete val="0"/>
        <c:axPos val="l"/>
        <c:majorGridlines>
          <c:spPr>
            <a:ln w="9525" cap="flat" cmpd="sng" algn="ctr">
              <a:solidFill>
                <a:sysClr val="window" lastClr="FFFFFF"/>
              </a:solidFill>
              <a:prstDash val="solid"/>
              <a:round/>
              <a:headEnd type="none" w="med" len="med"/>
              <a:tailEnd type="none" w="med" len="med"/>
            </a:ln>
          </c:spPr>
        </c:majorGridlines>
        <c:numFmt formatCode="@" sourceLinked="0"/>
        <c:majorTickMark val="out"/>
        <c:minorTickMark val="none"/>
        <c:tickLblPos val="low"/>
        <c:spPr>
          <a:ln>
            <a:solidFill>
              <a:sysClr val="window" lastClr="FFFFFF"/>
            </a:solidFill>
          </a:ln>
        </c:spPr>
        <c:txPr>
          <a:bodyPr rot="0" vert="horz"/>
          <a:lstStyle/>
          <a:p>
            <a:pPr rtl="0">
              <a:defRPr/>
            </a:pPr>
            <a:endParaRPr lang="it-IT"/>
          </a:p>
        </c:txPr>
        <c:crossAx val="263087072"/>
        <c:crosses val="autoZero"/>
        <c:auto val="0"/>
        <c:lblAlgn val="ctr"/>
        <c:lblOffset val="0"/>
        <c:noMultiLvlLbl val="0"/>
      </c:catAx>
      <c:valAx>
        <c:axId val="263087072"/>
        <c:scaling>
          <c:orientation val="minMax"/>
        </c:scaling>
        <c:delete val="0"/>
        <c:axPos val="b"/>
        <c:majorGridlines>
          <c:spPr>
            <a:ln w="9525" cap="flat" cmpd="sng" algn="ctr">
              <a:solidFill>
                <a:sysClr val="window" lastClr="FFFFFF"/>
              </a:solidFill>
              <a:prstDash val="solid"/>
              <a:round/>
              <a:headEnd type="none" w="med" len="med"/>
              <a:tailEnd type="none" w="med" len="med"/>
            </a:ln>
          </c:spPr>
        </c:majorGridlines>
        <c:numFmt formatCode="0.0" sourceLinked="1"/>
        <c:majorTickMark val="none"/>
        <c:minorTickMark val="none"/>
        <c:tickLblPos val="nextTo"/>
        <c:spPr>
          <a:ln>
            <a:solidFill>
              <a:sysClr val="window" lastClr="FFFFFF"/>
            </a:solidFill>
          </a:ln>
        </c:spPr>
        <c:txPr>
          <a:bodyPr rot="0" vert="horz"/>
          <a:lstStyle/>
          <a:p>
            <a:pPr>
              <a:defRPr/>
            </a:pPr>
            <a:endParaRPr lang="it-IT"/>
          </a:p>
        </c:txPr>
        <c:crossAx val="263642272"/>
        <c:crosses val="max"/>
        <c:crossBetween val="between"/>
        <c:majorUnit val="0.30000000000000016"/>
      </c:valAx>
      <c:spPr>
        <a:noFill/>
        <a:ln w="25400">
          <a:noFill/>
        </a:ln>
      </c:spPr>
    </c:plotArea>
    <c:legend>
      <c:legendPos val="t"/>
      <c:overlay val="0"/>
    </c:legend>
    <c:plotVisOnly val="1"/>
    <c:dispBlanksAs val="gap"/>
    <c:showDLblsOverMax val="0"/>
  </c:chart>
  <c:spPr>
    <a:noFill/>
    <a:ln>
      <a:noFill/>
    </a:ln>
  </c:spPr>
  <c:txPr>
    <a:bodyPr/>
    <a:lstStyle/>
    <a:p>
      <a:pPr>
        <a:defRPr sz="800" b="0" i="0" u="none" strike="noStrike" baseline="0">
          <a:solidFill>
            <a:srgbClr val="000000"/>
          </a:solidFill>
          <a:latin typeface="Arial Narrow" panose="020B0606020202030204" pitchFamily="34" charset="0"/>
          <a:ea typeface="Calibri"/>
          <a:cs typeface="Calibri"/>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38EE2-4D5A-4097-BFD2-A249F798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7050</Words>
  <Characters>40187</Characters>
  <Application>Microsoft Office Word</Application>
  <DocSecurity>0</DocSecurity>
  <Lines>334</Lines>
  <Paragraphs>94</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47143</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template</dc:creator>
  <cp:lastModifiedBy>Lea Caselli</cp:lastModifiedBy>
  <cp:revision>2</cp:revision>
  <cp:lastPrinted>2021-12-10T15:03:00Z</cp:lastPrinted>
  <dcterms:created xsi:type="dcterms:W3CDTF">2021-12-13T13:00:00Z</dcterms:created>
  <dcterms:modified xsi:type="dcterms:W3CDTF">2021-12-13T13:00:00Z</dcterms:modified>
</cp:coreProperties>
</file>