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A10C8" w14:textId="7927198B" w:rsidR="00B43883" w:rsidRDefault="00B43883" w:rsidP="008D7D7F">
      <w:pPr>
        <w:ind w:left="1814" w:firstLine="58"/>
        <w:rPr>
          <w:rFonts w:ascii="Arial" w:hAnsi="Arial" w:cs="Arial"/>
          <w:noProof/>
          <w:color w:val="5F5F5F"/>
          <w:sz w:val="28"/>
          <w:szCs w:val="28"/>
        </w:rPr>
      </w:pPr>
      <w:r>
        <w:rPr>
          <w:rFonts w:ascii="Arial" w:hAnsi="Arial" w:cs="Arial"/>
          <w:noProof/>
          <w:color w:val="5F5F5F"/>
          <w:sz w:val="28"/>
          <w:szCs w:val="28"/>
        </w:rPr>
        <mc:AlternateContent>
          <mc:Choice Requires="wps">
            <w:drawing>
              <wp:anchor distT="0" distB="0" distL="114300" distR="114300" simplePos="0" relativeHeight="251656192" behindDoc="0" locked="0" layoutInCell="1" allowOverlap="1" wp14:anchorId="7F386679" wp14:editId="6D6CDF9E">
                <wp:simplePos x="0" y="0"/>
                <wp:positionH relativeFrom="column">
                  <wp:posOffset>3780790</wp:posOffset>
                </wp:positionH>
                <wp:positionV relativeFrom="paragraph">
                  <wp:posOffset>-593090</wp:posOffset>
                </wp:positionV>
                <wp:extent cx="1305560" cy="261620"/>
                <wp:effectExtent l="0" t="0" r="8890" b="508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61620"/>
                        </a:xfrm>
                        <a:prstGeom prst="rect">
                          <a:avLst/>
                        </a:prstGeom>
                        <a:solidFill>
                          <a:srgbClr val="FFFFFF"/>
                        </a:solidFill>
                        <a:ln w="9525">
                          <a:solidFill>
                            <a:srgbClr val="FFFFFF"/>
                          </a:solidFill>
                          <a:miter lim="800000"/>
                          <a:headEnd/>
                          <a:tailEnd/>
                        </a:ln>
                      </wps:spPr>
                      <wps:txbx>
                        <w:txbxContent>
                          <w:p w14:paraId="2C41FE31" w14:textId="5E48CE2B" w:rsidR="008C67F0" w:rsidRPr="00BC0AFE" w:rsidRDefault="008C67F0" w:rsidP="00AE6AE5">
                            <w:pPr>
                              <w:jc w:val="right"/>
                              <w:rPr>
                                <w:rFonts w:ascii="Arial Narrow" w:hAnsi="Arial Narrow"/>
                                <w:b/>
                                <w:color w:val="5F5F5F"/>
                                <w:sz w:val="26"/>
                                <w:szCs w:val="26"/>
                              </w:rPr>
                            </w:pPr>
                            <w:r>
                              <w:rPr>
                                <w:rFonts w:ascii="Arial Narrow" w:hAnsi="Arial Narrow"/>
                                <w:b/>
                                <w:color w:val="5F5F5F"/>
                                <w:sz w:val="26"/>
                                <w:szCs w:val="26"/>
                              </w:rPr>
                              <w:t>18 Marzo 2022</w:t>
                            </w:r>
                            <w:r w:rsidRPr="00BC0AFE">
                              <w:rPr>
                                <w:rFonts w:ascii="Arial Narrow" w:hAnsi="Arial Narrow"/>
                                <w:b/>
                                <w:color w:val="5F5F5F"/>
                                <w:sz w:val="26"/>
                                <w:szCs w:val="26"/>
                              </w:rPr>
                              <w:t xml:space="preserve"> </w:t>
                            </w:r>
                          </w:p>
                          <w:p w14:paraId="7AC159D1" w14:textId="77777777" w:rsidR="008C67F0" w:rsidRPr="00884ED9" w:rsidRDefault="008C67F0" w:rsidP="00AE6AE5">
                            <w:pPr>
                              <w:jc w:val="right"/>
                              <w:rPr>
                                <w:rFonts w:ascii="Arial Narrow" w:hAnsi="Arial Narrow"/>
                                <w:b/>
                                <w:color w:val="2298D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86679" id="_x0000_t202" coordsize="21600,21600" o:spt="202" path="m,l,21600r21600,l21600,xe">
                <v:stroke joinstyle="miter"/>
                <v:path gradientshapeok="t" o:connecttype="rect"/>
              </v:shapetype>
              <v:shape id="Casella di testo 2" o:spid="_x0000_s1026" type="#_x0000_t202" style="position:absolute;left:0;text-align:left;margin-left:297.7pt;margin-top:-46.7pt;width:102.8pt;height:2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" strokecolor="white">
                <v:textbox inset="0,0,0,0">
                  <w:txbxContent>
                    <w:p w14:paraId="2C41FE31" w14:textId="5E48CE2B" w:rsidR="008C67F0" w:rsidRPr="00BC0AFE" w:rsidRDefault="008C67F0" w:rsidP="00AE6AE5">
                      <w:pPr>
                        <w:jc w:val="right"/>
                        <w:rPr>
                          <w:rFonts w:ascii="Arial Narrow" w:hAnsi="Arial Narrow"/>
                          <w:b/>
                          <w:color w:val="5F5F5F"/>
                          <w:sz w:val="26"/>
                          <w:szCs w:val="26"/>
                        </w:rPr>
                      </w:pPr>
                      <w:r>
                        <w:rPr>
                          <w:rFonts w:ascii="Arial Narrow" w:hAnsi="Arial Narrow"/>
                          <w:b/>
                          <w:color w:val="5F5F5F"/>
                          <w:sz w:val="26"/>
                          <w:szCs w:val="26"/>
                        </w:rPr>
                        <w:t>18 Marzo 2022</w:t>
                      </w:r>
                      <w:r w:rsidRPr="00BC0AFE">
                        <w:rPr>
                          <w:rFonts w:ascii="Arial Narrow" w:hAnsi="Arial Narrow"/>
                          <w:b/>
                          <w:color w:val="5F5F5F"/>
                          <w:sz w:val="26"/>
                          <w:szCs w:val="26"/>
                        </w:rPr>
                        <w:t xml:space="preserve"> </w:t>
                      </w:r>
                    </w:p>
                    <w:p w14:paraId="7AC159D1" w14:textId="77777777" w:rsidR="008C67F0" w:rsidRPr="00884ED9" w:rsidRDefault="008C67F0" w:rsidP="00AE6AE5">
                      <w:pPr>
                        <w:jc w:val="right"/>
                        <w:rPr>
                          <w:rFonts w:ascii="Arial Narrow" w:hAnsi="Arial Narrow"/>
                          <w:b/>
                          <w:color w:val="2298D1"/>
                          <w:sz w:val="26"/>
                          <w:szCs w:val="26"/>
                        </w:rPr>
                      </w:pPr>
                    </w:p>
                  </w:txbxContent>
                </v:textbox>
              </v:shape>
            </w:pict>
          </mc:Fallback>
        </mc:AlternateContent>
      </w:r>
    </w:p>
    <w:p w14:paraId="75303D0C" w14:textId="77777777" w:rsidR="004342C5" w:rsidRDefault="004342C5" w:rsidP="008D7D7F">
      <w:pPr>
        <w:ind w:left="1814" w:firstLine="58"/>
        <w:rPr>
          <w:rFonts w:ascii="Arial" w:hAnsi="Arial" w:cs="Arial"/>
          <w:noProof/>
          <w:color w:val="5F5F5F"/>
          <w:sz w:val="28"/>
          <w:szCs w:val="28"/>
        </w:rPr>
      </w:pPr>
    </w:p>
    <w:p w14:paraId="472D74AE" w14:textId="5367DD64" w:rsidR="008D7D7F" w:rsidRPr="00D134E3" w:rsidRDefault="00601954" w:rsidP="008D7D7F">
      <w:pPr>
        <w:ind w:left="1814" w:firstLine="58"/>
        <w:rPr>
          <w:rFonts w:ascii="Arial" w:hAnsi="Arial" w:cs="Arial"/>
          <w:color w:val="5F5F5F"/>
          <w:sz w:val="28"/>
          <w:szCs w:val="28"/>
        </w:rPr>
      </w:pPr>
      <w:r>
        <w:rPr>
          <w:rFonts w:ascii="Arial" w:hAnsi="Arial" w:cs="Arial"/>
          <w:noProof/>
          <w:color w:val="5F5F5F"/>
          <w:sz w:val="28"/>
          <w:szCs w:val="28"/>
        </w:rPr>
        <w:t>Gennaio</w:t>
      </w:r>
      <w:r>
        <w:rPr>
          <w:rFonts w:ascii="Arial" w:hAnsi="Arial" w:cs="Arial"/>
          <w:color w:val="5F5F5F"/>
          <w:sz w:val="28"/>
          <w:szCs w:val="28"/>
        </w:rPr>
        <w:t xml:space="preserve"> 2022</w:t>
      </w:r>
    </w:p>
    <w:p w14:paraId="35E21BC4" w14:textId="77777777" w:rsidR="00A8222C" w:rsidRPr="00191F98" w:rsidRDefault="00AE6AE5" w:rsidP="00D134E3">
      <w:pPr>
        <w:ind w:left="1814" w:firstLine="58"/>
        <w:rPr>
          <w:rFonts w:ascii="Calibri" w:hAnsi="Calibri" w:cs="Arial"/>
          <w:b/>
          <w:color w:val="5F5F5F"/>
          <w:sz w:val="44"/>
          <w:szCs w:val="28"/>
        </w:rPr>
      </w:pPr>
      <w:r w:rsidRPr="00191F98">
        <w:rPr>
          <w:rFonts w:ascii="Calibri" w:hAnsi="Calibri" w:cs="Arial"/>
          <w:b/>
          <w:color w:val="5F5F5F"/>
          <w:sz w:val="44"/>
          <w:szCs w:val="28"/>
        </w:rPr>
        <w:t>CO</w:t>
      </w:r>
      <w:r w:rsidR="00284F38" w:rsidRPr="00191F98">
        <w:rPr>
          <w:rFonts w:ascii="Calibri" w:hAnsi="Calibri" w:cs="Arial"/>
          <w:b/>
          <w:color w:val="5F5F5F"/>
          <w:sz w:val="44"/>
          <w:szCs w:val="28"/>
        </w:rPr>
        <w:t>M</w:t>
      </w:r>
      <w:r w:rsidR="00A8222C" w:rsidRPr="00191F98">
        <w:rPr>
          <w:rFonts w:ascii="Calibri" w:hAnsi="Calibri" w:cs="Arial"/>
          <w:b/>
          <w:color w:val="5F5F5F"/>
          <w:sz w:val="44"/>
          <w:szCs w:val="28"/>
        </w:rPr>
        <w:t>MER</w:t>
      </w:r>
      <w:r w:rsidR="00284F38" w:rsidRPr="00191F98">
        <w:rPr>
          <w:rFonts w:ascii="Calibri" w:hAnsi="Calibri" w:cs="Arial"/>
          <w:b/>
          <w:color w:val="5F5F5F"/>
          <w:sz w:val="44"/>
          <w:szCs w:val="28"/>
        </w:rPr>
        <w:t>CI</w:t>
      </w:r>
      <w:r w:rsidR="00A8222C" w:rsidRPr="00191F98">
        <w:rPr>
          <w:rFonts w:ascii="Calibri" w:hAnsi="Calibri" w:cs="Arial"/>
          <w:b/>
          <w:color w:val="5F5F5F"/>
          <w:sz w:val="44"/>
          <w:szCs w:val="28"/>
        </w:rPr>
        <w:t>O CON L’ESTERO E</w:t>
      </w:r>
    </w:p>
    <w:p w14:paraId="3E4FFEE7" w14:textId="70C0DE69" w:rsidR="00A8222C" w:rsidRDefault="00A8222C" w:rsidP="00AA0F72">
      <w:pPr>
        <w:ind w:left="1814" w:firstLine="57"/>
        <w:rPr>
          <w:rFonts w:ascii="Calibri" w:hAnsi="Calibri" w:cs="Arial"/>
          <w:b/>
          <w:color w:val="5F5F5F"/>
          <w:sz w:val="44"/>
          <w:szCs w:val="28"/>
        </w:rPr>
      </w:pPr>
      <w:r w:rsidRPr="00191F98">
        <w:rPr>
          <w:rFonts w:ascii="Calibri" w:hAnsi="Calibri" w:cs="Arial"/>
          <w:b/>
          <w:color w:val="5F5F5F"/>
          <w:sz w:val="44"/>
          <w:szCs w:val="28"/>
        </w:rPr>
        <w:t>PREZZI ALL’IMPORT</w:t>
      </w:r>
    </w:p>
    <w:p w14:paraId="32215862" w14:textId="77777777" w:rsidR="004E4512" w:rsidRPr="004F1769" w:rsidRDefault="004E4512" w:rsidP="00D66C47">
      <w:pPr>
        <w:ind w:left="1814" w:firstLine="57"/>
        <w:rPr>
          <w:rFonts w:ascii="Calibri" w:hAnsi="Calibri" w:cs="Arial"/>
          <w:b/>
          <w:color w:val="5F5F5F"/>
          <w:sz w:val="6"/>
          <w:szCs w:val="6"/>
        </w:rPr>
      </w:pPr>
    </w:p>
    <w:p w14:paraId="1DF2AF73" w14:textId="77777777" w:rsidR="00A8222C" w:rsidRPr="00C541F7" w:rsidRDefault="00A8222C" w:rsidP="00E15738">
      <w:pPr>
        <w:tabs>
          <w:tab w:val="left" w:pos="1843"/>
        </w:tabs>
        <w:spacing w:line="216" w:lineRule="auto"/>
        <w:ind w:left="1814"/>
        <w:rPr>
          <w:rFonts w:ascii="Calibri" w:hAnsi="Calibri" w:cs="Arial"/>
          <w:b/>
          <w:bCs/>
          <w:color w:val="5F5F5F"/>
          <w:w w:val="95"/>
          <w:sz w:val="4"/>
          <w:szCs w:val="4"/>
        </w:rPr>
      </w:pPr>
    </w:p>
    <w:p w14:paraId="3F1CB619" w14:textId="2F29A939" w:rsidR="00BE5EB4" w:rsidRPr="008322DD" w:rsidRDefault="00BE5EB4" w:rsidP="00AA0F72">
      <w:pPr>
        <w:numPr>
          <w:ilvl w:val="0"/>
          <w:numId w:val="22"/>
        </w:numPr>
        <w:tabs>
          <w:tab w:val="left" w:pos="426"/>
          <w:tab w:val="left" w:pos="1843"/>
        </w:tabs>
        <w:spacing w:after="60" w:line="230" w:lineRule="exact"/>
        <w:ind w:left="357" w:hanging="357"/>
        <w:jc w:val="both"/>
        <w:rPr>
          <w:rFonts w:ascii="Arial" w:hAnsi="Arial" w:cs="Arial"/>
          <w:bCs/>
          <w:sz w:val="21"/>
          <w:szCs w:val="21"/>
          <w:lang w:eastAsia="en-US"/>
        </w:rPr>
      </w:pPr>
      <w:r w:rsidRPr="006E5CAF">
        <w:rPr>
          <w:rFonts w:ascii="Arial" w:hAnsi="Arial"/>
          <w:sz w:val="21"/>
          <w:szCs w:val="21"/>
        </w:rPr>
        <w:t>Si informa</w:t>
      </w:r>
      <w:r>
        <w:rPr>
          <w:rFonts w:ascii="Arial" w:hAnsi="Arial"/>
          <w:sz w:val="21"/>
          <w:szCs w:val="21"/>
        </w:rPr>
        <w:t xml:space="preserve"> </w:t>
      </w:r>
      <w:r w:rsidRPr="006E5CAF">
        <w:rPr>
          <w:rFonts w:ascii="Arial" w:hAnsi="Arial"/>
          <w:sz w:val="21"/>
          <w:szCs w:val="21"/>
        </w:rPr>
        <w:t xml:space="preserve">che i dati di import in valore </w:t>
      </w:r>
      <w:r w:rsidRPr="006E5CAF">
        <w:rPr>
          <w:rFonts w:ascii="Arial" w:hAnsi="Arial" w:cs="Arial"/>
          <w:sz w:val="21"/>
          <w:szCs w:val="21"/>
        </w:rPr>
        <w:t xml:space="preserve">del gas naturale allo stato gassoso </w:t>
      </w:r>
      <w:r w:rsidRPr="006E5CAF">
        <w:rPr>
          <w:rFonts w:ascii="Arial" w:hAnsi="Arial"/>
          <w:sz w:val="21"/>
          <w:szCs w:val="21"/>
        </w:rPr>
        <w:t xml:space="preserve">per i mesi da luglio a dicembre 2021 </w:t>
      </w:r>
      <w:r>
        <w:rPr>
          <w:rFonts w:ascii="Arial" w:hAnsi="Arial"/>
          <w:sz w:val="21"/>
          <w:szCs w:val="21"/>
        </w:rPr>
        <w:t xml:space="preserve">sono </w:t>
      </w:r>
      <w:r w:rsidRPr="006E5CAF">
        <w:rPr>
          <w:rFonts w:ascii="Arial" w:hAnsi="Arial"/>
          <w:sz w:val="21"/>
          <w:szCs w:val="21"/>
        </w:rPr>
        <w:t xml:space="preserve">in corso </w:t>
      </w:r>
      <w:r w:rsidRPr="006E5CAF">
        <w:rPr>
          <w:rFonts w:ascii="Arial" w:hAnsi="Arial" w:cs="Arial"/>
          <w:sz w:val="21"/>
          <w:szCs w:val="21"/>
        </w:rPr>
        <w:t xml:space="preserve">di </w:t>
      </w:r>
      <w:r>
        <w:rPr>
          <w:rFonts w:ascii="Arial" w:hAnsi="Arial" w:cs="Arial"/>
          <w:sz w:val="21"/>
          <w:szCs w:val="21"/>
        </w:rPr>
        <w:t xml:space="preserve">revisione </w:t>
      </w:r>
      <w:r w:rsidRPr="006E5CAF">
        <w:rPr>
          <w:rFonts w:ascii="Arial" w:hAnsi="Arial" w:cs="Arial"/>
          <w:sz w:val="21"/>
          <w:szCs w:val="21"/>
        </w:rPr>
        <w:t xml:space="preserve">(si veda la </w:t>
      </w:r>
      <w:hyperlink r:id="rId13" w:history="1">
        <w:r w:rsidRPr="006E5CAF">
          <w:rPr>
            <w:rStyle w:val="Collegamentoipertestuale"/>
            <w:rFonts w:ascii="Arial" w:hAnsi="Arial" w:cs="Arial"/>
            <w:sz w:val="21"/>
            <w:szCs w:val="21"/>
          </w:rPr>
          <w:t>Nota per la stampa</w:t>
        </w:r>
      </w:hyperlink>
      <w:r w:rsidRPr="006E5CAF">
        <w:rPr>
          <w:rFonts w:ascii="Arial" w:hAnsi="Arial" w:cs="Arial"/>
          <w:sz w:val="21"/>
          <w:szCs w:val="21"/>
        </w:rPr>
        <w:t xml:space="preserve"> del 15 marzo). </w:t>
      </w:r>
      <w:r>
        <w:rPr>
          <w:rFonts w:ascii="Arial" w:hAnsi="Arial" w:cs="Arial"/>
          <w:sz w:val="21"/>
          <w:szCs w:val="21"/>
        </w:rPr>
        <w:t xml:space="preserve">Pertanto non è possibile diffondere i dati delle importazioni dal mondo e dall’area extra Ue, né i relativi indici di volume e dei valori medi unitari. I dati rivisti </w:t>
      </w:r>
      <w:r w:rsidRPr="006E5CAF">
        <w:rPr>
          <w:rFonts w:ascii="Arial" w:hAnsi="Arial" w:cs="Arial"/>
          <w:sz w:val="21"/>
          <w:szCs w:val="21"/>
        </w:rPr>
        <w:t xml:space="preserve">saranno diffusi </w:t>
      </w:r>
      <w:r w:rsidRPr="00BF6660">
        <w:rPr>
          <w:rFonts w:ascii="Arial" w:hAnsi="Arial" w:cs="Arial"/>
          <w:sz w:val="21"/>
          <w:szCs w:val="21"/>
        </w:rPr>
        <w:t>venerdì 25 marzo. Tutte le serie aggiornate o riviste saranno invece rese disponibili su Coeweb (https://www.coeweb.istat.it/) entro la fine di marzo.</w:t>
      </w:r>
    </w:p>
    <w:p w14:paraId="6C4DC097" w14:textId="0A212D1D" w:rsidR="008322DD" w:rsidRPr="00BF6660" w:rsidRDefault="008322DD" w:rsidP="00AA0F72">
      <w:pPr>
        <w:numPr>
          <w:ilvl w:val="0"/>
          <w:numId w:val="22"/>
        </w:numPr>
        <w:tabs>
          <w:tab w:val="left" w:pos="426"/>
          <w:tab w:val="left" w:pos="1843"/>
        </w:tabs>
        <w:spacing w:after="60" w:line="230" w:lineRule="exact"/>
        <w:ind w:left="357" w:hanging="357"/>
        <w:jc w:val="both"/>
        <w:rPr>
          <w:rFonts w:ascii="Arial" w:hAnsi="Arial"/>
          <w:sz w:val="21"/>
          <w:szCs w:val="21"/>
        </w:rPr>
      </w:pPr>
      <w:r w:rsidRPr="00BF6660">
        <w:rPr>
          <w:rFonts w:ascii="Arial" w:hAnsi="Arial"/>
          <w:sz w:val="21"/>
          <w:szCs w:val="21"/>
        </w:rPr>
        <w:t>Si segnala</w:t>
      </w:r>
      <w:r w:rsidR="00EE2851" w:rsidRPr="00BF6660">
        <w:rPr>
          <w:rFonts w:ascii="Arial" w:hAnsi="Arial"/>
          <w:sz w:val="21"/>
          <w:szCs w:val="21"/>
        </w:rPr>
        <w:t>,</w:t>
      </w:r>
      <w:r w:rsidRPr="00BF6660">
        <w:rPr>
          <w:rFonts w:ascii="Arial" w:hAnsi="Arial"/>
          <w:sz w:val="21"/>
          <w:szCs w:val="21"/>
        </w:rPr>
        <w:t xml:space="preserve"> inoltre</w:t>
      </w:r>
      <w:r w:rsidR="00EE2851" w:rsidRPr="00BF6660">
        <w:rPr>
          <w:rFonts w:ascii="Arial" w:hAnsi="Arial"/>
          <w:sz w:val="21"/>
          <w:szCs w:val="21"/>
        </w:rPr>
        <w:t>,</w:t>
      </w:r>
      <w:r w:rsidRPr="00BF6660">
        <w:rPr>
          <w:rFonts w:ascii="Arial" w:hAnsi="Arial"/>
          <w:sz w:val="21"/>
          <w:szCs w:val="21"/>
        </w:rPr>
        <w:t xml:space="preserve"> che a seguito delle difficoltà tecniche di trasmissione dei nuovi modelli Intrastat – malgrado il differimento della scadenza di invio dal 25 febbraio al 7 marzo –  si è registrata una parziale riduzione del flusso delle dichiarazioni relative al mese di gennaio 2022</w:t>
      </w:r>
      <w:r w:rsidR="00B823F5" w:rsidRPr="00BF6660">
        <w:rPr>
          <w:rFonts w:ascii="Arial" w:hAnsi="Arial"/>
          <w:sz w:val="21"/>
          <w:szCs w:val="21"/>
        </w:rPr>
        <w:t>. La base informativa disponibile è stata integrata mediante l’utilizzo di ulteriori fonti</w:t>
      </w:r>
      <w:r w:rsidRPr="00BF6660">
        <w:rPr>
          <w:rFonts w:ascii="Arial" w:hAnsi="Arial"/>
          <w:sz w:val="21"/>
          <w:szCs w:val="21"/>
        </w:rPr>
        <w:t xml:space="preserve"> (si veda la Nota metodologica, pag.15).</w:t>
      </w:r>
    </w:p>
    <w:p w14:paraId="5E8A6A22" w14:textId="7AA24ACE" w:rsidR="00BE5EB4" w:rsidRPr="00772E0A" w:rsidRDefault="00BE5EB4" w:rsidP="00AA0F72">
      <w:pPr>
        <w:numPr>
          <w:ilvl w:val="0"/>
          <w:numId w:val="22"/>
        </w:numPr>
        <w:tabs>
          <w:tab w:val="left" w:pos="426"/>
          <w:tab w:val="left" w:pos="1843"/>
        </w:tabs>
        <w:spacing w:after="60" w:line="230" w:lineRule="exact"/>
        <w:jc w:val="both"/>
        <w:rPr>
          <w:rFonts w:ascii="Arial" w:hAnsi="Arial" w:cs="Arial"/>
          <w:bCs/>
          <w:sz w:val="21"/>
          <w:szCs w:val="21"/>
          <w:lang w:eastAsia="en-US"/>
        </w:rPr>
      </w:pPr>
      <w:r w:rsidRPr="00145D92">
        <w:rPr>
          <w:rFonts w:ascii="Arial" w:hAnsi="Arial" w:cs="Arial"/>
          <w:bCs/>
          <w:sz w:val="21"/>
          <w:szCs w:val="21"/>
          <w:lang w:eastAsia="en-US"/>
        </w:rPr>
        <w:t xml:space="preserve">A gennaio 2022 si stima una crescita congiunturale </w:t>
      </w:r>
      <w:r>
        <w:rPr>
          <w:rFonts w:ascii="Arial" w:hAnsi="Arial" w:cs="Arial"/>
          <w:bCs/>
          <w:sz w:val="21"/>
          <w:szCs w:val="21"/>
          <w:lang w:eastAsia="en-US"/>
        </w:rPr>
        <w:t xml:space="preserve">delle </w:t>
      </w:r>
      <w:r w:rsidRPr="00145D92">
        <w:rPr>
          <w:rFonts w:ascii="Arial" w:hAnsi="Arial" w:cs="Arial"/>
          <w:bCs/>
          <w:sz w:val="21"/>
          <w:szCs w:val="21"/>
          <w:lang w:eastAsia="en-US"/>
        </w:rPr>
        <w:t>esportazioni (+5,3%) dovuto all’incremento delle vendite verso entrambe le aree, Ue (+5,1%) ed extra Ue (+5,4%).</w:t>
      </w:r>
      <w:r>
        <w:rPr>
          <w:rFonts w:ascii="Arial" w:hAnsi="Arial" w:cs="Arial"/>
          <w:bCs/>
          <w:sz w:val="21"/>
          <w:szCs w:val="21"/>
          <w:lang w:eastAsia="en-US"/>
        </w:rPr>
        <w:t xml:space="preserve"> </w:t>
      </w:r>
      <w:r w:rsidRPr="00772E0A">
        <w:rPr>
          <w:rFonts w:ascii="Arial" w:hAnsi="Arial" w:cs="Arial"/>
          <w:bCs/>
          <w:sz w:val="21"/>
          <w:szCs w:val="21"/>
          <w:lang w:eastAsia="en-US"/>
        </w:rPr>
        <w:t xml:space="preserve">Anche nel trimestre novembre 2021-gennaio 2022, rispetto al precedente, l’export </w:t>
      </w:r>
      <w:r w:rsidRPr="00772E0A">
        <w:rPr>
          <w:rFonts w:ascii="Arial" w:hAnsi="Arial" w:cs="Arial"/>
          <w:bCs/>
          <w:sz w:val="21"/>
          <w:szCs w:val="21"/>
        </w:rPr>
        <w:t>cresce (+</w:t>
      </w:r>
      <w:r w:rsidRPr="00772E0A">
        <w:rPr>
          <w:rFonts w:ascii="Arial" w:hAnsi="Arial" w:cs="Arial"/>
          <w:bCs/>
          <w:sz w:val="21"/>
          <w:szCs w:val="21"/>
          <w:lang w:eastAsia="en-US"/>
        </w:rPr>
        <w:t>4,7%).</w:t>
      </w:r>
    </w:p>
    <w:p w14:paraId="7F1678D5" w14:textId="00BF0923" w:rsidR="00BE5EB4" w:rsidRPr="00772E0A" w:rsidRDefault="00BE5EB4" w:rsidP="00AA0F72">
      <w:pPr>
        <w:pStyle w:val="Paragrafoelenco"/>
        <w:numPr>
          <w:ilvl w:val="0"/>
          <w:numId w:val="22"/>
        </w:numPr>
        <w:spacing w:after="60"/>
        <w:rPr>
          <w:rFonts w:ascii="Arial" w:hAnsi="Arial" w:cs="Arial"/>
          <w:bCs/>
          <w:color w:val="auto"/>
          <w:sz w:val="21"/>
          <w:szCs w:val="21"/>
          <w:lang w:eastAsia="en-US"/>
        </w:rPr>
      </w:pPr>
      <w:r>
        <w:rPr>
          <w:rFonts w:ascii="Arial" w:hAnsi="Arial" w:cs="Arial"/>
          <w:bCs/>
          <w:color w:val="auto"/>
          <w:sz w:val="21"/>
          <w:szCs w:val="21"/>
          <w:lang w:eastAsia="en-US"/>
        </w:rPr>
        <w:t xml:space="preserve">Le importazioni </w:t>
      </w:r>
      <w:r w:rsidRPr="00772E0A">
        <w:rPr>
          <w:rFonts w:ascii="Arial" w:hAnsi="Arial" w:cs="Arial"/>
          <w:bCs/>
          <w:color w:val="auto"/>
          <w:sz w:val="21"/>
          <w:szCs w:val="21"/>
          <w:lang w:eastAsia="en-US"/>
        </w:rPr>
        <w:t>dall’</w:t>
      </w:r>
      <w:r>
        <w:rPr>
          <w:rFonts w:ascii="Arial" w:hAnsi="Arial" w:cs="Arial"/>
          <w:bCs/>
          <w:color w:val="auto"/>
          <w:sz w:val="21"/>
          <w:szCs w:val="21"/>
          <w:lang w:eastAsia="en-US"/>
        </w:rPr>
        <w:t>a</w:t>
      </w:r>
      <w:r w:rsidRPr="00772E0A">
        <w:rPr>
          <w:rFonts w:ascii="Arial" w:hAnsi="Arial" w:cs="Arial"/>
          <w:bCs/>
          <w:color w:val="auto"/>
          <w:sz w:val="21"/>
          <w:szCs w:val="21"/>
          <w:lang w:eastAsia="en-US"/>
        </w:rPr>
        <w:t>rea Ue</w:t>
      </w:r>
      <w:r>
        <w:rPr>
          <w:rFonts w:ascii="Arial" w:hAnsi="Arial" w:cs="Arial"/>
          <w:bCs/>
          <w:color w:val="auto"/>
          <w:sz w:val="21"/>
          <w:szCs w:val="21"/>
          <w:lang w:eastAsia="en-US"/>
        </w:rPr>
        <w:t xml:space="preserve"> diminuiscono del 4,3% mentre n</w:t>
      </w:r>
      <w:r w:rsidRPr="00772E0A">
        <w:rPr>
          <w:rFonts w:ascii="Arial" w:hAnsi="Arial" w:cs="Arial"/>
          <w:bCs/>
          <w:color w:val="auto"/>
          <w:sz w:val="21"/>
          <w:szCs w:val="21"/>
          <w:lang w:eastAsia="en-US"/>
        </w:rPr>
        <w:t xml:space="preserve">el trimestre novembre 2021-gennaio 2022, </w:t>
      </w:r>
      <w:r>
        <w:rPr>
          <w:rFonts w:ascii="Arial" w:hAnsi="Arial" w:cs="Arial"/>
          <w:bCs/>
          <w:color w:val="auto"/>
          <w:sz w:val="21"/>
          <w:szCs w:val="21"/>
          <w:lang w:eastAsia="en-US"/>
        </w:rPr>
        <w:t xml:space="preserve">aumentano del </w:t>
      </w:r>
      <w:r w:rsidRPr="00772E0A">
        <w:rPr>
          <w:rFonts w:ascii="Arial" w:hAnsi="Arial" w:cs="Arial"/>
          <w:bCs/>
          <w:color w:val="auto"/>
          <w:sz w:val="21"/>
          <w:szCs w:val="21"/>
          <w:lang w:eastAsia="en-US"/>
        </w:rPr>
        <w:t>9,1</w:t>
      </w:r>
      <w:r>
        <w:rPr>
          <w:rFonts w:ascii="Arial" w:hAnsi="Arial" w:cs="Arial"/>
          <w:bCs/>
          <w:color w:val="auto"/>
          <w:sz w:val="21"/>
          <w:szCs w:val="21"/>
          <w:lang w:eastAsia="en-US"/>
        </w:rPr>
        <w:t xml:space="preserve">% </w:t>
      </w:r>
      <w:r w:rsidRPr="00772E0A">
        <w:rPr>
          <w:rFonts w:ascii="Arial" w:hAnsi="Arial" w:cs="Arial"/>
          <w:bCs/>
          <w:color w:val="auto"/>
          <w:sz w:val="21"/>
          <w:szCs w:val="21"/>
          <w:lang w:eastAsia="en-US"/>
        </w:rPr>
        <w:t>rispetto a</w:t>
      </w:r>
      <w:r>
        <w:rPr>
          <w:rFonts w:ascii="Arial" w:hAnsi="Arial" w:cs="Arial"/>
          <w:bCs/>
          <w:color w:val="auto"/>
          <w:sz w:val="21"/>
          <w:szCs w:val="21"/>
          <w:lang w:eastAsia="en-US"/>
        </w:rPr>
        <w:t>i tre mesi</w:t>
      </w:r>
      <w:r w:rsidRPr="00772E0A">
        <w:rPr>
          <w:rFonts w:ascii="Arial" w:hAnsi="Arial" w:cs="Arial"/>
          <w:bCs/>
          <w:color w:val="auto"/>
          <w:sz w:val="21"/>
          <w:szCs w:val="21"/>
          <w:lang w:eastAsia="en-US"/>
        </w:rPr>
        <w:t xml:space="preserve"> precedent</w:t>
      </w:r>
      <w:r>
        <w:rPr>
          <w:rFonts w:ascii="Arial" w:hAnsi="Arial" w:cs="Arial"/>
          <w:bCs/>
          <w:color w:val="auto"/>
          <w:sz w:val="21"/>
          <w:szCs w:val="21"/>
          <w:lang w:eastAsia="en-US"/>
        </w:rPr>
        <w:t>i.</w:t>
      </w:r>
    </w:p>
    <w:p w14:paraId="1C268575" w14:textId="77777777" w:rsidR="00BE5EB4" w:rsidRPr="00145D92" w:rsidRDefault="00BE5EB4" w:rsidP="00AA0F72">
      <w:pPr>
        <w:numPr>
          <w:ilvl w:val="0"/>
          <w:numId w:val="22"/>
        </w:numPr>
        <w:tabs>
          <w:tab w:val="left" w:pos="426"/>
          <w:tab w:val="left" w:pos="1843"/>
        </w:tabs>
        <w:spacing w:after="60" w:line="230" w:lineRule="exact"/>
        <w:jc w:val="both"/>
        <w:rPr>
          <w:rFonts w:ascii="Arial" w:hAnsi="Arial" w:cs="Arial"/>
          <w:bCs/>
          <w:sz w:val="21"/>
          <w:szCs w:val="21"/>
        </w:rPr>
      </w:pPr>
      <w:r w:rsidRPr="00145D92">
        <w:rPr>
          <w:rFonts w:ascii="Arial" w:hAnsi="Arial" w:cs="Arial"/>
          <w:bCs/>
          <w:sz w:val="21"/>
          <w:szCs w:val="21"/>
          <w:lang w:eastAsia="en-US"/>
        </w:rPr>
        <w:t xml:space="preserve">A gennaio 2022, l’export aumenta su base annua del 22,6%; la crescita è più sostenuta verso l’area Ue (+25,5%) rispetto ai mercati extra Ue (+19,2%). L’import registra un incremento tendenziale più marcato (+44,5%), che coinvolge sia l’area Ue (+29,0%) sia, in misura molto più ampia, l’area extra Ue (+65,5%).  </w:t>
      </w:r>
    </w:p>
    <w:p w14:paraId="0CDA9992" w14:textId="381088E4" w:rsidR="00BE5EB4" w:rsidRPr="00145D92" w:rsidRDefault="00BE5EB4" w:rsidP="00AA0F72">
      <w:pPr>
        <w:numPr>
          <w:ilvl w:val="0"/>
          <w:numId w:val="22"/>
        </w:numPr>
        <w:tabs>
          <w:tab w:val="left" w:pos="426"/>
          <w:tab w:val="left" w:pos="1843"/>
        </w:tabs>
        <w:spacing w:after="60" w:line="230" w:lineRule="exact"/>
        <w:jc w:val="both"/>
        <w:rPr>
          <w:rFonts w:ascii="Arial" w:hAnsi="Arial" w:cs="Arial"/>
          <w:bCs/>
          <w:sz w:val="21"/>
          <w:szCs w:val="21"/>
        </w:rPr>
      </w:pPr>
      <w:r w:rsidRPr="00145D92">
        <w:rPr>
          <w:rFonts w:ascii="Arial" w:hAnsi="Arial" w:cs="Arial"/>
          <w:bCs/>
          <w:sz w:val="21"/>
          <w:szCs w:val="21"/>
          <w:lang w:eastAsia="en-US"/>
        </w:rPr>
        <w:t xml:space="preserve">Tra i settori che contribuiscono maggiormente all’aumento tendenziale dell’export si segnalano: metalli di base e prodotti in metallo, esclusi macchine e impianti (+27,1%), mezzi di trasporto, autoveicoli esclusi (+57,6%), articoli farmaceutici, chimico-medicinali e botanici (+25,9%), prodotti </w:t>
      </w:r>
      <w:r>
        <w:rPr>
          <w:rFonts w:ascii="Arial" w:hAnsi="Arial" w:cs="Arial"/>
          <w:bCs/>
          <w:sz w:val="21"/>
          <w:szCs w:val="21"/>
          <w:lang w:eastAsia="en-US"/>
        </w:rPr>
        <w:t>della raffinazione</w:t>
      </w:r>
      <w:r w:rsidRPr="00145D92">
        <w:rPr>
          <w:rFonts w:ascii="Arial" w:hAnsi="Arial" w:cs="Arial"/>
          <w:bCs/>
          <w:sz w:val="21"/>
          <w:szCs w:val="21"/>
          <w:lang w:eastAsia="en-US"/>
        </w:rPr>
        <w:t xml:space="preserve"> (+87,3%)</w:t>
      </w:r>
      <w:r w:rsidR="009A16C4">
        <w:rPr>
          <w:rFonts w:ascii="Arial" w:hAnsi="Arial" w:cs="Arial"/>
          <w:bCs/>
          <w:sz w:val="21"/>
          <w:szCs w:val="21"/>
          <w:lang w:eastAsia="en-US"/>
        </w:rPr>
        <w:t xml:space="preserve"> e</w:t>
      </w:r>
      <w:r w:rsidRPr="00145D92">
        <w:rPr>
          <w:rFonts w:ascii="Arial" w:hAnsi="Arial" w:cs="Arial"/>
          <w:bCs/>
          <w:sz w:val="21"/>
          <w:szCs w:val="21"/>
          <w:lang w:eastAsia="en-US"/>
        </w:rPr>
        <w:t xml:space="preserve"> sostanze e prodotti chimici (+25,2</w:t>
      </w:r>
      <w:r w:rsidRPr="000011E6">
        <w:rPr>
          <w:rFonts w:ascii="Arial" w:hAnsi="Arial" w:cs="Arial"/>
          <w:bCs/>
          <w:sz w:val="21"/>
          <w:szCs w:val="21"/>
          <w:lang w:eastAsia="en-US"/>
        </w:rPr>
        <w:t>%)</w:t>
      </w:r>
      <w:r w:rsidRPr="000011E6">
        <w:rPr>
          <w:rFonts w:ascii="Arial" w:hAnsi="Arial" w:cs="Arial"/>
          <w:bCs/>
          <w:color w:val="000000" w:themeColor="text1"/>
          <w:sz w:val="21"/>
          <w:szCs w:val="21"/>
          <w:lang w:eastAsia="en-US"/>
        </w:rPr>
        <w:t>.</w:t>
      </w:r>
      <w:r w:rsidRPr="00145D92">
        <w:rPr>
          <w:rFonts w:ascii="Arial" w:hAnsi="Arial" w:cs="Arial"/>
          <w:bCs/>
          <w:color w:val="000000" w:themeColor="text1"/>
          <w:sz w:val="21"/>
          <w:szCs w:val="21"/>
          <w:lang w:eastAsia="en-US"/>
        </w:rPr>
        <w:t xml:space="preserve"> Sono in </w:t>
      </w:r>
      <w:r>
        <w:rPr>
          <w:rFonts w:ascii="Arial" w:hAnsi="Arial" w:cs="Arial"/>
          <w:bCs/>
          <w:color w:val="000000" w:themeColor="text1"/>
          <w:sz w:val="21"/>
          <w:szCs w:val="21"/>
          <w:lang w:eastAsia="en-US"/>
        </w:rPr>
        <w:t>calo</w:t>
      </w:r>
      <w:r w:rsidRPr="00145D92">
        <w:rPr>
          <w:rFonts w:ascii="Arial" w:hAnsi="Arial" w:cs="Arial"/>
          <w:bCs/>
          <w:sz w:val="21"/>
          <w:szCs w:val="21"/>
          <w:lang w:eastAsia="en-US"/>
        </w:rPr>
        <w:t xml:space="preserve"> le vendite di autoveicoli (-1,7%).</w:t>
      </w:r>
    </w:p>
    <w:p w14:paraId="39423521" w14:textId="77777777" w:rsidR="00BE5EB4" w:rsidRPr="00145D92" w:rsidRDefault="00BE5EB4" w:rsidP="00AA0F72">
      <w:pPr>
        <w:numPr>
          <w:ilvl w:val="0"/>
          <w:numId w:val="22"/>
        </w:numPr>
        <w:tabs>
          <w:tab w:val="left" w:pos="426"/>
          <w:tab w:val="left" w:pos="1843"/>
        </w:tabs>
        <w:spacing w:after="60" w:line="230" w:lineRule="exact"/>
        <w:jc w:val="both"/>
        <w:rPr>
          <w:rFonts w:ascii="Arial" w:hAnsi="Arial" w:cs="Arial"/>
          <w:bCs/>
          <w:sz w:val="21"/>
          <w:szCs w:val="21"/>
          <w:lang w:eastAsia="en-US"/>
        </w:rPr>
      </w:pPr>
      <w:r w:rsidRPr="00145D92">
        <w:rPr>
          <w:rFonts w:ascii="Arial" w:hAnsi="Arial" w:cs="Arial"/>
          <w:bCs/>
          <w:sz w:val="21"/>
          <w:szCs w:val="21"/>
          <w:lang w:eastAsia="en-US"/>
        </w:rPr>
        <w:t xml:space="preserve">Su base annua, i paesi che forniscono i contributi maggiori all’incremento dell’export nazionale sono Stati Uniti (con un aumento del 38,8%), Germania (+18,6%), Francia (+19,0%), Spagna (+34,0%), Regno Unito (+35,3%) e Belgio (+32,2%). Diminuiscono le vendite verso Cina (-9,0%) e Svizzera (-3,4%). </w:t>
      </w:r>
    </w:p>
    <w:p w14:paraId="3BFD0A94" w14:textId="5AF13DEC" w:rsidR="00BE5EB4" w:rsidRPr="006E5CAF" w:rsidRDefault="00BE5EB4" w:rsidP="00AA0F72">
      <w:pPr>
        <w:numPr>
          <w:ilvl w:val="0"/>
          <w:numId w:val="22"/>
        </w:numPr>
        <w:tabs>
          <w:tab w:val="left" w:pos="426"/>
          <w:tab w:val="left" w:pos="1843"/>
        </w:tabs>
        <w:spacing w:after="60" w:line="230" w:lineRule="exact"/>
        <w:ind w:left="357" w:hanging="357"/>
        <w:jc w:val="both"/>
        <w:rPr>
          <w:rFonts w:ascii="Arial" w:hAnsi="Arial"/>
          <w:sz w:val="21"/>
          <w:szCs w:val="21"/>
        </w:rPr>
      </w:pPr>
      <w:r w:rsidRPr="006E5CAF">
        <w:rPr>
          <w:rFonts w:ascii="Arial" w:hAnsi="Arial" w:cs="Arial"/>
          <w:bCs/>
          <w:color w:val="000000" w:themeColor="text1"/>
          <w:sz w:val="21"/>
          <w:szCs w:val="21"/>
          <w:lang w:eastAsia="en-US"/>
        </w:rPr>
        <w:t xml:space="preserve">La stima del </w:t>
      </w:r>
      <w:r w:rsidRPr="006E5CAF">
        <w:rPr>
          <w:rFonts w:ascii="Arial" w:hAnsi="Arial" w:cs="Arial"/>
          <w:bCs/>
          <w:sz w:val="21"/>
          <w:szCs w:val="21"/>
          <w:lang w:eastAsia="en-US"/>
        </w:rPr>
        <w:t>saldo commerciale a</w:t>
      </w:r>
      <w:r w:rsidRPr="006E5CAF">
        <w:rPr>
          <w:rFonts w:ascii="Arial" w:hAnsi="Arial" w:cs="Arial"/>
          <w:bCs/>
          <w:color w:val="000000" w:themeColor="text1"/>
          <w:sz w:val="21"/>
          <w:szCs w:val="21"/>
          <w:lang w:eastAsia="en-US"/>
        </w:rPr>
        <w:t xml:space="preserve"> </w:t>
      </w:r>
      <w:r w:rsidRPr="006E5CAF">
        <w:rPr>
          <w:rFonts w:ascii="Arial" w:hAnsi="Arial" w:cs="Arial"/>
          <w:bCs/>
          <w:sz w:val="21"/>
          <w:szCs w:val="21"/>
          <w:lang w:eastAsia="en-US"/>
        </w:rPr>
        <w:t>gennaio 2022 è pari a -5.052 milioni di euro (era +1.584 milioni a gennaio 2021)</w:t>
      </w:r>
      <w:r w:rsidRPr="006E5CAF">
        <w:rPr>
          <w:rFonts w:ascii="Arial" w:hAnsi="Arial" w:cs="Arial"/>
          <w:sz w:val="21"/>
          <w:szCs w:val="21"/>
        </w:rPr>
        <w:t xml:space="preserve">. Il deficit energetico (-6.439 milioni) si amplia notevolmente rispetto a gennaio dello scorso anno </w:t>
      </w:r>
      <w:r w:rsidR="00AA0F72">
        <w:rPr>
          <w:rFonts w:ascii="Arial" w:hAnsi="Arial" w:cs="Arial"/>
          <w:sz w:val="21"/>
          <w:szCs w:val="21"/>
        </w:rPr>
        <w:t xml:space="preserve">             </w:t>
      </w:r>
      <w:r w:rsidRPr="006E5CAF">
        <w:rPr>
          <w:rFonts w:ascii="Arial" w:hAnsi="Arial" w:cs="Arial"/>
          <w:sz w:val="21"/>
          <w:szCs w:val="21"/>
        </w:rPr>
        <w:t>(-2.327 milioni). L’avanzo nell’interscambio di prodotti non energetici si riduce da 3.911 milioni per gennaio 2021 a 1.387 milioni per gennaio 2022.</w:t>
      </w:r>
    </w:p>
    <w:p w14:paraId="56BC3890" w14:textId="272A1C4E" w:rsidR="00AE49D5" w:rsidRPr="00BE5EB4" w:rsidRDefault="008322DD" w:rsidP="00AA0F72">
      <w:pPr>
        <w:numPr>
          <w:ilvl w:val="0"/>
          <w:numId w:val="22"/>
        </w:numPr>
        <w:tabs>
          <w:tab w:val="left" w:pos="426"/>
          <w:tab w:val="left" w:pos="1843"/>
        </w:tabs>
        <w:spacing w:before="80" w:after="60" w:line="230" w:lineRule="exact"/>
        <w:ind w:left="357" w:hanging="357"/>
        <w:jc w:val="both"/>
        <w:rPr>
          <w:rFonts w:ascii="Arial" w:hAnsi="Arial"/>
          <w:sz w:val="21"/>
          <w:szCs w:val="21"/>
        </w:rPr>
      </w:pPr>
      <w:r w:rsidRPr="004F13FA">
        <w:rPr>
          <w:noProof/>
          <w:highlight w:val="yellow"/>
        </w:rPr>
        <w:drawing>
          <wp:anchor distT="0" distB="0" distL="114300" distR="114300" simplePos="0" relativeHeight="251658240" behindDoc="0" locked="0" layoutInCell="1" allowOverlap="1" wp14:anchorId="325B255E" wp14:editId="25CC2B95">
            <wp:simplePos x="0" y="0"/>
            <wp:positionH relativeFrom="column">
              <wp:posOffset>13970</wp:posOffset>
            </wp:positionH>
            <wp:positionV relativeFrom="paragraph">
              <wp:posOffset>476250</wp:posOffset>
            </wp:positionV>
            <wp:extent cx="781050" cy="781050"/>
            <wp:effectExtent l="0" t="0" r="0" b="0"/>
            <wp:wrapNone/>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margin">
              <wp14:pctWidth>0</wp14:pctWidth>
            </wp14:sizeRelH>
            <wp14:sizeRelV relativeFrom="margin">
              <wp14:pctHeight>0</wp14:pctHeight>
            </wp14:sizeRelV>
          </wp:anchor>
        </w:drawing>
      </w:r>
      <w:r w:rsidR="00BE5EB4" w:rsidRPr="006E5CAF">
        <w:rPr>
          <w:rFonts w:ascii="Arial" w:hAnsi="Arial" w:cs="Arial"/>
          <w:bCs/>
          <w:color w:val="000000" w:themeColor="text1"/>
          <w:sz w:val="21"/>
          <w:szCs w:val="21"/>
          <w:lang w:eastAsia="en-US"/>
        </w:rPr>
        <w:t xml:space="preserve">Nel mese di gennaio 2022 i prezzi all’import crescono del 3,0% su base mensile e del 17,9% su base annua. </w:t>
      </w:r>
      <w:r w:rsidR="00BE5EB4" w:rsidRPr="006E5CAF">
        <w:rPr>
          <w:rFonts w:ascii="Arial" w:hAnsi="Arial" w:cs="Arial"/>
          <w:bCs/>
          <w:sz w:val="21"/>
          <w:szCs w:val="21"/>
          <w:lang w:eastAsia="en-US"/>
        </w:rPr>
        <w:t>Dai dati di gennaio 2022, gli indici dei prezzi all’import sono calcolati con il metodo del con</w:t>
      </w:r>
      <w:r w:rsidR="008C67F0">
        <w:rPr>
          <w:rFonts w:ascii="Arial" w:hAnsi="Arial" w:cs="Arial"/>
          <w:bCs/>
          <w:sz w:val="21"/>
          <w:szCs w:val="21"/>
          <w:lang w:eastAsia="en-US"/>
        </w:rPr>
        <w:t>ca</w:t>
      </w:r>
      <w:r w:rsidR="00BE5EB4" w:rsidRPr="006E5CAF">
        <w:rPr>
          <w:rFonts w:ascii="Arial" w:hAnsi="Arial" w:cs="Arial"/>
          <w:bCs/>
          <w:sz w:val="21"/>
          <w:szCs w:val="21"/>
          <w:lang w:eastAsia="en-US"/>
        </w:rPr>
        <w:t>tenamento annuale, utilizzando il mese di dicembre 2021 come base di calcolo; l’anno 2015 resta la base di riferimento</w:t>
      </w:r>
      <w:r w:rsidR="00BE5EB4" w:rsidRPr="006E5CAF">
        <w:rPr>
          <w:rFonts w:ascii="Arial" w:hAnsi="Arial" w:cs="Arial"/>
          <w:bCs/>
          <w:color w:val="000000" w:themeColor="text1"/>
          <w:sz w:val="21"/>
          <w:szCs w:val="21"/>
          <w:lang w:eastAsia="en-US"/>
        </w:rPr>
        <w:t>.</w:t>
      </w:r>
    </w:p>
    <w:p w14:paraId="15A23FBC" w14:textId="68ACDDD6" w:rsidR="00214291" w:rsidRPr="006E5CAF" w:rsidRDefault="00214291" w:rsidP="008322DD">
      <w:pPr>
        <w:tabs>
          <w:tab w:val="left" w:pos="426"/>
          <w:tab w:val="left" w:pos="1843"/>
        </w:tabs>
        <w:spacing w:before="80" w:after="100" w:line="230" w:lineRule="exact"/>
        <w:ind w:left="357"/>
        <w:jc w:val="both"/>
        <w:rPr>
          <w:rFonts w:ascii="Arial" w:hAnsi="Arial"/>
          <w:sz w:val="12"/>
          <w:szCs w:val="12"/>
          <w:highlight w:val="yellow"/>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6"/>
        <w:gridCol w:w="3290"/>
      </w:tblGrid>
      <w:tr w:rsidR="00F527AD" w:rsidRPr="002578CE" w14:paraId="78C8AE30" w14:textId="77777777" w:rsidTr="00053850">
        <w:trPr>
          <w:trHeight w:val="115"/>
        </w:trPr>
        <w:tc>
          <w:tcPr>
            <w:tcW w:w="6916" w:type="dxa"/>
            <w:vMerge w:val="restart"/>
            <w:tcBorders>
              <w:top w:val="nil"/>
              <w:left w:val="single" w:sz="4" w:space="0" w:color="FFFFFF"/>
              <w:right w:val="single" w:sz="48" w:space="0" w:color="FFFFFF"/>
            </w:tcBorders>
            <w:shd w:val="clear" w:color="auto" w:fill="D9D9D9"/>
          </w:tcPr>
          <w:p w14:paraId="232A7A30" w14:textId="1A148308" w:rsidR="00016974" w:rsidRDefault="005301CF" w:rsidP="00AA0F72">
            <w:pPr>
              <w:pStyle w:val="Paragrafobase"/>
              <w:spacing w:before="120" w:after="60" w:line="140" w:lineRule="atLeast"/>
              <w:rPr>
                <w:rFonts w:ascii="Arial" w:hAnsi="Arial" w:cs="Arial"/>
                <w:sz w:val="21"/>
                <w:szCs w:val="21"/>
              </w:rPr>
            </w:pPr>
            <w:r>
              <w:rPr>
                <w:noProof/>
              </w:rPr>
              <w:drawing>
                <wp:anchor distT="0" distB="0" distL="114300" distR="114300" simplePos="0" relativeHeight="251659264" behindDoc="0" locked="0" layoutInCell="1" allowOverlap="1" wp14:anchorId="613FC820" wp14:editId="66ED5D32">
                  <wp:simplePos x="0" y="0"/>
                  <wp:positionH relativeFrom="column">
                    <wp:posOffset>5989320</wp:posOffset>
                  </wp:positionH>
                  <wp:positionV relativeFrom="paragraph">
                    <wp:posOffset>44450</wp:posOffset>
                  </wp:positionV>
                  <wp:extent cx="657225" cy="638175"/>
                  <wp:effectExtent l="0" t="0" r="0" b="0"/>
                  <wp:wrapNone/>
                  <wp:docPr id="259"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anchor>
              </w:drawing>
            </w:r>
            <w:r w:rsidR="00F527AD" w:rsidRPr="002578CE">
              <w:rPr>
                <w:rFonts w:ascii="Arial" w:hAnsi="Arial" w:cs="Arial"/>
                <w:sz w:val="22"/>
                <w:szCs w:val="22"/>
              </w:rPr>
              <w:t xml:space="preserve">                 </w:t>
            </w:r>
            <w:r w:rsidR="00F527AD">
              <w:rPr>
                <w:rFonts w:ascii="Arial" w:hAnsi="Arial" w:cs="Arial"/>
                <w:sz w:val="22"/>
                <w:szCs w:val="22"/>
              </w:rPr>
              <w:t xml:space="preserve"> </w:t>
            </w:r>
            <w:r w:rsidR="00F527AD" w:rsidRPr="00AF6380">
              <w:rPr>
                <w:rFonts w:ascii="Calibri" w:hAnsi="Calibri" w:cs="Arial"/>
                <w:color w:val="E41C18"/>
                <w:sz w:val="56"/>
                <w:szCs w:val="56"/>
              </w:rPr>
              <w:t>Il commento</w:t>
            </w:r>
          </w:p>
          <w:p w14:paraId="21BC1F86" w14:textId="77777777" w:rsidR="00AA0F72" w:rsidRDefault="006C1749" w:rsidP="00B823F5">
            <w:pPr>
              <w:jc w:val="both"/>
              <w:rPr>
                <w:rFonts w:ascii="Arial" w:hAnsi="Arial" w:cs="Arial"/>
                <w:sz w:val="21"/>
                <w:szCs w:val="21"/>
              </w:rPr>
            </w:pPr>
            <w:r w:rsidRPr="00A57837">
              <w:rPr>
                <w:rFonts w:ascii="Arial" w:hAnsi="Arial" w:cs="Arial"/>
                <w:sz w:val="21"/>
                <w:szCs w:val="21"/>
              </w:rPr>
              <w:t xml:space="preserve">Dopo la battuta d’arresto di dicembre, a gennaio l’export </w:t>
            </w:r>
            <w:r w:rsidR="006E5CAF" w:rsidRPr="00A57837">
              <w:rPr>
                <w:rFonts w:ascii="Arial" w:hAnsi="Arial" w:cs="Arial"/>
                <w:sz w:val="21"/>
                <w:szCs w:val="21"/>
              </w:rPr>
              <w:t xml:space="preserve">segna un nuovo aumento </w:t>
            </w:r>
            <w:r w:rsidRPr="00A57837">
              <w:rPr>
                <w:rFonts w:ascii="Arial" w:hAnsi="Arial" w:cs="Arial"/>
                <w:sz w:val="21"/>
                <w:szCs w:val="21"/>
              </w:rPr>
              <w:t xml:space="preserve">su base mensile trainato </w:t>
            </w:r>
            <w:r w:rsidR="00BC763D" w:rsidRPr="00A57837">
              <w:rPr>
                <w:rFonts w:ascii="Arial" w:hAnsi="Arial" w:cs="Arial"/>
                <w:sz w:val="21"/>
                <w:szCs w:val="21"/>
              </w:rPr>
              <w:t>soprattutto</w:t>
            </w:r>
            <w:r w:rsidR="006E5CAF" w:rsidRPr="00A57837">
              <w:rPr>
                <w:rFonts w:ascii="Arial" w:hAnsi="Arial" w:cs="Arial"/>
                <w:sz w:val="21"/>
                <w:szCs w:val="21"/>
              </w:rPr>
              <w:t xml:space="preserve"> </w:t>
            </w:r>
            <w:r w:rsidRPr="00A57837">
              <w:rPr>
                <w:rFonts w:ascii="Arial" w:hAnsi="Arial" w:cs="Arial"/>
                <w:sz w:val="21"/>
                <w:szCs w:val="21"/>
              </w:rPr>
              <w:t xml:space="preserve">dalle vendite di beni strumentali e beni intermedi. </w:t>
            </w:r>
            <w:r w:rsidR="006E5CAF" w:rsidRPr="00A57837">
              <w:rPr>
                <w:rFonts w:ascii="Arial" w:hAnsi="Arial" w:cs="Arial"/>
                <w:sz w:val="21"/>
                <w:szCs w:val="21"/>
              </w:rPr>
              <w:t xml:space="preserve">Nella media degli ultimi tre mesi, la dinamica congiunturale è </w:t>
            </w:r>
            <w:r w:rsidR="00EE2851">
              <w:rPr>
                <w:rFonts w:ascii="Arial" w:hAnsi="Arial" w:cs="Arial"/>
                <w:sz w:val="21"/>
                <w:szCs w:val="21"/>
              </w:rPr>
              <w:t xml:space="preserve">molto </w:t>
            </w:r>
            <w:r w:rsidR="006E5CAF" w:rsidRPr="00A57837">
              <w:rPr>
                <w:rFonts w:ascii="Arial" w:hAnsi="Arial" w:cs="Arial"/>
                <w:sz w:val="21"/>
                <w:szCs w:val="21"/>
              </w:rPr>
              <w:t>positiva</w:t>
            </w:r>
            <w:r w:rsidR="00AE49D5">
              <w:rPr>
                <w:rFonts w:ascii="Arial" w:hAnsi="Arial" w:cs="Arial"/>
                <w:sz w:val="21"/>
                <w:szCs w:val="21"/>
              </w:rPr>
              <w:t>.</w:t>
            </w:r>
            <w:r w:rsidR="00AA0F72">
              <w:rPr>
                <w:rFonts w:ascii="Arial" w:hAnsi="Arial" w:cs="Arial"/>
                <w:sz w:val="21"/>
                <w:szCs w:val="21"/>
              </w:rPr>
              <w:t xml:space="preserve"> </w:t>
            </w:r>
          </w:p>
          <w:p w14:paraId="3E75F5EC" w14:textId="536B70C6" w:rsidR="00B823F5" w:rsidRDefault="006C1749" w:rsidP="00B823F5">
            <w:pPr>
              <w:jc w:val="both"/>
              <w:rPr>
                <w:rFonts w:ascii="Arial" w:hAnsi="Arial" w:cs="Arial"/>
                <w:sz w:val="21"/>
                <w:szCs w:val="21"/>
              </w:rPr>
            </w:pPr>
            <w:r w:rsidRPr="00A57837">
              <w:rPr>
                <w:rFonts w:ascii="Arial" w:hAnsi="Arial" w:cs="Arial"/>
                <w:sz w:val="21"/>
                <w:szCs w:val="21"/>
              </w:rPr>
              <w:t>Su base annua, la crescita dell’export</w:t>
            </w:r>
            <w:r w:rsidR="00BC763D" w:rsidRPr="00A57837">
              <w:rPr>
                <w:rFonts w:ascii="Arial" w:hAnsi="Arial" w:cs="Arial"/>
                <w:sz w:val="21"/>
                <w:szCs w:val="21"/>
              </w:rPr>
              <w:t xml:space="preserve"> – diffusa a tutti i settori</w:t>
            </w:r>
            <w:r w:rsidR="00A57837" w:rsidRPr="00A57837">
              <w:rPr>
                <w:rFonts w:ascii="Arial" w:hAnsi="Arial" w:cs="Arial"/>
                <w:sz w:val="21"/>
                <w:szCs w:val="21"/>
              </w:rPr>
              <w:t>,</w:t>
            </w:r>
            <w:r w:rsidR="00BC763D" w:rsidRPr="00A57837">
              <w:rPr>
                <w:rFonts w:ascii="Arial" w:hAnsi="Arial" w:cs="Arial"/>
                <w:sz w:val="21"/>
                <w:szCs w:val="21"/>
              </w:rPr>
              <w:t xml:space="preserve"> a eccezione degli autoveicoli</w:t>
            </w:r>
            <w:r w:rsidR="00A57837" w:rsidRPr="00A57837">
              <w:rPr>
                <w:rFonts w:ascii="Arial" w:hAnsi="Arial" w:cs="Arial"/>
                <w:sz w:val="21"/>
                <w:szCs w:val="21"/>
              </w:rPr>
              <w:t xml:space="preserve"> –</w:t>
            </w:r>
            <w:r w:rsidRPr="00A57837">
              <w:rPr>
                <w:rFonts w:ascii="Arial" w:hAnsi="Arial" w:cs="Arial"/>
                <w:sz w:val="21"/>
                <w:szCs w:val="21"/>
              </w:rPr>
              <w:t xml:space="preserve"> torna ad accelerare (+22,6%, da +16,2% di dicembre)</w:t>
            </w:r>
            <w:r w:rsidR="00A57837" w:rsidRPr="00A57837">
              <w:rPr>
                <w:rFonts w:ascii="Arial" w:hAnsi="Arial" w:cs="Arial"/>
                <w:sz w:val="21"/>
                <w:szCs w:val="21"/>
              </w:rPr>
              <w:t>,</w:t>
            </w:r>
            <w:r w:rsidRPr="00A57837">
              <w:rPr>
                <w:rFonts w:ascii="Arial" w:hAnsi="Arial" w:cs="Arial"/>
                <w:sz w:val="21"/>
                <w:szCs w:val="21"/>
              </w:rPr>
              <w:t xml:space="preserve"> </w:t>
            </w:r>
            <w:r w:rsidR="00BC763D" w:rsidRPr="00A57837">
              <w:rPr>
                <w:rFonts w:ascii="Arial" w:hAnsi="Arial" w:cs="Arial"/>
                <w:sz w:val="21"/>
                <w:szCs w:val="21"/>
              </w:rPr>
              <w:t>spinta in particolare dal commercio con i paesi Ue</w:t>
            </w:r>
            <w:r w:rsidRPr="00A57837">
              <w:rPr>
                <w:rFonts w:ascii="Arial" w:hAnsi="Arial" w:cs="Arial"/>
                <w:sz w:val="21"/>
                <w:szCs w:val="21"/>
              </w:rPr>
              <w:t xml:space="preserve">. </w:t>
            </w:r>
            <w:r w:rsidR="00AA0F72">
              <w:rPr>
                <w:rFonts w:ascii="Arial" w:hAnsi="Arial" w:cs="Arial"/>
                <w:sz w:val="21"/>
                <w:szCs w:val="21"/>
              </w:rPr>
              <w:t xml:space="preserve">Gli acquisti di gas naturale e petrolio </w:t>
            </w:r>
            <w:r w:rsidR="00526A99">
              <w:rPr>
                <w:rFonts w:ascii="Arial" w:hAnsi="Arial" w:cs="Arial"/>
                <w:sz w:val="21"/>
                <w:szCs w:val="21"/>
              </w:rPr>
              <w:t xml:space="preserve">greggio </w:t>
            </w:r>
            <w:r w:rsidR="00AA0F72">
              <w:rPr>
                <w:rFonts w:ascii="Arial" w:hAnsi="Arial" w:cs="Arial"/>
                <w:sz w:val="21"/>
                <w:szCs w:val="21"/>
              </w:rPr>
              <w:t>spiegano un quarto dell’aumento tendenziale dell’import.</w:t>
            </w:r>
            <w:bookmarkStart w:id="0" w:name="_GoBack"/>
            <w:bookmarkEnd w:id="0"/>
            <w:r w:rsidR="00AA0F72">
              <w:rPr>
                <w:rFonts w:ascii="Arial" w:hAnsi="Arial" w:cs="Arial"/>
                <w:sz w:val="21"/>
                <w:szCs w:val="21"/>
              </w:rPr>
              <w:t xml:space="preserve"> </w:t>
            </w:r>
            <w:r w:rsidR="00A57837" w:rsidRPr="00A57837">
              <w:rPr>
                <w:rFonts w:ascii="Arial" w:hAnsi="Arial" w:cs="Arial"/>
                <w:sz w:val="21"/>
                <w:szCs w:val="21"/>
              </w:rPr>
              <w:t xml:space="preserve">Si amplia notevolmente il deficit energetico ma il saldo nell’interscambio di prodotti non energetici è positivo, sebbene </w:t>
            </w:r>
            <w:r w:rsidR="00C541F7" w:rsidRPr="00A57837">
              <w:rPr>
                <w:rFonts w:ascii="Arial" w:hAnsi="Arial" w:cs="Arial"/>
                <w:sz w:val="21"/>
                <w:szCs w:val="21"/>
              </w:rPr>
              <w:t xml:space="preserve">meno ampio </w:t>
            </w:r>
            <w:r w:rsidR="00145D92" w:rsidRPr="00A57837">
              <w:rPr>
                <w:rFonts w:ascii="Arial" w:hAnsi="Arial" w:cs="Arial"/>
                <w:sz w:val="21"/>
                <w:szCs w:val="21"/>
              </w:rPr>
              <w:t xml:space="preserve">rispetto a gennaio </w:t>
            </w:r>
            <w:r w:rsidR="00A57837" w:rsidRPr="00A57837">
              <w:rPr>
                <w:rFonts w:ascii="Arial" w:hAnsi="Arial" w:cs="Arial"/>
                <w:sz w:val="21"/>
                <w:szCs w:val="21"/>
              </w:rPr>
              <w:t>dello scorso anno</w:t>
            </w:r>
            <w:r w:rsidR="00145D92" w:rsidRPr="00A57837">
              <w:rPr>
                <w:rFonts w:ascii="Arial" w:hAnsi="Arial" w:cs="Arial"/>
                <w:sz w:val="21"/>
                <w:szCs w:val="21"/>
              </w:rPr>
              <w:t>.</w:t>
            </w:r>
          </w:p>
          <w:p w14:paraId="082F83DB" w14:textId="1CC14B64" w:rsidR="00B0597C" w:rsidRPr="00C541F7" w:rsidRDefault="00A57837" w:rsidP="00B823F5">
            <w:pPr>
              <w:jc w:val="both"/>
              <w:rPr>
                <w:rFonts w:ascii="Arial" w:hAnsi="Arial"/>
                <w:kern w:val="28"/>
                <w:sz w:val="21"/>
                <w:szCs w:val="21"/>
                <w:lang w:eastAsia="en-US"/>
              </w:rPr>
            </w:pPr>
            <w:r w:rsidRPr="00A57837">
              <w:rPr>
                <w:rFonts w:ascii="Arial" w:hAnsi="Arial" w:cs="Arial"/>
                <w:sz w:val="21"/>
                <w:szCs w:val="21"/>
              </w:rPr>
              <w:t>I prezzi all’import continuano ad aumentare su base mensile e ad accelerare su base annua (+17,9%, da +15,6% di dicembre 2021), spinti principalmente dai rialzi dei prezzi di energia e beni intermedi</w:t>
            </w:r>
            <w:r w:rsidR="00AE49D5">
              <w:rPr>
                <w:rFonts w:ascii="Arial" w:hAnsi="Arial" w:cs="Arial"/>
                <w:sz w:val="21"/>
                <w:szCs w:val="21"/>
              </w:rPr>
              <w:t>.</w:t>
            </w:r>
            <w:r w:rsidRPr="00A57837">
              <w:rPr>
                <w:rFonts w:ascii="Arial" w:hAnsi="Arial" w:cs="Arial"/>
                <w:sz w:val="21"/>
                <w:szCs w:val="21"/>
              </w:rPr>
              <w:t xml:space="preserve"> </w:t>
            </w:r>
          </w:p>
        </w:tc>
        <w:tc>
          <w:tcPr>
            <w:tcW w:w="3290" w:type="dxa"/>
            <w:tcBorders>
              <w:top w:val="nil"/>
              <w:left w:val="single" w:sz="48" w:space="0" w:color="FFFFFF"/>
              <w:bottom w:val="single" w:sz="36" w:space="0" w:color="FFFFFF"/>
              <w:right w:val="single" w:sz="36" w:space="0" w:color="FFFFFF"/>
            </w:tcBorders>
            <w:shd w:val="clear" w:color="auto" w:fill="E31C18"/>
          </w:tcPr>
          <w:p w14:paraId="21E22E65" w14:textId="77777777" w:rsidR="00F527AD" w:rsidRPr="00AC2483" w:rsidRDefault="00F527AD" w:rsidP="00FB50EB">
            <w:pPr>
              <w:pStyle w:val="Paragrafobase"/>
              <w:spacing w:before="200" w:line="320" w:lineRule="exact"/>
              <w:ind w:left="176"/>
              <w:rPr>
                <w:rFonts w:ascii="Calibri" w:hAnsi="Calibri" w:cs="Arial"/>
                <w:b/>
                <w:color w:val="FFFFFF"/>
                <w:sz w:val="28"/>
                <w:szCs w:val="28"/>
              </w:rPr>
            </w:pPr>
            <w:r w:rsidRPr="00AC2483">
              <w:rPr>
                <w:rFonts w:ascii="Calibri" w:hAnsi="Calibri" w:cs="Arial"/>
                <w:b/>
                <w:color w:val="FFFFFF"/>
                <w:sz w:val="28"/>
                <w:szCs w:val="28"/>
              </w:rPr>
              <w:t>PROSSIMA</w:t>
            </w:r>
          </w:p>
          <w:p w14:paraId="7D1A9741" w14:textId="77777777" w:rsidR="00F527AD" w:rsidRDefault="00F527AD" w:rsidP="00FB50EB">
            <w:pPr>
              <w:pStyle w:val="Paragrafobase"/>
              <w:spacing w:line="320" w:lineRule="exact"/>
              <w:ind w:left="175"/>
              <w:rPr>
                <w:rFonts w:ascii="Calibri" w:hAnsi="Calibri" w:cs="Arial"/>
                <w:b/>
                <w:color w:val="FFFFFF"/>
                <w:sz w:val="28"/>
                <w:szCs w:val="28"/>
              </w:rPr>
            </w:pPr>
            <w:r w:rsidRPr="00AC2483">
              <w:rPr>
                <w:rFonts w:ascii="Calibri" w:hAnsi="Calibri" w:cs="Arial"/>
                <w:b/>
                <w:color w:val="FFFFFF"/>
                <w:sz w:val="28"/>
                <w:szCs w:val="28"/>
              </w:rPr>
              <w:t>DIFFUSIONE</w:t>
            </w:r>
          </w:p>
          <w:p w14:paraId="00298C28" w14:textId="77777777" w:rsidR="00F527AD" w:rsidRPr="00C32401" w:rsidRDefault="00F527AD" w:rsidP="00FB50EB">
            <w:pPr>
              <w:pStyle w:val="Paragrafobase"/>
              <w:spacing w:line="320" w:lineRule="exact"/>
              <w:ind w:left="175"/>
              <w:rPr>
                <w:rStyle w:val="Collegamentoipertestuale"/>
                <w:rFonts w:ascii="Arial" w:hAnsi="Arial" w:cs="Arial"/>
                <w:color w:val="FFFFFF"/>
                <w:sz w:val="20"/>
                <w:szCs w:val="20"/>
              </w:rPr>
            </w:pPr>
          </w:p>
          <w:p w14:paraId="54F2919A" w14:textId="3EAA1BA9" w:rsidR="00F527AD" w:rsidRPr="002578CE" w:rsidRDefault="00601954" w:rsidP="00601954">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20</w:t>
            </w:r>
            <w:r w:rsidR="00CB7383">
              <w:rPr>
                <w:rFonts w:ascii="Arial Narrow" w:hAnsi="Arial Narrow" w:cs="Arial"/>
                <w:color w:val="FFFFFF"/>
                <w:sz w:val="22"/>
                <w:szCs w:val="22"/>
              </w:rPr>
              <w:t xml:space="preserve"> </w:t>
            </w:r>
            <w:r>
              <w:rPr>
                <w:rFonts w:ascii="Arial Narrow" w:hAnsi="Arial Narrow" w:cs="Arial"/>
                <w:color w:val="FFFFFF"/>
                <w:sz w:val="22"/>
                <w:szCs w:val="22"/>
              </w:rPr>
              <w:t>Aprile</w:t>
            </w:r>
            <w:r w:rsidR="00A45FC3">
              <w:rPr>
                <w:rFonts w:ascii="Arial Narrow" w:hAnsi="Arial Narrow" w:cs="Arial"/>
                <w:color w:val="FFFFFF"/>
                <w:sz w:val="22"/>
                <w:szCs w:val="22"/>
              </w:rPr>
              <w:t xml:space="preserve"> </w:t>
            </w:r>
            <w:r w:rsidR="009C7615">
              <w:rPr>
                <w:rFonts w:ascii="Arial Narrow" w:hAnsi="Arial Narrow" w:cs="Arial"/>
                <w:color w:val="FFFFFF"/>
                <w:sz w:val="22"/>
                <w:szCs w:val="22"/>
              </w:rPr>
              <w:t>202</w:t>
            </w:r>
            <w:r w:rsidR="00CB7383">
              <w:rPr>
                <w:rFonts w:ascii="Arial Narrow" w:hAnsi="Arial Narrow" w:cs="Arial"/>
                <w:color w:val="FFFFFF"/>
                <w:sz w:val="22"/>
                <w:szCs w:val="22"/>
              </w:rPr>
              <w:t>2</w:t>
            </w:r>
          </w:p>
        </w:tc>
      </w:tr>
      <w:tr w:rsidR="00F527AD" w:rsidRPr="002578CE" w14:paraId="75B7B8EB" w14:textId="77777777" w:rsidTr="00053850">
        <w:trPr>
          <w:trHeight w:val="115"/>
        </w:trPr>
        <w:tc>
          <w:tcPr>
            <w:tcW w:w="6916" w:type="dxa"/>
            <w:vMerge/>
            <w:tcBorders>
              <w:left w:val="single" w:sz="4" w:space="0" w:color="FFFFFF"/>
              <w:right w:val="single" w:sz="48" w:space="0" w:color="FFFFFF"/>
            </w:tcBorders>
            <w:shd w:val="clear" w:color="auto" w:fill="D9D9D9"/>
          </w:tcPr>
          <w:p w14:paraId="45CF6F95"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auto"/>
          </w:tcPr>
          <w:p w14:paraId="41F8829E" w14:textId="77777777" w:rsidR="00F527AD" w:rsidRPr="002578CE" w:rsidRDefault="005301CF" w:rsidP="0056309F">
            <w:pPr>
              <w:pStyle w:val="Paragrafobase"/>
              <w:spacing w:before="120" w:line="240" w:lineRule="exact"/>
              <w:rPr>
                <w:rFonts w:ascii="Arial" w:hAnsi="Arial" w:cs="Arial"/>
                <w:sz w:val="21"/>
                <w:szCs w:val="21"/>
              </w:rPr>
            </w:pPr>
            <w:r>
              <w:rPr>
                <w:rFonts w:ascii="Arial" w:hAnsi="Arial" w:cs="Arial"/>
                <w:noProof/>
                <w:sz w:val="21"/>
                <w:szCs w:val="21"/>
              </w:rPr>
              <w:drawing>
                <wp:anchor distT="0" distB="0" distL="114300" distR="114300" simplePos="0" relativeHeight="251657216" behindDoc="0" locked="0" layoutInCell="1" allowOverlap="1" wp14:anchorId="3B1D44BF" wp14:editId="6CE31758">
                  <wp:simplePos x="0" y="0"/>
                  <wp:positionH relativeFrom="column">
                    <wp:posOffset>1497330</wp:posOffset>
                  </wp:positionH>
                  <wp:positionV relativeFrom="paragraph">
                    <wp:posOffset>49530</wp:posOffset>
                  </wp:positionV>
                  <wp:extent cx="647700" cy="628650"/>
                  <wp:effectExtent l="0" t="0" r="0" b="0"/>
                  <wp:wrapNone/>
                  <wp:docPr id="258"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c>
      </w:tr>
      <w:tr w:rsidR="00F527AD" w:rsidRPr="00526A99" w14:paraId="7DA5D134" w14:textId="77777777" w:rsidTr="00053850">
        <w:trPr>
          <w:trHeight w:val="115"/>
        </w:trPr>
        <w:tc>
          <w:tcPr>
            <w:tcW w:w="6916" w:type="dxa"/>
            <w:vMerge/>
            <w:tcBorders>
              <w:left w:val="single" w:sz="4" w:space="0" w:color="FFFFFF"/>
              <w:bottom w:val="nil"/>
              <w:right w:val="single" w:sz="48" w:space="0" w:color="FFFFFF"/>
            </w:tcBorders>
            <w:shd w:val="clear" w:color="auto" w:fill="D9D9D9"/>
          </w:tcPr>
          <w:p w14:paraId="243E0130" w14:textId="77777777" w:rsidR="00F527AD" w:rsidRPr="002578CE" w:rsidRDefault="00F527AD" w:rsidP="00FB50EB">
            <w:pPr>
              <w:tabs>
                <w:tab w:val="left" w:pos="284"/>
                <w:tab w:val="left" w:pos="709"/>
              </w:tabs>
              <w:spacing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14:paraId="79C064FA" w14:textId="7DC2D3D3" w:rsidR="00F527AD" w:rsidRPr="00734199" w:rsidRDefault="00F527AD" w:rsidP="00FB50EB">
            <w:pPr>
              <w:pStyle w:val="Paragrafobase"/>
              <w:spacing w:before="160" w:line="320" w:lineRule="exact"/>
              <w:ind w:left="175"/>
              <w:rPr>
                <w:rFonts w:ascii="Calibri" w:hAnsi="Calibri" w:cs="Arial"/>
                <w:b/>
                <w:color w:val="FFFFFF"/>
                <w:sz w:val="28"/>
                <w:szCs w:val="28"/>
                <w:lang w:val="en-GB"/>
              </w:rPr>
            </w:pPr>
            <w:r w:rsidRPr="00734199">
              <w:rPr>
                <w:rFonts w:ascii="Calibri" w:hAnsi="Calibri" w:cs="Arial"/>
                <w:b/>
                <w:color w:val="FFFFFF"/>
                <w:sz w:val="28"/>
                <w:szCs w:val="28"/>
                <w:lang w:val="en-GB"/>
              </w:rPr>
              <w:t>Link utili</w:t>
            </w:r>
          </w:p>
          <w:p w14:paraId="36DE46D0" w14:textId="77777777" w:rsidR="000876D8" w:rsidRPr="00734199" w:rsidRDefault="001537CE" w:rsidP="000876D8">
            <w:pPr>
              <w:pStyle w:val="Paragrafobase"/>
              <w:spacing w:before="120" w:line="240" w:lineRule="exact"/>
              <w:ind w:left="176"/>
              <w:rPr>
                <w:rStyle w:val="Collegamentoipertestuale"/>
                <w:rFonts w:ascii="Arial Narrow" w:hAnsi="Arial Narrow" w:cs="Arial"/>
                <w:color w:val="FFFFFF"/>
                <w:sz w:val="22"/>
                <w:szCs w:val="22"/>
                <w:lang w:val="en-GB"/>
              </w:rPr>
            </w:pPr>
            <w:hyperlink r:id="rId17" w:history="1">
              <w:r w:rsidR="000876D8" w:rsidRPr="00734199">
                <w:rPr>
                  <w:rStyle w:val="Collegamentoipertestuale"/>
                  <w:rFonts w:ascii="Arial Narrow" w:hAnsi="Arial Narrow" w:cs="Arial"/>
                  <w:color w:val="FFFFFF"/>
                  <w:sz w:val="22"/>
                  <w:szCs w:val="22"/>
                  <w:lang w:val="en-GB"/>
                </w:rPr>
                <w:t>http://dati.istat.it/</w:t>
              </w:r>
            </w:hyperlink>
          </w:p>
          <w:p w14:paraId="084F61B9" w14:textId="77777777" w:rsidR="000876D8" w:rsidRPr="00AF6380" w:rsidRDefault="001537CE" w:rsidP="000876D8">
            <w:pPr>
              <w:pStyle w:val="Paragrafobase"/>
              <w:spacing w:before="120" w:line="240" w:lineRule="exact"/>
              <w:ind w:left="175"/>
              <w:rPr>
                <w:rStyle w:val="Collegamentoipertestuale"/>
                <w:rFonts w:ascii="Arial Narrow" w:hAnsi="Arial Narrow" w:cs="Arial"/>
                <w:color w:val="FFFFFF"/>
                <w:sz w:val="22"/>
                <w:szCs w:val="22"/>
                <w:lang w:val="en-US"/>
              </w:rPr>
            </w:pPr>
            <w:hyperlink r:id="rId18" w:history="1">
              <w:r w:rsidR="000876D8" w:rsidRPr="00AF6380">
                <w:rPr>
                  <w:rStyle w:val="Collegamentoipertestuale"/>
                  <w:rFonts w:ascii="Arial Narrow" w:hAnsi="Arial Narrow" w:cs="Arial"/>
                  <w:color w:val="FFFFFF"/>
                  <w:sz w:val="22"/>
                  <w:szCs w:val="22"/>
                  <w:lang w:val="en-US"/>
                </w:rPr>
                <w:t>http://www.istat.it/it/congiuntura</w:t>
              </w:r>
            </w:hyperlink>
          </w:p>
          <w:p w14:paraId="3DD3B3CF" w14:textId="6864A69C" w:rsidR="00B94169" w:rsidRPr="001E50FE" w:rsidRDefault="001537CE" w:rsidP="000876D8">
            <w:pPr>
              <w:pStyle w:val="Paragrafobase"/>
              <w:spacing w:before="120" w:line="240" w:lineRule="exact"/>
              <w:ind w:left="176"/>
              <w:rPr>
                <w:rFonts w:ascii="Arial" w:hAnsi="Arial" w:cs="Arial"/>
                <w:color w:val="FFFFFF"/>
                <w:sz w:val="20"/>
                <w:szCs w:val="20"/>
                <w:u w:val="single"/>
                <w:lang w:val="en-US"/>
              </w:rPr>
            </w:pPr>
            <w:hyperlink r:id="rId19" w:history="1">
              <w:r w:rsidR="000876D8" w:rsidRPr="00AF6380">
                <w:rPr>
                  <w:rStyle w:val="Collegamentoipertestuale"/>
                  <w:rFonts w:ascii="Arial Narrow" w:hAnsi="Arial Narrow" w:cs="Arial"/>
                  <w:color w:val="FFFFFF"/>
                  <w:sz w:val="22"/>
                  <w:szCs w:val="22"/>
                  <w:lang w:val="en-US"/>
                </w:rPr>
                <w:t>https://www.coeweb.istat.it</w:t>
              </w:r>
            </w:hyperlink>
          </w:p>
        </w:tc>
      </w:tr>
    </w:tbl>
    <w:p w14:paraId="6381716D" w14:textId="64BA7DED" w:rsidR="00787294" w:rsidRPr="00734199" w:rsidRDefault="00833A77" w:rsidP="00DC76B3">
      <w:pPr>
        <w:tabs>
          <w:tab w:val="left" w:pos="284"/>
        </w:tabs>
        <w:rPr>
          <w:rFonts w:ascii="Arial Narrow" w:hAnsi="Arial Narrow" w:cs="Arial"/>
          <w:color w:val="5F5F5F"/>
          <w:sz w:val="20"/>
        </w:rPr>
      </w:pPr>
      <w:r w:rsidRPr="007939D9">
        <w:rPr>
          <w:rFonts w:ascii="Arial Narrow" w:hAnsi="Arial Narrow" w:cs="Arial"/>
          <w:b/>
          <w:color w:val="E42618"/>
          <w:sz w:val="22"/>
          <w:szCs w:val="22"/>
        </w:rPr>
        <w:lastRenderedPageBreak/>
        <w:t xml:space="preserve">FIGURA </w:t>
      </w:r>
      <w:r w:rsidR="00BE55AA">
        <w:rPr>
          <w:rFonts w:ascii="Arial Narrow" w:hAnsi="Arial Narrow" w:cs="Arial"/>
          <w:b/>
          <w:color w:val="E42618"/>
          <w:sz w:val="22"/>
          <w:szCs w:val="22"/>
        </w:rPr>
        <w:t>1</w:t>
      </w:r>
      <w:r w:rsidRPr="007939D9">
        <w:rPr>
          <w:rFonts w:ascii="Arial Narrow" w:hAnsi="Arial Narrow" w:cs="Arial"/>
          <w:b/>
          <w:color w:val="E42618"/>
          <w:sz w:val="22"/>
          <w:szCs w:val="22"/>
        </w:rPr>
        <w:t>.</w:t>
      </w:r>
      <w:r w:rsidRPr="007939D9">
        <w:rPr>
          <w:sz w:val="22"/>
          <w:szCs w:val="22"/>
        </w:rPr>
        <w:t xml:space="preserve"> </w:t>
      </w:r>
      <w:r w:rsidR="00787294" w:rsidRPr="00787294">
        <w:rPr>
          <w:rFonts w:ascii="Arial Narrow" w:hAnsi="Arial Narrow" w:cs="Arial"/>
          <w:b/>
          <w:caps/>
          <w:color w:val="5F5F5F"/>
          <w:sz w:val="22"/>
          <w:szCs w:val="22"/>
        </w:rPr>
        <w:t>FLUSSI COMMERCIALI CON L’ESTERO</w:t>
      </w:r>
      <w:r w:rsidR="00787294">
        <w:rPr>
          <w:sz w:val="22"/>
          <w:szCs w:val="22"/>
        </w:rPr>
        <w:t xml:space="preserve"> </w:t>
      </w:r>
      <w:r w:rsidR="00FB495E" w:rsidRPr="00734199">
        <w:rPr>
          <w:rFonts w:ascii="Arial Narrow" w:hAnsi="Arial Narrow" w:cs="Arial"/>
          <w:color w:val="5F5F5F"/>
          <w:sz w:val="20"/>
        </w:rPr>
        <w:t>(a)</w:t>
      </w:r>
    </w:p>
    <w:p w14:paraId="77E94247" w14:textId="0D1DB0B7" w:rsidR="00833A77" w:rsidRPr="0071152F" w:rsidRDefault="00787294" w:rsidP="00734199">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004D5E96" w:rsidRPr="0071152F">
        <w:rPr>
          <w:rFonts w:ascii="Arial Narrow" w:hAnsi="Arial Narrow" w:cs="Arial"/>
          <w:color w:val="5F5F5F"/>
          <w:sz w:val="20"/>
        </w:rPr>
        <w:t xml:space="preserve"> </w:t>
      </w:r>
      <w:r w:rsidRPr="0071152F">
        <w:rPr>
          <w:rFonts w:ascii="Arial Narrow" w:hAnsi="Arial Narrow" w:cs="Arial"/>
          <w:color w:val="5F5F5F"/>
          <w:sz w:val="20"/>
        </w:rPr>
        <w:t xml:space="preserve">- </w:t>
      </w:r>
      <w:r w:rsidR="00060073">
        <w:rPr>
          <w:rFonts w:ascii="Arial Narrow" w:hAnsi="Arial Narrow" w:cs="Arial"/>
          <w:color w:val="5F5F5F"/>
          <w:sz w:val="20"/>
        </w:rPr>
        <w:t>gennaio</w:t>
      </w:r>
      <w:r w:rsidR="00C60507"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Pr="0071152F">
        <w:rPr>
          <w:rFonts w:ascii="Arial Narrow" w:hAnsi="Arial Narrow" w:cs="Arial"/>
          <w:color w:val="5F5F5F"/>
          <w:sz w:val="20"/>
        </w:rPr>
        <w:t xml:space="preserve">, </w:t>
      </w:r>
      <w:r w:rsidR="000B7E0D" w:rsidRPr="0071152F">
        <w:rPr>
          <w:rFonts w:ascii="Arial Narrow" w:hAnsi="Arial Narrow" w:cs="Arial"/>
          <w:color w:val="5F5F5F"/>
          <w:sz w:val="20"/>
        </w:rPr>
        <w:t xml:space="preserve">dati mensili e medie mobili a tre mesi, </w:t>
      </w:r>
      <w:r w:rsidR="00D36CA1" w:rsidRPr="0071152F">
        <w:rPr>
          <w:rFonts w:ascii="Arial Narrow" w:hAnsi="Arial Narrow" w:cs="Arial"/>
          <w:color w:val="5F5F5F"/>
          <w:sz w:val="20"/>
        </w:rPr>
        <w:t>dati destagionalizzati e saldi in</w:t>
      </w:r>
      <w:r w:rsidR="00516EEC" w:rsidRPr="0071152F">
        <w:rPr>
          <w:rFonts w:ascii="Arial Narrow" w:hAnsi="Arial Narrow" w:cs="Arial"/>
          <w:color w:val="5F5F5F"/>
          <w:sz w:val="20"/>
        </w:rPr>
        <w:t xml:space="preserve"> miliardi</w:t>
      </w:r>
      <w:r w:rsidRPr="0071152F">
        <w:rPr>
          <w:rFonts w:ascii="Arial Narrow" w:hAnsi="Arial Narrow" w:cs="Arial"/>
          <w:color w:val="5F5F5F"/>
          <w:sz w:val="20"/>
        </w:rPr>
        <w:t xml:space="preserve"> di eur</w:t>
      </w:r>
      <w:r w:rsidR="00D36CA1" w:rsidRPr="0071152F">
        <w:rPr>
          <w:rFonts w:ascii="Arial Narrow" w:hAnsi="Arial Narrow" w:cs="Arial"/>
          <w:color w:val="5F5F5F"/>
          <w:sz w:val="20"/>
        </w:rPr>
        <w:t>o</w:t>
      </w:r>
    </w:p>
    <w:p w14:paraId="4AA09C46" w14:textId="61ED2BE6" w:rsidR="003D65F6" w:rsidRDefault="008F7887" w:rsidP="007939D9">
      <w:pPr>
        <w:tabs>
          <w:tab w:val="left" w:pos="284"/>
        </w:tabs>
        <w:spacing w:after="120"/>
        <w:rPr>
          <w:rFonts w:ascii="Arial Narrow" w:hAnsi="Arial Narrow" w:cs="Arial"/>
          <w:color w:val="5F5F5F"/>
        </w:rPr>
      </w:pPr>
      <w:r>
        <w:rPr>
          <w:noProof/>
        </w:rPr>
        <w:drawing>
          <wp:inline distT="0" distB="0" distL="0" distR="0" wp14:anchorId="62B9FEEE" wp14:editId="215BAAED">
            <wp:extent cx="6480000" cy="3240000"/>
            <wp:effectExtent l="0" t="0" r="0"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899C57" w14:textId="403414AD" w:rsidR="00CE5EFC" w:rsidRPr="00BE5EB4" w:rsidRDefault="00CE5EFC" w:rsidP="00CE5EFC">
      <w:pPr>
        <w:jc w:val="both"/>
        <w:rPr>
          <w:rFonts w:ascii="Arial Narrow" w:hAnsi="Arial Narrow" w:cs="Arial"/>
          <w:sz w:val="16"/>
          <w:szCs w:val="16"/>
        </w:rPr>
      </w:pPr>
      <w:r w:rsidRPr="00BE5EB4">
        <w:rPr>
          <w:rFonts w:ascii="Arial Narrow" w:hAnsi="Arial Narrow" w:cs="Arial"/>
          <w:sz w:val="16"/>
          <w:szCs w:val="16"/>
        </w:rPr>
        <w:t>(a) Le serie di import saranno rettificate a seguito della revisione in corso dei dati grezzi di</w:t>
      </w:r>
      <w:r w:rsidR="005B4055" w:rsidRPr="00BE5EB4">
        <w:rPr>
          <w:rFonts w:ascii="Arial Narrow" w:hAnsi="Arial Narrow" w:cs="Arial"/>
          <w:sz w:val="16"/>
          <w:szCs w:val="16"/>
        </w:rPr>
        <w:t xml:space="preserve"> </w:t>
      </w:r>
      <w:r w:rsidRPr="00BE5EB4">
        <w:rPr>
          <w:rFonts w:ascii="Arial Narrow" w:hAnsi="Arial Narrow" w:cs="Arial"/>
          <w:sz w:val="16"/>
          <w:szCs w:val="16"/>
        </w:rPr>
        <w:t>import del gas naturale allo stato gassoso</w:t>
      </w:r>
      <w:r w:rsidR="00BF6660">
        <w:rPr>
          <w:rFonts w:ascii="Arial Narrow" w:hAnsi="Arial Narrow" w:cs="Arial"/>
          <w:sz w:val="16"/>
          <w:szCs w:val="16"/>
        </w:rPr>
        <w:t xml:space="preserve"> </w:t>
      </w:r>
      <w:r w:rsidR="00BF6660" w:rsidRPr="00EE2851">
        <w:rPr>
          <w:rFonts w:ascii="Arial Narrow" w:hAnsi="Arial Narrow" w:cs="Arial"/>
          <w:sz w:val="16"/>
          <w:szCs w:val="16"/>
        </w:rPr>
        <w:t>per i mesi da luglio a dicembre 2021</w:t>
      </w:r>
      <w:r w:rsidRPr="00BE5EB4">
        <w:rPr>
          <w:rFonts w:ascii="Arial Narrow" w:hAnsi="Arial Narrow" w:cs="Arial"/>
          <w:sz w:val="16"/>
          <w:szCs w:val="16"/>
        </w:rPr>
        <w:t xml:space="preserve">. </w:t>
      </w:r>
    </w:p>
    <w:p w14:paraId="22C73B88" w14:textId="15D0E6B9" w:rsidR="00FB495E" w:rsidRDefault="00FB495E" w:rsidP="00D36CA1">
      <w:pPr>
        <w:rPr>
          <w:rFonts w:ascii="Arial Narrow" w:hAnsi="Arial Narrow" w:cs="Arial"/>
          <w:b/>
          <w:color w:val="E42618"/>
          <w:sz w:val="20"/>
          <w:szCs w:val="20"/>
        </w:rPr>
      </w:pPr>
    </w:p>
    <w:p w14:paraId="0A3016B6" w14:textId="4794D1D3" w:rsidR="00734199" w:rsidRDefault="00734199" w:rsidP="00D36CA1">
      <w:pPr>
        <w:rPr>
          <w:rFonts w:ascii="Arial Narrow" w:hAnsi="Arial Narrow" w:cs="Arial"/>
          <w:b/>
          <w:color w:val="E42618"/>
          <w:sz w:val="20"/>
          <w:szCs w:val="20"/>
        </w:rPr>
      </w:pPr>
    </w:p>
    <w:p w14:paraId="33425ADA" w14:textId="77777777" w:rsidR="004454D1" w:rsidRPr="00615A28" w:rsidRDefault="004454D1" w:rsidP="00D36CA1">
      <w:pPr>
        <w:rPr>
          <w:rFonts w:ascii="Arial Narrow" w:hAnsi="Arial Narrow" w:cs="Arial"/>
          <w:b/>
          <w:color w:val="E42618"/>
          <w:sz w:val="20"/>
          <w:szCs w:val="20"/>
        </w:rPr>
      </w:pPr>
    </w:p>
    <w:p w14:paraId="7683599A" w14:textId="048C402E" w:rsidR="00833A77" w:rsidRPr="00734199" w:rsidRDefault="00F00744" w:rsidP="00D36CA1">
      <w:pPr>
        <w:rPr>
          <w:rFonts w:ascii="Arial Narrow" w:hAnsi="Arial Narrow" w:cs="Arial"/>
          <w:color w:val="5F5F5F"/>
          <w:sz w:val="20"/>
        </w:rPr>
      </w:pPr>
      <w:r w:rsidRPr="007939D9">
        <w:rPr>
          <w:rFonts w:ascii="Arial Narrow" w:hAnsi="Arial Narrow" w:cs="Arial"/>
          <w:b/>
          <w:color w:val="E42618"/>
          <w:sz w:val="22"/>
          <w:szCs w:val="22"/>
        </w:rPr>
        <w:t xml:space="preserve">FIGURA </w:t>
      </w:r>
      <w:r>
        <w:rPr>
          <w:rFonts w:ascii="Arial Narrow" w:hAnsi="Arial Narrow" w:cs="Arial"/>
          <w:b/>
          <w:color w:val="E42618"/>
          <w:sz w:val="22"/>
          <w:szCs w:val="22"/>
        </w:rPr>
        <w:t>2</w:t>
      </w:r>
      <w:r w:rsidRPr="007939D9">
        <w:rPr>
          <w:rFonts w:ascii="Arial Narrow" w:hAnsi="Arial Narrow" w:cs="Arial"/>
          <w:b/>
          <w:color w:val="E42618"/>
          <w:sz w:val="22"/>
          <w:szCs w:val="22"/>
        </w:rPr>
        <w:t>.</w:t>
      </w:r>
      <w:r w:rsidR="00D36CA1">
        <w:rPr>
          <w:rFonts w:ascii="Arial Narrow" w:hAnsi="Arial Narrow" w:cs="Arial"/>
          <w:b/>
          <w:color w:val="E42618"/>
          <w:sz w:val="22"/>
          <w:szCs w:val="22"/>
        </w:rPr>
        <w:t xml:space="preserve"> </w:t>
      </w:r>
      <w:r w:rsidR="00605103" w:rsidRPr="00D36CA1">
        <w:rPr>
          <w:rFonts w:ascii="Arial Narrow" w:hAnsi="Arial Narrow" w:cs="Arial"/>
          <w:b/>
          <w:caps/>
          <w:color w:val="5F5F5F"/>
          <w:sz w:val="22"/>
          <w:szCs w:val="22"/>
        </w:rPr>
        <w:t>ESPORTAZIO</w:t>
      </w:r>
      <w:r w:rsidR="00605103">
        <w:rPr>
          <w:rFonts w:ascii="Arial Narrow" w:hAnsi="Arial Narrow" w:cs="Arial"/>
          <w:b/>
          <w:caps/>
          <w:color w:val="5F5F5F"/>
          <w:sz w:val="22"/>
          <w:szCs w:val="22"/>
        </w:rPr>
        <w:t xml:space="preserve">NI E IMPORTAZIONI </w:t>
      </w:r>
      <w:r w:rsidR="008014ED" w:rsidRPr="007C052D">
        <w:rPr>
          <w:rFonts w:ascii="Arial Narrow" w:hAnsi="Arial Narrow" w:cs="Arial"/>
          <w:b/>
          <w:caps/>
          <w:color w:val="5F5F5F"/>
          <w:sz w:val="22"/>
          <w:szCs w:val="22"/>
        </w:rPr>
        <w:t>CON L’</w:t>
      </w:r>
      <w:r w:rsidR="00D36CA1" w:rsidRPr="007C052D">
        <w:rPr>
          <w:rFonts w:ascii="Arial Narrow" w:hAnsi="Arial Narrow" w:cs="Arial"/>
          <w:b/>
          <w:caps/>
          <w:color w:val="5F5F5F"/>
          <w:sz w:val="22"/>
          <w:szCs w:val="22"/>
        </w:rPr>
        <w:t>AREA Ue</w:t>
      </w:r>
      <w:r w:rsidR="00E56E72" w:rsidRPr="007C052D">
        <w:rPr>
          <w:rFonts w:ascii="Arial Narrow" w:hAnsi="Arial Narrow" w:cs="Arial"/>
          <w:b/>
          <w:caps/>
          <w:color w:val="5F5F5F"/>
          <w:sz w:val="22"/>
          <w:szCs w:val="22"/>
        </w:rPr>
        <w:t>27</w:t>
      </w:r>
    </w:p>
    <w:p w14:paraId="281154EB" w14:textId="287044B9" w:rsidR="00516EEC" w:rsidRPr="0071152F" w:rsidRDefault="008D7D7F" w:rsidP="006448AE">
      <w:pPr>
        <w:tabs>
          <w:tab w:val="left" w:pos="284"/>
        </w:tabs>
        <w:spacing w:after="60"/>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 </w:t>
      </w:r>
      <w:r w:rsidR="00060073">
        <w:rPr>
          <w:rFonts w:ascii="Arial Narrow" w:hAnsi="Arial Narrow" w:cs="Arial"/>
          <w:color w:val="5F5F5F"/>
          <w:sz w:val="20"/>
        </w:rPr>
        <w:t>gennaio</w:t>
      </w:r>
      <w:r w:rsidR="003A1781"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516EEC" w:rsidRPr="0071152F">
        <w:rPr>
          <w:rFonts w:ascii="Arial Narrow" w:hAnsi="Arial Narrow" w:cs="Arial"/>
          <w:color w:val="5F5F5F"/>
          <w:sz w:val="20"/>
        </w:rPr>
        <w:t xml:space="preserve">, </w:t>
      </w:r>
      <w:r w:rsidR="0063317A" w:rsidRPr="0071152F">
        <w:rPr>
          <w:rFonts w:ascii="Arial Narrow" w:hAnsi="Arial Narrow" w:cs="Arial"/>
          <w:color w:val="5F5F5F"/>
          <w:sz w:val="20"/>
        </w:rPr>
        <w:t xml:space="preserve">dati mensili e medie mobili a tre mesi, </w:t>
      </w:r>
      <w:r w:rsidR="00516EEC" w:rsidRPr="0071152F">
        <w:rPr>
          <w:rFonts w:ascii="Arial Narrow" w:hAnsi="Arial Narrow" w:cs="Arial"/>
          <w:color w:val="5F5F5F"/>
          <w:sz w:val="20"/>
        </w:rPr>
        <w:t>dati destagionalizzati in miliardi di euro</w:t>
      </w:r>
    </w:p>
    <w:p w14:paraId="3BF38B78" w14:textId="258898CE" w:rsidR="002F6355" w:rsidRPr="007939D9" w:rsidRDefault="008F7887" w:rsidP="00D36CA1">
      <w:pPr>
        <w:rPr>
          <w:rFonts w:ascii="Arial Narrow" w:hAnsi="Arial Narrow" w:cs="Arial"/>
          <w:b/>
          <w:caps/>
          <w:color w:val="5F5F5F"/>
          <w:spacing w:val="-2"/>
          <w:sz w:val="22"/>
          <w:szCs w:val="22"/>
        </w:rPr>
      </w:pPr>
      <w:r>
        <w:rPr>
          <w:noProof/>
        </w:rPr>
        <w:drawing>
          <wp:inline distT="0" distB="0" distL="0" distR="0" wp14:anchorId="045ADA46" wp14:editId="67DD530D">
            <wp:extent cx="6660000" cy="2160000"/>
            <wp:effectExtent l="0" t="0" r="762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10CF8C" w14:textId="77777777" w:rsidR="00615A28" w:rsidRPr="00615A28" w:rsidRDefault="00615A28" w:rsidP="00615A28">
      <w:pPr>
        <w:jc w:val="both"/>
        <w:rPr>
          <w:rFonts w:ascii="Arial Narrow" w:hAnsi="Arial Narrow" w:cs="Arial"/>
          <w:sz w:val="16"/>
          <w:szCs w:val="16"/>
        </w:rPr>
      </w:pPr>
    </w:p>
    <w:p w14:paraId="401133D3" w14:textId="77777777" w:rsidR="00734199" w:rsidRDefault="00734199" w:rsidP="000B7E0D">
      <w:pPr>
        <w:rPr>
          <w:rFonts w:ascii="Arial Narrow" w:hAnsi="Arial Narrow" w:cs="Arial"/>
          <w:b/>
          <w:color w:val="E42618"/>
          <w:sz w:val="22"/>
          <w:szCs w:val="22"/>
        </w:rPr>
      </w:pPr>
    </w:p>
    <w:p w14:paraId="60DFF09C" w14:textId="77777777" w:rsidR="00734199" w:rsidRDefault="00734199" w:rsidP="000B7E0D">
      <w:pPr>
        <w:rPr>
          <w:rFonts w:ascii="Arial Narrow" w:hAnsi="Arial Narrow" w:cs="Arial"/>
          <w:b/>
          <w:color w:val="E42618"/>
          <w:sz w:val="22"/>
          <w:szCs w:val="22"/>
        </w:rPr>
      </w:pPr>
    </w:p>
    <w:p w14:paraId="3DA3CE74" w14:textId="77777777" w:rsidR="00734199" w:rsidRDefault="00734199" w:rsidP="000B7E0D">
      <w:pPr>
        <w:rPr>
          <w:rFonts w:ascii="Arial Narrow" w:hAnsi="Arial Narrow" w:cs="Arial"/>
          <w:b/>
          <w:color w:val="E42618"/>
          <w:sz w:val="22"/>
          <w:szCs w:val="22"/>
        </w:rPr>
      </w:pPr>
    </w:p>
    <w:p w14:paraId="6B2A1256" w14:textId="77777777" w:rsidR="00734199" w:rsidRDefault="00734199" w:rsidP="000B7E0D">
      <w:pPr>
        <w:rPr>
          <w:rFonts w:ascii="Arial Narrow" w:hAnsi="Arial Narrow" w:cs="Arial"/>
          <w:b/>
          <w:color w:val="E42618"/>
          <w:sz w:val="22"/>
          <w:szCs w:val="22"/>
        </w:rPr>
      </w:pPr>
    </w:p>
    <w:p w14:paraId="47408C2F" w14:textId="77777777" w:rsidR="00734199" w:rsidRDefault="00734199" w:rsidP="000B7E0D">
      <w:pPr>
        <w:rPr>
          <w:rFonts w:ascii="Arial Narrow" w:hAnsi="Arial Narrow" w:cs="Arial"/>
          <w:b/>
          <w:color w:val="E42618"/>
          <w:sz w:val="22"/>
          <w:szCs w:val="22"/>
        </w:rPr>
      </w:pPr>
    </w:p>
    <w:p w14:paraId="36F4C7AF" w14:textId="77777777" w:rsidR="00734199" w:rsidRDefault="00734199" w:rsidP="000B7E0D">
      <w:pPr>
        <w:rPr>
          <w:rFonts w:ascii="Arial Narrow" w:hAnsi="Arial Narrow" w:cs="Arial"/>
          <w:b/>
          <w:color w:val="E42618"/>
          <w:sz w:val="22"/>
          <w:szCs w:val="22"/>
        </w:rPr>
      </w:pPr>
    </w:p>
    <w:p w14:paraId="5859A6C2" w14:textId="77777777" w:rsidR="00734199" w:rsidRDefault="00734199" w:rsidP="000B7E0D">
      <w:pPr>
        <w:rPr>
          <w:rFonts w:ascii="Arial Narrow" w:hAnsi="Arial Narrow" w:cs="Arial"/>
          <w:b/>
          <w:color w:val="E42618"/>
          <w:sz w:val="22"/>
          <w:szCs w:val="22"/>
        </w:rPr>
      </w:pPr>
    </w:p>
    <w:p w14:paraId="38F587D8" w14:textId="7001F37E" w:rsidR="00734199" w:rsidRDefault="00734199" w:rsidP="000B7E0D">
      <w:pPr>
        <w:rPr>
          <w:rFonts w:ascii="Arial Narrow" w:hAnsi="Arial Narrow" w:cs="Arial"/>
          <w:b/>
          <w:color w:val="E42618"/>
          <w:sz w:val="22"/>
          <w:szCs w:val="22"/>
        </w:rPr>
      </w:pPr>
    </w:p>
    <w:p w14:paraId="15E7144C" w14:textId="77777777" w:rsidR="00AA0F72" w:rsidRDefault="00AA0F72" w:rsidP="000B7E0D">
      <w:pPr>
        <w:rPr>
          <w:rFonts w:ascii="Arial Narrow" w:hAnsi="Arial Narrow" w:cs="Arial"/>
          <w:b/>
          <w:color w:val="E42618"/>
          <w:sz w:val="22"/>
          <w:szCs w:val="22"/>
        </w:rPr>
      </w:pPr>
    </w:p>
    <w:p w14:paraId="265ADEF8" w14:textId="6D2AB445" w:rsidR="00734199" w:rsidRDefault="00734199" w:rsidP="000B7E0D">
      <w:pPr>
        <w:rPr>
          <w:rFonts w:ascii="Arial Narrow" w:hAnsi="Arial Narrow" w:cs="Arial"/>
          <w:b/>
          <w:color w:val="E42618"/>
          <w:sz w:val="22"/>
          <w:szCs w:val="22"/>
        </w:rPr>
      </w:pPr>
    </w:p>
    <w:p w14:paraId="1A52A265" w14:textId="77777777" w:rsidR="004454D1" w:rsidRDefault="004454D1" w:rsidP="000B7E0D">
      <w:pPr>
        <w:rPr>
          <w:rFonts w:ascii="Arial Narrow" w:hAnsi="Arial Narrow" w:cs="Arial"/>
          <w:b/>
          <w:color w:val="E42618"/>
          <w:sz w:val="22"/>
          <w:szCs w:val="22"/>
        </w:rPr>
      </w:pPr>
    </w:p>
    <w:p w14:paraId="194D4DA2" w14:textId="77777777" w:rsidR="00734199" w:rsidRDefault="00734199" w:rsidP="000B7E0D">
      <w:pPr>
        <w:rPr>
          <w:rFonts w:ascii="Arial Narrow" w:hAnsi="Arial Narrow" w:cs="Arial"/>
          <w:b/>
          <w:color w:val="E42618"/>
          <w:sz w:val="22"/>
          <w:szCs w:val="22"/>
        </w:rPr>
      </w:pPr>
    </w:p>
    <w:p w14:paraId="02A4EA63" w14:textId="77777777" w:rsidR="00734199" w:rsidRDefault="00734199" w:rsidP="000B7E0D">
      <w:pPr>
        <w:rPr>
          <w:rFonts w:ascii="Arial Narrow" w:hAnsi="Arial Narrow" w:cs="Arial"/>
          <w:b/>
          <w:color w:val="E42618"/>
          <w:sz w:val="22"/>
          <w:szCs w:val="22"/>
        </w:rPr>
      </w:pPr>
    </w:p>
    <w:p w14:paraId="1EC5CC7D" w14:textId="7A21FA17" w:rsidR="000B7E0D" w:rsidRDefault="000B7E0D" w:rsidP="000B7E0D">
      <w:pPr>
        <w:rPr>
          <w:rFonts w:ascii="Arial Narrow" w:hAnsi="Arial Narrow" w:cs="Arial"/>
          <w:b/>
          <w:caps/>
          <w:color w:val="5F5F5F"/>
          <w:sz w:val="22"/>
          <w:szCs w:val="22"/>
        </w:rPr>
      </w:pPr>
      <w:r w:rsidRPr="007939D9">
        <w:rPr>
          <w:rFonts w:ascii="Arial Narrow" w:hAnsi="Arial Narrow" w:cs="Arial"/>
          <w:b/>
          <w:color w:val="E42618"/>
          <w:sz w:val="22"/>
          <w:szCs w:val="22"/>
        </w:rPr>
        <w:lastRenderedPageBreak/>
        <w:t xml:space="preserve">FIGURA </w:t>
      </w:r>
      <w:r w:rsidR="00CF30A4">
        <w:rPr>
          <w:rFonts w:ascii="Arial Narrow" w:hAnsi="Arial Narrow" w:cs="Arial"/>
          <w:b/>
          <w:color w:val="E42618"/>
          <w:sz w:val="22"/>
          <w:szCs w:val="22"/>
        </w:rPr>
        <w:t>3</w:t>
      </w:r>
      <w:r w:rsidRPr="007939D9">
        <w:rPr>
          <w:rFonts w:ascii="Arial Narrow" w:hAnsi="Arial Narrow" w:cs="Arial"/>
          <w:b/>
          <w:color w:val="E42618"/>
          <w:sz w:val="22"/>
          <w:szCs w:val="22"/>
        </w:rPr>
        <w:t>.</w:t>
      </w:r>
      <w:r>
        <w:rPr>
          <w:rFonts w:ascii="Arial Narrow" w:hAnsi="Arial Narrow" w:cs="Arial"/>
          <w:b/>
          <w:color w:val="E42618"/>
          <w:sz w:val="22"/>
          <w:szCs w:val="22"/>
        </w:rPr>
        <w:t xml:space="preserve"> </w:t>
      </w:r>
      <w:r w:rsidRPr="00D36CA1">
        <w:rPr>
          <w:rFonts w:ascii="Arial Narrow" w:hAnsi="Arial Narrow" w:cs="Arial"/>
          <w:b/>
          <w:caps/>
          <w:color w:val="5F5F5F"/>
          <w:sz w:val="22"/>
          <w:szCs w:val="22"/>
        </w:rPr>
        <w:t>ESPORTAZIO</w:t>
      </w:r>
      <w:r w:rsidR="00CF30A4">
        <w:rPr>
          <w:rFonts w:ascii="Arial Narrow" w:hAnsi="Arial Narrow" w:cs="Arial"/>
          <w:b/>
          <w:caps/>
          <w:color w:val="5F5F5F"/>
          <w:sz w:val="22"/>
          <w:szCs w:val="22"/>
        </w:rPr>
        <w:t xml:space="preserve">NI E IMPORTAZIONI </w:t>
      </w:r>
      <w:r w:rsidR="008014ED">
        <w:rPr>
          <w:rFonts w:ascii="Arial Narrow" w:hAnsi="Arial Narrow" w:cs="Arial"/>
          <w:b/>
          <w:caps/>
          <w:color w:val="5F5F5F"/>
          <w:sz w:val="22"/>
          <w:szCs w:val="22"/>
        </w:rPr>
        <w:t xml:space="preserve">CON </w:t>
      </w:r>
      <w:r w:rsidR="008014ED" w:rsidRPr="007C052D">
        <w:rPr>
          <w:rFonts w:ascii="Arial Narrow" w:hAnsi="Arial Narrow" w:cs="Arial"/>
          <w:b/>
          <w:caps/>
          <w:color w:val="5F5F5F"/>
          <w:sz w:val="22"/>
          <w:szCs w:val="22"/>
        </w:rPr>
        <w:t>L’</w:t>
      </w:r>
      <w:r w:rsidR="00CF30A4" w:rsidRPr="007C052D">
        <w:rPr>
          <w:rFonts w:ascii="Arial Narrow" w:hAnsi="Arial Narrow" w:cs="Arial"/>
          <w:b/>
          <w:caps/>
          <w:color w:val="5F5F5F"/>
          <w:sz w:val="22"/>
          <w:szCs w:val="22"/>
        </w:rPr>
        <w:t>AREA</w:t>
      </w:r>
      <w:r w:rsidRPr="007C052D">
        <w:rPr>
          <w:rFonts w:ascii="Arial Narrow" w:hAnsi="Arial Narrow" w:cs="Arial"/>
          <w:b/>
          <w:caps/>
          <w:color w:val="5F5F5F"/>
          <w:sz w:val="22"/>
          <w:szCs w:val="22"/>
        </w:rPr>
        <w:t xml:space="preserve"> extra Ue</w:t>
      </w:r>
      <w:r w:rsidR="00E56E72" w:rsidRPr="007C052D">
        <w:rPr>
          <w:rFonts w:ascii="Arial Narrow" w:hAnsi="Arial Narrow" w:cs="Arial"/>
          <w:b/>
          <w:caps/>
          <w:color w:val="5F5F5F"/>
          <w:sz w:val="22"/>
          <w:szCs w:val="22"/>
        </w:rPr>
        <w:t>27</w:t>
      </w:r>
      <w:r w:rsidR="00FB495E">
        <w:rPr>
          <w:rFonts w:ascii="Arial Narrow" w:hAnsi="Arial Narrow" w:cs="Arial"/>
          <w:b/>
          <w:caps/>
          <w:color w:val="5F5F5F"/>
          <w:sz w:val="22"/>
          <w:szCs w:val="22"/>
        </w:rPr>
        <w:t xml:space="preserve"> </w:t>
      </w:r>
      <w:r w:rsidR="00FB495E" w:rsidRPr="00734199">
        <w:rPr>
          <w:rFonts w:ascii="Arial Narrow" w:hAnsi="Arial Narrow" w:cs="Arial"/>
          <w:color w:val="5F5F5F"/>
          <w:sz w:val="20"/>
        </w:rPr>
        <w:t>(a)</w:t>
      </w:r>
    </w:p>
    <w:p w14:paraId="25429B4C" w14:textId="5E6E9927" w:rsidR="00CF30A4" w:rsidRPr="005B110A" w:rsidRDefault="008D7D7F" w:rsidP="00734199">
      <w:pPr>
        <w:tabs>
          <w:tab w:val="left" w:pos="284"/>
        </w:tabs>
        <w:rPr>
          <w:rFonts w:ascii="Arial Narrow" w:hAnsi="Arial Narrow" w:cs="Arial"/>
          <w:color w:val="5F5F5F"/>
          <w:sz w:val="20"/>
        </w:rPr>
      </w:pPr>
      <w:r w:rsidRPr="0071152F">
        <w:rPr>
          <w:rFonts w:ascii="Arial Narrow" w:hAnsi="Arial Narrow" w:cs="Arial"/>
          <w:color w:val="5F5F5F"/>
          <w:sz w:val="20"/>
        </w:rPr>
        <w:t>Gennaio 201</w:t>
      </w:r>
      <w:r w:rsidR="00060073">
        <w:rPr>
          <w:rFonts w:ascii="Arial Narrow" w:hAnsi="Arial Narrow" w:cs="Arial"/>
          <w:color w:val="5F5F5F"/>
          <w:sz w:val="20"/>
        </w:rPr>
        <w:t>7</w:t>
      </w:r>
      <w:r w:rsidRPr="0071152F">
        <w:rPr>
          <w:rFonts w:ascii="Arial Narrow" w:hAnsi="Arial Narrow" w:cs="Arial"/>
          <w:color w:val="5F5F5F"/>
          <w:sz w:val="20"/>
        </w:rPr>
        <w:t xml:space="preserve"> - </w:t>
      </w:r>
      <w:r w:rsidR="00060073">
        <w:rPr>
          <w:rFonts w:ascii="Arial Narrow" w:hAnsi="Arial Narrow" w:cs="Arial"/>
          <w:color w:val="5F5F5F"/>
          <w:sz w:val="20"/>
        </w:rPr>
        <w:t>gennaio</w:t>
      </w:r>
      <w:r w:rsidR="003A1781" w:rsidRPr="0071152F">
        <w:rPr>
          <w:rFonts w:ascii="Arial Narrow" w:hAnsi="Arial Narrow" w:cs="Arial"/>
          <w:color w:val="5F5F5F"/>
          <w:sz w:val="20"/>
        </w:rPr>
        <w:t xml:space="preserve"> </w:t>
      </w:r>
      <w:r w:rsidRPr="0071152F">
        <w:rPr>
          <w:rFonts w:ascii="Arial Narrow" w:hAnsi="Arial Narrow" w:cs="Arial"/>
          <w:color w:val="5F5F5F"/>
          <w:sz w:val="20"/>
        </w:rPr>
        <w:t>20</w:t>
      </w:r>
      <w:r w:rsidR="00060073">
        <w:rPr>
          <w:rFonts w:ascii="Arial Narrow" w:hAnsi="Arial Narrow" w:cs="Arial"/>
          <w:color w:val="5F5F5F"/>
          <w:sz w:val="20"/>
        </w:rPr>
        <w:t>22</w:t>
      </w:r>
      <w:r w:rsidR="00CF30A4" w:rsidRPr="005B110A">
        <w:rPr>
          <w:rFonts w:ascii="Arial Narrow" w:hAnsi="Arial Narrow" w:cs="Arial"/>
          <w:color w:val="5F5F5F"/>
          <w:sz w:val="20"/>
        </w:rPr>
        <w:t xml:space="preserve">, </w:t>
      </w:r>
      <w:r w:rsidR="0063317A" w:rsidRPr="005B110A">
        <w:rPr>
          <w:rFonts w:ascii="Arial Narrow" w:hAnsi="Arial Narrow" w:cs="Arial"/>
          <w:color w:val="5F5F5F"/>
          <w:sz w:val="20"/>
        </w:rPr>
        <w:t xml:space="preserve">dati mensili e medie mobili a tre mesi, </w:t>
      </w:r>
      <w:r w:rsidR="00CF30A4" w:rsidRPr="005B110A">
        <w:rPr>
          <w:rFonts w:ascii="Arial Narrow" w:hAnsi="Arial Narrow" w:cs="Arial"/>
          <w:color w:val="5F5F5F"/>
          <w:sz w:val="20"/>
        </w:rPr>
        <w:t>dati destagionalizzati in miliardi di euro</w:t>
      </w:r>
    </w:p>
    <w:p w14:paraId="074C7BD1" w14:textId="0FE1C8A6" w:rsidR="00F31459" w:rsidRDefault="008F7887" w:rsidP="00A43169">
      <w:pPr>
        <w:tabs>
          <w:tab w:val="left" w:pos="284"/>
        </w:tabs>
        <w:spacing w:after="120"/>
        <w:rPr>
          <w:rFonts w:ascii="Arial" w:hAnsi="Arial" w:cs="Arial"/>
          <w:b/>
          <w:color w:val="000000"/>
        </w:rPr>
      </w:pPr>
      <w:r>
        <w:rPr>
          <w:noProof/>
        </w:rPr>
        <w:drawing>
          <wp:inline distT="0" distB="0" distL="0" distR="0" wp14:anchorId="63DB3D0D" wp14:editId="54813F93">
            <wp:extent cx="6660000" cy="2160000"/>
            <wp:effectExtent l="0" t="0" r="7620" b="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FCD02A" w14:textId="43463CE3" w:rsidR="00734199" w:rsidRPr="00BE5EB4" w:rsidRDefault="00CE5EFC" w:rsidP="00FB495E">
      <w:pPr>
        <w:spacing w:line="240" w:lineRule="exact"/>
        <w:rPr>
          <w:rFonts w:ascii="Arial Narrow" w:hAnsi="Arial Narrow" w:cs="Arial"/>
          <w:sz w:val="16"/>
          <w:szCs w:val="16"/>
        </w:rPr>
      </w:pPr>
      <w:r w:rsidRPr="00BE5EB4">
        <w:rPr>
          <w:rFonts w:ascii="Arial Narrow" w:hAnsi="Arial Narrow" w:cs="Arial"/>
          <w:sz w:val="16"/>
          <w:szCs w:val="16"/>
        </w:rPr>
        <w:t>(a) Le serie di import saranno rettificate, a seguito della revisione in corso dei dati grezzi di</w:t>
      </w:r>
      <w:r w:rsidR="005B4055" w:rsidRPr="00BE5EB4">
        <w:rPr>
          <w:rFonts w:ascii="Arial Narrow" w:hAnsi="Arial Narrow" w:cs="Arial"/>
          <w:sz w:val="16"/>
          <w:szCs w:val="16"/>
        </w:rPr>
        <w:t xml:space="preserve"> </w:t>
      </w:r>
      <w:r w:rsidRPr="00BE5EB4">
        <w:rPr>
          <w:rFonts w:ascii="Arial Narrow" w:hAnsi="Arial Narrow" w:cs="Arial"/>
          <w:sz w:val="16"/>
          <w:szCs w:val="16"/>
        </w:rPr>
        <w:t>import del gas naturale allo stato gassoso</w:t>
      </w:r>
      <w:r w:rsidR="00625B9F">
        <w:rPr>
          <w:rFonts w:ascii="Arial Narrow" w:hAnsi="Arial Narrow" w:cs="Arial"/>
          <w:sz w:val="16"/>
          <w:szCs w:val="16"/>
        </w:rPr>
        <w:t xml:space="preserve"> </w:t>
      </w:r>
      <w:r w:rsidR="00625B9F" w:rsidRPr="00EE2851">
        <w:rPr>
          <w:rFonts w:ascii="Arial Narrow" w:hAnsi="Arial Narrow" w:cs="Arial"/>
          <w:sz w:val="16"/>
          <w:szCs w:val="16"/>
        </w:rPr>
        <w:t>per i mesi da luglio a dicembre 2021</w:t>
      </w:r>
      <w:r w:rsidRPr="00BE5EB4">
        <w:rPr>
          <w:rFonts w:ascii="Arial Narrow" w:hAnsi="Arial Narrow" w:cs="Arial"/>
          <w:sz w:val="16"/>
          <w:szCs w:val="16"/>
        </w:rPr>
        <w:t>.</w:t>
      </w:r>
    </w:p>
    <w:p w14:paraId="07E9DA38" w14:textId="77777777" w:rsidR="00CE5EFC" w:rsidRDefault="00CE5EFC" w:rsidP="00FB495E">
      <w:pPr>
        <w:spacing w:line="240" w:lineRule="exact"/>
        <w:rPr>
          <w:rFonts w:ascii="Arial Narrow" w:hAnsi="Arial Narrow" w:cs="Arial"/>
          <w:b/>
          <w:color w:val="E42618"/>
          <w:sz w:val="22"/>
          <w:szCs w:val="22"/>
        </w:rPr>
      </w:pPr>
    </w:p>
    <w:p w14:paraId="7C5CE670" w14:textId="71C72C56" w:rsidR="00516EEC" w:rsidRPr="00734199" w:rsidRDefault="00516EEC" w:rsidP="00FB495E">
      <w:pPr>
        <w:spacing w:line="240" w:lineRule="exact"/>
        <w:rPr>
          <w:rFonts w:ascii="Arial Narrow" w:hAnsi="Arial Narrow" w:cs="Arial"/>
          <w:color w:val="5F5F5F"/>
          <w:sz w:val="20"/>
        </w:rPr>
      </w:pPr>
      <w:r w:rsidRPr="007939D9">
        <w:rPr>
          <w:rFonts w:ascii="Arial Narrow" w:hAnsi="Arial Narrow" w:cs="Arial"/>
          <w:b/>
          <w:color w:val="E42618"/>
          <w:sz w:val="22"/>
          <w:szCs w:val="22"/>
        </w:rPr>
        <w:t xml:space="preserve">FIGURA </w:t>
      </w:r>
      <w:r w:rsidR="006D02F3">
        <w:rPr>
          <w:rFonts w:ascii="Arial Narrow" w:hAnsi="Arial Narrow" w:cs="Arial"/>
          <w:b/>
          <w:color w:val="E42618"/>
          <w:sz w:val="22"/>
          <w:szCs w:val="22"/>
        </w:rPr>
        <w:t>4</w:t>
      </w:r>
      <w:r w:rsidRPr="007939D9">
        <w:rPr>
          <w:rFonts w:ascii="Arial Narrow" w:hAnsi="Arial Narrow" w:cs="Arial"/>
          <w:b/>
          <w:color w:val="E42618"/>
          <w:sz w:val="22"/>
          <w:szCs w:val="22"/>
        </w:rPr>
        <w:t>.</w:t>
      </w:r>
      <w:r w:rsidRPr="007939D9">
        <w:rPr>
          <w:sz w:val="22"/>
          <w:szCs w:val="22"/>
        </w:rPr>
        <w:t xml:space="preserve"> </w:t>
      </w:r>
      <w:r w:rsidRPr="00787294">
        <w:rPr>
          <w:rFonts w:ascii="Arial Narrow" w:hAnsi="Arial Narrow" w:cs="Arial"/>
          <w:b/>
          <w:caps/>
          <w:color w:val="5F5F5F"/>
          <w:sz w:val="22"/>
          <w:szCs w:val="22"/>
        </w:rPr>
        <w:t>FLUSSI COMMERCIALI CON L’ESTERO</w:t>
      </w:r>
      <w:r w:rsidR="00B827C7">
        <w:rPr>
          <w:sz w:val="22"/>
          <w:szCs w:val="22"/>
        </w:rPr>
        <w:t>,</w:t>
      </w:r>
      <w:r w:rsidR="008014ED">
        <w:rPr>
          <w:sz w:val="22"/>
          <w:szCs w:val="22"/>
        </w:rPr>
        <w:t xml:space="preserve"> </w:t>
      </w:r>
      <w:r>
        <w:rPr>
          <w:rFonts w:ascii="Arial Narrow" w:hAnsi="Arial Narrow" w:cs="Arial"/>
          <w:b/>
          <w:caps/>
          <w:color w:val="5F5F5F"/>
          <w:sz w:val="22"/>
          <w:szCs w:val="22"/>
        </w:rPr>
        <w:t xml:space="preserve">VARIAZIONI </w:t>
      </w:r>
      <w:r w:rsidR="00146099">
        <w:rPr>
          <w:rFonts w:ascii="Arial Narrow" w:hAnsi="Arial Narrow" w:cs="Arial"/>
          <w:b/>
          <w:caps/>
          <w:color w:val="5F5F5F"/>
          <w:sz w:val="22"/>
          <w:szCs w:val="22"/>
        </w:rPr>
        <w:t xml:space="preserve">PERCENTUALI </w:t>
      </w:r>
      <w:r w:rsidRPr="00516EEC">
        <w:rPr>
          <w:rFonts w:ascii="Arial Narrow" w:hAnsi="Arial Narrow" w:cs="Arial"/>
          <w:b/>
          <w:caps/>
          <w:color w:val="5F5F5F"/>
          <w:sz w:val="22"/>
          <w:szCs w:val="22"/>
        </w:rPr>
        <w:t>TENDENZIALI</w:t>
      </w:r>
      <w:r w:rsidR="00FB495E">
        <w:rPr>
          <w:rFonts w:ascii="Arial Narrow" w:hAnsi="Arial Narrow" w:cs="Arial"/>
          <w:b/>
          <w:caps/>
          <w:color w:val="5F5F5F"/>
          <w:sz w:val="22"/>
          <w:szCs w:val="22"/>
        </w:rPr>
        <w:t xml:space="preserve"> </w:t>
      </w:r>
      <w:r w:rsidR="00FB495E" w:rsidRPr="00734199">
        <w:rPr>
          <w:rFonts w:ascii="Arial Narrow" w:hAnsi="Arial Narrow" w:cs="Arial"/>
          <w:color w:val="5F5F5F"/>
          <w:sz w:val="20"/>
        </w:rPr>
        <w:t>(a)</w:t>
      </w:r>
    </w:p>
    <w:p w14:paraId="130144D6" w14:textId="2ECC2141" w:rsidR="00516EEC" w:rsidRPr="00787294" w:rsidRDefault="008D7D7F" w:rsidP="00516EEC">
      <w:pPr>
        <w:tabs>
          <w:tab w:val="left" w:pos="284"/>
        </w:tabs>
        <w:spacing w:after="120"/>
        <w:rPr>
          <w:rFonts w:ascii="Arial Narrow" w:hAnsi="Arial Narrow" w:cs="Arial"/>
          <w:color w:val="5F5F5F"/>
        </w:rPr>
      </w:pPr>
      <w:r w:rsidRPr="0071152F">
        <w:rPr>
          <w:rFonts w:ascii="Arial Narrow" w:hAnsi="Arial Narrow" w:cs="Arial"/>
          <w:color w:val="5F5F5F"/>
          <w:sz w:val="20"/>
        </w:rPr>
        <w:t>Gennaio 201</w:t>
      </w:r>
      <w:r w:rsidR="00CF288F">
        <w:rPr>
          <w:rFonts w:ascii="Arial Narrow" w:hAnsi="Arial Narrow" w:cs="Arial"/>
          <w:color w:val="5F5F5F"/>
          <w:sz w:val="20"/>
        </w:rPr>
        <w:t>8</w:t>
      </w:r>
      <w:r w:rsidRPr="0071152F">
        <w:rPr>
          <w:rFonts w:ascii="Arial Narrow" w:hAnsi="Arial Narrow" w:cs="Arial"/>
          <w:color w:val="5F5F5F"/>
          <w:sz w:val="20"/>
        </w:rPr>
        <w:t xml:space="preserve"> - </w:t>
      </w:r>
      <w:r w:rsidR="00CF288F">
        <w:rPr>
          <w:rFonts w:ascii="Arial Narrow" w:hAnsi="Arial Narrow" w:cs="Arial"/>
          <w:color w:val="5F5F5F"/>
          <w:sz w:val="20"/>
        </w:rPr>
        <w:t>gennaio</w:t>
      </w:r>
      <w:r w:rsidR="003A1781" w:rsidRPr="0071152F">
        <w:rPr>
          <w:rFonts w:ascii="Arial Narrow" w:hAnsi="Arial Narrow" w:cs="Arial"/>
          <w:color w:val="5F5F5F"/>
          <w:sz w:val="20"/>
        </w:rPr>
        <w:t xml:space="preserve"> </w:t>
      </w:r>
      <w:r w:rsidRPr="0071152F">
        <w:rPr>
          <w:rFonts w:ascii="Arial Narrow" w:hAnsi="Arial Narrow" w:cs="Arial"/>
          <w:color w:val="5F5F5F"/>
          <w:sz w:val="20"/>
        </w:rPr>
        <w:t>20</w:t>
      </w:r>
      <w:r w:rsidR="00CF288F">
        <w:rPr>
          <w:rFonts w:ascii="Arial Narrow" w:hAnsi="Arial Narrow" w:cs="Arial"/>
          <w:color w:val="5F5F5F"/>
          <w:sz w:val="20"/>
        </w:rPr>
        <w:t>22</w:t>
      </w:r>
      <w:r w:rsidR="0063317A" w:rsidRPr="00EE5993">
        <w:rPr>
          <w:rFonts w:ascii="Arial Narrow" w:hAnsi="Arial Narrow" w:cs="Arial"/>
          <w:color w:val="5F5F5F"/>
          <w:sz w:val="20"/>
        </w:rPr>
        <w:t>,</w:t>
      </w:r>
      <w:r w:rsidR="00516EEC" w:rsidRPr="00EE5993">
        <w:rPr>
          <w:rFonts w:ascii="Arial Narrow" w:hAnsi="Arial Narrow" w:cs="Arial"/>
          <w:color w:val="5F5F5F"/>
          <w:sz w:val="20"/>
        </w:rPr>
        <w:t xml:space="preserve"> dati grezzi</w:t>
      </w:r>
      <w:r w:rsidR="00516EEC" w:rsidRPr="00EE5993">
        <w:rPr>
          <w:noProof/>
          <w:sz w:val="20"/>
        </w:rPr>
        <w:t xml:space="preserve"> </w:t>
      </w:r>
      <w:r w:rsidR="008F7887">
        <w:rPr>
          <w:noProof/>
        </w:rPr>
        <w:drawing>
          <wp:inline distT="0" distB="0" distL="0" distR="0" wp14:anchorId="68248B4F" wp14:editId="19604B6A">
            <wp:extent cx="6660000" cy="2160000"/>
            <wp:effectExtent l="0" t="0" r="762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E029FB" w14:textId="22F4A2CB" w:rsidR="00FE069A" w:rsidRPr="00BE5EB4" w:rsidRDefault="00615A28" w:rsidP="00516EEC">
      <w:pPr>
        <w:tabs>
          <w:tab w:val="left" w:pos="284"/>
        </w:tabs>
        <w:rPr>
          <w:rFonts w:ascii="Arial Narrow" w:hAnsi="Arial Narrow" w:cs="Arial"/>
          <w:b/>
          <w:sz w:val="22"/>
          <w:szCs w:val="22"/>
        </w:rPr>
      </w:pPr>
      <w:r w:rsidRPr="00BE5EB4">
        <w:rPr>
          <w:rFonts w:ascii="Arial Narrow" w:hAnsi="Arial Narrow" w:cs="Arial"/>
          <w:sz w:val="16"/>
          <w:szCs w:val="16"/>
        </w:rPr>
        <w:t>(a) I dati di import per i mesi da luglio a dicembre 2021 saranno rettificati, a seguito</w:t>
      </w:r>
      <w:r w:rsidR="00734199" w:rsidRPr="00BE5EB4">
        <w:rPr>
          <w:rFonts w:ascii="Arial Narrow" w:hAnsi="Arial Narrow" w:cs="Arial"/>
          <w:sz w:val="16"/>
          <w:szCs w:val="16"/>
        </w:rPr>
        <w:t xml:space="preserve"> della revisione in corso dell’</w:t>
      </w:r>
      <w:r w:rsidRPr="00BE5EB4">
        <w:rPr>
          <w:rFonts w:ascii="Arial Narrow" w:hAnsi="Arial Narrow" w:cs="Arial"/>
          <w:sz w:val="16"/>
          <w:szCs w:val="16"/>
        </w:rPr>
        <w:t>import del gas naturale allo stato gassoso</w:t>
      </w:r>
      <w:r w:rsidR="00734199" w:rsidRPr="00BE5EB4">
        <w:rPr>
          <w:rFonts w:ascii="Arial Narrow" w:hAnsi="Arial Narrow" w:cs="Arial"/>
          <w:sz w:val="16"/>
          <w:szCs w:val="16"/>
        </w:rPr>
        <w:t>.</w:t>
      </w:r>
    </w:p>
    <w:p w14:paraId="18ACA9CC" w14:textId="77777777" w:rsidR="00FB495E" w:rsidRDefault="00FB495E" w:rsidP="00516EEC">
      <w:pPr>
        <w:tabs>
          <w:tab w:val="left" w:pos="284"/>
        </w:tabs>
        <w:rPr>
          <w:rFonts w:ascii="Arial Narrow" w:hAnsi="Arial Narrow" w:cs="Arial"/>
          <w:b/>
          <w:color w:val="E42618"/>
          <w:sz w:val="22"/>
          <w:szCs w:val="22"/>
        </w:rPr>
      </w:pPr>
    </w:p>
    <w:p w14:paraId="50B760F8" w14:textId="77777777" w:rsidR="00516EEC" w:rsidRPr="00B13780" w:rsidRDefault="00516EEC" w:rsidP="00516EEC">
      <w:pPr>
        <w:tabs>
          <w:tab w:val="left" w:pos="284"/>
        </w:tabs>
        <w:rPr>
          <w:sz w:val="22"/>
          <w:szCs w:val="22"/>
        </w:rPr>
      </w:pPr>
      <w:r w:rsidRPr="00B13780">
        <w:rPr>
          <w:rFonts w:ascii="Arial Narrow" w:hAnsi="Arial Narrow" w:cs="Arial"/>
          <w:b/>
          <w:color w:val="E42618"/>
          <w:sz w:val="22"/>
          <w:szCs w:val="22"/>
        </w:rPr>
        <w:t xml:space="preserve">FIGURA </w:t>
      </w:r>
      <w:r w:rsidR="006D02F3" w:rsidRPr="00B13780">
        <w:rPr>
          <w:rFonts w:ascii="Arial Narrow" w:hAnsi="Arial Narrow" w:cs="Arial"/>
          <w:b/>
          <w:color w:val="E42618"/>
          <w:sz w:val="22"/>
          <w:szCs w:val="22"/>
        </w:rPr>
        <w:t>5</w:t>
      </w:r>
      <w:r w:rsidRPr="00B13780">
        <w:rPr>
          <w:rFonts w:ascii="Arial Narrow" w:hAnsi="Arial Narrow" w:cs="Arial"/>
          <w:b/>
          <w:color w:val="E42618"/>
          <w:sz w:val="22"/>
          <w:szCs w:val="22"/>
        </w:rPr>
        <w:t>.</w:t>
      </w:r>
      <w:r w:rsidRPr="00B13780">
        <w:rPr>
          <w:sz w:val="22"/>
          <w:szCs w:val="22"/>
        </w:rPr>
        <w:t xml:space="preserve"> </w:t>
      </w:r>
      <w:r w:rsidRPr="00B13780">
        <w:rPr>
          <w:rFonts w:ascii="Arial Narrow" w:hAnsi="Arial Narrow" w:cs="Arial"/>
          <w:b/>
          <w:caps/>
          <w:color w:val="5F5F5F"/>
          <w:sz w:val="22"/>
          <w:szCs w:val="22"/>
        </w:rPr>
        <w:t>PREZZI ALL’IMPORTAZIONE</w:t>
      </w:r>
    </w:p>
    <w:p w14:paraId="260FDB51" w14:textId="02FAEB78" w:rsidR="00F00744" w:rsidRPr="00EE5993" w:rsidRDefault="008D7D7F" w:rsidP="00516EEC">
      <w:pPr>
        <w:rPr>
          <w:noProof/>
          <w:sz w:val="20"/>
        </w:rPr>
      </w:pPr>
      <w:r w:rsidRPr="00B13780">
        <w:rPr>
          <w:rFonts w:ascii="Arial Narrow" w:hAnsi="Arial Narrow" w:cs="Arial"/>
          <w:color w:val="5F5F5F"/>
          <w:sz w:val="20"/>
        </w:rPr>
        <w:t>Gennaio 201</w:t>
      </w:r>
      <w:r w:rsidR="00CF288F">
        <w:rPr>
          <w:rFonts w:ascii="Arial Narrow" w:hAnsi="Arial Narrow" w:cs="Arial"/>
          <w:color w:val="5F5F5F"/>
          <w:sz w:val="20"/>
        </w:rPr>
        <w:t>8</w:t>
      </w:r>
      <w:r w:rsidRPr="00B13780">
        <w:rPr>
          <w:rFonts w:ascii="Arial Narrow" w:hAnsi="Arial Narrow" w:cs="Arial"/>
          <w:color w:val="5F5F5F"/>
          <w:sz w:val="20"/>
        </w:rPr>
        <w:t xml:space="preserve"> - </w:t>
      </w:r>
      <w:r w:rsidR="00CF288F">
        <w:rPr>
          <w:rFonts w:ascii="Arial Narrow" w:hAnsi="Arial Narrow" w:cs="Arial"/>
          <w:color w:val="5F5F5F"/>
          <w:sz w:val="20"/>
        </w:rPr>
        <w:t>gennaio</w:t>
      </w:r>
      <w:r w:rsidR="003A1781" w:rsidRPr="00B13780">
        <w:rPr>
          <w:rFonts w:ascii="Arial Narrow" w:hAnsi="Arial Narrow" w:cs="Arial"/>
          <w:color w:val="5F5F5F"/>
          <w:sz w:val="20"/>
        </w:rPr>
        <w:t xml:space="preserve"> </w:t>
      </w:r>
      <w:r w:rsidR="00CF288F">
        <w:rPr>
          <w:rFonts w:ascii="Arial Narrow" w:hAnsi="Arial Narrow" w:cs="Arial"/>
          <w:color w:val="5F5F5F"/>
          <w:sz w:val="20"/>
        </w:rPr>
        <w:t>2022</w:t>
      </w:r>
      <w:r w:rsidR="00B827C7" w:rsidRPr="00B13780">
        <w:rPr>
          <w:rFonts w:ascii="Arial Narrow" w:hAnsi="Arial Narrow" w:cs="Arial"/>
          <w:color w:val="5F5F5F"/>
          <w:sz w:val="20"/>
        </w:rPr>
        <w:t>,</w:t>
      </w:r>
      <w:r w:rsidR="00516EEC" w:rsidRPr="00B13780">
        <w:rPr>
          <w:rFonts w:ascii="Arial Narrow" w:hAnsi="Arial Narrow" w:cs="Arial"/>
          <w:color w:val="5F5F5F"/>
          <w:sz w:val="20"/>
        </w:rPr>
        <w:t xml:space="preserve"> variazioni tendenziali</w:t>
      </w:r>
      <w:r w:rsidR="0063317A" w:rsidRPr="00B13780">
        <w:rPr>
          <w:rFonts w:ascii="Arial Narrow" w:hAnsi="Arial Narrow" w:cs="Arial"/>
          <w:color w:val="5F5F5F"/>
          <w:sz w:val="20"/>
        </w:rPr>
        <w:t xml:space="preserve"> </w:t>
      </w:r>
      <w:r w:rsidR="00516EEC" w:rsidRPr="00B13780">
        <w:rPr>
          <w:rFonts w:ascii="Arial Narrow" w:hAnsi="Arial Narrow" w:cs="Arial"/>
          <w:color w:val="5F5F5F"/>
          <w:sz w:val="20"/>
        </w:rPr>
        <w:t>(base 2015=100)</w:t>
      </w:r>
      <w:r w:rsidR="00B23E66" w:rsidRPr="00EE5993">
        <w:rPr>
          <w:noProof/>
          <w:sz w:val="20"/>
        </w:rPr>
        <w:t xml:space="preserve"> </w:t>
      </w:r>
    </w:p>
    <w:p w14:paraId="495D885E" w14:textId="4B60BA02" w:rsidR="009176F5" w:rsidRDefault="00552EA0" w:rsidP="00516EEC">
      <w:pPr>
        <w:rPr>
          <w:rFonts w:ascii="Arial" w:hAnsi="Arial" w:cs="Arial"/>
          <w:b/>
          <w:color w:val="000000"/>
        </w:rPr>
      </w:pPr>
      <w:r>
        <w:rPr>
          <w:rFonts w:ascii="Arial" w:hAnsi="Arial"/>
          <w:b/>
          <w:bCs/>
          <w:caps/>
          <w:noProof/>
          <w:kern w:val="28"/>
          <w:sz w:val="21"/>
          <w:szCs w:val="21"/>
        </w:rPr>
        <w:drawing>
          <wp:inline distT="0" distB="0" distL="0" distR="0" wp14:anchorId="58CCB3B2" wp14:editId="79D391E2">
            <wp:extent cx="6660000" cy="2160000"/>
            <wp:effectExtent l="0" t="0" r="7620" b="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0000" cy="2160000"/>
                    </a:xfrm>
                    <a:prstGeom prst="rect">
                      <a:avLst/>
                    </a:prstGeom>
                    <a:noFill/>
                  </pic:spPr>
                </pic:pic>
              </a:graphicData>
            </a:graphic>
          </wp:inline>
        </w:drawing>
      </w:r>
    </w:p>
    <w:p w14:paraId="2445651A" w14:textId="77777777" w:rsidR="00F31459" w:rsidRDefault="00F31459" w:rsidP="00833A77">
      <w:pPr>
        <w:spacing w:line="240" w:lineRule="exact"/>
        <w:rPr>
          <w:rFonts w:ascii="Arial" w:hAnsi="Arial" w:cs="Arial"/>
          <w:b/>
          <w:color w:val="000000"/>
        </w:rPr>
      </w:pPr>
    </w:p>
    <w:p w14:paraId="15445FF4" w14:textId="77777777" w:rsidR="00F31459" w:rsidRDefault="00F31459" w:rsidP="00833A77">
      <w:pPr>
        <w:spacing w:line="240" w:lineRule="exact"/>
        <w:rPr>
          <w:rFonts w:ascii="Arial" w:hAnsi="Arial" w:cs="Arial"/>
          <w:b/>
          <w:color w:val="000000"/>
        </w:rPr>
      </w:pPr>
    </w:p>
    <w:p w14:paraId="7B21CE62" w14:textId="77777777" w:rsidR="00787294" w:rsidRPr="005E4472" w:rsidRDefault="00787294" w:rsidP="00AF23DD">
      <w:pPr>
        <w:pStyle w:val="Corpodeltesto1"/>
        <w:spacing w:after="120"/>
        <w:rPr>
          <w:rFonts w:ascii="Arial" w:hAnsi="Arial" w:cs="Arial"/>
          <w:sz w:val="22"/>
          <w:szCs w:val="22"/>
        </w:rPr>
      </w:pPr>
    </w:p>
    <w:p w14:paraId="5AF76F06" w14:textId="77777777" w:rsidR="00833A77" w:rsidRPr="006768B9" w:rsidRDefault="00833A77" w:rsidP="00833A77">
      <w:pPr>
        <w:tabs>
          <w:tab w:val="left" w:pos="7485"/>
        </w:tabs>
        <w:sectPr w:rsidR="00833A77" w:rsidRPr="006768B9" w:rsidSect="00AA0F72">
          <w:headerReference w:type="default" r:id="rId25"/>
          <w:footerReference w:type="default" r:id="rId26"/>
          <w:headerReference w:type="first" r:id="rId27"/>
          <w:pgSz w:w="11907" w:h="16840" w:code="9"/>
          <w:pgMar w:top="1871" w:right="794" w:bottom="397" w:left="794" w:header="567" w:footer="567" w:gutter="0"/>
          <w:cols w:space="720"/>
          <w:noEndnote/>
          <w:titlePg/>
          <w:docGrid w:linePitch="326"/>
        </w:sectPr>
      </w:pPr>
    </w:p>
    <w:p w14:paraId="616B28E5" w14:textId="77777777" w:rsidR="00CC2949" w:rsidRPr="00CC2949" w:rsidRDefault="00CC2949" w:rsidP="00CC2949">
      <w:pPr>
        <w:pStyle w:val="001TitoloBolocco"/>
        <w:spacing w:after="0" w:line="240" w:lineRule="auto"/>
        <w:rPr>
          <w:rFonts w:ascii="Arial Narrow" w:hAnsi="Arial Narrow" w:cs="Calibri"/>
          <w:b w:val="0"/>
          <w:bCs w:val="0"/>
          <w:caps w:val="0"/>
          <w:color w:val="E42618"/>
          <w:sz w:val="22"/>
          <w:szCs w:val="36"/>
        </w:rPr>
      </w:pPr>
    </w:p>
    <w:p w14:paraId="670CD2B9" w14:textId="77777777" w:rsidR="008D10C8" w:rsidRPr="005F1ADE" w:rsidRDefault="008D10C8" w:rsidP="004B5FCF">
      <w:pPr>
        <w:pStyle w:val="001TitoloBolocco"/>
        <w:spacing w:after="120" w:line="240" w:lineRule="auto"/>
        <w:rPr>
          <w:rFonts w:cs="Calibri"/>
          <w:b w:val="0"/>
          <w:bCs w:val="0"/>
          <w:caps w:val="0"/>
          <w:color w:val="E42618"/>
          <w:sz w:val="36"/>
          <w:szCs w:val="36"/>
        </w:rPr>
      </w:pPr>
      <w:r w:rsidRPr="005F1ADE">
        <w:rPr>
          <w:rFonts w:cs="Calibri"/>
          <w:b w:val="0"/>
          <w:bCs w:val="0"/>
          <w:caps w:val="0"/>
          <w:color w:val="E42618"/>
          <w:sz w:val="36"/>
          <w:szCs w:val="36"/>
        </w:rPr>
        <w:t>Commercio con l’estero</w:t>
      </w:r>
    </w:p>
    <w:p w14:paraId="71FCF4DF" w14:textId="77777777" w:rsidR="00833A77" w:rsidRDefault="00BF702B" w:rsidP="004B5FCF">
      <w:pPr>
        <w:pStyle w:val="001TitoloBolocco"/>
        <w:spacing w:after="120" w:line="240" w:lineRule="auto"/>
      </w:pPr>
      <w:r>
        <w:rPr>
          <w:bCs w:val="0"/>
          <w:caps w:val="0"/>
        </w:rPr>
        <w:t>P</w:t>
      </w:r>
      <w:r w:rsidR="003C7722">
        <w:rPr>
          <w:bCs w:val="0"/>
          <w:caps w:val="0"/>
        </w:rPr>
        <w:t>RODOTTI ESPORTATI E IMPORTATI</w:t>
      </w:r>
    </w:p>
    <w:p w14:paraId="104AFDE9" w14:textId="401D9A68" w:rsidR="00516EEC" w:rsidRPr="00EE5993" w:rsidRDefault="00516EEC" w:rsidP="00516EEC">
      <w:pPr>
        <w:spacing w:after="120"/>
        <w:rPr>
          <w:rFonts w:ascii="Arial Narrow" w:hAnsi="Arial Narrow" w:cs="Arial"/>
          <w:b/>
          <w:bCs/>
          <w:i/>
          <w:sz w:val="16"/>
          <w:szCs w:val="19"/>
        </w:rPr>
      </w:pPr>
      <w:r w:rsidRPr="007939D9">
        <w:rPr>
          <w:rFonts w:ascii="Arial Narrow" w:hAnsi="Arial Narrow" w:cs="Arial"/>
          <w:b/>
          <w:bCs/>
          <w:color w:val="E42618"/>
          <w:sz w:val="22"/>
          <w:szCs w:val="22"/>
        </w:rPr>
        <w:t>PROSPETTO 1</w:t>
      </w:r>
      <w:r w:rsidRPr="00AF23DD">
        <w:rPr>
          <w:rFonts w:ascii="Arial Narrow" w:hAnsi="Arial Narrow" w:cs="Arial"/>
          <w:b/>
          <w:bCs/>
          <w:color w:val="E42618"/>
          <w:sz w:val="22"/>
          <w:szCs w:val="22"/>
        </w:rPr>
        <w:t xml:space="preserve">. </w:t>
      </w:r>
      <w:r w:rsidRPr="003C7722">
        <w:rPr>
          <w:rFonts w:ascii="Arial Narrow" w:hAnsi="Arial Narrow" w:cs="Arial"/>
          <w:b/>
          <w:bCs/>
          <w:color w:val="5F5F5F"/>
          <w:sz w:val="22"/>
          <w:szCs w:val="22"/>
        </w:rPr>
        <w:t>ESPORTAZIONI, IMPORTAZIONI E SALDI DELLA BILANCIA COMMERCIALE</w:t>
      </w:r>
      <w:r w:rsidRPr="005F1ADE">
        <w:rPr>
          <w:rFonts w:ascii="Arial Narrow" w:hAnsi="Arial Narrow" w:cs="Arial"/>
          <w:b/>
          <w:bCs/>
          <w:color w:val="7F7F7F"/>
          <w:sz w:val="22"/>
          <w:szCs w:val="22"/>
        </w:rPr>
        <w:br/>
      </w:r>
      <w:r w:rsidR="00470B67">
        <w:rPr>
          <w:rFonts w:ascii="Arial Narrow" w:hAnsi="Arial Narrow" w:cs="Arial"/>
          <w:color w:val="5F5F5F"/>
          <w:sz w:val="20"/>
        </w:rPr>
        <w:t>Gennaio 2022</w:t>
      </w:r>
      <w:r w:rsidRPr="00EE5993">
        <w:rPr>
          <w:rFonts w:ascii="Arial Narrow" w:hAnsi="Arial Narrow" w:cs="Arial"/>
          <w:color w:val="5F5F5F"/>
          <w:sz w:val="20"/>
        </w:rPr>
        <w:t xml:space="preserve">, variazioni percentuali congiunturali e tendenziali e </w:t>
      </w:r>
      <w:r w:rsidR="00AF23DD" w:rsidRPr="00EE5993">
        <w:rPr>
          <w:rFonts w:ascii="Arial Narrow" w:hAnsi="Arial Narrow" w:cs="Arial"/>
          <w:color w:val="5F5F5F"/>
          <w:sz w:val="20"/>
        </w:rPr>
        <w:t xml:space="preserve">saldi in milioni di </w:t>
      </w:r>
      <w:r w:rsidR="00AF23DD" w:rsidRPr="00243B6A">
        <w:rPr>
          <w:rFonts w:ascii="Arial Narrow" w:hAnsi="Arial Narrow" w:cs="Arial"/>
          <w:color w:val="5F5F5F"/>
          <w:sz w:val="20"/>
        </w:rPr>
        <w:t>e</w:t>
      </w:r>
      <w:r w:rsidR="00CE1ED0" w:rsidRPr="00243B6A">
        <w:rPr>
          <w:rFonts w:ascii="Arial Narrow" w:hAnsi="Arial Narrow" w:cs="Arial"/>
          <w:color w:val="5F5F5F"/>
          <w:sz w:val="20"/>
        </w:rPr>
        <w:t>u</w:t>
      </w:r>
      <w:r w:rsidR="00AF23DD" w:rsidRPr="00243B6A">
        <w:rPr>
          <w:rFonts w:ascii="Arial Narrow" w:hAnsi="Arial Narrow" w:cs="Arial"/>
          <w:color w:val="5F5F5F"/>
          <w:sz w:val="20"/>
        </w:rPr>
        <w:t>ro</w:t>
      </w:r>
    </w:p>
    <w:tbl>
      <w:tblPr>
        <w:tblW w:w="10300" w:type="dxa"/>
        <w:tblInd w:w="70" w:type="dxa"/>
        <w:tblBorders>
          <w:top w:val="single" w:sz="4" w:space="0" w:color="333333"/>
          <w:bottom w:val="single" w:sz="4" w:space="0" w:color="333333"/>
          <w:insideH w:val="single" w:sz="4" w:space="0" w:color="333333"/>
        </w:tblBorders>
        <w:tblLayout w:type="fixed"/>
        <w:tblCellMar>
          <w:left w:w="70" w:type="dxa"/>
          <w:right w:w="70" w:type="dxa"/>
        </w:tblCellMar>
        <w:tblLook w:val="0000" w:firstRow="0" w:lastRow="0" w:firstColumn="0" w:lastColumn="0" w:noHBand="0" w:noVBand="0"/>
      </w:tblPr>
      <w:tblGrid>
        <w:gridCol w:w="1348"/>
        <w:gridCol w:w="709"/>
        <w:gridCol w:w="1123"/>
        <w:gridCol w:w="7"/>
        <w:gridCol w:w="1725"/>
        <w:gridCol w:w="7"/>
        <w:gridCol w:w="665"/>
        <w:gridCol w:w="1219"/>
        <w:gridCol w:w="7"/>
        <w:gridCol w:w="160"/>
        <w:gridCol w:w="1661"/>
        <w:gridCol w:w="7"/>
        <w:gridCol w:w="1655"/>
        <w:gridCol w:w="7"/>
      </w:tblGrid>
      <w:tr w:rsidR="008A249B" w:rsidRPr="003C7722" w14:paraId="757C58DC" w14:textId="77777777" w:rsidTr="003A1781">
        <w:trPr>
          <w:gridAfter w:val="1"/>
          <w:wAfter w:w="7" w:type="dxa"/>
          <w:trHeight w:val="255"/>
        </w:trPr>
        <w:tc>
          <w:tcPr>
            <w:tcW w:w="1348" w:type="dxa"/>
            <w:vMerge w:val="restart"/>
            <w:shd w:val="clear" w:color="auto" w:fill="auto"/>
            <w:noWrap/>
            <w:vAlign w:val="center"/>
          </w:tcPr>
          <w:p w14:paraId="459FECB7" w14:textId="77777777" w:rsidR="008A249B" w:rsidRPr="003C7722" w:rsidRDefault="008A249B" w:rsidP="00752E7A">
            <w:pPr>
              <w:spacing w:before="40" w:after="20"/>
              <w:ind w:left="-57"/>
              <w:rPr>
                <w:rFonts w:ascii="Arial Narrow" w:hAnsi="Arial Narrow"/>
                <w:sz w:val="18"/>
                <w:szCs w:val="18"/>
              </w:rPr>
            </w:pPr>
          </w:p>
        </w:tc>
        <w:tc>
          <w:tcPr>
            <w:tcW w:w="3564" w:type="dxa"/>
            <w:gridSpan w:val="4"/>
            <w:tcBorders>
              <w:bottom w:val="single" w:sz="4" w:space="0" w:color="333333"/>
            </w:tcBorders>
            <w:shd w:val="clear" w:color="auto" w:fill="D9D9D9"/>
            <w:vAlign w:val="center"/>
          </w:tcPr>
          <w:p w14:paraId="23490EC2" w14:textId="77777777" w:rsidR="008A249B" w:rsidRPr="003C7722" w:rsidRDefault="008A249B" w:rsidP="00752E7A">
            <w:pPr>
              <w:tabs>
                <w:tab w:val="left" w:pos="1316"/>
              </w:tabs>
              <w:spacing w:before="40" w:after="20"/>
              <w:ind w:right="-70"/>
              <w:jc w:val="center"/>
              <w:rPr>
                <w:rFonts w:ascii="Arial Narrow" w:hAnsi="Arial Narrow"/>
                <w:sz w:val="18"/>
                <w:szCs w:val="18"/>
              </w:rPr>
            </w:pPr>
            <w:r w:rsidRPr="003C7722">
              <w:rPr>
                <w:rFonts w:ascii="Arial Narrow" w:hAnsi="Arial Narrow" w:cs="Arial"/>
                <w:b/>
                <w:sz w:val="18"/>
                <w:szCs w:val="18"/>
              </w:rPr>
              <w:t>ESPORTAZIONI</w:t>
            </w:r>
          </w:p>
        </w:tc>
        <w:tc>
          <w:tcPr>
            <w:tcW w:w="3719" w:type="dxa"/>
            <w:gridSpan w:val="6"/>
            <w:tcBorders>
              <w:bottom w:val="single" w:sz="4" w:space="0" w:color="333333"/>
            </w:tcBorders>
            <w:shd w:val="clear" w:color="auto" w:fill="auto"/>
            <w:vAlign w:val="center"/>
          </w:tcPr>
          <w:p w14:paraId="44C7FFFE" w14:textId="77777777" w:rsidR="008A249B" w:rsidRPr="003C7722" w:rsidRDefault="008A249B" w:rsidP="00752E7A">
            <w:pPr>
              <w:spacing w:before="40" w:after="20"/>
              <w:jc w:val="center"/>
              <w:rPr>
                <w:rFonts w:ascii="Arial Narrow" w:hAnsi="Arial Narrow"/>
                <w:sz w:val="18"/>
                <w:szCs w:val="18"/>
              </w:rPr>
            </w:pPr>
            <w:r w:rsidRPr="003C7722">
              <w:rPr>
                <w:rFonts w:ascii="Arial Narrow" w:hAnsi="Arial Narrow" w:cs="Arial"/>
                <w:b/>
                <w:sz w:val="18"/>
                <w:szCs w:val="18"/>
              </w:rPr>
              <w:t>IMPORTAZIONI</w:t>
            </w:r>
          </w:p>
        </w:tc>
        <w:tc>
          <w:tcPr>
            <w:tcW w:w="1662" w:type="dxa"/>
            <w:gridSpan w:val="2"/>
            <w:vMerge w:val="restart"/>
            <w:shd w:val="clear" w:color="auto" w:fill="auto"/>
            <w:vAlign w:val="center"/>
          </w:tcPr>
          <w:p w14:paraId="47B4931B" w14:textId="77777777" w:rsidR="008A249B" w:rsidRPr="003C7722" w:rsidRDefault="008A249B" w:rsidP="00752E7A">
            <w:pPr>
              <w:spacing w:before="40" w:after="20"/>
              <w:jc w:val="center"/>
              <w:rPr>
                <w:rFonts w:ascii="Arial Narrow" w:hAnsi="Arial Narrow"/>
                <w:b/>
                <w:bCs/>
                <w:sz w:val="18"/>
                <w:szCs w:val="18"/>
              </w:rPr>
            </w:pPr>
            <w:r w:rsidRPr="003C7722">
              <w:rPr>
                <w:rFonts w:ascii="Arial Narrow" w:hAnsi="Arial Narrow"/>
                <w:b/>
                <w:bCs/>
                <w:sz w:val="18"/>
                <w:szCs w:val="18"/>
              </w:rPr>
              <w:t>SALDI</w:t>
            </w:r>
          </w:p>
        </w:tc>
      </w:tr>
      <w:tr w:rsidR="008A249B" w:rsidRPr="003C7722" w14:paraId="23B8EC47" w14:textId="77777777" w:rsidTr="003A1781">
        <w:trPr>
          <w:gridAfter w:val="1"/>
          <w:wAfter w:w="7" w:type="dxa"/>
          <w:trHeight w:val="255"/>
        </w:trPr>
        <w:tc>
          <w:tcPr>
            <w:tcW w:w="1348" w:type="dxa"/>
            <w:vMerge/>
            <w:shd w:val="clear" w:color="auto" w:fill="auto"/>
            <w:noWrap/>
            <w:vAlign w:val="center"/>
          </w:tcPr>
          <w:p w14:paraId="3E69D8E6" w14:textId="77777777" w:rsidR="008A249B" w:rsidRPr="003C7722" w:rsidRDefault="008A249B" w:rsidP="00752E7A">
            <w:pPr>
              <w:spacing w:before="40" w:after="20"/>
              <w:ind w:left="-57"/>
              <w:rPr>
                <w:rFonts w:ascii="Arial Narrow" w:hAnsi="Arial Narrow"/>
                <w:sz w:val="18"/>
                <w:szCs w:val="18"/>
              </w:rPr>
            </w:pPr>
          </w:p>
        </w:tc>
        <w:tc>
          <w:tcPr>
            <w:tcW w:w="1832" w:type="dxa"/>
            <w:gridSpan w:val="2"/>
            <w:tcBorders>
              <w:bottom w:val="single" w:sz="4" w:space="0" w:color="333333"/>
            </w:tcBorders>
            <w:shd w:val="clear" w:color="auto" w:fill="auto"/>
            <w:vAlign w:val="center"/>
          </w:tcPr>
          <w:p w14:paraId="7DB2B576" w14:textId="77777777" w:rsidR="008A249B" w:rsidRDefault="008A249B" w:rsidP="00752E7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4BE85BC3" w14:textId="77777777" w:rsidR="008A249B" w:rsidRPr="00AF23DD" w:rsidRDefault="008A249B" w:rsidP="00752E7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732" w:type="dxa"/>
            <w:gridSpan w:val="2"/>
            <w:tcBorders>
              <w:bottom w:val="single" w:sz="4" w:space="0" w:color="333333"/>
            </w:tcBorders>
            <w:shd w:val="clear" w:color="auto" w:fill="auto"/>
            <w:vAlign w:val="center"/>
          </w:tcPr>
          <w:p w14:paraId="2C153742" w14:textId="77777777" w:rsidR="008A249B" w:rsidRDefault="008A249B" w:rsidP="00752E7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44F5BCA3" w14:textId="77777777" w:rsidR="008A249B" w:rsidRPr="003C7722" w:rsidRDefault="008A249B" w:rsidP="00752E7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2058" w:type="dxa"/>
            <w:gridSpan w:val="5"/>
            <w:tcBorders>
              <w:bottom w:val="single" w:sz="4" w:space="0" w:color="333333"/>
            </w:tcBorders>
            <w:shd w:val="clear" w:color="auto" w:fill="auto"/>
            <w:vAlign w:val="center"/>
          </w:tcPr>
          <w:p w14:paraId="22529501" w14:textId="77777777" w:rsidR="008A249B" w:rsidRDefault="008A249B" w:rsidP="00752E7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w:t>
            </w:r>
          </w:p>
          <w:p w14:paraId="552B0E65" w14:textId="77777777" w:rsidR="008A249B" w:rsidRPr="003C7722" w:rsidRDefault="008A249B" w:rsidP="00752E7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congiunturali</w:t>
            </w:r>
          </w:p>
        </w:tc>
        <w:tc>
          <w:tcPr>
            <w:tcW w:w="1661" w:type="dxa"/>
            <w:tcBorders>
              <w:bottom w:val="single" w:sz="4" w:space="0" w:color="333333"/>
            </w:tcBorders>
            <w:shd w:val="clear" w:color="auto" w:fill="auto"/>
            <w:vAlign w:val="center"/>
          </w:tcPr>
          <w:p w14:paraId="6FD41A05" w14:textId="77777777" w:rsidR="008A249B" w:rsidRDefault="008A249B" w:rsidP="00752E7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36F73025" w14:textId="77777777" w:rsidR="008A249B" w:rsidRPr="003C7722" w:rsidRDefault="008A249B" w:rsidP="00752E7A">
            <w:pPr>
              <w:tabs>
                <w:tab w:val="left" w:pos="1316"/>
              </w:tabs>
              <w:spacing w:before="40" w:after="20"/>
              <w:ind w:right="-70"/>
              <w:jc w:val="center"/>
              <w:rPr>
                <w:rFonts w:ascii="Arial Narrow" w:hAnsi="Arial Narrow" w:cs="Arial"/>
                <w:b/>
                <w:sz w:val="18"/>
                <w:szCs w:val="18"/>
              </w:rPr>
            </w:pPr>
            <w:r>
              <w:rPr>
                <w:rFonts w:ascii="Arial Narrow" w:hAnsi="Arial Narrow" w:cs="Arial"/>
                <w:b/>
                <w:sz w:val="18"/>
                <w:szCs w:val="18"/>
              </w:rPr>
              <w:t>tendenziali</w:t>
            </w:r>
          </w:p>
        </w:tc>
        <w:tc>
          <w:tcPr>
            <w:tcW w:w="1662" w:type="dxa"/>
            <w:gridSpan w:val="2"/>
            <w:vMerge/>
            <w:shd w:val="clear" w:color="auto" w:fill="auto"/>
            <w:vAlign w:val="center"/>
          </w:tcPr>
          <w:p w14:paraId="43FEDEDF" w14:textId="77777777" w:rsidR="008A249B" w:rsidRPr="003C7722" w:rsidRDefault="008A249B" w:rsidP="00752E7A">
            <w:pPr>
              <w:spacing w:before="40" w:after="20"/>
              <w:jc w:val="center"/>
              <w:rPr>
                <w:rFonts w:ascii="Arial Narrow" w:hAnsi="Arial Narrow"/>
                <w:b/>
                <w:bCs/>
                <w:sz w:val="18"/>
                <w:szCs w:val="18"/>
              </w:rPr>
            </w:pPr>
          </w:p>
        </w:tc>
      </w:tr>
      <w:tr w:rsidR="008A249B" w:rsidRPr="003C7722" w14:paraId="462D75AF" w14:textId="77777777" w:rsidTr="003A1781">
        <w:trPr>
          <w:gridAfter w:val="1"/>
          <w:wAfter w:w="7" w:type="dxa"/>
          <w:trHeight w:val="255"/>
        </w:trPr>
        <w:tc>
          <w:tcPr>
            <w:tcW w:w="1348" w:type="dxa"/>
            <w:vMerge/>
            <w:shd w:val="clear" w:color="auto" w:fill="auto"/>
            <w:noWrap/>
            <w:vAlign w:val="center"/>
          </w:tcPr>
          <w:p w14:paraId="084D1C6A" w14:textId="77777777" w:rsidR="008A249B" w:rsidRPr="003C7722" w:rsidRDefault="008A249B" w:rsidP="00752E7A">
            <w:pPr>
              <w:spacing w:before="40" w:after="20"/>
              <w:ind w:left="-57"/>
              <w:rPr>
                <w:rFonts w:ascii="Arial Narrow" w:hAnsi="Arial Narrow"/>
                <w:sz w:val="18"/>
                <w:szCs w:val="18"/>
              </w:rPr>
            </w:pPr>
          </w:p>
        </w:tc>
        <w:tc>
          <w:tcPr>
            <w:tcW w:w="1832" w:type="dxa"/>
            <w:gridSpan w:val="2"/>
            <w:shd w:val="clear" w:color="auto" w:fill="D9D9D9"/>
            <w:vAlign w:val="center"/>
          </w:tcPr>
          <w:p w14:paraId="1147BFF7" w14:textId="77777777" w:rsidR="008A249B" w:rsidRPr="004C7973" w:rsidRDefault="008A249B" w:rsidP="00752E7A">
            <w:pPr>
              <w:spacing w:before="40" w:after="20"/>
              <w:ind w:right="-70"/>
              <w:jc w:val="center"/>
              <w:rPr>
                <w:rFonts w:ascii="Arial Narrow" w:hAnsi="Arial Narrow"/>
                <w:sz w:val="18"/>
                <w:szCs w:val="18"/>
              </w:rPr>
            </w:pPr>
            <w:r w:rsidRPr="004C7973">
              <w:rPr>
                <w:rFonts w:ascii="Arial Narrow" w:hAnsi="Arial Narrow"/>
                <w:sz w:val="18"/>
                <w:szCs w:val="18"/>
              </w:rPr>
              <w:t>Dati destagionalizzati</w:t>
            </w:r>
          </w:p>
        </w:tc>
        <w:tc>
          <w:tcPr>
            <w:tcW w:w="1732" w:type="dxa"/>
            <w:gridSpan w:val="2"/>
            <w:shd w:val="clear" w:color="auto" w:fill="auto"/>
            <w:vAlign w:val="center"/>
          </w:tcPr>
          <w:p w14:paraId="089C15B7" w14:textId="77777777" w:rsidR="008A249B" w:rsidRPr="004C7973" w:rsidRDefault="008A249B" w:rsidP="00752E7A">
            <w:pPr>
              <w:spacing w:before="40" w:after="20"/>
              <w:ind w:right="-70"/>
              <w:jc w:val="center"/>
              <w:rPr>
                <w:rFonts w:ascii="Arial Narrow" w:hAnsi="Arial Narrow"/>
                <w:sz w:val="18"/>
                <w:szCs w:val="18"/>
              </w:rPr>
            </w:pPr>
            <w:r w:rsidRPr="004C7973">
              <w:rPr>
                <w:rFonts w:ascii="Arial Narrow" w:hAnsi="Arial Narrow"/>
                <w:sz w:val="18"/>
                <w:szCs w:val="18"/>
              </w:rPr>
              <w:t>Dati grezzi</w:t>
            </w:r>
          </w:p>
        </w:tc>
        <w:tc>
          <w:tcPr>
            <w:tcW w:w="1891" w:type="dxa"/>
            <w:gridSpan w:val="3"/>
            <w:tcBorders>
              <w:bottom w:val="single" w:sz="4" w:space="0" w:color="333333"/>
            </w:tcBorders>
            <w:shd w:val="clear" w:color="auto" w:fill="D9D9D9"/>
            <w:vAlign w:val="center"/>
          </w:tcPr>
          <w:p w14:paraId="66F9BCAF" w14:textId="36BC2FD0" w:rsidR="008A249B" w:rsidRPr="004C7973" w:rsidRDefault="008A249B" w:rsidP="00BE5EB4">
            <w:pPr>
              <w:spacing w:before="40" w:after="20"/>
              <w:jc w:val="center"/>
              <w:rPr>
                <w:rFonts w:ascii="Arial Narrow" w:hAnsi="Arial Narrow"/>
                <w:sz w:val="18"/>
                <w:szCs w:val="18"/>
              </w:rPr>
            </w:pPr>
            <w:r w:rsidRPr="004C7973">
              <w:rPr>
                <w:rFonts w:ascii="Arial Narrow" w:hAnsi="Arial Narrow"/>
                <w:sz w:val="18"/>
                <w:szCs w:val="18"/>
              </w:rPr>
              <w:t>Dati destagionalizzati</w:t>
            </w:r>
          </w:p>
        </w:tc>
        <w:tc>
          <w:tcPr>
            <w:tcW w:w="1828" w:type="dxa"/>
            <w:gridSpan w:val="3"/>
            <w:tcBorders>
              <w:bottom w:val="single" w:sz="4" w:space="0" w:color="333333"/>
            </w:tcBorders>
            <w:shd w:val="clear" w:color="auto" w:fill="auto"/>
            <w:noWrap/>
            <w:vAlign w:val="center"/>
          </w:tcPr>
          <w:p w14:paraId="15C8700D" w14:textId="77777777" w:rsidR="008A249B" w:rsidRPr="004C7973" w:rsidRDefault="008A249B" w:rsidP="00752E7A">
            <w:pPr>
              <w:spacing w:before="40" w:after="20"/>
              <w:jc w:val="center"/>
              <w:rPr>
                <w:rFonts w:ascii="Arial Narrow" w:hAnsi="Arial Narrow"/>
                <w:sz w:val="18"/>
                <w:szCs w:val="18"/>
              </w:rPr>
            </w:pPr>
            <w:r w:rsidRPr="004C7973">
              <w:rPr>
                <w:rFonts w:ascii="Arial Narrow" w:hAnsi="Arial Narrow"/>
                <w:sz w:val="18"/>
                <w:szCs w:val="18"/>
              </w:rPr>
              <w:t>Dati grezzi</w:t>
            </w:r>
          </w:p>
        </w:tc>
        <w:tc>
          <w:tcPr>
            <w:tcW w:w="1662" w:type="dxa"/>
            <w:gridSpan w:val="2"/>
            <w:tcBorders>
              <w:bottom w:val="single" w:sz="4" w:space="0" w:color="333333"/>
            </w:tcBorders>
            <w:shd w:val="clear" w:color="auto" w:fill="D9D9D9"/>
            <w:noWrap/>
            <w:vAlign w:val="center"/>
          </w:tcPr>
          <w:p w14:paraId="457F5A78" w14:textId="77777777" w:rsidR="008A249B" w:rsidRPr="004C7973" w:rsidRDefault="008A249B" w:rsidP="00752E7A">
            <w:pPr>
              <w:spacing w:before="40" w:after="20"/>
              <w:jc w:val="center"/>
              <w:rPr>
                <w:rFonts w:ascii="Arial Narrow" w:hAnsi="Arial Narrow"/>
                <w:sz w:val="18"/>
                <w:szCs w:val="18"/>
              </w:rPr>
            </w:pPr>
            <w:r w:rsidRPr="004C7973">
              <w:rPr>
                <w:rFonts w:ascii="Arial Narrow" w:hAnsi="Arial Narrow"/>
                <w:sz w:val="18"/>
                <w:szCs w:val="18"/>
              </w:rPr>
              <w:t>Dati grezzi</w:t>
            </w:r>
          </w:p>
          <w:p w14:paraId="41BE8CD4" w14:textId="77777777" w:rsidR="008A249B" w:rsidRPr="004C7973" w:rsidRDefault="008A249B" w:rsidP="00752E7A">
            <w:pPr>
              <w:spacing w:before="40" w:after="20"/>
              <w:jc w:val="center"/>
              <w:rPr>
                <w:rFonts w:ascii="Arial Narrow" w:hAnsi="Arial Narrow"/>
                <w:sz w:val="18"/>
                <w:szCs w:val="18"/>
              </w:rPr>
            </w:pPr>
            <w:r w:rsidRPr="004C7973">
              <w:rPr>
                <w:rFonts w:ascii="Arial Narrow" w:hAnsi="Arial Narrow"/>
                <w:sz w:val="18"/>
                <w:szCs w:val="18"/>
              </w:rPr>
              <w:t>Milioni di euro</w:t>
            </w:r>
          </w:p>
        </w:tc>
      </w:tr>
      <w:tr w:rsidR="00470B67" w:rsidRPr="003C7722" w14:paraId="2010DAFB" w14:textId="77777777" w:rsidTr="00F92D55">
        <w:trPr>
          <w:trHeight w:val="255"/>
        </w:trPr>
        <w:tc>
          <w:tcPr>
            <w:tcW w:w="1348" w:type="dxa"/>
            <w:vMerge/>
            <w:shd w:val="clear" w:color="auto" w:fill="auto"/>
            <w:noWrap/>
            <w:vAlign w:val="center"/>
          </w:tcPr>
          <w:p w14:paraId="59089E27" w14:textId="77777777" w:rsidR="00470B67" w:rsidRPr="003C7722" w:rsidRDefault="00470B67" w:rsidP="00470B67">
            <w:pPr>
              <w:spacing w:before="40" w:after="20"/>
              <w:ind w:left="-57"/>
              <w:rPr>
                <w:rFonts w:ascii="Arial Narrow" w:hAnsi="Arial Narrow"/>
                <w:sz w:val="18"/>
                <w:szCs w:val="18"/>
              </w:rPr>
            </w:pPr>
          </w:p>
        </w:tc>
        <w:tc>
          <w:tcPr>
            <w:tcW w:w="709" w:type="dxa"/>
            <w:shd w:val="clear" w:color="auto" w:fill="auto"/>
            <w:vAlign w:val="center"/>
          </w:tcPr>
          <w:p w14:paraId="3AA8275E" w14:textId="390628DE"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5FFB1BE3" w14:textId="345A2ED2"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dic 21</w:t>
            </w:r>
          </w:p>
        </w:tc>
        <w:tc>
          <w:tcPr>
            <w:tcW w:w="1130" w:type="dxa"/>
            <w:gridSpan w:val="2"/>
            <w:shd w:val="clear" w:color="auto" w:fill="auto"/>
            <w:noWrap/>
            <w:vAlign w:val="center"/>
          </w:tcPr>
          <w:p w14:paraId="3F69AC08" w14:textId="19501556"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nov 21-gen 22</w:t>
            </w:r>
          </w:p>
          <w:p w14:paraId="53F97D35" w14:textId="6CF1612C"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ago-ott 21</w:t>
            </w:r>
          </w:p>
        </w:tc>
        <w:tc>
          <w:tcPr>
            <w:tcW w:w="1732" w:type="dxa"/>
            <w:gridSpan w:val="2"/>
            <w:shd w:val="clear" w:color="auto" w:fill="auto"/>
            <w:vAlign w:val="center"/>
          </w:tcPr>
          <w:p w14:paraId="56FE049D"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77B03CCE" w14:textId="6A03DC5D"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gen 21</w:t>
            </w:r>
          </w:p>
        </w:tc>
        <w:tc>
          <w:tcPr>
            <w:tcW w:w="665" w:type="dxa"/>
            <w:shd w:val="clear" w:color="auto" w:fill="auto"/>
            <w:noWrap/>
            <w:vAlign w:val="center"/>
          </w:tcPr>
          <w:p w14:paraId="73515882"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530BFB1C" w14:textId="12BD571C"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dic 21</w:t>
            </w:r>
          </w:p>
        </w:tc>
        <w:tc>
          <w:tcPr>
            <w:tcW w:w="1226" w:type="dxa"/>
            <w:gridSpan w:val="2"/>
            <w:shd w:val="clear" w:color="auto" w:fill="auto"/>
            <w:vAlign w:val="center"/>
          </w:tcPr>
          <w:p w14:paraId="5BE8E971"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nov 21-gen 22</w:t>
            </w:r>
          </w:p>
          <w:p w14:paraId="4CDFAFAE" w14:textId="115069FF"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ago-ott 21</w:t>
            </w:r>
          </w:p>
        </w:tc>
        <w:tc>
          <w:tcPr>
            <w:tcW w:w="1828" w:type="dxa"/>
            <w:gridSpan w:val="3"/>
            <w:shd w:val="clear" w:color="auto" w:fill="auto"/>
            <w:noWrap/>
            <w:vAlign w:val="center"/>
          </w:tcPr>
          <w:p w14:paraId="65110154"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048EB5AF" w14:textId="586CDDD6"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gen 21</w:t>
            </w:r>
          </w:p>
        </w:tc>
        <w:tc>
          <w:tcPr>
            <w:tcW w:w="1662" w:type="dxa"/>
            <w:gridSpan w:val="2"/>
            <w:tcBorders>
              <w:bottom w:val="nil"/>
            </w:tcBorders>
            <w:shd w:val="clear" w:color="auto" w:fill="auto"/>
            <w:noWrap/>
            <w:vAlign w:val="center"/>
          </w:tcPr>
          <w:p w14:paraId="38F16733" w14:textId="184E4B42"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gen 22</w:t>
            </w:r>
          </w:p>
        </w:tc>
      </w:tr>
      <w:tr w:rsidR="008F7887" w:rsidRPr="008C0651" w14:paraId="68DE349A" w14:textId="77777777" w:rsidTr="00F92D55">
        <w:trPr>
          <w:trHeight w:val="255"/>
        </w:trPr>
        <w:tc>
          <w:tcPr>
            <w:tcW w:w="1348" w:type="dxa"/>
            <w:shd w:val="clear" w:color="auto" w:fill="auto"/>
            <w:noWrap/>
            <w:vAlign w:val="center"/>
          </w:tcPr>
          <w:p w14:paraId="41ADA5A7" w14:textId="77777777" w:rsidR="008F7887" w:rsidRPr="007C052D" w:rsidRDefault="008F7887" w:rsidP="008F7887">
            <w:pPr>
              <w:spacing w:before="40" w:after="20"/>
              <w:rPr>
                <w:rFonts w:ascii="Arial Narrow" w:hAnsi="Arial Narrow"/>
                <w:sz w:val="18"/>
                <w:szCs w:val="18"/>
              </w:rPr>
            </w:pPr>
            <w:r w:rsidRPr="007C052D">
              <w:rPr>
                <w:rFonts w:ascii="Arial Narrow" w:hAnsi="Arial Narrow"/>
                <w:sz w:val="18"/>
                <w:szCs w:val="18"/>
              </w:rPr>
              <w:t>Paesi Ue27</w:t>
            </w:r>
          </w:p>
        </w:tc>
        <w:tc>
          <w:tcPr>
            <w:tcW w:w="709" w:type="dxa"/>
            <w:shd w:val="clear" w:color="auto" w:fill="D9D9D9"/>
            <w:vAlign w:val="bottom"/>
          </w:tcPr>
          <w:p w14:paraId="3DB8C2AC" w14:textId="2558C33F" w:rsidR="008F7887" w:rsidRDefault="008F7887" w:rsidP="008F7887">
            <w:pPr>
              <w:jc w:val="center"/>
              <w:rPr>
                <w:rFonts w:ascii="Arial Narrow" w:hAnsi="Arial Narrow"/>
                <w:sz w:val="18"/>
                <w:szCs w:val="18"/>
              </w:rPr>
            </w:pPr>
            <w:r>
              <w:rPr>
                <w:rFonts w:ascii="Arial Narrow" w:hAnsi="Arial Narrow"/>
                <w:sz w:val="18"/>
                <w:szCs w:val="18"/>
              </w:rPr>
              <w:t>+5,1</w:t>
            </w:r>
          </w:p>
        </w:tc>
        <w:tc>
          <w:tcPr>
            <w:tcW w:w="1130" w:type="dxa"/>
            <w:gridSpan w:val="2"/>
            <w:shd w:val="clear" w:color="auto" w:fill="D9D9D9"/>
            <w:noWrap/>
            <w:vAlign w:val="bottom"/>
          </w:tcPr>
          <w:p w14:paraId="74111381" w14:textId="14D7FCEF" w:rsidR="008F7887" w:rsidRDefault="008F7887" w:rsidP="008F7887">
            <w:pPr>
              <w:jc w:val="center"/>
              <w:rPr>
                <w:rFonts w:ascii="Arial Narrow" w:hAnsi="Arial Narrow"/>
                <w:sz w:val="18"/>
                <w:szCs w:val="18"/>
              </w:rPr>
            </w:pPr>
            <w:r>
              <w:rPr>
                <w:rFonts w:ascii="Arial Narrow" w:hAnsi="Arial Narrow"/>
                <w:sz w:val="18"/>
                <w:szCs w:val="18"/>
              </w:rPr>
              <w:t>+5,1</w:t>
            </w:r>
          </w:p>
        </w:tc>
        <w:tc>
          <w:tcPr>
            <w:tcW w:w="1732" w:type="dxa"/>
            <w:gridSpan w:val="2"/>
            <w:vAlign w:val="bottom"/>
          </w:tcPr>
          <w:p w14:paraId="2796DB11" w14:textId="049B1B0A" w:rsidR="008F7887" w:rsidRDefault="008F7887" w:rsidP="008F7887">
            <w:pPr>
              <w:jc w:val="center"/>
              <w:rPr>
                <w:rFonts w:ascii="Arial Narrow" w:hAnsi="Arial Narrow"/>
                <w:sz w:val="18"/>
                <w:szCs w:val="18"/>
              </w:rPr>
            </w:pPr>
            <w:r>
              <w:rPr>
                <w:rFonts w:ascii="Arial Narrow" w:hAnsi="Arial Narrow"/>
                <w:sz w:val="18"/>
                <w:szCs w:val="18"/>
              </w:rPr>
              <w:t>+25,5</w:t>
            </w:r>
          </w:p>
        </w:tc>
        <w:tc>
          <w:tcPr>
            <w:tcW w:w="665" w:type="dxa"/>
            <w:shd w:val="clear" w:color="auto" w:fill="D9D9D9"/>
            <w:noWrap/>
            <w:vAlign w:val="bottom"/>
          </w:tcPr>
          <w:p w14:paraId="615EF4A3" w14:textId="48B28784" w:rsidR="008F7887" w:rsidRPr="00BE5EB4" w:rsidRDefault="008F7887" w:rsidP="008F7887">
            <w:pPr>
              <w:jc w:val="center"/>
              <w:rPr>
                <w:rFonts w:ascii="Arial Narrow" w:hAnsi="Arial Narrow"/>
                <w:sz w:val="18"/>
                <w:szCs w:val="18"/>
              </w:rPr>
            </w:pPr>
            <w:r w:rsidRPr="00BE5EB4">
              <w:rPr>
                <w:rFonts w:ascii="Arial Narrow" w:hAnsi="Arial Narrow"/>
                <w:sz w:val="18"/>
                <w:szCs w:val="18"/>
              </w:rPr>
              <w:t>-4,3</w:t>
            </w:r>
          </w:p>
        </w:tc>
        <w:tc>
          <w:tcPr>
            <w:tcW w:w="1226" w:type="dxa"/>
            <w:gridSpan w:val="2"/>
            <w:shd w:val="clear" w:color="auto" w:fill="D9D9D9"/>
            <w:vAlign w:val="bottom"/>
          </w:tcPr>
          <w:p w14:paraId="12DC0CC6" w14:textId="6655D55A" w:rsidR="008F7887" w:rsidRPr="00BE5EB4" w:rsidRDefault="008F7887" w:rsidP="008F7887">
            <w:pPr>
              <w:jc w:val="center"/>
              <w:rPr>
                <w:rFonts w:ascii="Arial Narrow" w:hAnsi="Arial Narrow"/>
                <w:sz w:val="18"/>
                <w:szCs w:val="18"/>
              </w:rPr>
            </w:pPr>
            <w:r w:rsidRPr="00BE5EB4">
              <w:rPr>
                <w:rFonts w:ascii="Arial Narrow" w:hAnsi="Arial Narrow"/>
                <w:sz w:val="18"/>
                <w:szCs w:val="18"/>
              </w:rPr>
              <w:t>+9,1</w:t>
            </w:r>
          </w:p>
        </w:tc>
        <w:tc>
          <w:tcPr>
            <w:tcW w:w="1828" w:type="dxa"/>
            <w:gridSpan w:val="3"/>
            <w:shd w:val="clear" w:color="auto" w:fill="auto"/>
            <w:noWrap/>
            <w:vAlign w:val="bottom"/>
          </w:tcPr>
          <w:p w14:paraId="7E4193A9" w14:textId="003587C6" w:rsidR="008F7887" w:rsidRDefault="008F7887" w:rsidP="008F7887">
            <w:pPr>
              <w:jc w:val="center"/>
              <w:rPr>
                <w:rFonts w:ascii="Arial Narrow" w:hAnsi="Arial Narrow"/>
                <w:sz w:val="18"/>
                <w:szCs w:val="18"/>
              </w:rPr>
            </w:pPr>
            <w:r>
              <w:rPr>
                <w:rFonts w:ascii="Arial Narrow" w:hAnsi="Arial Narrow"/>
                <w:sz w:val="18"/>
                <w:szCs w:val="18"/>
              </w:rPr>
              <w:t>+29,0</w:t>
            </w:r>
          </w:p>
        </w:tc>
        <w:tc>
          <w:tcPr>
            <w:tcW w:w="1662" w:type="dxa"/>
            <w:gridSpan w:val="2"/>
            <w:shd w:val="clear" w:color="auto" w:fill="D9D9D9"/>
            <w:noWrap/>
            <w:vAlign w:val="bottom"/>
          </w:tcPr>
          <w:p w14:paraId="60EC6B53" w14:textId="0F0AD5D1" w:rsidR="008F7887" w:rsidRDefault="008F7887" w:rsidP="008F7887">
            <w:pPr>
              <w:jc w:val="center"/>
              <w:rPr>
                <w:rFonts w:ascii="Arial Narrow" w:hAnsi="Arial Narrow"/>
                <w:sz w:val="18"/>
                <w:szCs w:val="18"/>
              </w:rPr>
            </w:pPr>
            <w:r>
              <w:rPr>
                <w:rFonts w:ascii="Arial Narrow" w:hAnsi="Arial Narrow"/>
                <w:sz w:val="18"/>
                <w:szCs w:val="18"/>
              </w:rPr>
              <w:t>-890</w:t>
            </w:r>
          </w:p>
        </w:tc>
      </w:tr>
      <w:tr w:rsidR="008F7887" w:rsidRPr="008C0651" w14:paraId="09132992" w14:textId="77777777" w:rsidTr="00F92D55">
        <w:trPr>
          <w:trHeight w:val="255"/>
        </w:trPr>
        <w:tc>
          <w:tcPr>
            <w:tcW w:w="1348" w:type="dxa"/>
            <w:shd w:val="clear" w:color="auto" w:fill="auto"/>
            <w:noWrap/>
            <w:vAlign w:val="center"/>
          </w:tcPr>
          <w:p w14:paraId="2F94F5E7" w14:textId="77777777" w:rsidR="008F7887" w:rsidRPr="007C052D" w:rsidRDefault="008F7887" w:rsidP="008F7887">
            <w:pPr>
              <w:spacing w:before="40" w:after="20"/>
              <w:rPr>
                <w:rFonts w:ascii="Arial Narrow" w:hAnsi="Arial Narrow"/>
                <w:sz w:val="18"/>
                <w:szCs w:val="18"/>
              </w:rPr>
            </w:pPr>
            <w:r w:rsidRPr="007C052D">
              <w:rPr>
                <w:rFonts w:ascii="Arial Narrow" w:hAnsi="Arial Narrow"/>
                <w:sz w:val="18"/>
                <w:szCs w:val="18"/>
              </w:rPr>
              <w:t>Paesi extra Ue27</w:t>
            </w:r>
          </w:p>
        </w:tc>
        <w:tc>
          <w:tcPr>
            <w:tcW w:w="709" w:type="dxa"/>
            <w:shd w:val="clear" w:color="auto" w:fill="D9D9D9"/>
            <w:vAlign w:val="bottom"/>
          </w:tcPr>
          <w:p w14:paraId="00AA5F5C" w14:textId="4F326CF9" w:rsidR="008F7887" w:rsidRDefault="008F7887" w:rsidP="008F7887">
            <w:pPr>
              <w:jc w:val="center"/>
              <w:rPr>
                <w:rFonts w:ascii="Arial Narrow" w:hAnsi="Arial Narrow"/>
                <w:sz w:val="18"/>
                <w:szCs w:val="18"/>
              </w:rPr>
            </w:pPr>
            <w:r>
              <w:rPr>
                <w:rFonts w:ascii="Arial Narrow" w:hAnsi="Arial Narrow"/>
                <w:sz w:val="18"/>
                <w:szCs w:val="18"/>
              </w:rPr>
              <w:t>+5,4</w:t>
            </w:r>
          </w:p>
        </w:tc>
        <w:tc>
          <w:tcPr>
            <w:tcW w:w="1130" w:type="dxa"/>
            <w:gridSpan w:val="2"/>
            <w:shd w:val="clear" w:color="auto" w:fill="D9D9D9"/>
            <w:noWrap/>
            <w:vAlign w:val="bottom"/>
          </w:tcPr>
          <w:p w14:paraId="231907FE" w14:textId="6E137E6C" w:rsidR="008F7887" w:rsidRDefault="008F7887" w:rsidP="008F7887">
            <w:pPr>
              <w:jc w:val="center"/>
              <w:rPr>
                <w:rFonts w:ascii="Arial Narrow" w:hAnsi="Arial Narrow"/>
                <w:sz w:val="18"/>
                <w:szCs w:val="18"/>
              </w:rPr>
            </w:pPr>
            <w:r>
              <w:rPr>
                <w:rFonts w:ascii="Arial Narrow" w:hAnsi="Arial Narrow"/>
                <w:sz w:val="18"/>
                <w:szCs w:val="18"/>
              </w:rPr>
              <w:t>+4,3</w:t>
            </w:r>
          </w:p>
        </w:tc>
        <w:tc>
          <w:tcPr>
            <w:tcW w:w="1732" w:type="dxa"/>
            <w:gridSpan w:val="2"/>
            <w:vAlign w:val="bottom"/>
          </w:tcPr>
          <w:p w14:paraId="49B0FE27" w14:textId="196AE507" w:rsidR="008F7887" w:rsidRDefault="008F7887" w:rsidP="008F7887">
            <w:pPr>
              <w:jc w:val="center"/>
              <w:rPr>
                <w:rFonts w:ascii="Arial Narrow" w:hAnsi="Arial Narrow"/>
                <w:sz w:val="18"/>
                <w:szCs w:val="18"/>
              </w:rPr>
            </w:pPr>
            <w:r>
              <w:rPr>
                <w:rFonts w:ascii="Arial Narrow" w:hAnsi="Arial Narrow"/>
                <w:sz w:val="18"/>
                <w:szCs w:val="18"/>
              </w:rPr>
              <w:t>+19,2</w:t>
            </w:r>
          </w:p>
        </w:tc>
        <w:tc>
          <w:tcPr>
            <w:tcW w:w="665" w:type="dxa"/>
            <w:shd w:val="clear" w:color="auto" w:fill="D9D9D9"/>
            <w:noWrap/>
            <w:vAlign w:val="bottom"/>
          </w:tcPr>
          <w:p w14:paraId="2612FD24" w14:textId="371C9B3C" w:rsidR="008F7887" w:rsidRPr="00BE5EB4" w:rsidRDefault="00BE5EB4" w:rsidP="00BE5EB4">
            <w:pPr>
              <w:jc w:val="center"/>
              <w:rPr>
                <w:rFonts w:ascii="Arial Narrow" w:hAnsi="Arial Narrow"/>
                <w:sz w:val="18"/>
                <w:szCs w:val="18"/>
              </w:rPr>
            </w:pPr>
            <w:r>
              <w:rPr>
                <w:rFonts w:ascii="Arial Narrow" w:hAnsi="Arial Narrow"/>
                <w:sz w:val="18"/>
                <w:szCs w:val="18"/>
              </w:rPr>
              <w:t>(a)</w:t>
            </w:r>
          </w:p>
        </w:tc>
        <w:tc>
          <w:tcPr>
            <w:tcW w:w="1226" w:type="dxa"/>
            <w:gridSpan w:val="2"/>
            <w:shd w:val="clear" w:color="auto" w:fill="D9D9D9"/>
            <w:vAlign w:val="bottom"/>
          </w:tcPr>
          <w:p w14:paraId="41861D81" w14:textId="1BFF680F" w:rsidR="008F7887" w:rsidRPr="00BE5EB4" w:rsidRDefault="00BE5EB4" w:rsidP="008F7887">
            <w:pPr>
              <w:jc w:val="center"/>
              <w:rPr>
                <w:rFonts w:ascii="Arial Narrow" w:hAnsi="Arial Narrow"/>
                <w:sz w:val="18"/>
                <w:szCs w:val="18"/>
              </w:rPr>
            </w:pPr>
            <w:r>
              <w:rPr>
                <w:rFonts w:ascii="Arial Narrow" w:hAnsi="Arial Narrow"/>
                <w:sz w:val="18"/>
                <w:szCs w:val="18"/>
              </w:rPr>
              <w:t>(a)</w:t>
            </w:r>
          </w:p>
        </w:tc>
        <w:tc>
          <w:tcPr>
            <w:tcW w:w="1828" w:type="dxa"/>
            <w:gridSpan w:val="3"/>
            <w:shd w:val="clear" w:color="auto" w:fill="auto"/>
            <w:noWrap/>
            <w:vAlign w:val="bottom"/>
          </w:tcPr>
          <w:p w14:paraId="52BBE495" w14:textId="733CDC09" w:rsidR="008F7887" w:rsidRDefault="008F7887" w:rsidP="008F7887">
            <w:pPr>
              <w:jc w:val="center"/>
              <w:rPr>
                <w:rFonts w:ascii="Arial Narrow" w:hAnsi="Arial Narrow"/>
                <w:sz w:val="18"/>
                <w:szCs w:val="18"/>
              </w:rPr>
            </w:pPr>
            <w:r>
              <w:rPr>
                <w:rFonts w:ascii="Arial Narrow" w:hAnsi="Arial Narrow"/>
                <w:sz w:val="18"/>
                <w:szCs w:val="18"/>
              </w:rPr>
              <w:t>+65,5</w:t>
            </w:r>
          </w:p>
        </w:tc>
        <w:tc>
          <w:tcPr>
            <w:tcW w:w="1662" w:type="dxa"/>
            <w:gridSpan w:val="2"/>
            <w:shd w:val="clear" w:color="auto" w:fill="D9D9D9"/>
            <w:noWrap/>
            <w:vAlign w:val="bottom"/>
          </w:tcPr>
          <w:p w14:paraId="7A758242" w14:textId="3F49502E" w:rsidR="008F7887" w:rsidRDefault="008F7887" w:rsidP="008F7887">
            <w:pPr>
              <w:jc w:val="center"/>
              <w:rPr>
                <w:rFonts w:ascii="Arial Narrow" w:hAnsi="Arial Narrow"/>
                <w:sz w:val="18"/>
                <w:szCs w:val="18"/>
              </w:rPr>
            </w:pPr>
            <w:r>
              <w:rPr>
                <w:rFonts w:ascii="Arial Narrow" w:hAnsi="Arial Narrow"/>
                <w:sz w:val="18"/>
                <w:szCs w:val="18"/>
              </w:rPr>
              <w:t>-4.162</w:t>
            </w:r>
          </w:p>
        </w:tc>
      </w:tr>
      <w:tr w:rsidR="008F7887" w:rsidRPr="008C0651" w14:paraId="4E35E83B" w14:textId="77777777" w:rsidTr="00F92D55">
        <w:trPr>
          <w:trHeight w:val="255"/>
        </w:trPr>
        <w:tc>
          <w:tcPr>
            <w:tcW w:w="1348" w:type="dxa"/>
            <w:shd w:val="clear" w:color="auto" w:fill="auto"/>
            <w:noWrap/>
            <w:vAlign w:val="center"/>
          </w:tcPr>
          <w:p w14:paraId="3F2E88CD" w14:textId="77777777" w:rsidR="008F7887" w:rsidRPr="003C7722" w:rsidRDefault="008F7887" w:rsidP="008F7887">
            <w:pPr>
              <w:spacing w:before="40" w:after="20"/>
              <w:rPr>
                <w:rFonts w:ascii="Arial Narrow" w:hAnsi="Arial Narrow"/>
                <w:sz w:val="18"/>
                <w:szCs w:val="18"/>
              </w:rPr>
            </w:pPr>
            <w:r w:rsidRPr="003C7722">
              <w:rPr>
                <w:rFonts w:ascii="Arial Narrow" w:hAnsi="Arial Narrow"/>
                <w:sz w:val="18"/>
                <w:szCs w:val="18"/>
              </w:rPr>
              <w:t>Mondo</w:t>
            </w:r>
          </w:p>
        </w:tc>
        <w:tc>
          <w:tcPr>
            <w:tcW w:w="709" w:type="dxa"/>
            <w:shd w:val="clear" w:color="auto" w:fill="D9D9D9"/>
            <w:vAlign w:val="bottom"/>
          </w:tcPr>
          <w:p w14:paraId="7742F43D" w14:textId="3399A95A" w:rsidR="008F7887" w:rsidRDefault="008F7887" w:rsidP="008F7887">
            <w:pPr>
              <w:jc w:val="center"/>
              <w:rPr>
                <w:rFonts w:ascii="Arial Narrow" w:hAnsi="Arial Narrow"/>
                <w:sz w:val="18"/>
                <w:szCs w:val="18"/>
              </w:rPr>
            </w:pPr>
            <w:r>
              <w:rPr>
                <w:rFonts w:ascii="Arial Narrow" w:hAnsi="Arial Narrow"/>
                <w:sz w:val="18"/>
                <w:szCs w:val="18"/>
              </w:rPr>
              <w:t>+5,3</w:t>
            </w:r>
          </w:p>
        </w:tc>
        <w:tc>
          <w:tcPr>
            <w:tcW w:w="1130" w:type="dxa"/>
            <w:gridSpan w:val="2"/>
            <w:shd w:val="clear" w:color="auto" w:fill="D9D9D9"/>
            <w:noWrap/>
            <w:vAlign w:val="bottom"/>
          </w:tcPr>
          <w:p w14:paraId="5EA0CB35" w14:textId="68F287AA" w:rsidR="008F7887" w:rsidRDefault="008F7887" w:rsidP="008F7887">
            <w:pPr>
              <w:jc w:val="center"/>
              <w:rPr>
                <w:rFonts w:ascii="Arial Narrow" w:hAnsi="Arial Narrow"/>
                <w:sz w:val="18"/>
                <w:szCs w:val="18"/>
              </w:rPr>
            </w:pPr>
            <w:r>
              <w:rPr>
                <w:rFonts w:ascii="Arial Narrow" w:hAnsi="Arial Narrow"/>
                <w:sz w:val="18"/>
                <w:szCs w:val="18"/>
              </w:rPr>
              <w:t>+4,7</w:t>
            </w:r>
          </w:p>
        </w:tc>
        <w:tc>
          <w:tcPr>
            <w:tcW w:w="1732" w:type="dxa"/>
            <w:gridSpan w:val="2"/>
            <w:vAlign w:val="bottom"/>
          </w:tcPr>
          <w:p w14:paraId="02D81E9D" w14:textId="5772CE7E" w:rsidR="008F7887" w:rsidRDefault="008F7887" w:rsidP="008F7887">
            <w:pPr>
              <w:jc w:val="center"/>
              <w:rPr>
                <w:rFonts w:ascii="Arial Narrow" w:hAnsi="Arial Narrow"/>
                <w:sz w:val="18"/>
                <w:szCs w:val="18"/>
              </w:rPr>
            </w:pPr>
            <w:r>
              <w:rPr>
                <w:rFonts w:ascii="Arial Narrow" w:hAnsi="Arial Narrow"/>
                <w:sz w:val="18"/>
                <w:szCs w:val="18"/>
              </w:rPr>
              <w:t>+22,6</w:t>
            </w:r>
          </w:p>
        </w:tc>
        <w:tc>
          <w:tcPr>
            <w:tcW w:w="665" w:type="dxa"/>
            <w:shd w:val="clear" w:color="auto" w:fill="D9D9D9"/>
            <w:noWrap/>
            <w:vAlign w:val="bottom"/>
          </w:tcPr>
          <w:p w14:paraId="381B1F03" w14:textId="33FEE357" w:rsidR="008F7887" w:rsidRPr="00BE5EB4" w:rsidRDefault="00BE5EB4" w:rsidP="008F7887">
            <w:pPr>
              <w:jc w:val="center"/>
              <w:rPr>
                <w:rFonts w:ascii="Arial Narrow" w:hAnsi="Arial Narrow"/>
                <w:sz w:val="18"/>
                <w:szCs w:val="18"/>
              </w:rPr>
            </w:pPr>
            <w:r>
              <w:rPr>
                <w:rFonts w:ascii="Arial Narrow" w:hAnsi="Arial Narrow"/>
                <w:sz w:val="18"/>
                <w:szCs w:val="18"/>
              </w:rPr>
              <w:t>(a)</w:t>
            </w:r>
          </w:p>
        </w:tc>
        <w:tc>
          <w:tcPr>
            <w:tcW w:w="1226" w:type="dxa"/>
            <w:gridSpan w:val="2"/>
            <w:shd w:val="clear" w:color="auto" w:fill="D9D9D9"/>
            <w:vAlign w:val="bottom"/>
          </w:tcPr>
          <w:p w14:paraId="038195DB" w14:textId="468039AF" w:rsidR="008F7887" w:rsidRPr="00BE5EB4" w:rsidRDefault="00BE5EB4" w:rsidP="008F7887">
            <w:pPr>
              <w:jc w:val="center"/>
              <w:rPr>
                <w:rFonts w:ascii="Arial Narrow" w:hAnsi="Arial Narrow"/>
                <w:sz w:val="18"/>
                <w:szCs w:val="18"/>
              </w:rPr>
            </w:pPr>
            <w:r>
              <w:rPr>
                <w:rFonts w:ascii="Arial Narrow" w:hAnsi="Arial Narrow"/>
                <w:sz w:val="18"/>
                <w:szCs w:val="18"/>
              </w:rPr>
              <w:t>(a)</w:t>
            </w:r>
          </w:p>
        </w:tc>
        <w:tc>
          <w:tcPr>
            <w:tcW w:w="1828" w:type="dxa"/>
            <w:gridSpan w:val="3"/>
            <w:shd w:val="clear" w:color="auto" w:fill="auto"/>
            <w:noWrap/>
            <w:vAlign w:val="bottom"/>
          </w:tcPr>
          <w:p w14:paraId="51906A66" w14:textId="02E988AE" w:rsidR="008F7887" w:rsidRDefault="008F7887" w:rsidP="008F7887">
            <w:pPr>
              <w:jc w:val="center"/>
              <w:rPr>
                <w:rFonts w:ascii="Arial Narrow" w:hAnsi="Arial Narrow"/>
                <w:sz w:val="18"/>
                <w:szCs w:val="18"/>
              </w:rPr>
            </w:pPr>
            <w:r>
              <w:rPr>
                <w:rFonts w:ascii="Arial Narrow" w:hAnsi="Arial Narrow"/>
                <w:sz w:val="18"/>
                <w:szCs w:val="18"/>
              </w:rPr>
              <w:t>+44,5</w:t>
            </w:r>
          </w:p>
        </w:tc>
        <w:tc>
          <w:tcPr>
            <w:tcW w:w="1662" w:type="dxa"/>
            <w:gridSpan w:val="2"/>
            <w:shd w:val="clear" w:color="auto" w:fill="D9D9D9"/>
            <w:noWrap/>
            <w:vAlign w:val="bottom"/>
          </w:tcPr>
          <w:p w14:paraId="62EA3667" w14:textId="61F09412" w:rsidR="008F7887" w:rsidRDefault="008F7887" w:rsidP="008F7887">
            <w:pPr>
              <w:jc w:val="center"/>
              <w:rPr>
                <w:rFonts w:ascii="Arial Narrow" w:hAnsi="Arial Narrow"/>
                <w:sz w:val="18"/>
                <w:szCs w:val="18"/>
              </w:rPr>
            </w:pPr>
            <w:r>
              <w:rPr>
                <w:rFonts w:ascii="Arial Narrow" w:hAnsi="Arial Narrow"/>
                <w:sz w:val="18"/>
                <w:szCs w:val="18"/>
              </w:rPr>
              <w:t>-5.052</w:t>
            </w:r>
          </w:p>
        </w:tc>
      </w:tr>
      <w:tr w:rsidR="008F7887" w:rsidRPr="00826161" w14:paraId="3D21596F" w14:textId="77777777" w:rsidTr="00F92D55">
        <w:trPr>
          <w:trHeight w:val="255"/>
        </w:trPr>
        <w:tc>
          <w:tcPr>
            <w:tcW w:w="1348" w:type="dxa"/>
            <w:shd w:val="clear" w:color="auto" w:fill="auto"/>
            <w:noWrap/>
            <w:vAlign w:val="center"/>
          </w:tcPr>
          <w:p w14:paraId="051AFEF9" w14:textId="701612AF" w:rsidR="008F7887" w:rsidRPr="00826161" w:rsidRDefault="008F7887" w:rsidP="008F7887">
            <w:pPr>
              <w:spacing w:before="40" w:after="20"/>
              <w:rPr>
                <w:rFonts w:ascii="Arial Narrow" w:hAnsi="Arial Narrow"/>
                <w:sz w:val="18"/>
                <w:szCs w:val="18"/>
              </w:rPr>
            </w:pPr>
            <w:r w:rsidRPr="00826161">
              <w:rPr>
                <w:rFonts w:ascii="Arial Narrow" w:hAnsi="Arial Narrow"/>
                <w:sz w:val="18"/>
                <w:szCs w:val="18"/>
              </w:rPr>
              <w:t>Valori medi unitari</w:t>
            </w:r>
          </w:p>
        </w:tc>
        <w:tc>
          <w:tcPr>
            <w:tcW w:w="709" w:type="dxa"/>
            <w:shd w:val="clear" w:color="auto" w:fill="D9D9D9"/>
            <w:vAlign w:val="bottom"/>
          </w:tcPr>
          <w:p w14:paraId="77B43A45" w14:textId="77777777" w:rsidR="008F7887" w:rsidRPr="00826161" w:rsidRDefault="008F7887" w:rsidP="008F7887">
            <w:pPr>
              <w:jc w:val="center"/>
              <w:rPr>
                <w:rFonts w:ascii="Arial Narrow" w:hAnsi="Arial Narrow"/>
                <w:sz w:val="18"/>
                <w:szCs w:val="18"/>
              </w:rPr>
            </w:pPr>
          </w:p>
        </w:tc>
        <w:tc>
          <w:tcPr>
            <w:tcW w:w="1130" w:type="dxa"/>
            <w:gridSpan w:val="2"/>
            <w:shd w:val="clear" w:color="auto" w:fill="D9D9D9"/>
            <w:noWrap/>
            <w:vAlign w:val="bottom"/>
          </w:tcPr>
          <w:p w14:paraId="582C6286" w14:textId="77777777" w:rsidR="008F7887" w:rsidRPr="00826161" w:rsidRDefault="008F7887" w:rsidP="008F7887">
            <w:pPr>
              <w:jc w:val="center"/>
              <w:rPr>
                <w:sz w:val="20"/>
                <w:szCs w:val="20"/>
              </w:rPr>
            </w:pPr>
          </w:p>
        </w:tc>
        <w:tc>
          <w:tcPr>
            <w:tcW w:w="1732" w:type="dxa"/>
            <w:gridSpan w:val="2"/>
            <w:vAlign w:val="bottom"/>
          </w:tcPr>
          <w:p w14:paraId="7927CAC2" w14:textId="491FC046" w:rsidR="008F7887" w:rsidRPr="00826161" w:rsidRDefault="008F7887" w:rsidP="008F7887">
            <w:pPr>
              <w:jc w:val="center"/>
              <w:rPr>
                <w:rFonts w:ascii="Arial Narrow" w:hAnsi="Arial Narrow"/>
                <w:i/>
                <w:iCs/>
                <w:sz w:val="18"/>
                <w:szCs w:val="18"/>
              </w:rPr>
            </w:pPr>
            <w:r>
              <w:rPr>
                <w:rFonts w:ascii="Arial Narrow" w:hAnsi="Arial Narrow"/>
                <w:i/>
                <w:iCs/>
                <w:sz w:val="18"/>
                <w:szCs w:val="18"/>
              </w:rPr>
              <w:t>+16,3</w:t>
            </w:r>
          </w:p>
        </w:tc>
        <w:tc>
          <w:tcPr>
            <w:tcW w:w="665" w:type="dxa"/>
            <w:shd w:val="clear" w:color="auto" w:fill="D9D9D9"/>
            <w:noWrap/>
            <w:vAlign w:val="bottom"/>
          </w:tcPr>
          <w:p w14:paraId="069A6998" w14:textId="77777777" w:rsidR="008F7887" w:rsidRPr="00826161" w:rsidRDefault="008F7887" w:rsidP="008F7887">
            <w:pPr>
              <w:jc w:val="center"/>
              <w:rPr>
                <w:rFonts w:ascii="Arial Narrow" w:hAnsi="Arial Narrow"/>
                <w:i/>
                <w:iCs/>
                <w:sz w:val="18"/>
                <w:szCs w:val="18"/>
              </w:rPr>
            </w:pPr>
          </w:p>
        </w:tc>
        <w:tc>
          <w:tcPr>
            <w:tcW w:w="1226" w:type="dxa"/>
            <w:gridSpan w:val="2"/>
            <w:shd w:val="clear" w:color="auto" w:fill="D9D9D9"/>
            <w:vAlign w:val="bottom"/>
          </w:tcPr>
          <w:p w14:paraId="6CD19C18" w14:textId="77777777" w:rsidR="008F7887" w:rsidRPr="00826161" w:rsidRDefault="008F7887" w:rsidP="008F7887">
            <w:pPr>
              <w:jc w:val="center"/>
              <w:rPr>
                <w:sz w:val="20"/>
                <w:szCs w:val="20"/>
              </w:rPr>
            </w:pPr>
          </w:p>
        </w:tc>
        <w:tc>
          <w:tcPr>
            <w:tcW w:w="1828" w:type="dxa"/>
            <w:gridSpan w:val="3"/>
            <w:shd w:val="clear" w:color="auto" w:fill="auto"/>
            <w:noWrap/>
            <w:vAlign w:val="bottom"/>
          </w:tcPr>
          <w:p w14:paraId="7BEB7F07" w14:textId="61E10494" w:rsidR="008F7887" w:rsidRPr="00826161" w:rsidRDefault="008F7887" w:rsidP="008F7887">
            <w:pPr>
              <w:jc w:val="center"/>
              <w:rPr>
                <w:rFonts w:ascii="Arial Narrow" w:hAnsi="Arial Narrow"/>
                <w:i/>
                <w:iCs/>
                <w:sz w:val="18"/>
                <w:szCs w:val="18"/>
              </w:rPr>
            </w:pPr>
            <w:r>
              <w:rPr>
                <w:rFonts w:ascii="Arial Narrow" w:hAnsi="Arial Narrow"/>
                <w:i/>
                <w:iCs/>
                <w:sz w:val="18"/>
                <w:szCs w:val="18"/>
              </w:rPr>
              <w:t>+32,5</w:t>
            </w:r>
          </w:p>
        </w:tc>
        <w:tc>
          <w:tcPr>
            <w:tcW w:w="1662" w:type="dxa"/>
            <w:gridSpan w:val="2"/>
            <w:shd w:val="clear" w:color="auto" w:fill="D9D9D9"/>
            <w:noWrap/>
            <w:vAlign w:val="bottom"/>
          </w:tcPr>
          <w:p w14:paraId="6C5CBF3C" w14:textId="77777777" w:rsidR="008F7887" w:rsidRPr="00826161" w:rsidRDefault="008F7887" w:rsidP="008F7887">
            <w:pPr>
              <w:jc w:val="center"/>
              <w:rPr>
                <w:sz w:val="20"/>
                <w:szCs w:val="20"/>
              </w:rPr>
            </w:pPr>
          </w:p>
        </w:tc>
      </w:tr>
      <w:tr w:rsidR="0020128C" w:rsidRPr="008C0651" w14:paraId="31B81679" w14:textId="77777777" w:rsidTr="0020128C">
        <w:trPr>
          <w:trHeight w:val="20"/>
        </w:trPr>
        <w:tc>
          <w:tcPr>
            <w:tcW w:w="1348" w:type="dxa"/>
            <w:shd w:val="clear" w:color="auto" w:fill="auto"/>
            <w:noWrap/>
            <w:vAlign w:val="center"/>
          </w:tcPr>
          <w:p w14:paraId="4370BBE2" w14:textId="77777777" w:rsidR="0020128C" w:rsidRPr="00674C87" w:rsidRDefault="0020128C" w:rsidP="0020128C">
            <w:pPr>
              <w:spacing w:before="40" w:after="20"/>
              <w:rPr>
                <w:rFonts w:ascii="Arial Narrow" w:hAnsi="Arial Narrow"/>
                <w:sz w:val="18"/>
                <w:szCs w:val="18"/>
              </w:rPr>
            </w:pPr>
            <w:r w:rsidRPr="00674C87">
              <w:rPr>
                <w:rFonts w:ascii="Arial Narrow" w:hAnsi="Arial Narrow"/>
                <w:sz w:val="18"/>
                <w:szCs w:val="18"/>
              </w:rPr>
              <w:t>Volumi</w:t>
            </w:r>
          </w:p>
        </w:tc>
        <w:tc>
          <w:tcPr>
            <w:tcW w:w="709" w:type="dxa"/>
            <w:shd w:val="clear" w:color="auto" w:fill="D9D9D9"/>
            <w:vAlign w:val="center"/>
          </w:tcPr>
          <w:p w14:paraId="56E4AEA8" w14:textId="18CD2D48" w:rsidR="0020128C" w:rsidRDefault="0020128C" w:rsidP="0020128C">
            <w:pPr>
              <w:jc w:val="center"/>
              <w:rPr>
                <w:rFonts w:ascii="Arial Narrow" w:hAnsi="Arial Narrow"/>
                <w:i/>
                <w:iCs/>
                <w:sz w:val="18"/>
                <w:szCs w:val="18"/>
              </w:rPr>
            </w:pPr>
          </w:p>
        </w:tc>
        <w:tc>
          <w:tcPr>
            <w:tcW w:w="1130" w:type="dxa"/>
            <w:gridSpan w:val="2"/>
            <w:shd w:val="clear" w:color="auto" w:fill="D9D9D9"/>
            <w:noWrap/>
            <w:vAlign w:val="center"/>
          </w:tcPr>
          <w:p w14:paraId="1E0D4FE8" w14:textId="124ED549" w:rsidR="0020128C" w:rsidRDefault="0020128C" w:rsidP="0020128C">
            <w:pPr>
              <w:jc w:val="center"/>
              <w:rPr>
                <w:rFonts w:ascii="Arial Narrow" w:hAnsi="Arial Narrow"/>
                <w:i/>
                <w:iCs/>
                <w:sz w:val="18"/>
                <w:szCs w:val="18"/>
              </w:rPr>
            </w:pPr>
          </w:p>
        </w:tc>
        <w:tc>
          <w:tcPr>
            <w:tcW w:w="1732" w:type="dxa"/>
            <w:gridSpan w:val="2"/>
            <w:vAlign w:val="center"/>
          </w:tcPr>
          <w:p w14:paraId="63680B31" w14:textId="1D85F10F" w:rsidR="0020128C" w:rsidRDefault="0020128C" w:rsidP="0020128C">
            <w:pPr>
              <w:jc w:val="center"/>
              <w:rPr>
                <w:rFonts w:ascii="Arial Narrow" w:hAnsi="Arial Narrow"/>
                <w:i/>
                <w:iCs/>
                <w:sz w:val="18"/>
                <w:szCs w:val="18"/>
              </w:rPr>
            </w:pPr>
            <w:r>
              <w:rPr>
                <w:rFonts w:ascii="Arial Narrow" w:hAnsi="Arial Narrow"/>
                <w:i/>
                <w:iCs/>
                <w:sz w:val="18"/>
                <w:szCs w:val="18"/>
              </w:rPr>
              <w:t>+5,5</w:t>
            </w:r>
          </w:p>
        </w:tc>
        <w:tc>
          <w:tcPr>
            <w:tcW w:w="665" w:type="dxa"/>
            <w:shd w:val="clear" w:color="auto" w:fill="D9D9D9"/>
            <w:noWrap/>
            <w:vAlign w:val="center"/>
          </w:tcPr>
          <w:p w14:paraId="29823789" w14:textId="755918D9" w:rsidR="0020128C" w:rsidRDefault="0020128C" w:rsidP="0020128C">
            <w:pPr>
              <w:jc w:val="center"/>
              <w:rPr>
                <w:rFonts w:ascii="Arial Narrow" w:hAnsi="Arial Narrow"/>
                <w:sz w:val="18"/>
                <w:szCs w:val="18"/>
              </w:rPr>
            </w:pPr>
          </w:p>
        </w:tc>
        <w:tc>
          <w:tcPr>
            <w:tcW w:w="1226" w:type="dxa"/>
            <w:gridSpan w:val="2"/>
            <w:shd w:val="clear" w:color="auto" w:fill="D9D9D9"/>
            <w:vAlign w:val="center"/>
          </w:tcPr>
          <w:p w14:paraId="0399495B" w14:textId="761B3A09" w:rsidR="0020128C" w:rsidRDefault="0020128C" w:rsidP="0020128C">
            <w:pPr>
              <w:jc w:val="center"/>
              <w:rPr>
                <w:rFonts w:ascii="Arial Narrow" w:hAnsi="Arial Narrow"/>
                <w:sz w:val="18"/>
                <w:szCs w:val="18"/>
              </w:rPr>
            </w:pPr>
          </w:p>
        </w:tc>
        <w:tc>
          <w:tcPr>
            <w:tcW w:w="1828" w:type="dxa"/>
            <w:gridSpan w:val="3"/>
            <w:shd w:val="clear" w:color="auto" w:fill="auto"/>
            <w:noWrap/>
            <w:vAlign w:val="center"/>
          </w:tcPr>
          <w:p w14:paraId="52512175" w14:textId="5FF83F58" w:rsidR="0020128C" w:rsidRDefault="0020128C" w:rsidP="0020128C">
            <w:pPr>
              <w:jc w:val="center"/>
              <w:rPr>
                <w:rFonts w:ascii="Arial Narrow" w:hAnsi="Arial Narrow"/>
                <w:i/>
                <w:iCs/>
                <w:sz w:val="18"/>
                <w:szCs w:val="18"/>
              </w:rPr>
            </w:pPr>
            <w:r>
              <w:rPr>
                <w:rFonts w:ascii="Arial Narrow" w:hAnsi="Arial Narrow"/>
                <w:i/>
                <w:iCs/>
                <w:sz w:val="18"/>
                <w:szCs w:val="18"/>
              </w:rPr>
              <w:t>+9,0</w:t>
            </w:r>
          </w:p>
        </w:tc>
        <w:tc>
          <w:tcPr>
            <w:tcW w:w="1662" w:type="dxa"/>
            <w:gridSpan w:val="2"/>
            <w:shd w:val="clear" w:color="auto" w:fill="D9D9D9"/>
            <w:noWrap/>
            <w:vAlign w:val="center"/>
          </w:tcPr>
          <w:p w14:paraId="1ED3783A" w14:textId="1EB80399" w:rsidR="0020128C" w:rsidRDefault="0020128C" w:rsidP="0020128C">
            <w:pPr>
              <w:rPr>
                <w:rFonts w:ascii="Arial Narrow" w:hAnsi="Arial Narrow"/>
                <w:sz w:val="18"/>
                <w:szCs w:val="18"/>
              </w:rPr>
            </w:pPr>
          </w:p>
        </w:tc>
      </w:tr>
    </w:tbl>
    <w:p w14:paraId="502D3A44" w14:textId="77434B98" w:rsidR="0020128C" w:rsidRPr="0020128C" w:rsidRDefault="0020128C" w:rsidP="0020128C">
      <w:pPr>
        <w:spacing w:line="240" w:lineRule="exact"/>
        <w:rPr>
          <w:rFonts w:ascii="Arial Narrow" w:hAnsi="Arial Narrow" w:cs="Arial"/>
          <w:b/>
          <w:sz w:val="22"/>
          <w:szCs w:val="22"/>
        </w:rPr>
      </w:pPr>
      <w:r w:rsidRPr="0020128C">
        <w:rPr>
          <w:rFonts w:ascii="Arial Narrow" w:hAnsi="Arial Narrow" w:cs="Arial"/>
          <w:sz w:val="16"/>
          <w:szCs w:val="16"/>
        </w:rPr>
        <w:t xml:space="preserve"> (a)  La variazione non è calcolata perché influenzata dalla revisione in corso dell’import del gas naturale allo stato gassoso.</w:t>
      </w:r>
    </w:p>
    <w:p w14:paraId="61B2F9A6" w14:textId="3F920572" w:rsidR="0067206D" w:rsidRPr="0020128C" w:rsidRDefault="0067206D" w:rsidP="0020128C">
      <w:pPr>
        <w:spacing w:line="240" w:lineRule="exact"/>
        <w:rPr>
          <w:rFonts w:ascii="Arial Narrow" w:hAnsi="Arial Narrow" w:cs="Arial"/>
          <w:b/>
          <w:color w:val="FF0000"/>
          <w:sz w:val="22"/>
          <w:szCs w:val="22"/>
        </w:rPr>
      </w:pPr>
    </w:p>
    <w:p w14:paraId="3D28EBF7" w14:textId="77777777" w:rsidR="009F4E0C" w:rsidRDefault="009F4E0C" w:rsidP="00AF23DD">
      <w:pPr>
        <w:pStyle w:val="Corpodeltesto1"/>
        <w:rPr>
          <w:rFonts w:ascii="Arial Narrow" w:hAnsi="Arial Narrow" w:cs="Arial"/>
          <w:bCs/>
          <w:color w:val="E42618"/>
          <w:kern w:val="28"/>
          <w:sz w:val="22"/>
          <w:szCs w:val="22"/>
        </w:rPr>
      </w:pPr>
    </w:p>
    <w:p w14:paraId="4BDFB4B0" w14:textId="53108E1E" w:rsidR="00AF23DD" w:rsidRDefault="003C7722" w:rsidP="00AF23DD">
      <w:pPr>
        <w:pStyle w:val="Corpodeltesto1"/>
        <w:rPr>
          <w:rFonts w:ascii="Arial" w:hAnsi="Arial" w:cs="Arial"/>
          <w:sz w:val="17"/>
          <w:szCs w:val="17"/>
        </w:rPr>
      </w:pPr>
      <w:r w:rsidRPr="00831F78">
        <w:rPr>
          <w:rFonts w:ascii="Arial Narrow" w:hAnsi="Arial Narrow" w:cs="Arial"/>
          <w:bCs/>
          <w:color w:val="E42618"/>
          <w:kern w:val="28"/>
          <w:sz w:val="22"/>
          <w:szCs w:val="22"/>
        </w:rPr>
        <w:t xml:space="preserve">PROSPETTO </w:t>
      </w:r>
      <w:r w:rsidR="00831F78">
        <w:rPr>
          <w:rFonts w:ascii="Arial Narrow" w:hAnsi="Arial Narrow" w:cs="Arial"/>
          <w:bCs/>
          <w:color w:val="E42618"/>
          <w:kern w:val="28"/>
          <w:sz w:val="22"/>
          <w:szCs w:val="22"/>
        </w:rPr>
        <w:t>2</w:t>
      </w:r>
      <w:r w:rsidRPr="00831F78">
        <w:rPr>
          <w:rFonts w:ascii="Arial Narrow" w:hAnsi="Arial Narrow" w:cs="Arial"/>
          <w:bCs/>
          <w:color w:val="E42618"/>
          <w:kern w:val="28"/>
          <w:sz w:val="22"/>
          <w:szCs w:val="22"/>
        </w:rPr>
        <w:t xml:space="preserve">. </w:t>
      </w:r>
      <w:r w:rsidRPr="00831F78">
        <w:rPr>
          <w:rFonts w:ascii="Arial Narrow" w:hAnsi="Arial Narrow" w:cs="Arial"/>
          <w:bCs/>
          <w:color w:val="5F5F5F"/>
          <w:kern w:val="28"/>
          <w:sz w:val="22"/>
          <w:szCs w:val="22"/>
        </w:rPr>
        <w:t>ESPORTAZIONI, IMPORTAZIONI E SALDI DELLA BILANCIA COMMERCIALE SECONDO I RAGGRUPPAMENTI PRINCIPALI DI INDUSTRIE</w:t>
      </w:r>
      <w:r w:rsidRPr="00B37F7D">
        <w:rPr>
          <w:rFonts w:ascii="Arial" w:hAnsi="Arial" w:cs="Arial"/>
          <w:sz w:val="17"/>
          <w:szCs w:val="17"/>
        </w:rPr>
        <w:t xml:space="preserve"> </w:t>
      </w:r>
    </w:p>
    <w:p w14:paraId="6023A485" w14:textId="648F75A9" w:rsidR="00AF23DD" w:rsidRPr="00EE5993" w:rsidRDefault="00470B67" w:rsidP="00AF23DD">
      <w:pPr>
        <w:spacing w:after="120"/>
        <w:rPr>
          <w:rFonts w:ascii="Arial Narrow" w:hAnsi="Arial Narrow" w:cs="Arial"/>
          <w:b/>
          <w:bCs/>
          <w:i/>
          <w:sz w:val="16"/>
          <w:szCs w:val="19"/>
        </w:rPr>
      </w:pPr>
      <w:r>
        <w:rPr>
          <w:rFonts w:ascii="Arial Narrow" w:hAnsi="Arial Narrow" w:cs="Arial"/>
          <w:color w:val="5F5F5F"/>
          <w:sz w:val="20"/>
        </w:rPr>
        <w:t>Gennaio</w:t>
      </w:r>
      <w:r w:rsidR="003A1781">
        <w:rPr>
          <w:rFonts w:ascii="Arial Narrow" w:hAnsi="Arial Narrow" w:cs="Arial"/>
          <w:color w:val="5F5F5F"/>
          <w:sz w:val="20"/>
        </w:rPr>
        <w:t xml:space="preserve"> </w:t>
      </w:r>
      <w:r>
        <w:rPr>
          <w:rFonts w:ascii="Arial Narrow" w:hAnsi="Arial Narrow" w:cs="Arial"/>
          <w:color w:val="5F5F5F"/>
          <w:sz w:val="20"/>
        </w:rPr>
        <w:t>2022</w:t>
      </w:r>
      <w:r w:rsidR="003C7722" w:rsidRPr="00EE5993">
        <w:rPr>
          <w:rFonts w:ascii="Arial Narrow" w:hAnsi="Arial Narrow" w:cs="Arial"/>
          <w:color w:val="5F5F5F"/>
          <w:sz w:val="20"/>
        </w:rPr>
        <w:t xml:space="preserve">, variazioni percentuali </w:t>
      </w:r>
      <w:r w:rsidR="00516EEC" w:rsidRPr="00EE5993">
        <w:rPr>
          <w:rFonts w:ascii="Arial Narrow" w:hAnsi="Arial Narrow" w:cs="Arial"/>
          <w:color w:val="5F5F5F"/>
          <w:sz w:val="20"/>
        </w:rPr>
        <w:t xml:space="preserve">congiunturali e tendenziali </w:t>
      </w:r>
      <w:r w:rsidR="003C7722" w:rsidRPr="00EE5993">
        <w:rPr>
          <w:rFonts w:ascii="Arial Narrow" w:hAnsi="Arial Narrow" w:cs="Arial"/>
          <w:color w:val="5F5F5F"/>
          <w:sz w:val="20"/>
        </w:rPr>
        <w:t>e</w:t>
      </w:r>
      <w:r w:rsidR="003C7722" w:rsidRPr="00EE5993">
        <w:rPr>
          <w:rFonts w:ascii="Arial Narrow" w:hAnsi="Arial Narrow" w:cs="Arial"/>
          <w:b/>
          <w:color w:val="5F5F5F"/>
          <w:sz w:val="20"/>
        </w:rPr>
        <w:t xml:space="preserve"> </w:t>
      </w:r>
      <w:r w:rsidR="00AF23DD" w:rsidRPr="00EE5993">
        <w:rPr>
          <w:rFonts w:ascii="Arial Narrow" w:hAnsi="Arial Narrow" w:cs="Arial"/>
          <w:color w:val="5F5F5F"/>
          <w:sz w:val="20"/>
        </w:rPr>
        <w:t>saldi in milioni di euro</w:t>
      </w:r>
    </w:p>
    <w:tbl>
      <w:tblPr>
        <w:tblW w:w="10235" w:type="dxa"/>
        <w:tblInd w:w="70" w:type="dxa"/>
        <w:tblLayout w:type="fixed"/>
        <w:tblCellMar>
          <w:left w:w="70" w:type="dxa"/>
          <w:right w:w="70" w:type="dxa"/>
        </w:tblCellMar>
        <w:tblLook w:val="04A0" w:firstRow="1" w:lastRow="0" w:firstColumn="1" w:lastColumn="0" w:noHBand="0" w:noVBand="1"/>
      </w:tblPr>
      <w:tblGrid>
        <w:gridCol w:w="1587"/>
        <w:gridCol w:w="665"/>
        <w:gridCol w:w="1108"/>
        <w:gridCol w:w="1702"/>
        <w:gridCol w:w="708"/>
        <w:gridCol w:w="1134"/>
        <w:gridCol w:w="1638"/>
        <w:gridCol w:w="1693"/>
      </w:tblGrid>
      <w:tr w:rsidR="00D35D89" w:rsidRPr="00831F78" w14:paraId="0BCC3916" w14:textId="77777777" w:rsidTr="00752E7A">
        <w:trPr>
          <w:trHeight w:val="255"/>
        </w:trPr>
        <w:tc>
          <w:tcPr>
            <w:tcW w:w="1587" w:type="dxa"/>
            <w:vMerge w:val="restart"/>
            <w:tcBorders>
              <w:top w:val="single" w:sz="4" w:space="0" w:color="auto"/>
              <w:left w:val="nil"/>
              <w:bottom w:val="single" w:sz="4" w:space="0" w:color="000000"/>
              <w:right w:val="nil"/>
            </w:tcBorders>
            <w:shd w:val="clear" w:color="auto" w:fill="auto"/>
            <w:vAlign w:val="center"/>
          </w:tcPr>
          <w:p w14:paraId="4F6652DB" w14:textId="77777777" w:rsidR="00D35D89" w:rsidRPr="00831F78" w:rsidRDefault="00D35D89" w:rsidP="00752E7A">
            <w:pPr>
              <w:spacing w:before="40" w:after="20"/>
              <w:rPr>
                <w:rFonts w:ascii="Arial Narrow" w:hAnsi="Arial Narrow"/>
                <w:b/>
                <w:sz w:val="18"/>
                <w:szCs w:val="18"/>
              </w:rPr>
            </w:pPr>
            <w:r w:rsidRPr="000A4139">
              <w:rPr>
                <w:rFonts w:ascii="Arial Narrow" w:hAnsi="Arial Narrow"/>
                <w:b/>
                <w:sz w:val="18"/>
                <w:szCs w:val="18"/>
              </w:rPr>
              <w:t xml:space="preserve">RAGGRUPPAMENTI PRINCIPALI </w:t>
            </w:r>
            <w:r w:rsidRPr="000A4139">
              <w:rPr>
                <w:rFonts w:ascii="Arial Narrow" w:hAnsi="Arial Narrow"/>
                <w:b/>
                <w:sz w:val="18"/>
                <w:szCs w:val="18"/>
              </w:rPr>
              <w:br/>
              <w:t>DI INDUSTRIE</w:t>
            </w:r>
          </w:p>
        </w:tc>
        <w:tc>
          <w:tcPr>
            <w:tcW w:w="3475" w:type="dxa"/>
            <w:gridSpan w:val="3"/>
            <w:tcBorders>
              <w:top w:val="single" w:sz="4" w:space="0" w:color="auto"/>
              <w:left w:val="nil"/>
              <w:bottom w:val="single" w:sz="4" w:space="0" w:color="auto"/>
              <w:right w:val="nil"/>
            </w:tcBorders>
            <w:shd w:val="clear" w:color="auto" w:fill="D9D9D9"/>
            <w:vAlign w:val="center"/>
          </w:tcPr>
          <w:p w14:paraId="2385880F" w14:textId="77777777" w:rsidR="00D35D89" w:rsidRPr="00831F78" w:rsidRDefault="00D35D89" w:rsidP="00752E7A">
            <w:pPr>
              <w:spacing w:before="40" w:after="20"/>
              <w:jc w:val="center"/>
              <w:rPr>
                <w:rFonts w:ascii="Arial Narrow" w:hAnsi="Arial Narrow"/>
                <w:sz w:val="18"/>
                <w:szCs w:val="18"/>
              </w:rPr>
            </w:pPr>
            <w:r w:rsidRPr="00831F78">
              <w:rPr>
                <w:rFonts w:ascii="Arial Narrow" w:hAnsi="Arial Narrow" w:cs="Arial"/>
                <w:b/>
                <w:sz w:val="18"/>
                <w:szCs w:val="18"/>
              </w:rPr>
              <w:t>ESPORTAZIONI</w:t>
            </w:r>
          </w:p>
        </w:tc>
        <w:tc>
          <w:tcPr>
            <w:tcW w:w="3480" w:type="dxa"/>
            <w:gridSpan w:val="3"/>
            <w:tcBorders>
              <w:top w:val="single" w:sz="4" w:space="0" w:color="auto"/>
              <w:left w:val="nil"/>
              <w:bottom w:val="single" w:sz="4" w:space="0" w:color="auto"/>
              <w:right w:val="nil"/>
            </w:tcBorders>
            <w:shd w:val="clear" w:color="auto" w:fill="auto"/>
            <w:vAlign w:val="center"/>
          </w:tcPr>
          <w:p w14:paraId="54C15B86" w14:textId="77777777" w:rsidR="00D35D89" w:rsidRPr="00831F78" w:rsidRDefault="00D35D89" w:rsidP="00752E7A">
            <w:pPr>
              <w:spacing w:before="40" w:after="20"/>
              <w:jc w:val="center"/>
              <w:rPr>
                <w:rFonts w:ascii="Arial Narrow" w:hAnsi="Arial Narrow" w:cs="Arial"/>
                <w:sz w:val="18"/>
                <w:szCs w:val="18"/>
              </w:rPr>
            </w:pPr>
            <w:r w:rsidRPr="00831F78">
              <w:rPr>
                <w:rFonts w:ascii="Arial Narrow" w:hAnsi="Arial Narrow" w:cs="Arial"/>
                <w:b/>
                <w:sz w:val="18"/>
                <w:szCs w:val="18"/>
              </w:rPr>
              <w:t>IMPORTAZIONI</w:t>
            </w:r>
          </w:p>
        </w:tc>
        <w:tc>
          <w:tcPr>
            <w:tcW w:w="1693" w:type="dxa"/>
            <w:vMerge w:val="restart"/>
            <w:tcBorders>
              <w:top w:val="single" w:sz="4" w:space="0" w:color="auto"/>
              <w:left w:val="nil"/>
              <w:right w:val="nil"/>
            </w:tcBorders>
            <w:shd w:val="clear" w:color="auto" w:fill="D9D9D9"/>
            <w:vAlign w:val="center"/>
          </w:tcPr>
          <w:p w14:paraId="18E106BD" w14:textId="77777777" w:rsidR="00D35D89" w:rsidRPr="00831F78" w:rsidRDefault="00D35D89" w:rsidP="00752E7A">
            <w:pPr>
              <w:spacing w:before="40" w:after="20"/>
              <w:jc w:val="center"/>
              <w:rPr>
                <w:rFonts w:ascii="Arial Narrow" w:hAnsi="Arial Narrow" w:cs="Arial"/>
                <w:b/>
                <w:sz w:val="18"/>
                <w:szCs w:val="18"/>
              </w:rPr>
            </w:pPr>
            <w:r w:rsidRPr="00831F78">
              <w:rPr>
                <w:rFonts w:ascii="Arial Narrow" w:hAnsi="Arial Narrow" w:cs="Arial"/>
                <w:b/>
                <w:sz w:val="18"/>
                <w:szCs w:val="18"/>
              </w:rPr>
              <w:t>SALDI</w:t>
            </w:r>
          </w:p>
        </w:tc>
      </w:tr>
      <w:tr w:rsidR="00D35D89" w:rsidRPr="00831F78" w14:paraId="113A08E3" w14:textId="77777777" w:rsidTr="00752E7A">
        <w:trPr>
          <w:trHeight w:val="255"/>
        </w:trPr>
        <w:tc>
          <w:tcPr>
            <w:tcW w:w="1587" w:type="dxa"/>
            <w:vMerge/>
            <w:tcBorders>
              <w:top w:val="single" w:sz="4" w:space="0" w:color="auto"/>
              <w:left w:val="nil"/>
              <w:bottom w:val="single" w:sz="4" w:space="0" w:color="000000"/>
              <w:right w:val="nil"/>
            </w:tcBorders>
            <w:vAlign w:val="center"/>
          </w:tcPr>
          <w:p w14:paraId="34B6ABDA" w14:textId="77777777" w:rsidR="00D35D89" w:rsidRPr="00831F78" w:rsidRDefault="00D35D89" w:rsidP="00752E7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auto"/>
            <w:vAlign w:val="center"/>
          </w:tcPr>
          <w:p w14:paraId="5EEBA023" w14:textId="77777777" w:rsidR="00D35D89" w:rsidRPr="003C7722" w:rsidRDefault="00D35D89" w:rsidP="00752E7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702" w:type="dxa"/>
            <w:tcBorders>
              <w:top w:val="single" w:sz="4" w:space="0" w:color="auto"/>
              <w:left w:val="nil"/>
              <w:bottom w:val="single" w:sz="4" w:space="0" w:color="auto"/>
              <w:right w:val="nil"/>
            </w:tcBorders>
            <w:shd w:val="clear" w:color="auto" w:fill="auto"/>
            <w:vAlign w:val="center"/>
          </w:tcPr>
          <w:p w14:paraId="106B45AB" w14:textId="77777777" w:rsidR="00D35D89" w:rsidRDefault="00D35D89" w:rsidP="00752E7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7E5C7A9F" w14:textId="77777777" w:rsidR="00D35D89" w:rsidRPr="003C7722" w:rsidRDefault="00D35D89" w:rsidP="00752E7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842" w:type="dxa"/>
            <w:gridSpan w:val="2"/>
            <w:tcBorders>
              <w:top w:val="single" w:sz="4" w:space="0" w:color="auto"/>
              <w:left w:val="nil"/>
              <w:bottom w:val="single" w:sz="4" w:space="0" w:color="auto"/>
              <w:right w:val="nil"/>
            </w:tcBorders>
            <w:shd w:val="clear" w:color="auto" w:fill="auto"/>
            <w:vAlign w:val="center"/>
          </w:tcPr>
          <w:p w14:paraId="3CD92D3C" w14:textId="77777777" w:rsidR="00D35D89" w:rsidRPr="003C7722" w:rsidRDefault="00D35D89" w:rsidP="00752E7A">
            <w:pPr>
              <w:tabs>
                <w:tab w:val="left" w:pos="1316"/>
              </w:tabs>
              <w:spacing w:before="40" w:after="20"/>
              <w:ind w:right="-70"/>
              <w:jc w:val="center"/>
              <w:rPr>
                <w:rFonts w:ascii="Arial Narrow" w:hAnsi="Arial Narrow" w:cs="Arial"/>
                <w:b/>
                <w:sz w:val="18"/>
                <w:szCs w:val="18"/>
              </w:rPr>
            </w:pPr>
            <w:r w:rsidRPr="00AF23DD">
              <w:rPr>
                <w:rFonts w:ascii="Arial Narrow" w:hAnsi="Arial Narrow" w:cs="Arial"/>
                <w:b/>
                <w:sz w:val="18"/>
                <w:szCs w:val="18"/>
              </w:rPr>
              <w:t>Variazioni congiunturali</w:t>
            </w:r>
          </w:p>
        </w:tc>
        <w:tc>
          <w:tcPr>
            <w:tcW w:w="1638" w:type="dxa"/>
            <w:tcBorders>
              <w:top w:val="single" w:sz="4" w:space="0" w:color="auto"/>
              <w:left w:val="nil"/>
              <w:bottom w:val="single" w:sz="4" w:space="0" w:color="auto"/>
              <w:right w:val="nil"/>
            </w:tcBorders>
            <w:shd w:val="clear" w:color="auto" w:fill="auto"/>
            <w:vAlign w:val="center"/>
          </w:tcPr>
          <w:p w14:paraId="72A919DB" w14:textId="77777777" w:rsidR="00D35D89" w:rsidRDefault="00D35D89" w:rsidP="00752E7A">
            <w:pPr>
              <w:tabs>
                <w:tab w:val="left" w:pos="1316"/>
              </w:tabs>
              <w:spacing w:before="40"/>
              <w:ind w:right="-68"/>
              <w:jc w:val="center"/>
              <w:rPr>
                <w:rFonts w:ascii="Arial Narrow" w:hAnsi="Arial Narrow" w:cs="Arial"/>
                <w:b/>
                <w:sz w:val="18"/>
                <w:szCs w:val="18"/>
              </w:rPr>
            </w:pPr>
            <w:r w:rsidRPr="00AF23DD">
              <w:rPr>
                <w:rFonts w:ascii="Arial Narrow" w:hAnsi="Arial Narrow" w:cs="Arial"/>
                <w:b/>
                <w:sz w:val="18"/>
                <w:szCs w:val="18"/>
              </w:rPr>
              <w:t>Variazioni</w:t>
            </w:r>
          </w:p>
          <w:p w14:paraId="5C51D633" w14:textId="77777777" w:rsidR="00D35D89" w:rsidRPr="003C7722" w:rsidRDefault="00D35D89" w:rsidP="00752E7A">
            <w:pPr>
              <w:tabs>
                <w:tab w:val="left" w:pos="1316"/>
              </w:tabs>
              <w:spacing w:before="40"/>
              <w:ind w:right="-68"/>
              <w:jc w:val="center"/>
              <w:rPr>
                <w:rFonts w:ascii="Arial Narrow" w:hAnsi="Arial Narrow" w:cs="Arial"/>
                <w:b/>
                <w:sz w:val="18"/>
                <w:szCs w:val="18"/>
              </w:rPr>
            </w:pPr>
            <w:r>
              <w:rPr>
                <w:rFonts w:ascii="Arial Narrow" w:hAnsi="Arial Narrow" w:cs="Arial"/>
                <w:b/>
                <w:sz w:val="18"/>
                <w:szCs w:val="18"/>
              </w:rPr>
              <w:t>tendenziali</w:t>
            </w:r>
          </w:p>
        </w:tc>
        <w:tc>
          <w:tcPr>
            <w:tcW w:w="1693" w:type="dxa"/>
            <w:vMerge/>
            <w:tcBorders>
              <w:left w:val="nil"/>
              <w:bottom w:val="single" w:sz="4" w:space="0" w:color="auto"/>
              <w:right w:val="nil"/>
            </w:tcBorders>
            <w:shd w:val="clear" w:color="auto" w:fill="D9D9D9"/>
            <w:vAlign w:val="center"/>
          </w:tcPr>
          <w:p w14:paraId="4A93553E" w14:textId="77777777" w:rsidR="00D35D89" w:rsidRPr="00831F78" w:rsidRDefault="00D35D89" w:rsidP="00752E7A">
            <w:pPr>
              <w:spacing w:before="40" w:after="20"/>
              <w:jc w:val="center"/>
              <w:rPr>
                <w:rFonts w:ascii="Arial Narrow" w:hAnsi="Arial Narrow"/>
                <w:b/>
                <w:sz w:val="18"/>
                <w:szCs w:val="18"/>
              </w:rPr>
            </w:pPr>
          </w:p>
        </w:tc>
      </w:tr>
      <w:tr w:rsidR="00D35D89" w:rsidRPr="00831F78" w14:paraId="5171CC7C" w14:textId="77777777" w:rsidTr="00752E7A">
        <w:trPr>
          <w:trHeight w:val="255"/>
        </w:trPr>
        <w:tc>
          <w:tcPr>
            <w:tcW w:w="1587" w:type="dxa"/>
            <w:vMerge/>
            <w:tcBorders>
              <w:top w:val="single" w:sz="4" w:space="0" w:color="auto"/>
              <w:left w:val="nil"/>
              <w:bottom w:val="single" w:sz="4" w:space="0" w:color="000000"/>
              <w:right w:val="nil"/>
            </w:tcBorders>
            <w:vAlign w:val="center"/>
          </w:tcPr>
          <w:p w14:paraId="7A73AC60" w14:textId="77777777" w:rsidR="00D35D89" w:rsidRPr="00831F78" w:rsidRDefault="00D35D89" w:rsidP="00752E7A">
            <w:pPr>
              <w:spacing w:before="40" w:after="20"/>
              <w:rPr>
                <w:rFonts w:ascii="Arial Narrow" w:hAnsi="Arial Narrow"/>
                <w:sz w:val="18"/>
                <w:szCs w:val="18"/>
              </w:rPr>
            </w:pPr>
          </w:p>
        </w:tc>
        <w:tc>
          <w:tcPr>
            <w:tcW w:w="1773" w:type="dxa"/>
            <w:gridSpan w:val="2"/>
            <w:tcBorders>
              <w:top w:val="single" w:sz="4" w:space="0" w:color="auto"/>
              <w:left w:val="nil"/>
              <w:bottom w:val="single" w:sz="4" w:space="0" w:color="auto"/>
              <w:right w:val="nil"/>
            </w:tcBorders>
            <w:shd w:val="clear" w:color="auto" w:fill="D9D9D9"/>
            <w:vAlign w:val="center"/>
          </w:tcPr>
          <w:p w14:paraId="42A8DCC1" w14:textId="77777777" w:rsidR="00D35D89" w:rsidRPr="00626CC5" w:rsidRDefault="00D35D89" w:rsidP="00752E7A">
            <w:pPr>
              <w:spacing w:before="40" w:after="20"/>
              <w:jc w:val="center"/>
              <w:rPr>
                <w:rFonts w:ascii="Arial Narrow" w:hAnsi="Arial Narrow"/>
                <w:sz w:val="18"/>
                <w:szCs w:val="18"/>
              </w:rPr>
            </w:pPr>
            <w:r w:rsidRPr="00626CC5">
              <w:rPr>
                <w:rFonts w:ascii="Arial Narrow" w:hAnsi="Arial Narrow"/>
                <w:sz w:val="18"/>
                <w:szCs w:val="18"/>
              </w:rPr>
              <w:t>Dati destagionalizzati</w:t>
            </w:r>
          </w:p>
        </w:tc>
        <w:tc>
          <w:tcPr>
            <w:tcW w:w="1702" w:type="dxa"/>
            <w:tcBorders>
              <w:top w:val="single" w:sz="4" w:space="0" w:color="auto"/>
              <w:left w:val="nil"/>
              <w:bottom w:val="single" w:sz="4" w:space="0" w:color="auto"/>
              <w:right w:val="nil"/>
            </w:tcBorders>
            <w:shd w:val="clear" w:color="auto" w:fill="auto"/>
            <w:vAlign w:val="center"/>
          </w:tcPr>
          <w:p w14:paraId="6329B7F2" w14:textId="77777777" w:rsidR="00D35D89" w:rsidRPr="00626CC5" w:rsidRDefault="00D35D89" w:rsidP="00752E7A">
            <w:pPr>
              <w:spacing w:before="40" w:after="20"/>
              <w:jc w:val="center"/>
              <w:rPr>
                <w:rFonts w:ascii="Arial Narrow" w:hAnsi="Arial Narrow"/>
                <w:sz w:val="18"/>
                <w:szCs w:val="18"/>
              </w:rPr>
            </w:pPr>
            <w:r w:rsidRPr="00626CC5">
              <w:rPr>
                <w:rFonts w:ascii="Arial Narrow" w:hAnsi="Arial Narrow"/>
                <w:sz w:val="18"/>
                <w:szCs w:val="18"/>
              </w:rPr>
              <w:t>Dati grezzi</w:t>
            </w:r>
          </w:p>
        </w:tc>
        <w:tc>
          <w:tcPr>
            <w:tcW w:w="1842" w:type="dxa"/>
            <w:gridSpan w:val="2"/>
            <w:tcBorders>
              <w:top w:val="single" w:sz="4" w:space="0" w:color="auto"/>
              <w:left w:val="nil"/>
              <w:bottom w:val="single" w:sz="4" w:space="0" w:color="auto"/>
              <w:right w:val="nil"/>
            </w:tcBorders>
            <w:shd w:val="clear" w:color="auto" w:fill="D9D9D9"/>
            <w:vAlign w:val="center"/>
          </w:tcPr>
          <w:p w14:paraId="5282A4F7" w14:textId="7C78AC8D" w:rsidR="00D35D89" w:rsidRPr="00FB495E" w:rsidRDefault="00D35D89" w:rsidP="0020128C">
            <w:pPr>
              <w:spacing w:line="240" w:lineRule="exact"/>
              <w:jc w:val="center"/>
              <w:rPr>
                <w:rFonts w:ascii="Arial" w:hAnsi="Arial" w:cs="Arial"/>
                <w:b/>
                <w:color w:val="000000"/>
              </w:rPr>
            </w:pPr>
            <w:r w:rsidRPr="00626CC5">
              <w:rPr>
                <w:rFonts w:ascii="Arial Narrow" w:hAnsi="Arial Narrow"/>
                <w:sz w:val="18"/>
                <w:szCs w:val="18"/>
              </w:rPr>
              <w:t>Dati destagionalizzati</w:t>
            </w:r>
          </w:p>
        </w:tc>
        <w:tc>
          <w:tcPr>
            <w:tcW w:w="1638" w:type="dxa"/>
            <w:tcBorders>
              <w:top w:val="single" w:sz="4" w:space="0" w:color="auto"/>
              <w:left w:val="nil"/>
              <w:bottom w:val="single" w:sz="4" w:space="0" w:color="auto"/>
              <w:right w:val="nil"/>
            </w:tcBorders>
            <w:shd w:val="clear" w:color="auto" w:fill="auto"/>
            <w:vAlign w:val="center"/>
          </w:tcPr>
          <w:p w14:paraId="78FF80B4" w14:textId="77777777" w:rsidR="00D35D89" w:rsidRPr="00626CC5" w:rsidRDefault="00D35D89" w:rsidP="00752E7A">
            <w:pPr>
              <w:spacing w:before="40" w:after="20"/>
              <w:jc w:val="center"/>
              <w:rPr>
                <w:rFonts w:ascii="Arial Narrow" w:hAnsi="Arial Narrow"/>
                <w:sz w:val="18"/>
                <w:szCs w:val="18"/>
              </w:rPr>
            </w:pPr>
            <w:r w:rsidRPr="00626CC5">
              <w:rPr>
                <w:rFonts w:ascii="Arial Narrow" w:hAnsi="Arial Narrow"/>
                <w:sz w:val="18"/>
                <w:szCs w:val="18"/>
              </w:rPr>
              <w:t>Dati grezzi</w:t>
            </w:r>
          </w:p>
        </w:tc>
        <w:tc>
          <w:tcPr>
            <w:tcW w:w="1693" w:type="dxa"/>
            <w:tcBorders>
              <w:top w:val="single" w:sz="4" w:space="0" w:color="auto"/>
              <w:left w:val="nil"/>
              <w:bottom w:val="single" w:sz="4" w:space="0" w:color="auto"/>
              <w:right w:val="nil"/>
            </w:tcBorders>
            <w:shd w:val="clear" w:color="auto" w:fill="D9D9D9"/>
            <w:vAlign w:val="center"/>
          </w:tcPr>
          <w:p w14:paraId="7CF96595" w14:textId="77777777" w:rsidR="00D35D89" w:rsidRPr="00626CC5" w:rsidRDefault="00D35D89" w:rsidP="00752E7A">
            <w:pPr>
              <w:spacing w:before="40" w:after="20"/>
              <w:jc w:val="center"/>
              <w:rPr>
                <w:rFonts w:ascii="Arial Narrow" w:hAnsi="Arial Narrow"/>
                <w:sz w:val="18"/>
                <w:szCs w:val="18"/>
              </w:rPr>
            </w:pPr>
            <w:r w:rsidRPr="00626CC5">
              <w:rPr>
                <w:rFonts w:ascii="Arial Narrow" w:hAnsi="Arial Narrow"/>
                <w:sz w:val="18"/>
                <w:szCs w:val="18"/>
              </w:rPr>
              <w:t>Dati grezzi</w:t>
            </w:r>
          </w:p>
          <w:p w14:paraId="06BB106D" w14:textId="77777777" w:rsidR="00D35D89" w:rsidRPr="00626CC5" w:rsidRDefault="00D35D89" w:rsidP="00752E7A">
            <w:pPr>
              <w:spacing w:before="40" w:after="20"/>
              <w:jc w:val="center"/>
              <w:rPr>
                <w:rFonts w:ascii="Arial Narrow" w:hAnsi="Arial Narrow"/>
                <w:sz w:val="18"/>
                <w:szCs w:val="18"/>
              </w:rPr>
            </w:pPr>
            <w:r w:rsidRPr="00626CC5">
              <w:rPr>
                <w:rFonts w:ascii="Arial Narrow" w:hAnsi="Arial Narrow"/>
                <w:sz w:val="18"/>
                <w:szCs w:val="18"/>
              </w:rPr>
              <w:t>Milioni di euro</w:t>
            </w:r>
          </w:p>
        </w:tc>
      </w:tr>
      <w:tr w:rsidR="00470B67" w:rsidRPr="00831F78" w14:paraId="675A739C" w14:textId="77777777" w:rsidTr="00F92D55">
        <w:trPr>
          <w:trHeight w:val="255"/>
        </w:trPr>
        <w:tc>
          <w:tcPr>
            <w:tcW w:w="1587" w:type="dxa"/>
            <w:vMerge/>
            <w:tcBorders>
              <w:top w:val="single" w:sz="4" w:space="0" w:color="auto"/>
              <w:left w:val="nil"/>
              <w:bottom w:val="single" w:sz="4" w:space="0" w:color="000000"/>
              <w:right w:val="nil"/>
            </w:tcBorders>
            <w:vAlign w:val="center"/>
          </w:tcPr>
          <w:p w14:paraId="15BE954E" w14:textId="77777777" w:rsidR="00470B67" w:rsidRPr="00831F78" w:rsidRDefault="00470B67" w:rsidP="00470B67">
            <w:pPr>
              <w:spacing w:before="40" w:after="20"/>
              <w:rPr>
                <w:rFonts w:ascii="Arial Narrow" w:hAnsi="Arial Narrow"/>
                <w:sz w:val="18"/>
                <w:szCs w:val="18"/>
              </w:rPr>
            </w:pPr>
          </w:p>
        </w:tc>
        <w:tc>
          <w:tcPr>
            <w:tcW w:w="665" w:type="dxa"/>
            <w:tcBorders>
              <w:top w:val="nil"/>
              <w:left w:val="nil"/>
              <w:right w:val="nil"/>
            </w:tcBorders>
            <w:shd w:val="clear" w:color="auto" w:fill="auto"/>
            <w:vAlign w:val="center"/>
          </w:tcPr>
          <w:p w14:paraId="0DC5938D"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0391AEE9" w14:textId="6FBA48CF"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dic 21</w:t>
            </w:r>
          </w:p>
        </w:tc>
        <w:tc>
          <w:tcPr>
            <w:tcW w:w="1108" w:type="dxa"/>
            <w:tcBorders>
              <w:top w:val="nil"/>
              <w:left w:val="nil"/>
              <w:right w:val="nil"/>
            </w:tcBorders>
            <w:shd w:val="clear" w:color="auto" w:fill="auto"/>
            <w:vAlign w:val="center"/>
          </w:tcPr>
          <w:p w14:paraId="78CFF65B"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nov 21-gen 22</w:t>
            </w:r>
          </w:p>
          <w:p w14:paraId="39F9F750" w14:textId="5D2AF173"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ago-ott 21</w:t>
            </w:r>
          </w:p>
        </w:tc>
        <w:tc>
          <w:tcPr>
            <w:tcW w:w="1702" w:type="dxa"/>
            <w:tcBorders>
              <w:top w:val="nil"/>
              <w:left w:val="nil"/>
              <w:right w:val="nil"/>
            </w:tcBorders>
            <w:shd w:val="clear" w:color="auto" w:fill="auto"/>
            <w:noWrap/>
            <w:vAlign w:val="center"/>
          </w:tcPr>
          <w:p w14:paraId="7E9A1DB5"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606B6B28" w14:textId="7972A7C1"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gen 21</w:t>
            </w:r>
          </w:p>
        </w:tc>
        <w:tc>
          <w:tcPr>
            <w:tcW w:w="708" w:type="dxa"/>
            <w:tcBorders>
              <w:top w:val="nil"/>
              <w:left w:val="nil"/>
              <w:right w:val="nil"/>
            </w:tcBorders>
            <w:shd w:val="clear" w:color="auto" w:fill="auto"/>
            <w:vAlign w:val="center"/>
          </w:tcPr>
          <w:p w14:paraId="23DFC183"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1892588F" w14:textId="5A0F89BE"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dic 21</w:t>
            </w:r>
          </w:p>
        </w:tc>
        <w:tc>
          <w:tcPr>
            <w:tcW w:w="1134" w:type="dxa"/>
            <w:tcBorders>
              <w:top w:val="nil"/>
              <w:left w:val="nil"/>
              <w:right w:val="nil"/>
            </w:tcBorders>
            <w:shd w:val="clear" w:color="auto" w:fill="auto"/>
            <w:vAlign w:val="center"/>
          </w:tcPr>
          <w:p w14:paraId="01C55EAD"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nov 21-gen 22</w:t>
            </w:r>
          </w:p>
          <w:p w14:paraId="08B7D4B3" w14:textId="0BCDBE03"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ago-ott 21</w:t>
            </w:r>
          </w:p>
        </w:tc>
        <w:tc>
          <w:tcPr>
            <w:tcW w:w="1638" w:type="dxa"/>
            <w:tcBorders>
              <w:top w:val="nil"/>
              <w:left w:val="nil"/>
              <w:right w:val="nil"/>
            </w:tcBorders>
            <w:shd w:val="clear" w:color="auto" w:fill="auto"/>
            <w:noWrap/>
            <w:vAlign w:val="center"/>
          </w:tcPr>
          <w:p w14:paraId="5D44B2AB" w14:textId="77777777" w:rsidR="00470B67" w:rsidRPr="0069402A" w:rsidRDefault="00470B67" w:rsidP="00470B67">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019D844A" w14:textId="2F8724B6"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gen 21</w:t>
            </w:r>
          </w:p>
        </w:tc>
        <w:tc>
          <w:tcPr>
            <w:tcW w:w="1693" w:type="dxa"/>
            <w:tcBorders>
              <w:top w:val="single" w:sz="4" w:space="0" w:color="auto"/>
              <w:left w:val="nil"/>
              <w:right w:val="nil"/>
            </w:tcBorders>
            <w:shd w:val="clear" w:color="auto" w:fill="auto"/>
            <w:vAlign w:val="center"/>
          </w:tcPr>
          <w:p w14:paraId="069398D2" w14:textId="76981D0B" w:rsidR="00470B67" w:rsidRPr="003C7722" w:rsidRDefault="00470B67" w:rsidP="00470B67">
            <w:pPr>
              <w:spacing w:before="40" w:after="20"/>
              <w:jc w:val="center"/>
              <w:rPr>
                <w:rFonts w:ascii="Arial Narrow" w:hAnsi="Arial Narrow"/>
                <w:sz w:val="18"/>
                <w:szCs w:val="18"/>
                <w:lang w:val="en-US"/>
              </w:rPr>
            </w:pPr>
            <w:r>
              <w:rPr>
                <w:rFonts w:ascii="Arial Narrow" w:hAnsi="Arial Narrow"/>
                <w:sz w:val="18"/>
                <w:szCs w:val="18"/>
                <w:lang w:val="en-US"/>
              </w:rPr>
              <w:t>gen 22</w:t>
            </w:r>
          </w:p>
        </w:tc>
      </w:tr>
      <w:tr w:rsidR="008F7887" w:rsidRPr="008C0651" w14:paraId="4F5246D7" w14:textId="77777777" w:rsidTr="008F7887">
        <w:trPr>
          <w:trHeight w:val="255"/>
        </w:trPr>
        <w:tc>
          <w:tcPr>
            <w:tcW w:w="1587" w:type="dxa"/>
            <w:tcBorders>
              <w:top w:val="single" w:sz="4" w:space="0" w:color="auto"/>
              <w:left w:val="nil"/>
              <w:bottom w:val="single" w:sz="4" w:space="0" w:color="auto"/>
              <w:right w:val="nil"/>
            </w:tcBorders>
            <w:shd w:val="clear" w:color="auto" w:fill="auto"/>
            <w:vAlign w:val="bottom"/>
          </w:tcPr>
          <w:p w14:paraId="14121C87" w14:textId="77777777" w:rsidR="008F7887" w:rsidRPr="00831F78" w:rsidRDefault="008F7887" w:rsidP="008F7887">
            <w:pPr>
              <w:spacing w:before="40" w:after="20"/>
              <w:rPr>
                <w:rFonts w:ascii="Arial Narrow" w:hAnsi="Arial Narrow"/>
                <w:sz w:val="18"/>
                <w:szCs w:val="18"/>
              </w:rPr>
            </w:pPr>
            <w:r w:rsidRPr="00831F78">
              <w:rPr>
                <w:rFonts w:ascii="Arial Narrow" w:hAnsi="Arial Narrow"/>
                <w:sz w:val="18"/>
                <w:szCs w:val="18"/>
              </w:rPr>
              <w:t>Beni di consumo</w:t>
            </w:r>
          </w:p>
        </w:tc>
        <w:tc>
          <w:tcPr>
            <w:tcW w:w="665" w:type="dxa"/>
            <w:tcBorders>
              <w:top w:val="single" w:sz="4" w:space="0" w:color="auto"/>
              <w:left w:val="nil"/>
              <w:bottom w:val="single" w:sz="4" w:space="0" w:color="auto"/>
              <w:right w:val="nil"/>
            </w:tcBorders>
            <w:shd w:val="clear" w:color="auto" w:fill="D9D9D9"/>
            <w:noWrap/>
            <w:vAlign w:val="center"/>
          </w:tcPr>
          <w:p w14:paraId="15DD119B" w14:textId="3DAD33F9" w:rsidR="008F7887" w:rsidRDefault="008F7887" w:rsidP="008F7887">
            <w:pPr>
              <w:jc w:val="center"/>
              <w:rPr>
                <w:rFonts w:ascii="Arial Narrow" w:hAnsi="Arial Narrow"/>
                <w:sz w:val="18"/>
                <w:szCs w:val="18"/>
              </w:rPr>
            </w:pPr>
            <w:r>
              <w:rPr>
                <w:rFonts w:ascii="Arial Narrow" w:hAnsi="Arial Narrow"/>
                <w:sz w:val="18"/>
                <w:szCs w:val="18"/>
              </w:rPr>
              <w:t>+3,0</w:t>
            </w:r>
          </w:p>
        </w:tc>
        <w:tc>
          <w:tcPr>
            <w:tcW w:w="1108" w:type="dxa"/>
            <w:tcBorders>
              <w:top w:val="single" w:sz="4" w:space="0" w:color="auto"/>
              <w:left w:val="nil"/>
              <w:bottom w:val="single" w:sz="4" w:space="0" w:color="auto"/>
              <w:right w:val="nil"/>
            </w:tcBorders>
            <w:shd w:val="clear" w:color="auto" w:fill="D9D9D9"/>
            <w:noWrap/>
            <w:vAlign w:val="center"/>
          </w:tcPr>
          <w:p w14:paraId="5CF92160" w14:textId="456596F9" w:rsidR="008F7887" w:rsidRDefault="008F7887" w:rsidP="008F7887">
            <w:pPr>
              <w:jc w:val="center"/>
              <w:rPr>
                <w:rFonts w:ascii="Arial Narrow" w:hAnsi="Arial Narrow"/>
                <w:sz w:val="18"/>
                <w:szCs w:val="18"/>
              </w:rPr>
            </w:pPr>
            <w:r>
              <w:rPr>
                <w:rFonts w:ascii="Arial Narrow" w:hAnsi="Arial Narrow"/>
                <w:sz w:val="18"/>
                <w:szCs w:val="18"/>
              </w:rPr>
              <w:t>+4,1</w:t>
            </w:r>
          </w:p>
        </w:tc>
        <w:tc>
          <w:tcPr>
            <w:tcW w:w="1702" w:type="dxa"/>
            <w:tcBorders>
              <w:top w:val="single" w:sz="4" w:space="0" w:color="auto"/>
              <w:left w:val="nil"/>
              <w:bottom w:val="single" w:sz="4" w:space="0" w:color="auto"/>
              <w:right w:val="nil"/>
            </w:tcBorders>
            <w:shd w:val="clear" w:color="auto" w:fill="auto"/>
            <w:noWrap/>
            <w:vAlign w:val="center"/>
          </w:tcPr>
          <w:p w14:paraId="0F5C6012" w14:textId="5610F1A4" w:rsidR="008F7887" w:rsidRDefault="008F7887" w:rsidP="008F7887">
            <w:pPr>
              <w:jc w:val="center"/>
              <w:rPr>
                <w:rFonts w:ascii="Arial Narrow" w:hAnsi="Arial Narrow"/>
                <w:sz w:val="18"/>
                <w:szCs w:val="18"/>
              </w:rPr>
            </w:pPr>
            <w:r>
              <w:rPr>
                <w:rFonts w:ascii="Arial Narrow" w:hAnsi="Arial Narrow"/>
                <w:sz w:val="18"/>
                <w:szCs w:val="18"/>
              </w:rPr>
              <w:t>+19,6</w:t>
            </w:r>
          </w:p>
        </w:tc>
        <w:tc>
          <w:tcPr>
            <w:tcW w:w="708" w:type="dxa"/>
            <w:tcBorders>
              <w:top w:val="single" w:sz="4" w:space="0" w:color="auto"/>
              <w:left w:val="nil"/>
              <w:bottom w:val="single" w:sz="4" w:space="0" w:color="auto"/>
              <w:right w:val="nil"/>
            </w:tcBorders>
            <w:shd w:val="clear" w:color="auto" w:fill="D9D9D9"/>
            <w:noWrap/>
            <w:vAlign w:val="center"/>
          </w:tcPr>
          <w:p w14:paraId="65DE5B5E" w14:textId="25605829" w:rsidR="008F7887" w:rsidRDefault="008F7887" w:rsidP="008F7887">
            <w:pPr>
              <w:jc w:val="center"/>
              <w:rPr>
                <w:rFonts w:ascii="Arial Narrow" w:hAnsi="Arial Narrow"/>
                <w:sz w:val="18"/>
                <w:szCs w:val="18"/>
              </w:rPr>
            </w:pPr>
            <w:r>
              <w:rPr>
                <w:rFonts w:ascii="Arial Narrow" w:hAnsi="Arial Narrow"/>
                <w:sz w:val="18"/>
                <w:szCs w:val="18"/>
              </w:rPr>
              <w:t>+2,1</w:t>
            </w:r>
          </w:p>
        </w:tc>
        <w:tc>
          <w:tcPr>
            <w:tcW w:w="1134" w:type="dxa"/>
            <w:tcBorders>
              <w:top w:val="single" w:sz="4" w:space="0" w:color="auto"/>
              <w:left w:val="nil"/>
              <w:bottom w:val="single" w:sz="4" w:space="0" w:color="auto"/>
              <w:right w:val="nil"/>
            </w:tcBorders>
            <w:shd w:val="clear" w:color="auto" w:fill="D9D9D9"/>
            <w:noWrap/>
            <w:vAlign w:val="center"/>
          </w:tcPr>
          <w:p w14:paraId="1E641445" w14:textId="612A40F4" w:rsidR="008F7887" w:rsidRDefault="008F7887" w:rsidP="008F7887">
            <w:pPr>
              <w:jc w:val="center"/>
              <w:rPr>
                <w:rFonts w:ascii="Arial Narrow" w:hAnsi="Arial Narrow"/>
                <w:sz w:val="18"/>
                <w:szCs w:val="18"/>
              </w:rPr>
            </w:pPr>
            <w:r>
              <w:rPr>
                <w:rFonts w:ascii="Arial Narrow" w:hAnsi="Arial Narrow"/>
                <w:sz w:val="18"/>
                <w:szCs w:val="18"/>
              </w:rPr>
              <w:t>+7,0</w:t>
            </w:r>
          </w:p>
        </w:tc>
        <w:tc>
          <w:tcPr>
            <w:tcW w:w="1638" w:type="dxa"/>
            <w:tcBorders>
              <w:top w:val="single" w:sz="4" w:space="0" w:color="auto"/>
              <w:left w:val="nil"/>
              <w:bottom w:val="single" w:sz="4" w:space="0" w:color="auto"/>
              <w:right w:val="nil"/>
            </w:tcBorders>
            <w:shd w:val="clear" w:color="auto" w:fill="auto"/>
            <w:noWrap/>
            <w:vAlign w:val="center"/>
          </w:tcPr>
          <w:p w14:paraId="0B790378" w14:textId="11515349" w:rsidR="008F7887" w:rsidRDefault="008F7887" w:rsidP="008F7887">
            <w:pPr>
              <w:jc w:val="center"/>
              <w:rPr>
                <w:rFonts w:ascii="Arial Narrow" w:hAnsi="Arial Narrow"/>
                <w:sz w:val="18"/>
                <w:szCs w:val="18"/>
              </w:rPr>
            </w:pPr>
            <w:r>
              <w:rPr>
                <w:rFonts w:ascii="Arial Narrow" w:hAnsi="Arial Narrow"/>
                <w:sz w:val="18"/>
                <w:szCs w:val="18"/>
              </w:rPr>
              <w:t>+30,9</w:t>
            </w:r>
          </w:p>
        </w:tc>
        <w:tc>
          <w:tcPr>
            <w:tcW w:w="1693" w:type="dxa"/>
            <w:tcBorders>
              <w:top w:val="single" w:sz="4" w:space="0" w:color="auto"/>
              <w:left w:val="nil"/>
              <w:bottom w:val="single" w:sz="4" w:space="0" w:color="auto"/>
              <w:right w:val="nil"/>
            </w:tcBorders>
            <w:shd w:val="clear" w:color="auto" w:fill="D9D9D9"/>
            <w:noWrap/>
            <w:vAlign w:val="center"/>
          </w:tcPr>
          <w:p w14:paraId="1C1E3E8C" w14:textId="24FEA6E7" w:rsidR="008F7887" w:rsidRDefault="008F7887" w:rsidP="008F7887">
            <w:pPr>
              <w:jc w:val="center"/>
              <w:rPr>
                <w:rFonts w:ascii="Arial Narrow" w:hAnsi="Arial Narrow"/>
                <w:sz w:val="18"/>
                <w:szCs w:val="18"/>
              </w:rPr>
            </w:pPr>
            <w:r>
              <w:rPr>
                <w:rFonts w:ascii="Arial Narrow" w:hAnsi="Arial Narrow"/>
                <w:sz w:val="18"/>
                <w:szCs w:val="18"/>
              </w:rPr>
              <w:t>+2.132</w:t>
            </w:r>
          </w:p>
        </w:tc>
      </w:tr>
      <w:tr w:rsidR="008F7887" w:rsidRPr="008C0651" w14:paraId="5761D7D4" w14:textId="77777777" w:rsidTr="008F7887">
        <w:trPr>
          <w:trHeight w:val="255"/>
        </w:trPr>
        <w:tc>
          <w:tcPr>
            <w:tcW w:w="1587" w:type="dxa"/>
            <w:tcBorders>
              <w:top w:val="single" w:sz="4" w:space="0" w:color="auto"/>
              <w:left w:val="nil"/>
              <w:bottom w:val="single" w:sz="4" w:space="0" w:color="auto"/>
              <w:right w:val="nil"/>
            </w:tcBorders>
            <w:shd w:val="clear" w:color="auto" w:fill="auto"/>
            <w:vAlign w:val="bottom"/>
          </w:tcPr>
          <w:p w14:paraId="227498F9" w14:textId="77777777" w:rsidR="008F7887" w:rsidRPr="00AB0DE6" w:rsidRDefault="008F7887" w:rsidP="008F7887">
            <w:pPr>
              <w:spacing w:before="40" w:after="20"/>
              <w:rPr>
                <w:rFonts w:ascii="Arial Narrow" w:hAnsi="Arial Narrow"/>
                <w:sz w:val="18"/>
                <w:szCs w:val="18"/>
              </w:rPr>
            </w:pPr>
            <w:r w:rsidRPr="00AB0DE6">
              <w:rPr>
                <w:rFonts w:ascii="Arial Narrow" w:hAnsi="Arial Narrow"/>
                <w:sz w:val="18"/>
                <w:szCs w:val="18"/>
              </w:rPr>
              <w:t xml:space="preserve">  </w:t>
            </w:r>
            <w:r>
              <w:rPr>
                <w:rFonts w:ascii="Arial Narrow" w:hAnsi="Arial Narrow"/>
                <w:sz w:val="18"/>
                <w:szCs w:val="18"/>
              </w:rPr>
              <w:t>d</w:t>
            </w:r>
            <w:r w:rsidRPr="00AB0DE6">
              <w:rPr>
                <w:rFonts w:ascii="Arial Narrow" w:hAnsi="Arial Narrow"/>
                <w:sz w:val="18"/>
                <w:szCs w:val="18"/>
              </w:rPr>
              <w:t>urevoli</w:t>
            </w:r>
          </w:p>
        </w:tc>
        <w:tc>
          <w:tcPr>
            <w:tcW w:w="665" w:type="dxa"/>
            <w:tcBorders>
              <w:top w:val="single" w:sz="4" w:space="0" w:color="auto"/>
              <w:left w:val="nil"/>
              <w:bottom w:val="single" w:sz="4" w:space="0" w:color="auto"/>
              <w:right w:val="nil"/>
            </w:tcBorders>
            <w:shd w:val="clear" w:color="auto" w:fill="D9D9D9"/>
            <w:noWrap/>
            <w:vAlign w:val="center"/>
          </w:tcPr>
          <w:p w14:paraId="6E1D4D63" w14:textId="6BF51755" w:rsidR="008F7887" w:rsidRDefault="008F7887" w:rsidP="008F7887">
            <w:pPr>
              <w:jc w:val="center"/>
              <w:rPr>
                <w:rFonts w:ascii="Arial Narrow" w:hAnsi="Arial Narrow"/>
                <w:sz w:val="18"/>
                <w:szCs w:val="18"/>
              </w:rPr>
            </w:pPr>
            <w:r>
              <w:rPr>
                <w:rFonts w:ascii="Arial Narrow" w:hAnsi="Arial Narrow"/>
                <w:sz w:val="18"/>
                <w:szCs w:val="18"/>
              </w:rPr>
              <w:t>+6,6</w:t>
            </w:r>
          </w:p>
        </w:tc>
        <w:tc>
          <w:tcPr>
            <w:tcW w:w="1108" w:type="dxa"/>
            <w:tcBorders>
              <w:top w:val="single" w:sz="4" w:space="0" w:color="auto"/>
              <w:left w:val="nil"/>
              <w:bottom w:val="single" w:sz="4" w:space="0" w:color="auto"/>
              <w:right w:val="nil"/>
            </w:tcBorders>
            <w:shd w:val="clear" w:color="auto" w:fill="D9D9D9"/>
            <w:noWrap/>
            <w:vAlign w:val="center"/>
          </w:tcPr>
          <w:p w14:paraId="752ED35C" w14:textId="20441905" w:rsidR="008F7887" w:rsidRDefault="008F7887" w:rsidP="008F7887">
            <w:pPr>
              <w:jc w:val="center"/>
              <w:rPr>
                <w:rFonts w:ascii="Arial Narrow" w:hAnsi="Arial Narrow"/>
                <w:sz w:val="18"/>
                <w:szCs w:val="18"/>
              </w:rPr>
            </w:pPr>
            <w:r>
              <w:rPr>
                <w:rFonts w:ascii="Arial Narrow" w:hAnsi="Arial Narrow"/>
                <w:sz w:val="18"/>
                <w:szCs w:val="18"/>
              </w:rPr>
              <w:t>+2,8</w:t>
            </w:r>
          </w:p>
        </w:tc>
        <w:tc>
          <w:tcPr>
            <w:tcW w:w="1702" w:type="dxa"/>
            <w:tcBorders>
              <w:top w:val="single" w:sz="4" w:space="0" w:color="auto"/>
              <w:left w:val="nil"/>
              <w:bottom w:val="single" w:sz="4" w:space="0" w:color="auto"/>
              <w:right w:val="nil"/>
            </w:tcBorders>
            <w:shd w:val="clear" w:color="auto" w:fill="auto"/>
            <w:noWrap/>
            <w:vAlign w:val="center"/>
          </w:tcPr>
          <w:p w14:paraId="6E06FE75" w14:textId="3557A49C" w:rsidR="008F7887" w:rsidRDefault="008F7887" w:rsidP="008F7887">
            <w:pPr>
              <w:jc w:val="center"/>
              <w:rPr>
                <w:rFonts w:ascii="Arial Narrow" w:hAnsi="Arial Narrow"/>
                <w:sz w:val="18"/>
                <w:szCs w:val="18"/>
              </w:rPr>
            </w:pPr>
            <w:r>
              <w:rPr>
                <w:rFonts w:ascii="Arial Narrow" w:hAnsi="Arial Narrow"/>
                <w:sz w:val="18"/>
                <w:szCs w:val="18"/>
              </w:rPr>
              <w:t>+18,5</w:t>
            </w:r>
          </w:p>
        </w:tc>
        <w:tc>
          <w:tcPr>
            <w:tcW w:w="708" w:type="dxa"/>
            <w:tcBorders>
              <w:top w:val="single" w:sz="4" w:space="0" w:color="auto"/>
              <w:left w:val="nil"/>
              <w:bottom w:val="single" w:sz="4" w:space="0" w:color="auto"/>
              <w:right w:val="nil"/>
            </w:tcBorders>
            <w:shd w:val="clear" w:color="auto" w:fill="D9D9D9"/>
            <w:noWrap/>
            <w:vAlign w:val="center"/>
          </w:tcPr>
          <w:p w14:paraId="1D5CB48F" w14:textId="0475B1D0" w:rsidR="008F7887" w:rsidRDefault="008F7887" w:rsidP="008F7887">
            <w:pPr>
              <w:jc w:val="center"/>
              <w:rPr>
                <w:rFonts w:ascii="Arial Narrow" w:hAnsi="Arial Narrow"/>
                <w:sz w:val="18"/>
                <w:szCs w:val="18"/>
              </w:rPr>
            </w:pPr>
            <w:r>
              <w:rPr>
                <w:rFonts w:ascii="Arial Narrow" w:hAnsi="Arial Narrow"/>
                <w:sz w:val="18"/>
                <w:szCs w:val="18"/>
              </w:rPr>
              <w:t>-1,9</w:t>
            </w:r>
          </w:p>
        </w:tc>
        <w:tc>
          <w:tcPr>
            <w:tcW w:w="1134" w:type="dxa"/>
            <w:tcBorders>
              <w:top w:val="single" w:sz="4" w:space="0" w:color="auto"/>
              <w:left w:val="nil"/>
              <w:bottom w:val="single" w:sz="4" w:space="0" w:color="auto"/>
              <w:right w:val="nil"/>
            </w:tcBorders>
            <w:shd w:val="clear" w:color="auto" w:fill="D9D9D9"/>
            <w:noWrap/>
            <w:vAlign w:val="center"/>
          </w:tcPr>
          <w:p w14:paraId="088794B7" w14:textId="716F3ED1" w:rsidR="008F7887" w:rsidRDefault="008F7887" w:rsidP="008F7887">
            <w:pPr>
              <w:jc w:val="center"/>
              <w:rPr>
                <w:rFonts w:ascii="Arial Narrow" w:hAnsi="Arial Narrow"/>
                <w:sz w:val="18"/>
                <w:szCs w:val="18"/>
              </w:rPr>
            </w:pPr>
            <w:r>
              <w:rPr>
                <w:rFonts w:ascii="Arial Narrow" w:hAnsi="Arial Narrow"/>
                <w:sz w:val="18"/>
                <w:szCs w:val="18"/>
              </w:rPr>
              <w:t>+5,7</w:t>
            </w:r>
          </w:p>
        </w:tc>
        <w:tc>
          <w:tcPr>
            <w:tcW w:w="1638" w:type="dxa"/>
            <w:tcBorders>
              <w:top w:val="single" w:sz="4" w:space="0" w:color="auto"/>
              <w:left w:val="nil"/>
              <w:bottom w:val="single" w:sz="4" w:space="0" w:color="auto"/>
              <w:right w:val="nil"/>
            </w:tcBorders>
            <w:shd w:val="clear" w:color="auto" w:fill="auto"/>
            <w:noWrap/>
            <w:vAlign w:val="center"/>
          </w:tcPr>
          <w:p w14:paraId="232D2A27" w14:textId="0135FE96" w:rsidR="008F7887" w:rsidRDefault="008F7887" w:rsidP="008F7887">
            <w:pPr>
              <w:jc w:val="center"/>
              <w:rPr>
                <w:rFonts w:ascii="Arial Narrow" w:hAnsi="Arial Narrow"/>
                <w:sz w:val="18"/>
                <w:szCs w:val="18"/>
              </w:rPr>
            </w:pPr>
            <w:r>
              <w:rPr>
                <w:rFonts w:ascii="Arial Narrow" w:hAnsi="Arial Narrow"/>
                <w:sz w:val="18"/>
                <w:szCs w:val="18"/>
              </w:rPr>
              <w:t>+32,7</w:t>
            </w:r>
          </w:p>
        </w:tc>
        <w:tc>
          <w:tcPr>
            <w:tcW w:w="1693" w:type="dxa"/>
            <w:tcBorders>
              <w:top w:val="single" w:sz="4" w:space="0" w:color="auto"/>
              <w:left w:val="nil"/>
              <w:bottom w:val="single" w:sz="4" w:space="0" w:color="auto"/>
              <w:right w:val="nil"/>
            </w:tcBorders>
            <w:shd w:val="clear" w:color="auto" w:fill="D9D9D9"/>
            <w:noWrap/>
            <w:vAlign w:val="center"/>
          </w:tcPr>
          <w:p w14:paraId="01F2B6F7" w14:textId="6A1B1CFB" w:rsidR="008F7887" w:rsidRDefault="008F7887" w:rsidP="008F7887">
            <w:pPr>
              <w:jc w:val="center"/>
              <w:rPr>
                <w:rFonts w:ascii="Arial Narrow" w:hAnsi="Arial Narrow"/>
                <w:sz w:val="18"/>
                <w:szCs w:val="18"/>
              </w:rPr>
            </w:pPr>
            <w:r>
              <w:rPr>
                <w:rFonts w:ascii="Arial Narrow" w:hAnsi="Arial Narrow"/>
                <w:sz w:val="18"/>
                <w:szCs w:val="18"/>
              </w:rPr>
              <w:t>+700</w:t>
            </w:r>
          </w:p>
        </w:tc>
      </w:tr>
      <w:tr w:rsidR="008F7887" w:rsidRPr="008C0651" w14:paraId="1B2FAE1B" w14:textId="77777777" w:rsidTr="008F7887">
        <w:trPr>
          <w:trHeight w:val="255"/>
        </w:trPr>
        <w:tc>
          <w:tcPr>
            <w:tcW w:w="1587" w:type="dxa"/>
            <w:tcBorders>
              <w:top w:val="single" w:sz="4" w:space="0" w:color="auto"/>
              <w:left w:val="nil"/>
              <w:bottom w:val="single" w:sz="4" w:space="0" w:color="auto"/>
              <w:right w:val="nil"/>
            </w:tcBorders>
            <w:shd w:val="clear" w:color="auto" w:fill="auto"/>
            <w:vAlign w:val="bottom"/>
          </w:tcPr>
          <w:p w14:paraId="5FA1BF66" w14:textId="77777777" w:rsidR="008F7887" w:rsidRPr="00AB0DE6" w:rsidRDefault="008F7887" w:rsidP="008F7887">
            <w:pPr>
              <w:spacing w:before="40" w:after="20"/>
              <w:rPr>
                <w:rFonts w:ascii="Arial Narrow" w:hAnsi="Arial Narrow"/>
                <w:sz w:val="18"/>
                <w:szCs w:val="18"/>
              </w:rPr>
            </w:pPr>
            <w:r w:rsidRPr="00AB0DE6">
              <w:rPr>
                <w:rFonts w:ascii="Arial Narrow" w:hAnsi="Arial Narrow"/>
                <w:sz w:val="18"/>
                <w:szCs w:val="18"/>
              </w:rPr>
              <w:t xml:space="preserve">  non durevoli</w:t>
            </w:r>
          </w:p>
        </w:tc>
        <w:tc>
          <w:tcPr>
            <w:tcW w:w="665" w:type="dxa"/>
            <w:tcBorders>
              <w:top w:val="single" w:sz="4" w:space="0" w:color="auto"/>
              <w:left w:val="nil"/>
              <w:bottom w:val="single" w:sz="4" w:space="0" w:color="auto"/>
              <w:right w:val="nil"/>
            </w:tcBorders>
            <w:shd w:val="clear" w:color="auto" w:fill="D9D9D9"/>
            <w:noWrap/>
            <w:vAlign w:val="center"/>
          </w:tcPr>
          <w:p w14:paraId="5B38A5A9" w14:textId="4AF43BD0" w:rsidR="008F7887" w:rsidRDefault="008F7887" w:rsidP="008F7887">
            <w:pPr>
              <w:jc w:val="center"/>
              <w:rPr>
                <w:rFonts w:ascii="Arial Narrow" w:hAnsi="Arial Narrow"/>
                <w:sz w:val="18"/>
                <w:szCs w:val="18"/>
              </w:rPr>
            </w:pPr>
            <w:r>
              <w:rPr>
                <w:rFonts w:ascii="Arial Narrow" w:hAnsi="Arial Narrow"/>
                <w:sz w:val="18"/>
                <w:szCs w:val="18"/>
              </w:rPr>
              <w:t>+2,3</w:t>
            </w:r>
          </w:p>
        </w:tc>
        <w:tc>
          <w:tcPr>
            <w:tcW w:w="1108" w:type="dxa"/>
            <w:tcBorders>
              <w:top w:val="single" w:sz="4" w:space="0" w:color="auto"/>
              <w:left w:val="nil"/>
              <w:bottom w:val="single" w:sz="4" w:space="0" w:color="auto"/>
              <w:right w:val="nil"/>
            </w:tcBorders>
            <w:shd w:val="clear" w:color="auto" w:fill="D9D9D9"/>
            <w:noWrap/>
            <w:vAlign w:val="center"/>
          </w:tcPr>
          <w:p w14:paraId="27383D08" w14:textId="3020F0FD" w:rsidR="008F7887" w:rsidRDefault="008F7887" w:rsidP="008F7887">
            <w:pPr>
              <w:jc w:val="center"/>
              <w:rPr>
                <w:rFonts w:ascii="Arial Narrow" w:hAnsi="Arial Narrow"/>
                <w:sz w:val="18"/>
                <w:szCs w:val="18"/>
              </w:rPr>
            </w:pPr>
            <w:r>
              <w:rPr>
                <w:rFonts w:ascii="Arial Narrow" w:hAnsi="Arial Narrow"/>
                <w:sz w:val="18"/>
                <w:szCs w:val="18"/>
              </w:rPr>
              <w:t>+4,4</w:t>
            </w:r>
          </w:p>
        </w:tc>
        <w:tc>
          <w:tcPr>
            <w:tcW w:w="1702" w:type="dxa"/>
            <w:tcBorders>
              <w:top w:val="single" w:sz="4" w:space="0" w:color="auto"/>
              <w:left w:val="nil"/>
              <w:bottom w:val="single" w:sz="4" w:space="0" w:color="auto"/>
              <w:right w:val="nil"/>
            </w:tcBorders>
            <w:shd w:val="clear" w:color="auto" w:fill="auto"/>
            <w:noWrap/>
            <w:vAlign w:val="center"/>
          </w:tcPr>
          <w:p w14:paraId="5506970B" w14:textId="2FDB26F5" w:rsidR="008F7887" w:rsidRDefault="008F7887" w:rsidP="008F7887">
            <w:pPr>
              <w:jc w:val="center"/>
              <w:rPr>
                <w:rFonts w:ascii="Arial Narrow" w:hAnsi="Arial Narrow"/>
                <w:sz w:val="18"/>
                <w:szCs w:val="18"/>
              </w:rPr>
            </w:pPr>
            <w:r>
              <w:rPr>
                <w:rFonts w:ascii="Arial Narrow" w:hAnsi="Arial Narrow"/>
                <w:sz w:val="18"/>
                <w:szCs w:val="18"/>
              </w:rPr>
              <w:t>+19,8</w:t>
            </w:r>
          </w:p>
        </w:tc>
        <w:tc>
          <w:tcPr>
            <w:tcW w:w="708" w:type="dxa"/>
            <w:tcBorders>
              <w:top w:val="single" w:sz="4" w:space="0" w:color="auto"/>
              <w:left w:val="nil"/>
              <w:bottom w:val="single" w:sz="4" w:space="0" w:color="auto"/>
              <w:right w:val="nil"/>
            </w:tcBorders>
            <w:shd w:val="clear" w:color="auto" w:fill="D9D9D9"/>
            <w:noWrap/>
            <w:vAlign w:val="center"/>
          </w:tcPr>
          <w:p w14:paraId="78DD761B" w14:textId="7EE2C1AC" w:rsidR="008F7887" w:rsidRDefault="008F7887" w:rsidP="008F7887">
            <w:pPr>
              <w:jc w:val="center"/>
              <w:rPr>
                <w:rFonts w:ascii="Arial Narrow" w:hAnsi="Arial Narrow"/>
                <w:sz w:val="18"/>
                <w:szCs w:val="18"/>
              </w:rPr>
            </w:pPr>
            <w:r>
              <w:rPr>
                <w:rFonts w:ascii="Arial Narrow" w:hAnsi="Arial Narrow"/>
                <w:sz w:val="18"/>
                <w:szCs w:val="18"/>
              </w:rPr>
              <w:t>+2,8</w:t>
            </w:r>
          </w:p>
        </w:tc>
        <w:tc>
          <w:tcPr>
            <w:tcW w:w="1134" w:type="dxa"/>
            <w:tcBorders>
              <w:top w:val="single" w:sz="4" w:space="0" w:color="auto"/>
              <w:left w:val="nil"/>
              <w:bottom w:val="single" w:sz="4" w:space="0" w:color="auto"/>
              <w:right w:val="nil"/>
            </w:tcBorders>
            <w:shd w:val="clear" w:color="auto" w:fill="D9D9D9"/>
            <w:noWrap/>
            <w:vAlign w:val="center"/>
          </w:tcPr>
          <w:p w14:paraId="6308E656" w14:textId="40EF9B2B" w:rsidR="008F7887" w:rsidRDefault="008F7887" w:rsidP="008F7887">
            <w:pPr>
              <w:jc w:val="center"/>
              <w:rPr>
                <w:rFonts w:ascii="Arial Narrow" w:hAnsi="Arial Narrow"/>
                <w:sz w:val="18"/>
                <w:szCs w:val="18"/>
              </w:rPr>
            </w:pPr>
            <w:r>
              <w:rPr>
                <w:rFonts w:ascii="Arial Narrow" w:hAnsi="Arial Narrow"/>
                <w:sz w:val="18"/>
                <w:szCs w:val="18"/>
              </w:rPr>
              <w:t>+7,3</w:t>
            </w:r>
          </w:p>
        </w:tc>
        <w:tc>
          <w:tcPr>
            <w:tcW w:w="1638" w:type="dxa"/>
            <w:tcBorders>
              <w:top w:val="single" w:sz="4" w:space="0" w:color="auto"/>
              <w:left w:val="nil"/>
              <w:bottom w:val="single" w:sz="4" w:space="0" w:color="auto"/>
              <w:right w:val="nil"/>
            </w:tcBorders>
            <w:shd w:val="clear" w:color="auto" w:fill="auto"/>
            <w:noWrap/>
            <w:vAlign w:val="center"/>
          </w:tcPr>
          <w:p w14:paraId="3860FB54" w14:textId="55D24707" w:rsidR="008F7887" w:rsidRDefault="008F7887" w:rsidP="008F7887">
            <w:pPr>
              <w:jc w:val="center"/>
              <w:rPr>
                <w:rFonts w:ascii="Arial Narrow" w:hAnsi="Arial Narrow"/>
                <w:sz w:val="18"/>
                <w:szCs w:val="18"/>
              </w:rPr>
            </w:pPr>
            <w:r>
              <w:rPr>
                <w:rFonts w:ascii="Arial Narrow" w:hAnsi="Arial Narrow"/>
                <w:sz w:val="18"/>
                <w:szCs w:val="18"/>
              </w:rPr>
              <w:t>+30,7</w:t>
            </w:r>
          </w:p>
        </w:tc>
        <w:tc>
          <w:tcPr>
            <w:tcW w:w="1693" w:type="dxa"/>
            <w:tcBorders>
              <w:top w:val="single" w:sz="4" w:space="0" w:color="auto"/>
              <w:left w:val="nil"/>
              <w:bottom w:val="single" w:sz="4" w:space="0" w:color="auto"/>
              <w:right w:val="nil"/>
            </w:tcBorders>
            <w:shd w:val="clear" w:color="auto" w:fill="D9D9D9"/>
            <w:noWrap/>
            <w:vAlign w:val="center"/>
          </w:tcPr>
          <w:p w14:paraId="5C71F778" w14:textId="316F29F0" w:rsidR="008F7887" w:rsidRDefault="008F7887" w:rsidP="008F7887">
            <w:pPr>
              <w:jc w:val="center"/>
              <w:rPr>
                <w:rFonts w:ascii="Arial Narrow" w:hAnsi="Arial Narrow"/>
                <w:sz w:val="18"/>
                <w:szCs w:val="18"/>
              </w:rPr>
            </w:pPr>
            <w:r>
              <w:rPr>
                <w:rFonts w:ascii="Arial Narrow" w:hAnsi="Arial Narrow"/>
                <w:sz w:val="18"/>
                <w:szCs w:val="18"/>
              </w:rPr>
              <w:t>+1.432</w:t>
            </w:r>
          </w:p>
        </w:tc>
      </w:tr>
      <w:tr w:rsidR="008F7887" w:rsidRPr="008C0651" w14:paraId="1DD95C83" w14:textId="77777777" w:rsidTr="008F7887">
        <w:trPr>
          <w:trHeight w:val="255"/>
        </w:trPr>
        <w:tc>
          <w:tcPr>
            <w:tcW w:w="1587" w:type="dxa"/>
            <w:tcBorders>
              <w:top w:val="single" w:sz="4" w:space="0" w:color="auto"/>
              <w:left w:val="nil"/>
              <w:bottom w:val="single" w:sz="4" w:space="0" w:color="auto"/>
              <w:right w:val="nil"/>
            </w:tcBorders>
            <w:shd w:val="clear" w:color="auto" w:fill="auto"/>
            <w:vAlign w:val="bottom"/>
          </w:tcPr>
          <w:p w14:paraId="0F3710C9" w14:textId="77777777" w:rsidR="008F7887" w:rsidRPr="00831F78" w:rsidRDefault="008F7887" w:rsidP="008F7887">
            <w:pPr>
              <w:spacing w:before="40" w:after="20"/>
              <w:rPr>
                <w:rFonts w:ascii="Arial Narrow" w:hAnsi="Arial Narrow"/>
                <w:sz w:val="18"/>
                <w:szCs w:val="18"/>
              </w:rPr>
            </w:pPr>
            <w:r w:rsidRPr="00831F78">
              <w:rPr>
                <w:rFonts w:ascii="Arial Narrow" w:hAnsi="Arial Narrow"/>
                <w:sz w:val="18"/>
                <w:szCs w:val="18"/>
              </w:rPr>
              <w:t>Beni strumentali</w:t>
            </w:r>
          </w:p>
        </w:tc>
        <w:tc>
          <w:tcPr>
            <w:tcW w:w="665" w:type="dxa"/>
            <w:tcBorders>
              <w:top w:val="single" w:sz="4" w:space="0" w:color="auto"/>
              <w:left w:val="nil"/>
              <w:bottom w:val="single" w:sz="4" w:space="0" w:color="auto"/>
              <w:right w:val="nil"/>
            </w:tcBorders>
            <w:shd w:val="clear" w:color="auto" w:fill="D9D9D9"/>
            <w:noWrap/>
            <w:vAlign w:val="center"/>
          </w:tcPr>
          <w:p w14:paraId="4E8BB3BA" w14:textId="102050F9" w:rsidR="008F7887" w:rsidRDefault="008F7887" w:rsidP="008F7887">
            <w:pPr>
              <w:jc w:val="center"/>
              <w:rPr>
                <w:rFonts w:ascii="Arial Narrow" w:hAnsi="Arial Narrow"/>
                <w:sz w:val="18"/>
                <w:szCs w:val="18"/>
              </w:rPr>
            </w:pPr>
            <w:r>
              <w:rPr>
                <w:rFonts w:ascii="Arial Narrow" w:hAnsi="Arial Narrow"/>
                <w:sz w:val="18"/>
                <w:szCs w:val="18"/>
              </w:rPr>
              <w:t>+9,0</w:t>
            </w:r>
          </w:p>
        </w:tc>
        <w:tc>
          <w:tcPr>
            <w:tcW w:w="1108" w:type="dxa"/>
            <w:tcBorders>
              <w:top w:val="single" w:sz="4" w:space="0" w:color="auto"/>
              <w:left w:val="nil"/>
              <w:bottom w:val="single" w:sz="4" w:space="0" w:color="auto"/>
              <w:right w:val="nil"/>
            </w:tcBorders>
            <w:shd w:val="clear" w:color="auto" w:fill="D9D9D9"/>
            <w:noWrap/>
            <w:vAlign w:val="center"/>
          </w:tcPr>
          <w:p w14:paraId="607AD610" w14:textId="1B765DEF" w:rsidR="008F7887" w:rsidRDefault="008F7887" w:rsidP="008F7887">
            <w:pPr>
              <w:jc w:val="center"/>
              <w:rPr>
                <w:rFonts w:ascii="Arial Narrow" w:hAnsi="Arial Narrow"/>
                <w:sz w:val="18"/>
                <w:szCs w:val="18"/>
              </w:rPr>
            </w:pPr>
            <w:r>
              <w:rPr>
                <w:rFonts w:ascii="Arial Narrow" w:hAnsi="Arial Narrow"/>
                <w:sz w:val="18"/>
                <w:szCs w:val="18"/>
              </w:rPr>
              <w:t>+2,8</w:t>
            </w:r>
          </w:p>
        </w:tc>
        <w:tc>
          <w:tcPr>
            <w:tcW w:w="1702" w:type="dxa"/>
            <w:tcBorders>
              <w:top w:val="single" w:sz="4" w:space="0" w:color="auto"/>
              <w:left w:val="nil"/>
              <w:bottom w:val="single" w:sz="4" w:space="0" w:color="auto"/>
              <w:right w:val="nil"/>
            </w:tcBorders>
            <w:shd w:val="clear" w:color="auto" w:fill="auto"/>
            <w:noWrap/>
            <w:vAlign w:val="center"/>
          </w:tcPr>
          <w:p w14:paraId="4F17AEB7" w14:textId="04AED73C" w:rsidR="008F7887" w:rsidRDefault="008F7887" w:rsidP="008F7887">
            <w:pPr>
              <w:jc w:val="center"/>
              <w:rPr>
                <w:rFonts w:ascii="Arial Narrow" w:hAnsi="Arial Narrow"/>
                <w:sz w:val="18"/>
                <w:szCs w:val="18"/>
              </w:rPr>
            </w:pPr>
            <w:r>
              <w:rPr>
                <w:rFonts w:ascii="Arial Narrow" w:hAnsi="Arial Narrow"/>
                <w:sz w:val="18"/>
                <w:szCs w:val="18"/>
              </w:rPr>
              <w:t>+16,5</w:t>
            </w:r>
          </w:p>
        </w:tc>
        <w:tc>
          <w:tcPr>
            <w:tcW w:w="708" w:type="dxa"/>
            <w:tcBorders>
              <w:top w:val="single" w:sz="4" w:space="0" w:color="auto"/>
              <w:left w:val="nil"/>
              <w:bottom w:val="single" w:sz="4" w:space="0" w:color="auto"/>
              <w:right w:val="nil"/>
            </w:tcBorders>
            <w:shd w:val="clear" w:color="auto" w:fill="D9D9D9"/>
            <w:noWrap/>
            <w:vAlign w:val="center"/>
          </w:tcPr>
          <w:p w14:paraId="5A969040" w14:textId="1B4651F4" w:rsidR="008F7887" w:rsidRDefault="008F7887" w:rsidP="008F7887">
            <w:pPr>
              <w:jc w:val="center"/>
              <w:rPr>
                <w:rFonts w:ascii="Arial Narrow" w:hAnsi="Arial Narrow"/>
                <w:sz w:val="18"/>
                <w:szCs w:val="18"/>
              </w:rPr>
            </w:pPr>
            <w:r>
              <w:rPr>
                <w:rFonts w:ascii="Arial Narrow" w:hAnsi="Arial Narrow"/>
                <w:sz w:val="18"/>
                <w:szCs w:val="18"/>
              </w:rPr>
              <w:t>-14,0</w:t>
            </w:r>
          </w:p>
        </w:tc>
        <w:tc>
          <w:tcPr>
            <w:tcW w:w="1134" w:type="dxa"/>
            <w:tcBorders>
              <w:top w:val="single" w:sz="4" w:space="0" w:color="auto"/>
              <w:left w:val="nil"/>
              <w:bottom w:val="single" w:sz="4" w:space="0" w:color="auto"/>
              <w:right w:val="nil"/>
            </w:tcBorders>
            <w:shd w:val="clear" w:color="auto" w:fill="D9D9D9"/>
            <w:noWrap/>
            <w:vAlign w:val="center"/>
          </w:tcPr>
          <w:p w14:paraId="5D28C50F" w14:textId="11BDBECB" w:rsidR="008F7887" w:rsidRDefault="008F7887" w:rsidP="008F7887">
            <w:pPr>
              <w:jc w:val="center"/>
              <w:rPr>
                <w:rFonts w:ascii="Arial Narrow" w:hAnsi="Arial Narrow"/>
                <w:sz w:val="18"/>
                <w:szCs w:val="18"/>
              </w:rPr>
            </w:pPr>
            <w:r>
              <w:rPr>
                <w:rFonts w:ascii="Arial Narrow" w:hAnsi="Arial Narrow"/>
                <w:sz w:val="18"/>
                <w:szCs w:val="18"/>
              </w:rPr>
              <w:t>+11,3</w:t>
            </w:r>
          </w:p>
        </w:tc>
        <w:tc>
          <w:tcPr>
            <w:tcW w:w="1638" w:type="dxa"/>
            <w:tcBorders>
              <w:top w:val="single" w:sz="4" w:space="0" w:color="auto"/>
              <w:left w:val="nil"/>
              <w:bottom w:val="single" w:sz="4" w:space="0" w:color="auto"/>
              <w:right w:val="nil"/>
            </w:tcBorders>
            <w:shd w:val="clear" w:color="auto" w:fill="auto"/>
            <w:noWrap/>
            <w:vAlign w:val="center"/>
          </w:tcPr>
          <w:p w14:paraId="691F0F23" w14:textId="2806B172" w:rsidR="008F7887" w:rsidRDefault="008F7887" w:rsidP="008F7887">
            <w:pPr>
              <w:jc w:val="center"/>
              <w:rPr>
                <w:rFonts w:ascii="Arial Narrow" w:hAnsi="Arial Narrow"/>
                <w:sz w:val="18"/>
                <w:szCs w:val="18"/>
              </w:rPr>
            </w:pPr>
            <w:r>
              <w:rPr>
                <w:rFonts w:ascii="Arial Narrow" w:hAnsi="Arial Narrow"/>
                <w:sz w:val="18"/>
                <w:szCs w:val="18"/>
              </w:rPr>
              <w:t>+13,7</w:t>
            </w:r>
          </w:p>
        </w:tc>
        <w:tc>
          <w:tcPr>
            <w:tcW w:w="1693" w:type="dxa"/>
            <w:tcBorders>
              <w:top w:val="single" w:sz="4" w:space="0" w:color="auto"/>
              <w:left w:val="nil"/>
              <w:bottom w:val="single" w:sz="4" w:space="0" w:color="auto"/>
              <w:right w:val="nil"/>
            </w:tcBorders>
            <w:shd w:val="clear" w:color="auto" w:fill="D9D9D9"/>
            <w:noWrap/>
            <w:vAlign w:val="center"/>
          </w:tcPr>
          <w:p w14:paraId="49F6D86B" w14:textId="32D2026C" w:rsidR="008F7887" w:rsidRDefault="008F7887" w:rsidP="008F7887">
            <w:pPr>
              <w:jc w:val="center"/>
              <w:rPr>
                <w:rFonts w:ascii="Arial Narrow" w:hAnsi="Arial Narrow"/>
                <w:sz w:val="18"/>
                <w:szCs w:val="18"/>
              </w:rPr>
            </w:pPr>
            <w:r>
              <w:rPr>
                <w:rFonts w:ascii="Arial Narrow" w:hAnsi="Arial Narrow"/>
                <w:sz w:val="18"/>
                <w:szCs w:val="18"/>
              </w:rPr>
              <w:t>+2.399</w:t>
            </w:r>
          </w:p>
        </w:tc>
      </w:tr>
      <w:tr w:rsidR="008F7887" w:rsidRPr="008C0651" w14:paraId="3A985463" w14:textId="77777777" w:rsidTr="008F7887">
        <w:trPr>
          <w:trHeight w:val="255"/>
        </w:trPr>
        <w:tc>
          <w:tcPr>
            <w:tcW w:w="1587" w:type="dxa"/>
            <w:tcBorders>
              <w:top w:val="single" w:sz="4" w:space="0" w:color="auto"/>
              <w:left w:val="nil"/>
              <w:bottom w:val="single" w:sz="4" w:space="0" w:color="auto"/>
              <w:right w:val="nil"/>
            </w:tcBorders>
            <w:shd w:val="clear" w:color="auto" w:fill="auto"/>
            <w:vAlign w:val="bottom"/>
          </w:tcPr>
          <w:p w14:paraId="36BEC6B0" w14:textId="77777777" w:rsidR="008F7887" w:rsidRPr="00831F78" w:rsidRDefault="008F7887" w:rsidP="008F7887">
            <w:pPr>
              <w:spacing w:before="40" w:after="20"/>
              <w:rPr>
                <w:rFonts w:ascii="Arial Narrow" w:hAnsi="Arial Narrow"/>
                <w:sz w:val="18"/>
                <w:szCs w:val="18"/>
              </w:rPr>
            </w:pPr>
            <w:r w:rsidRPr="00831F78">
              <w:rPr>
                <w:rFonts w:ascii="Arial Narrow" w:hAnsi="Arial Narrow"/>
                <w:sz w:val="18"/>
                <w:szCs w:val="18"/>
              </w:rPr>
              <w:t>Beni intermedi</w:t>
            </w:r>
          </w:p>
        </w:tc>
        <w:tc>
          <w:tcPr>
            <w:tcW w:w="665" w:type="dxa"/>
            <w:tcBorders>
              <w:top w:val="single" w:sz="4" w:space="0" w:color="auto"/>
              <w:left w:val="nil"/>
              <w:bottom w:val="single" w:sz="4" w:space="0" w:color="auto"/>
              <w:right w:val="nil"/>
            </w:tcBorders>
            <w:shd w:val="clear" w:color="auto" w:fill="D9D9D9"/>
            <w:noWrap/>
            <w:vAlign w:val="center"/>
          </w:tcPr>
          <w:p w14:paraId="4FD91126" w14:textId="5609A20C" w:rsidR="008F7887" w:rsidRDefault="008F7887" w:rsidP="008F7887">
            <w:pPr>
              <w:jc w:val="center"/>
              <w:rPr>
                <w:rFonts w:ascii="Arial Narrow" w:hAnsi="Arial Narrow"/>
                <w:sz w:val="18"/>
                <w:szCs w:val="18"/>
              </w:rPr>
            </w:pPr>
            <w:r>
              <w:rPr>
                <w:rFonts w:ascii="Arial Narrow" w:hAnsi="Arial Narrow"/>
                <w:sz w:val="18"/>
                <w:szCs w:val="18"/>
              </w:rPr>
              <w:t>+5,6</w:t>
            </w:r>
          </w:p>
        </w:tc>
        <w:tc>
          <w:tcPr>
            <w:tcW w:w="1108" w:type="dxa"/>
            <w:tcBorders>
              <w:top w:val="single" w:sz="4" w:space="0" w:color="auto"/>
              <w:left w:val="nil"/>
              <w:bottom w:val="single" w:sz="4" w:space="0" w:color="auto"/>
              <w:right w:val="nil"/>
            </w:tcBorders>
            <w:shd w:val="clear" w:color="auto" w:fill="D9D9D9"/>
            <w:noWrap/>
            <w:vAlign w:val="center"/>
          </w:tcPr>
          <w:p w14:paraId="5573B605" w14:textId="26E6D72A" w:rsidR="008F7887" w:rsidRDefault="008F7887" w:rsidP="008F7887">
            <w:pPr>
              <w:jc w:val="center"/>
              <w:rPr>
                <w:rFonts w:ascii="Arial Narrow" w:hAnsi="Arial Narrow"/>
                <w:sz w:val="18"/>
                <w:szCs w:val="18"/>
              </w:rPr>
            </w:pPr>
            <w:r>
              <w:rPr>
                <w:rFonts w:ascii="Arial Narrow" w:hAnsi="Arial Narrow"/>
                <w:sz w:val="18"/>
                <w:szCs w:val="18"/>
              </w:rPr>
              <w:t>+4,4</w:t>
            </w:r>
          </w:p>
        </w:tc>
        <w:tc>
          <w:tcPr>
            <w:tcW w:w="1702" w:type="dxa"/>
            <w:tcBorders>
              <w:top w:val="single" w:sz="4" w:space="0" w:color="auto"/>
              <w:left w:val="nil"/>
              <w:bottom w:val="single" w:sz="4" w:space="0" w:color="auto"/>
              <w:right w:val="nil"/>
            </w:tcBorders>
            <w:shd w:val="clear" w:color="auto" w:fill="auto"/>
            <w:noWrap/>
            <w:vAlign w:val="center"/>
          </w:tcPr>
          <w:p w14:paraId="457CDD40" w14:textId="24EDC543" w:rsidR="008F7887" w:rsidRDefault="008F7887" w:rsidP="008F7887">
            <w:pPr>
              <w:jc w:val="center"/>
              <w:rPr>
                <w:rFonts w:ascii="Arial Narrow" w:hAnsi="Arial Narrow"/>
                <w:sz w:val="18"/>
                <w:szCs w:val="18"/>
              </w:rPr>
            </w:pPr>
            <w:r>
              <w:rPr>
                <w:rFonts w:ascii="Arial Narrow" w:hAnsi="Arial Narrow"/>
                <w:sz w:val="18"/>
                <w:szCs w:val="18"/>
              </w:rPr>
              <w:t>+25,7</w:t>
            </w:r>
          </w:p>
        </w:tc>
        <w:tc>
          <w:tcPr>
            <w:tcW w:w="708" w:type="dxa"/>
            <w:tcBorders>
              <w:top w:val="single" w:sz="4" w:space="0" w:color="auto"/>
              <w:left w:val="nil"/>
              <w:bottom w:val="single" w:sz="4" w:space="0" w:color="auto"/>
              <w:right w:val="nil"/>
            </w:tcBorders>
            <w:shd w:val="clear" w:color="auto" w:fill="D9D9D9"/>
            <w:noWrap/>
            <w:vAlign w:val="center"/>
          </w:tcPr>
          <w:p w14:paraId="6240C7B9" w14:textId="52222983" w:rsidR="008F7887" w:rsidRDefault="008F7887" w:rsidP="008F7887">
            <w:pPr>
              <w:jc w:val="center"/>
              <w:rPr>
                <w:rFonts w:ascii="Arial Narrow" w:hAnsi="Arial Narrow"/>
                <w:sz w:val="18"/>
                <w:szCs w:val="18"/>
              </w:rPr>
            </w:pPr>
            <w:r>
              <w:rPr>
                <w:rFonts w:ascii="Arial Narrow" w:hAnsi="Arial Narrow"/>
                <w:sz w:val="18"/>
                <w:szCs w:val="18"/>
              </w:rPr>
              <w:t>+4,9</w:t>
            </w:r>
          </w:p>
        </w:tc>
        <w:tc>
          <w:tcPr>
            <w:tcW w:w="1134" w:type="dxa"/>
            <w:tcBorders>
              <w:top w:val="single" w:sz="4" w:space="0" w:color="auto"/>
              <w:left w:val="nil"/>
              <w:bottom w:val="single" w:sz="4" w:space="0" w:color="auto"/>
              <w:right w:val="nil"/>
            </w:tcBorders>
            <w:shd w:val="clear" w:color="auto" w:fill="D9D9D9"/>
            <w:noWrap/>
            <w:vAlign w:val="center"/>
          </w:tcPr>
          <w:p w14:paraId="6A3AFE7D" w14:textId="1323BA92" w:rsidR="008F7887" w:rsidRDefault="008F7887" w:rsidP="008F7887">
            <w:pPr>
              <w:jc w:val="center"/>
              <w:rPr>
                <w:rFonts w:ascii="Arial Narrow" w:hAnsi="Arial Narrow"/>
                <w:sz w:val="18"/>
                <w:szCs w:val="18"/>
              </w:rPr>
            </w:pPr>
            <w:r>
              <w:rPr>
                <w:rFonts w:ascii="Arial Narrow" w:hAnsi="Arial Narrow"/>
                <w:sz w:val="18"/>
                <w:szCs w:val="18"/>
              </w:rPr>
              <w:t>+5,8</w:t>
            </w:r>
          </w:p>
        </w:tc>
        <w:tc>
          <w:tcPr>
            <w:tcW w:w="1638" w:type="dxa"/>
            <w:tcBorders>
              <w:top w:val="single" w:sz="4" w:space="0" w:color="auto"/>
              <w:left w:val="nil"/>
              <w:bottom w:val="single" w:sz="4" w:space="0" w:color="auto"/>
              <w:right w:val="nil"/>
            </w:tcBorders>
            <w:shd w:val="clear" w:color="auto" w:fill="auto"/>
            <w:noWrap/>
            <w:vAlign w:val="center"/>
          </w:tcPr>
          <w:p w14:paraId="2008DAF5" w14:textId="447AB979" w:rsidR="008F7887" w:rsidRDefault="008F7887" w:rsidP="008F7887">
            <w:pPr>
              <w:jc w:val="center"/>
              <w:rPr>
                <w:rFonts w:ascii="Arial Narrow" w:hAnsi="Arial Narrow"/>
                <w:sz w:val="18"/>
                <w:szCs w:val="18"/>
              </w:rPr>
            </w:pPr>
            <w:r>
              <w:rPr>
                <w:rFonts w:ascii="Arial Narrow" w:hAnsi="Arial Narrow"/>
                <w:sz w:val="18"/>
                <w:szCs w:val="18"/>
              </w:rPr>
              <w:t>+46,1</w:t>
            </w:r>
          </w:p>
        </w:tc>
        <w:tc>
          <w:tcPr>
            <w:tcW w:w="1693" w:type="dxa"/>
            <w:tcBorders>
              <w:top w:val="single" w:sz="4" w:space="0" w:color="auto"/>
              <w:left w:val="nil"/>
              <w:bottom w:val="single" w:sz="4" w:space="0" w:color="auto"/>
              <w:right w:val="nil"/>
            </w:tcBorders>
            <w:shd w:val="clear" w:color="auto" w:fill="D9D9D9"/>
            <w:noWrap/>
            <w:vAlign w:val="center"/>
          </w:tcPr>
          <w:p w14:paraId="274C7103" w14:textId="35243801" w:rsidR="008F7887" w:rsidRDefault="008F7887" w:rsidP="008F7887">
            <w:pPr>
              <w:jc w:val="center"/>
              <w:rPr>
                <w:rFonts w:ascii="Arial Narrow" w:hAnsi="Arial Narrow"/>
                <w:sz w:val="18"/>
                <w:szCs w:val="18"/>
              </w:rPr>
            </w:pPr>
            <w:r>
              <w:rPr>
                <w:rFonts w:ascii="Arial Narrow" w:hAnsi="Arial Narrow"/>
                <w:sz w:val="18"/>
                <w:szCs w:val="18"/>
              </w:rPr>
              <w:t>-3.144</w:t>
            </w:r>
          </w:p>
        </w:tc>
      </w:tr>
      <w:tr w:rsidR="008F7887" w:rsidRPr="008C0651" w14:paraId="76165BDF" w14:textId="77777777" w:rsidTr="008F7887">
        <w:trPr>
          <w:trHeight w:val="255"/>
        </w:trPr>
        <w:tc>
          <w:tcPr>
            <w:tcW w:w="1587" w:type="dxa"/>
            <w:tcBorders>
              <w:top w:val="single" w:sz="4" w:space="0" w:color="auto"/>
              <w:left w:val="nil"/>
              <w:bottom w:val="single" w:sz="4" w:space="0" w:color="auto"/>
              <w:right w:val="nil"/>
            </w:tcBorders>
            <w:shd w:val="clear" w:color="auto" w:fill="auto"/>
            <w:vAlign w:val="bottom"/>
          </w:tcPr>
          <w:p w14:paraId="00EA1AB5" w14:textId="77777777" w:rsidR="008F7887" w:rsidRPr="00831F78" w:rsidRDefault="008F7887" w:rsidP="008F7887">
            <w:pPr>
              <w:spacing w:before="40" w:after="20"/>
              <w:rPr>
                <w:rFonts w:ascii="Arial Narrow" w:hAnsi="Arial Narrow"/>
                <w:sz w:val="18"/>
                <w:szCs w:val="18"/>
              </w:rPr>
            </w:pPr>
            <w:r w:rsidRPr="00831F78">
              <w:rPr>
                <w:rFonts w:ascii="Arial Narrow" w:hAnsi="Arial Narrow"/>
                <w:sz w:val="18"/>
                <w:szCs w:val="18"/>
              </w:rPr>
              <w:t>Energia</w:t>
            </w:r>
          </w:p>
        </w:tc>
        <w:tc>
          <w:tcPr>
            <w:tcW w:w="665" w:type="dxa"/>
            <w:tcBorders>
              <w:top w:val="single" w:sz="4" w:space="0" w:color="auto"/>
              <w:left w:val="nil"/>
              <w:bottom w:val="single" w:sz="4" w:space="0" w:color="auto"/>
              <w:right w:val="nil"/>
            </w:tcBorders>
            <w:shd w:val="clear" w:color="auto" w:fill="D9D9D9"/>
            <w:noWrap/>
            <w:vAlign w:val="center"/>
          </w:tcPr>
          <w:p w14:paraId="300F42D5" w14:textId="5A12DD44" w:rsidR="008F7887" w:rsidRDefault="008F7887" w:rsidP="008F7887">
            <w:pPr>
              <w:jc w:val="center"/>
              <w:rPr>
                <w:rFonts w:ascii="Arial Narrow" w:hAnsi="Arial Narrow"/>
                <w:sz w:val="18"/>
                <w:szCs w:val="18"/>
              </w:rPr>
            </w:pPr>
            <w:r>
              <w:rPr>
                <w:rFonts w:ascii="Arial Narrow" w:hAnsi="Arial Narrow"/>
                <w:sz w:val="18"/>
                <w:szCs w:val="18"/>
              </w:rPr>
              <w:t>-5,4</w:t>
            </w:r>
          </w:p>
        </w:tc>
        <w:tc>
          <w:tcPr>
            <w:tcW w:w="1108" w:type="dxa"/>
            <w:tcBorders>
              <w:top w:val="single" w:sz="4" w:space="0" w:color="auto"/>
              <w:left w:val="nil"/>
              <w:bottom w:val="single" w:sz="4" w:space="0" w:color="auto"/>
              <w:right w:val="nil"/>
            </w:tcBorders>
            <w:shd w:val="clear" w:color="auto" w:fill="D9D9D9"/>
            <w:noWrap/>
            <w:vAlign w:val="center"/>
          </w:tcPr>
          <w:p w14:paraId="5483BE3E" w14:textId="68959A6A" w:rsidR="008F7887" w:rsidRDefault="008F7887" w:rsidP="008F7887">
            <w:pPr>
              <w:jc w:val="center"/>
              <w:rPr>
                <w:rFonts w:ascii="Arial Narrow" w:hAnsi="Arial Narrow"/>
                <w:sz w:val="18"/>
                <w:szCs w:val="18"/>
              </w:rPr>
            </w:pPr>
            <w:r>
              <w:rPr>
                <w:rFonts w:ascii="Arial Narrow" w:hAnsi="Arial Narrow"/>
                <w:sz w:val="18"/>
                <w:szCs w:val="18"/>
              </w:rPr>
              <w:t>+32,6</w:t>
            </w:r>
          </w:p>
        </w:tc>
        <w:tc>
          <w:tcPr>
            <w:tcW w:w="1702" w:type="dxa"/>
            <w:tcBorders>
              <w:top w:val="single" w:sz="4" w:space="0" w:color="auto"/>
              <w:left w:val="nil"/>
              <w:bottom w:val="single" w:sz="4" w:space="0" w:color="auto"/>
              <w:right w:val="nil"/>
            </w:tcBorders>
            <w:shd w:val="clear" w:color="auto" w:fill="auto"/>
            <w:noWrap/>
            <w:vAlign w:val="center"/>
          </w:tcPr>
          <w:p w14:paraId="205FE374" w14:textId="30F8E2B8" w:rsidR="008F7887" w:rsidRDefault="008F7887" w:rsidP="008F7887">
            <w:pPr>
              <w:jc w:val="center"/>
              <w:rPr>
                <w:rFonts w:ascii="Arial Narrow" w:hAnsi="Arial Narrow"/>
                <w:sz w:val="18"/>
                <w:szCs w:val="18"/>
              </w:rPr>
            </w:pPr>
            <w:r>
              <w:rPr>
                <w:rFonts w:ascii="Arial Narrow" w:hAnsi="Arial Narrow"/>
                <w:sz w:val="18"/>
                <w:szCs w:val="18"/>
              </w:rPr>
              <w:t>+104,0</w:t>
            </w:r>
          </w:p>
        </w:tc>
        <w:tc>
          <w:tcPr>
            <w:tcW w:w="708" w:type="dxa"/>
            <w:tcBorders>
              <w:top w:val="single" w:sz="4" w:space="0" w:color="auto"/>
              <w:left w:val="nil"/>
              <w:bottom w:val="single" w:sz="4" w:space="0" w:color="auto"/>
              <w:right w:val="nil"/>
            </w:tcBorders>
            <w:shd w:val="clear" w:color="auto" w:fill="D9D9D9"/>
            <w:noWrap/>
            <w:vAlign w:val="center"/>
          </w:tcPr>
          <w:p w14:paraId="19A59336" w14:textId="579E3F58" w:rsidR="008F7887" w:rsidRPr="00734199" w:rsidRDefault="0020128C" w:rsidP="008F7887">
            <w:pPr>
              <w:jc w:val="center"/>
              <w:rPr>
                <w:rFonts w:ascii="Arial Narrow" w:hAnsi="Arial Narrow"/>
                <w:sz w:val="18"/>
                <w:szCs w:val="18"/>
                <w:highlight w:val="yellow"/>
              </w:rPr>
            </w:pPr>
            <w:r>
              <w:rPr>
                <w:rFonts w:ascii="Arial Narrow" w:hAnsi="Arial Narrow"/>
                <w:sz w:val="18"/>
                <w:szCs w:val="18"/>
              </w:rPr>
              <w:t>(a)</w:t>
            </w:r>
          </w:p>
        </w:tc>
        <w:tc>
          <w:tcPr>
            <w:tcW w:w="1134" w:type="dxa"/>
            <w:tcBorders>
              <w:top w:val="single" w:sz="4" w:space="0" w:color="auto"/>
              <w:left w:val="nil"/>
              <w:bottom w:val="single" w:sz="4" w:space="0" w:color="auto"/>
              <w:right w:val="nil"/>
            </w:tcBorders>
            <w:shd w:val="clear" w:color="auto" w:fill="D9D9D9"/>
            <w:noWrap/>
            <w:vAlign w:val="center"/>
          </w:tcPr>
          <w:p w14:paraId="000D4FB2" w14:textId="0E3F6061" w:rsidR="008F7887" w:rsidRPr="00734199" w:rsidRDefault="0020128C" w:rsidP="008F7887">
            <w:pPr>
              <w:jc w:val="center"/>
              <w:rPr>
                <w:rFonts w:ascii="Arial Narrow" w:hAnsi="Arial Narrow"/>
                <w:sz w:val="18"/>
                <w:szCs w:val="18"/>
                <w:highlight w:val="yellow"/>
              </w:rPr>
            </w:pPr>
            <w:r>
              <w:rPr>
                <w:rFonts w:ascii="Arial Narrow" w:hAnsi="Arial Narrow"/>
                <w:sz w:val="18"/>
                <w:szCs w:val="18"/>
              </w:rPr>
              <w:t>(a)</w:t>
            </w:r>
          </w:p>
        </w:tc>
        <w:tc>
          <w:tcPr>
            <w:tcW w:w="1638" w:type="dxa"/>
            <w:tcBorders>
              <w:top w:val="single" w:sz="4" w:space="0" w:color="auto"/>
              <w:left w:val="nil"/>
              <w:bottom w:val="single" w:sz="4" w:space="0" w:color="auto"/>
              <w:right w:val="nil"/>
            </w:tcBorders>
            <w:shd w:val="clear" w:color="auto" w:fill="auto"/>
            <w:noWrap/>
            <w:vAlign w:val="center"/>
          </w:tcPr>
          <w:p w14:paraId="1CB9FC89" w14:textId="75D644BC" w:rsidR="008F7887" w:rsidRDefault="008F7887" w:rsidP="008F7887">
            <w:pPr>
              <w:jc w:val="center"/>
              <w:rPr>
                <w:rFonts w:ascii="Arial Narrow" w:hAnsi="Arial Narrow"/>
                <w:sz w:val="18"/>
                <w:szCs w:val="18"/>
              </w:rPr>
            </w:pPr>
            <w:r>
              <w:rPr>
                <w:rFonts w:ascii="Arial Narrow" w:hAnsi="Arial Narrow"/>
                <w:sz w:val="18"/>
                <w:szCs w:val="18"/>
              </w:rPr>
              <w:t>+158,8</w:t>
            </w:r>
          </w:p>
        </w:tc>
        <w:tc>
          <w:tcPr>
            <w:tcW w:w="1693" w:type="dxa"/>
            <w:tcBorders>
              <w:top w:val="single" w:sz="4" w:space="0" w:color="auto"/>
              <w:left w:val="nil"/>
              <w:bottom w:val="single" w:sz="4" w:space="0" w:color="auto"/>
              <w:right w:val="nil"/>
            </w:tcBorders>
            <w:shd w:val="clear" w:color="auto" w:fill="D9D9D9"/>
            <w:noWrap/>
            <w:vAlign w:val="center"/>
          </w:tcPr>
          <w:p w14:paraId="457A0B75" w14:textId="1BCF11FA" w:rsidR="008F7887" w:rsidRDefault="008F7887" w:rsidP="008F7887">
            <w:pPr>
              <w:jc w:val="center"/>
              <w:rPr>
                <w:rFonts w:ascii="Arial Narrow" w:hAnsi="Arial Narrow"/>
                <w:sz w:val="18"/>
                <w:szCs w:val="18"/>
              </w:rPr>
            </w:pPr>
            <w:r>
              <w:rPr>
                <w:rFonts w:ascii="Arial Narrow" w:hAnsi="Arial Narrow"/>
                <w:sz w:val="18"/>
                <w:szCs w:val="18"/>
              </w:rPr>
              <w:t>-6.439</w:t>
            </w:r>
          </w:p>
        </w:tc>
      </w:tr>
      <w:tr w:rsidR="008F7887" w:rsidRPr="008C0651" w14:paraId="704A5F6E" w14:textId="77777777" w:rsidTr="008F7887">
        <w:trPr>
          <w:trHeight w:val="255"/>
        </w:trPr>
        <w:tc>
          <w:tcPr>
            <w:tcW w:w="1587" w:type="dxa"/>
            <w:tcBorders>
              <w:top w:val="single" w:sz="4" w:space="0" w:color="auto"/>
              <w:left w:val="nil"/>
              <w:bottom w:val="single" w:sz="4" w:space="0" w:color="auto"/>
              <w:right w:val="nil"/>
            </w:tcBorders>
            <w:shd w:val="clear" w:color="auto" w:fill="auto"/>
            <w:vAlign w:val="bottom"/>
          </w:tcPr>
          <w:p w14:paraId="52CF6815" w14:textId="77777777" w:rsidR="008F7887" w:rsidRPr="00831F78" w:rsidRDefault="008F7887" w:rsidP="008F7887">
            <w:pPr>
              <w:spacing w:before="40" w:after="20"/>
              <w:rPr>
                <w:rFonts w:ascii="Arial Narrow" w:hAnsi="Arial Narrow"/>
                <w:sz w:val="18"/>
                <w:szCs w:val="18"/>
              </w:rPr>
            </w:pPr>
            <w:r w:rsidRPr="00831F78">
              <w:rPr>
                <w:rFonts w:ascii="Arial Narrow" w:hAnsi="Arial Narrow"/>
                <w:sz w:val="18"/>
                <w:szCs w:val="18"/>
              </w:rPr>
              <w:t>Totale al netto dell’energia</w:t>
            </w:r>
          </w:p>
        </w:tc>
        <w:tc>
          <w:tcPr>
            <w:tcW w:w="665" w:type="dxa"/>
            <w:tcBorders>
              <w:top w:val="single" w:sz="4" w:space="0" w:color="auto"/>
              <w:left w:val="nil"/>
              <w:bottom w:val="single" w:sz="4" w:space="0" w:color="auto"/>
              <w:right w:val="nil"/>
            </w:tcBorders>
            <w:shd w:val="clear" w:color="auto" w:fill="D9D9D9"/>
            <w:noWrap/>
            <w:vAlign w:val="center"/>
          </w:tcPr>
          <w:p w14:paraId="79D8C105" w14:textId="453C461F" w:rsidR="008F7887" w:rsidRDefault="008F7887" w:rsidP="008F7887">
            <w:pPr>
              <w:jc w:val="center"/>
              <w:rPr>
                <w:rFonts w:ascii="Arial Narrow" w:hAnsi="Arial Narrow"/>
                <w:sz w:val="18"/>
                <w:szCs w:val="18"/>
              </w:rPr>
            </w:pPr>
            <w:r>
              <w:rPr>
                <w:rFonts w:ascii="Arial Narrow" w:hAnsi="Arial Narrow"/>
                <w:sz w:val="18"/>
                <w:szCs w:val="18"/>
              </w:rPr>
              <w:t>+5,7</w:t>
            </w:r>
          </w:p>
        </w:tc>
        <w:tc>
          <w:tcPr>
            <w:tcW w:w="1108" w:type="dxa"/>
            <w:tcBorders>
              <w:top w:val="single" w:sz="4" w:space="0" w:color="auto"/>
              <w:left w:val="nil"/>
              <w:bottom w:val="single" w:sz="4" w:space="0" w:color="auto"/>
              <w:right w:val="nil"/>
            </w:tcBorders>
            <w:shd w:val="clear" w:color="auto" w:fill="D9D9D9"/>
            <w:noWrap/>
            <w:vAlign w:val="center"/>
          </w:tcPr>
          <w:p w14:paraId="0B71E364" w14:textId="20CADEA9" w:rsidR="008F7887" w:rsidRDefault="008F7887" w:rsidP="008F7887">
            <w:pPr>
              <w:jc w:val="center"/>
              <w:rPr>
                <w:rFonts w:ascii="Arial Narrow" w:hAnsi="Arial Narrow"/>
                <w:sz w:val="18"/>
                <w:szCs w:val="18"/>
              </w:rPr>
            </w:pPr>
            <w:r>
              <w:rPr>
                <w:rFonts w:ascii="Arial Narrow" w:hAnsi="Arial Narrow"/>
                <w:sz w:val="18"/>
                <w:szCs w:val="18"/>
              </w:rPr>
              <w:t>+3,8</w:t>
            </w:r>
          </w:p>
        </w:tc>
        <w:tc>
          <w:tcPr>
            <w:tcW w:w="1702" w:type="dxa"/>
            <w:tcBorders>
              <w:top w:val="single" w:sz="4" w:space="0" w:color="auto"/>
              <w:left w:val="nil"/>
              <w:bottom w:val="single" w:sz="4" w:space="0" w:color="auto"/>
              <w:right w:val="nil"/>
            </w:tcBorders>
            <w:shd w:val="clear" w:color="auto" w:fill="auto"/>
            <w:noWrap/>
            <w:vAlign w:val="center"/>
          </w:tcPr>
          <w:p w14:paraId="7F83EF81" w14:textId="46DC787B" w:rsidR="008F7887" w:rsidRDefault="008F7887" w:rsidP="008F7887">
            <w:pPr>
              <w:jc w:val="center"/>
              <w:rPr>
                <w:rFonts w:ascii="Arial Narrow" w:hAnsi="Arial Narrow"/>
                <w:sz w:val="18"/>
                <w:szCs w:val="18"/>
              </w:rPr>
            </w:pPr>
            <w:r>
              <w:rPr>
                <w:rFonts w:ascii="Arial Narrow" w:hAnsi="Arial Narrow"/>
                <w:sz w:val="18"/>
                <w:szCs w:val="18"/>
              </w:rPr>
              <w:t>+20,7</w:t>
            </w:r>
          </w:p>
        </w:tc>
        <w:tc>
          <w:tcPr>
            <w:tcW w:w="708" w:type="dxa"/>
            <w:tcBorders>
              <w:top w:val="single" w:sz="4" w:space="0" w:color="auto"/>
              <w:left w:val="nil"/>
              <w:bottom w:val="single" w:sz="4" w:space="0" w:color="auto"/>
              <w:right w:val="nil"/>
            </w:tcBorders>
            <w:shd w:val="clear" w:color="auto" w:fill="D9D9D9"/>
            <w:noWrap/>
            <w:vAlign w:val="center"/>
          </w:tcPr>
          <w:p w14:paraId="038815F0" w14:textId="043537F9" w:rsidR="008F7887" w:rsidRPr="0029449E" w:rsidRDefault="008F7887" w:rsidP="008F7887">
            <w:pPr>
              <w:jc w:val="center"/>
              <w:rPr>
                <w:rFonts w:ascii="Arial Narrow" w:hAnsi="Arial Narrow"/>
                <w:sz w:val="18"/>
                <w:szCs w:val="18"/>
              </w:rPr>
            </w:pPr>
            <w:r w:rsidRPr="0029449E">
              <w:rPr>
                <w:rFonts w:ascii="Arial Narrow" w:hAnsi="Arial Narrow"/>
                <w:sz w:val="18"/>
                <w:szCs w:val="18"/>
              </w:rPr>
              <w:t>-1,3</w:t>
            </w:r>
          </w:p>
        </w:tc>
        <w:tc>
          <w:tcPr>
            <w:tcW w:w="1134" w:type="dxa"/>
            <w:tcBorders>
              <w:top w:val="single" w:sz="4" w:space="0" w:color="auto"/>
              <w:left w:val="nil"/>
              <w:bottom w:val="single" w:sz="4" w:space="0" w:color="auto"/>
              <w:right w:val="nil"/>
            </w:tcBorders>
            <w:shd w:val="clear" w:color="auto" w:fill="D9D9D9"/>
            <w:noWrap/>
            <w:vAlign w:val="center"/>
          </w:tcPr>
          <w:p w14:paraId="16BE4539" w14:textId="09D4C121" w:rsidR="008F7887" w:rsidRPr="0029449E" w:rsidRDefault="008F7887" w:rsidP="008F7887">
            <w:pPr>
              <w:jc w:val="center"/>
              <w:rPr>
                <w:rFonts w:ascii="Arial Narrow" w:hAnsi="Arial Narrow"/>
                <w:sz w:val="18"/>
                <w:szCs w:val="18"/>
              </w:rPr>
            </w:pPr>
            <w:r w:rsidRPr="0029449E">
              <w:rPr>
                <w:rFonts w:ascii="Arial Narrow" w:hAnsi="Arial Narrow"/>
                <w:sz w:val="18"/>
                <w:szCs w:val="18"/>
              </w:rPr>
              <w:t>+7,6</w:t>
            </w:r>
          </w:p>
        </w:tc>
        <w:tc>
          <w:tcPr>
            <w:tcW w:w="1638" w:type="dxa"/>
            <w:tcBorders>
              <w:top w:val="single" w:sz="4" w:space="0" w:color="auto"/>
              <w:left w:val="nil"/>
              <w:bottom w:val="single" w:sz="4" w:space="0" w:color="auto"/>
              <w:right w:val="nil"/>
            </w:tcBorders>
            <w:shd w:val="clear" w:color="auto" w:fill="auto"/>
            <w:noWrap/>
            <w:vAlign w:val="center"/>
          </w:tcPr>
          <w:p w14:paraId="6948E4C0" w14:textId="57C7C9D3" w:rsidR="008F7887" w:rsidRDefault="008F7887" w:rsidP="008F7887">
            <w:pPr>
              <w:jc w:val="center"/>
              <w:rPr>
                <w:rFonts w:ascii="Arial Narrow" w:hAnsi="Arial Narrow"/>
                <w:sz w:val="18"/>
                <w:szCs w:val="18"/>
              </w:rPr>
            </w:pPr>
            <w:r>
              <w:rPr>
                <w:rFonts w:ascii="Arial Narrow" w:hAnsi="Arial Narrow"/>
                <w:sz w:val="18"/>
                <w:szCs w:val="18"/>
              </w:rPr>
              <w:t>+32,3</w:t>
            </w:r>
          </w:p>
        </w:tc>
        <w:tc>
          <w:tcPr>
            <w:tcW w:w="1693" w:type="dxa"/>
            <w:tcBorders>
              <w:top w:val="single" w:sz="4" w:space="0" w:color="auto"/>
              <w:left w:val="nil"/>
              <w:bottom w:val="single" w:sz="4" w:space="0" w:color="auto"/>
              <w:right w:val="nil"/>
            </w:tcBorders>
            <w:shd w:val="clear" w:color="auto" w:fill="D9D9D9"/>
            <w:noWrap/>
            <w:vAlign w:val="center"/>
          </w:tcPr>
          <w:p w14:paraId="425920C1" w14:textId="5782D8AC" w:rsidR="008F7887" w:rsidRDefault="008F7887" w:rsidP="008F7887">
            <w:pPr>
              <w:jc w:val="center"/>
              <w:rPr>
                <w:rFonts w:ascii="Arial Narrow" w:hAnsi="Arial Narrow"/>
                <w:sz w:val="18"/>
                <w:szCs w:val="18"/>
              </w:rPr>
            </w:pPr>
            <w:r>
              <w:rPr>
                <w:rFonts w:ascii="Arial Narrow" w:hAnsi="Arial Narrow"/>
                <w:sz w:val="18"/>
                <w:szCs w:val="18"/>
              </w:rPr>
              <w:t>+1.387</w:t>
            </w:r>
          </w:p>
        </w:tc>
      </w:tr>
      <w:tr w:rsidR="008F7887" w:rsidRPr="008C0651" w14:paraId="3A0835FB" w14:textId="77777777" w:rsidTr="008F7887">
        <w:trPr>
          <w:trHeight w:val="255"/>
        </w:trPr>
        <w:tc>
          <w:tcPr>
            <w:tcW w:w="1587" w:type="dxa"/>
            <w:tcBorders>
              <w:top w:val="single" w:sz="4" w:space="0" w:color="auto"/>
              <w:left w:val="nil"/>
              <w:bottom w:val="single" w:sz="4" w:space="0" w:color="auto"/>
              <w:right w:val="nil"/>
            </w:tcBorders>
            <w:shd w:val="clear" w:color="000000" w:fill="FF0000"/>
            <w:vAlign w:val="bottom"/>
          </w:tcPr>
          <w:p w14:paraId="703BFE90" w14:textId="77777777" w:rsidR="008F7887" w:rsidRPr="008C0651" w:rsidRDefault="008F7887" w:rsidP="008F7887">
            <w:pPr>
              <w:spacing w:before="40" w:after="20"/>
              <w:rPr>
                <w:rFonts w:ascii="Arial Narrow" w:hAnsi="Arial Narrow"/>
                <w:b/>
                <w:color w:val="FFFFFF" w:themeColor="background1"/>
                <w:sz w:val="18"/>
                <w:szCs w:val="18"/>
              </w:rPr>
            </w:pPr>
            <w:r w:rsidRPr="008C0651">
              <w:rPr>
                <w:rFonts w:ascii="Arial Narrow" w:hAnsi="Arial Narrow"/>
                <w:b/>
                <w:color w:val="FFFFFF" w:themeColor="background1"/>
                <w:sz w:val="18"/>
                <w:szCs w:val="18"/>
              </w:rPr>
              <w:t>Totale</w:t>
            </w:r>
          </w:p>
        </w:tc>
        <w:tc>
          <w:tcPr>
            <w:tcW w:w="665" w:type="dxa"/>
            <w:tcBorders>
              <w:top w:val="single" w:sz="4" w:space="0" w:color="auto"/>
              <w:left w:val="nil"/>
              <w:bottom w:val="single" w:sz="4" w:space="0" w:color="auto"/>
              <w:right w:val="nil"/>
            </w:tcBorders>
            <w:shd w:val="clear" w:color="000000" w:fill="FF0000"/>
            <w:noWrap/>
            <w:vAlign w:val="center"/>
          </w:tcPr>
          <w:p w14:paraId="48A1C10A" w14:textId="0B41D673" w:rsidR="008F7887" w:rsidRDefault="008F7887" w:rsidP="008F7887">
            <w:pPr>
              <w:jc w:val="center"/>
              <w:rPr>
                <w:rFonts w:ascii="Arial Narrow" w:hAnsi="Arial Narrow"/>
                <w:b/>
                <w:bCs/>
                <w:color w:val="FFFFFF"/>
                <w:sz w:val="18"/>
                <w:szCs w:val="18"/>
              </w:rPr>
            </w:pPr>
            <w:r>
              <w:rPr>
                <w:rFonts w:ascii="Arial Narrow" w:hAnsi="Arial Narrow"/>
                <w:b/>
                <w:bCs/>
                <w:color w:val="FFFFFF"/>
                <w:sz w:val="18"/>
                <w:szCs w:val="18"/>
              </w:rPr>
              <w:t>+5,3</w:t>
            </w:r>
          </w:p>
        </w:tc>
        <w:tc>
          <w:tcPr>
            <w:tcW w:w="1108" w:type="dxa"/>
            <w:tcBorders>
              <w:top w:val="single" w:sz="4" w:space="0" w:color="auto"/>
              <w:left w:val="nil"/>
              <w:bottom w:val="single" w:sz="4" w:space="0" w:color="auto"/>
              <w:right w:val="nil"/>
            </w:tcBorders>
            <w:shd w:val="clear" w:color="000000" w:fill="FF0000"/>
            <w:noWrap/>
            <w:vAlign w:val="center"/>
          </w:tcPr>
          <w:p w14:paraId="007777AD" w14:textId="00D4D729" w:rsidR="008F7887" w:rsidRDefault="008F7887" w:rsidP="008F7887">
            <w:pPr>
              <w:jc w:val="center"/>
              <w:rPr>
                <w:rFonts w:ascii="Arial Narrow" w:hAnsi="Arial Narrow"/>
                <w:b/>
                <w:bCs/>
                <w:color w:val="FFFFFF"/>
                <w:sz w:val="18"/>
                <w:szCs w:val="18"/>
              </w:rPr>
            </w:pPr>
            <w:r>
              <w:rPr>
                <w:rFonts w:ascii="Arial Narrow" w:hAnsi="Arial Narrow"/>
                <w:b/>
                <w:bCs/>
                <w:color w:val="FFFFFF"/>
                <w:sz w:val="18"/>
                <w:szCs w:val="18"/>
              </w:rPr>
              <w:t>+4,7</w:t>
            </w:r>
          </w:p>
        </w:tc>
        <w:tc>
          <w:tcPr>
            <w:tcW w:w="1702" w:type="dxa"/>
            <w:tcBorders>
              <w:top w:val="single" w:sz="4" w:space="0" w:color="auto"/>
              <w:left w:val="nil"/>
              <w:bottom w:val="single" w:sz="4" w:space="0" w:color="auto"/>
              <w:right w:val="nil"/>
            </w:tcBorders>
            <w:shd w:val="clear" w:color="000000" w:fill="FF0000"/>
            <w:noWrap/>
            <w:vAlign w:val="center"/>
          </w:tcPr>
          <w:p w14:paraId="0BC58522" w14:textId="71D53E6C" w:rsidR="008F7887" w:rsidRDefault="008F7887" w:rsidP="008F7887">
            <w:pPr>
              <w:jc w:val="center"/>
              <w:rPr>
                <w:rFonts w:ascii="Arial Narrow" w:hAnsi="Arial Narrow"/>
                <w:b/>
                <w:bCs/>
                <w:color w:val="FFFFFF"/>
                <w:sz w:val="18"/>
                <w:szCs w:val="18"/>
              </w:rPr>
            </w:pPr>
            <w:r>
              <w:rPr>
                <w:rFonts w:ascii="Arial Narrow" w:hAnsi="Arial Narrow"/>
                <w:b/>
                <w:bCs/>
                <w:color w:val="FFFFFF"/>
                <w:sz w:val="18"/>
                <w:szCs w:val="18"/>
              </w:rPr>
              <w:t>+22,6</w:t>
            </w:r>
          </w:p>
        </w:tc>
        <w:tc>
          <w:tcPr>
            <w:tcW w:w="708" w:type="dxa"/>
            <w:tcBorders>
              <w:top w:val="single" w:sz="4" w:space="0" w:color="auto"/>
              <w:left w:val="nil"/>
              <w:bottom w:val="single" w:sz="4" w:space="0" w:color="auto"/>
              <w:right w:val="nil"/>
            </w:tcBorders>
            <w:shd w:val="clear" w:color="000000" w:fill="FF0000"/>
            <w:noWrap/>
            <w:vAlign w:val="center"/>
          </w:tcPr>
          <w:p w14:paraId="339122B5" w14:textId="0F536CB4" w:rsidR="008F7887" w:rsidRPr="0020128C" w:rsidRDefault="0020128C" w:rsidP="0020128C">
            <w:pPr>
              <w:jc w:val="center"/>
              <w:rPr>
                <w:rFonts w:ascii="Arial Narrow" w:hAnsi="Arial Narrow"/>
                <w:b/>
                <w:bCs/>
                <w:color w:val="FFFFFF"/>
                <w:sz w:val="18"/>
                <w:szCs w:val="18"/>
              </w:rPr>
            </w:pPr>
            <w:r>
              <w:rPr>
                <w:rFonts w:ascii="Arial Narrow" w:hAnsi="Arial Narrow"/>
                <w:b/>
                <w:bCs/>
                <w:color w:val="FFFFFF"/>
                <w:sz w:val="18"/>
                <w:szCs w:val="18"/>
              </w:rPr>
              <w:t>(a)</w:t>
            </w:r>
          </w:p>
        </w:tc>
        <w:tc>
          <w:tcPr>
            <w:tcW w:w="1134" w:type="dxa"/>
            <w:tcBorders>
              <w:top w:val="single" w:sz="4" w:space="0" w:color="auto"/>
              <w:left w:val="nil"/>
              <w:bottom w:val="single" w:sz="4" w:space="0" w:color="auto"/>
              <w:right w:val="nil"/>
            </w:tcBorders>
            <w:shd w:val="clear" w:color="000000" w:fill="FF0000"/>
            <w:noWrap/>
            <w:vAlign w:val="center"/>
          </w:tcPr>
          <w:p w14:paraId="61ED518A" w14:textId="77A3DEE8" w:rsidR="008F7887" w:rsidRPr="0020128C" w:rsidRDefault="0020128C" w:rsidP="0020128C">
            <w:pPr>
              <w:jc w:val="center"/>
              <w:rPr>
                <w:rFonts w:ascii="Arial Narrow" w:hAnsi="Arial Narrow"/>
                <w:b/>
                <w:bCs/>
                <w:color w:val="FFFFFF"/>
                <w:sz w:val="18"/>
                <w:szCs w:val="18"/>
              </w:rPr>
            </w:pPr>
            <w:r>
              <w:rPr>
                <w:rFonts w:ascii="Arial Narrow" w:hAnsi="Arial Narrow"/>
                <w:b/>
                <w:bCs/>
                <w:color w:val="FFFFFF"/>
                <w:sz w:val="18"/>
                <w:szCs w:val="18"/>
              </w:rPr>
              <w:t>(a)</w:t>
            </w:r>
          </w:p>
        </w:tc>
        <w:tc>
          <w:tcPr>
            <w:tcW w:w="1638" w:type="dxa"/>
            <w:tcBorders>
              <w:top w:val="single" w:sz="4" w:space="0" w:color="auto"/>
              <w:left w:val="nil"/>
              <w:bottom w:val="single" w:sz="4" w:space="0" w:color="auto"/>
              <w:right w:val="nil"/>
            </w:tcBorders>
            <w:shd w:val="clear" w:color="000000" w:fill="FF0000"/>
            <w:noWrap/>
            <w:vAlign w:val="center"/>
          </w:tcPr>
          <w:p w14:paraId="7B827879" w14:textId="3AEB1241" w:rsidR="008F7887" w:rsidRDefault="008F7887" w:rsidP="008F7887">
            <w:pPr>
              <w:jc w:val="center"/>
              <w:rPr>
                <w:rFonts w:ascii="Arial Narrow" w:hAnsi="Arial Narrow"/>
                <w:b/>
                <w:bCs/>
                <w:color w:val="FFFFFF"/>
                <w:sz w:val="18"/>
                <w:szCs w:val="18"/>
              </w:rPr>
            </w:pPr>
            <w:r>
              <w:rPr>
                <w:rFonts w:ascii="Arial Narrow" w:hAnsi="Arial Narrow"/>
                <w:b/>
                <w:bCs/>
                <w:color w:val="FFFFFF"/>
                <w:sz w:val="18"/>
                <w:szCs w:val="18"/>
              </w:rPr>
              <w:t>+44,5</w:t>
            </w:r>
          </w:p>
        </w:tc>
        <w:tc>
          <w:tcPr>
            <w:tcW w:w="1693" w:type="dxa"/>
            <w:tcBorders>
              <w:top w:val="single" w:sz="4" w:space="0" w:color="auto"/>
              <w:left w:val="nil"/>
              <w:bottom w:val="single" w:sz="4" w:space="0" w:color="auto"/>
              <w:right w:val="nil"/>
            </w:tcBorders>
            <w:shd w:val="clear" w:color="000000" w:fill="FF0000"/>
            <w:noWrap/>
            <w:vAlign w:val="center"/>
          </w:tcPr>
          <w:p w14:paraId="68DB2430" w14:textId="29EA0747" w:rsidR="008F7887" w:rsidRDefault="008F7887" w:rsidP="008F7887">
            <w:pPr>
              <w:jc w:val="center"/>
              <w:rPr>
                <w:rFonts w:ascii="Arial Narrow" w:hAnsi="Arial Narrow"/>
                <w:b/>
                <w:bCs/>
                <w:color w:val="FFFFFF"/>
                <w:sz w:val="18"/>
                <w:szCs w:val="18"/>
              </w:rPr>
            </w:pPr>
            <w:r>
              <w:rPr>
                <w:rFonts w:ascii="Arial Narrow" w:hAnsi="Arial Narrow"/>
                <w:b/>
                <w:bCs/>
                <w:color w:val="FFFFFF"/>
                <w:sz w:val="18"/>
                <w:szCs w:val="18"/>
              </w:rPr>
              <w:t>-5.052</w:t>
            </w:r>
          </w:p>
        </w:tc>
      </w:tr>
    </w:tbl>
    <w:p w14:paraId="14547663" w14:textId="77777777" w:rsidR="0020128C" w:rsidRPr="0020128C" w:rsidRDefault="0020128C" w:rsidP="0020128C">
      <w:pPr>
        <w:spacing w:line="240" w:lineRule="exact"/>
        <w:rPr>
          <w:rFonts w:ascii="Arial Narrow" w:hAnsi="Arial Narrow" w:cs="Arial"/>
          <w:b/>
          <w:sz w:val="22"/>
          <w:szCs w:val="22"/>
        </w:rPr>
      </w:pPr>
      <w:r w:rsidRPr="0020128C">
        <w:rPr>
          <w:rFonts w:ascii="Arial Narrow" w:hAnsi="Arial Narrow" w:cs="Arial"/>
          <w:sz w:val="16"/>
          <w:szCs w:val="16"/>
        </w:rPr>
        <w:t>(a)  La variazione non è calcolata perché influenzata dalla revisione in corso dell’import del gas naturale allo stato gassoso.</w:t>
      </w:r>
    </w:p>
    <w:p w14:paraId="25AF6E9D" w14:textId="77777777" w:rsidR="00E35D07" w:rsidRPr="00F515CD" w:rsidRDefault="00E35D07" w:rsidP="00C32401">
      <w:pPr>
        <w:pStyle w:val="Corpodeltesto1"/>
        <w:spacing w:after="120"/>
        <w:rPr>
          <w:rFonts w:ascii="Arial" w:hAnsi="Arial" w:cs="Arial"/>
          <w:b w:val="0"/>
          <w:color w:val="000000"/>
          <w:kern w:val="28"/>
          <w:sz w:val="21"/>
          <w:szCs w:val="21"/>
        </w:rPr>
      </w:pPr>
    </w:p>
    <w:p w14:paraId="0143F2ED" w14:textId="4FB4A333" w:rsidR="002F4710" w:rsidRDefault="002F4710" w:rsidP="002900F6">
      <w:pPr>
        <w:pStyle w:val="Corpodeltesto1"/>
        <w:rPr>
          <w:rFonts w:ascii="Arial" w:hAnsi="Arial" w:cs="Arial"/>
          <w:b w:val="0"/>
          <w:color w:val="000000"/>
          <w:kern w:val="28"/>
          <w:sz w:val="21"/>
          <w:szCs w:val="21"/>
        </w:rPr>
      </w:pPr>
    </w:p>
    <w:p w14:paraId="5FE5BECE" w14:textId="0962E52F" w:rsidR="0020128C" w:rsidRDefault="0020128C" w:rsidP="002900F6">
      <w:pPr>
        <w:pStyle w:val="Corpodeltesto1"/>
        <w:rPr>
          <w:rFonts w:ascii="Arial" w:hAnsi="Arial" w:cs="Arial"/>
          <w:b w:val="0"/>
          <w:color w:val="000000"/>
          <w:kern w:val="28"/>
          <w:sz w:val="21"/>
          <w:szCs w:val="21"/>
        </w:rPr>
      </w:pPr>
    </w:p>
    <w:p w14:paraId="31FEEEA7" w14:textId="47077C50" w:rsidR="0020128C" w:rsidRDefault="0020128C" w:rsidP="002900F6">
      <w:pPr>
        <w:pStyle w:val="Corpodeltesto1"/>
        <w:rPr>
          <w:rFonts w:ascii="Arial" w:hAnsi="Arial" w:cs="Arial"/>
          <w:b w:val="0"/>
          <w:color w:val="000000"/>
          <w:kern w:val="28"/>
          <w:sz w:val="21"/>
          <w:szCs w:val="21"/>
        </w:rPr>
      </w:pPr>
    </w:p>
    <w:p w14:paraId="0538DBA3" w14:textId="77777777" w:rsidR="0020128C" w:rsidRDefault="0020128C" w:rsidP="002900F6">
      <w:pPr>
        <w:pStyle w:val="Corpodeltesto1"/>
        <w:rPr>
          <w:rFonts w:ascii="Arial" w:hAnsi="Arial" w:cs="Arial"/>
          <w:b w:val="0"/>
          <w:color w:val="000000"/>
          <w:kern w:val="28"/>
          <w:sz w:val="21"/>
          <w:szCs w:val="21"/>
        </w:rPr>
      </w:pPr>
    </w:p>
    <w:p w14:paraId="7DF9A35B" w14:textId="1A626395" w:rsidR="00116AB6" w:rsidRDefault="00116AB6" w:rsidP="006073FC">
      <w:pPr>
        <w:pStyle w:val="Corpodeltesto1"/>
        <w:rPr>
          <w:rFonts w:ascii="Arial" w:hAnsi="Arial" w:cs="Arial"/>
          <w:b w:val="0"/>
          <w:color w:val="000000"/>
          <w:kern w:val="28"/>
          <w:sz w:val="21"/>
          <w:szCs w:val="21"/>
        </w:rPr>
      </w:pPr>
    </w:p>
    <w:p w14:paraId="37EFB4E3" w14:textId="49242795" w:rsidR="00116AB6" w:rsidRDefault="00116AB6" w:rsidP="006073FC">
      <w:pPr>
        <w:pStyle w:val="Corpodeltesto1"/>
        <w:rPr>
          <w:rFonts w:ascii="Arial" w:hAnsi="Arial" w:cs="Arial"/>
          <w:b w:val="0"/>
          <w:color w:val="000000"/>
          <w:kern w:val="28"/>
          <w:sz w:val="21"/>
          <w:szCs w:val="21"/>
        </w:rPr>
      </w:pPr>
    </w:p>
    <w:p w14:paraId="0B0F5EF7" w14:textId="77777777" w:rsidR="00EF5150" w:rsidRDefault="00EF5150" w:rsidP="006073FC">
      <w:pPr>
        <w:pStyle w:val="Corpodeltesto1"/>
        <w:rPr>
          <w:rFonts w:ascii="Arial" w:hAnsi="Arial" w:cs="Arial"/>
          <w:b w:val="0"/>
          <w:color w:val="000000"/>
          <w:kern w:val="28"/>
          <w:sz w:val="21"/>
          <w:szCs w:val="21"/>
        </w:rPr>
      </w:pPr>
    </w:p>
    <w:p w14:paraId="3EDEC972" w14:textId="1EBB3500" w:rsidR="002865B7" w:rsidRDefault="002865B7" w:rsidP="006073FC">
      <w:pPr>
        <w:pStyle w:val="Corpodeltesto1"/>
        <w:rPr>
          <w:rFonts w:ascii="Arial" w:hAnsi="Arial" w:cs="Arial"/>
          <w:b w:val="0"/>
          <w:color w:val="000000"/>
          <w:kern w:val="28"/>
          <w:sz w:val="21"/>
          <w:szCs w:val="21"/>
        </w:rPr>
      </w:pPr>
    </w:p>
    <w:p w14:paraId="0EECF215" w14:textId="7C68D8BD" w:rsidR="0020128C" w:rsidRDefault="0020128C" w:rsidP="006073FC">
      <w:pPr>
        <w:pStyle w:val="Corpodeltesto1"/>
        <w:rPr>
          <w:rFonts w:ascii="Arial" w:hAnsi="Arial" w:cs="Arial"/>
          <w:b w:val="0"/>
          <w:color w:val="000000"/>
          <w:kern w:val="28"/>
          <w:sz w:val="21"/>
          <w:szCs w:val="21"/>
        </w:rPr>
      </w:pPr>
    </w:p>
    <w:p w14:paraId="5D4FB5F5" w14:textId="71013537" w:rsidR="0020128C" w:rsidRDefault="0020128C" w:rsidP="006073FC">
      <w:pPr>
        <w:pStyle w:val="Corpodeltesto1"/>
        <w:rPr>
          <w:rFonts w:ascii="Arial" w:hAnsi="Arial" w:cs="Arial"/>
          <w:b w:val="0"/>
          <w:color w:val="000000"/>
          <w:kern w:val="28"/>
          <w:sz w:val="21"/>
          <w:szCs w:val="21"/>
        </w:rPr>
      </w:pPr>
    </w:p>
    <w:p w14:paraId="566374EB" w14:textId="77777777" w:rsidR="0020128C" w:rsidRDefault="0020128C" w:rsidP="006073FC">
      <w:pPr>
        <w:pStyle w:val="Corpodeltesto1"/>
        <w:rPr>
          <w:rFonts w:ascii="Arial" w:hAnsi="Arial" w:cs="Arial"/>
          <w:b w:val="0"/>
          <w:color w:val="000000"/>
          <w:kern w:val="28"/>
          <w:sz w:val="21"/>
          <w:szCs w:val="21"/>
        </w:rPr>
      </w:pPr>
    </w:p>
    <w:p w14:paraId="01FB2B3B" w14:textId="77777777" w:rsidR="006073FC" w:rsidRDefault="006073FC" w:rsidP="00636140">
      <w:pPr>
        <w:pStyle w:val="Corpodeltesto1"/>
        <w:jc w:val="left"/>
        <w:rPr>
          <w:rFonts w:ascii="Arial Narrow" w:hAnsi="Arial Narrow" w:cs="Arial"/>
          <w:bCs/>
          <w:color w:val="E42618"/>
          <w:kern w:val="28"/>
          <w:sz w:val="22"/>
          <w:szCs w:val="22"/>
        </w:rPr>
      </w:pPr>
    </w:p>
    <w:p w14:paraId="774137C1" w14:textId="77777777" w:rsidR="002865B7" w:rsidRDefault="002865B7" w:rsidP="00636140">
      <w:pPr>
        <w:pStyle w:val="Corpodeltesto1"/>
        <w:jc w:val="left"/>
        <w:rPr>
          <w:rFonts w:ascii="Arial Narrow" w:hAnsi="Arial Narrow" w:cs="Arial"/>
          <w:bCs/>
          <w:color w:val="E42618"/>
          <w:kern w:val="28"/>
          <w:sz w:val="22"/>
          <w:szCs w:val="22"/>
        </w:rPr>
      </w:pPr>
    </w:p>
    <w:p w14:paraId="20D22D07" w14:textId="695183FC" w:rsidR="006D02F3" w:rsidRDefault="00831F78" w:rsidP="00636140">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sidR="006D02F3">
        <w:rPr>
          <w:rFonts w:ascii="Arial Narrow" w:hAnsi="Arial Narrow" w:cs="Arial"/>
          <w:bCs/>
          <w:color w:val="E42618"/>
          <w:kern w:val="28"/>
          <w:sz w:val="22"/>
          <w:szCs w:val="22"/>
        </w:rPr>
        <w:t>6</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AB6CA8"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ALL’EXPORT</w:t>
      </w:r>
    </w:p>
    <w:p w14:paraId="3A161C78" w14:textId="1B6E9ED6" w:rsidR="00282F5A" w:rsidRDefault="00470B67" w:rsidP="00282F5A">
      <w:pPr>
        <w:pStyle w:val="Corpodeltesto1"/>
        <w:spacing w:after="120"/>
        <w:jc w:val="left"/>
        <w:rPr>
          <w:noProof/>
        </w:rPr>
      </w:pPr>
      <w:r>
        <w:rPr>
          <w:rFonts w:ascii="Arial Narrow" w:hAnsi="Arial Narrow" w:cs="Arial"/>
          <w:b w:val="0"/>
          <w:color w:val="5F5F5F"/>
          <w:kern w:val="28"/>
          <w:sz w:val="20"/>
          <w:szCs w:val="20"/>
        </w:rPr>
        <w:t>Gennaio</w:t>
      </w:r>
      <w:r w:rsidR="00C829DA" w:rsidRPr="00C829DA">
        <w:rPr>
          <w:rFonts w:ascii="Arial Narrow" w:hAnsi="Arial Narrow" w:cs="Arial"/>
          <w:b w:val="0"/>
          <w:color w:val="5F5F5F"/>
          <w:kern w:val="28"/>
          <w:sz w:val="20"/>
          <w:szCs w:val="20"/>
        </w:rPr>
        <w:t xml:space="preserve"> </w:t>
      </w:r>
      <w:r>
        <w:rPr>
          <w:rFonts w:ascii="Arial Narrow" w:hAnsi="Arial Narrow" w:cs="Arial"/>
          <w:b w:val="0"/>
          <w:color w:val="5F5F5F"/>
          <w:kern w:val="28"/>
          <w:sz w:val="20"/>
          <w:szCs w:val="20"/>
        </w:rPr>
        <w:t>2022</w:t>
      </w:r>
      <w:r w:rsidR="005C343A"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5C343A" w:rsidRPr="005C343A">
        <w:rPr>
          <w:rFonts w:ascii="Arial Narrow" w:hAnsi="Arial Narrow" w:cs="Arial"/>
          <w:b w:val="0"/>
          <w:color w:val="5F5F5F"/>
          <w:kern w:val="28"/>
          <w:sz w:val="20"/>
          <w:szCs w:val="20"/>
        </w:rPr>
        <w:t xml:space="preserve"> percentuali tendenziali</w:t>
      </w:r>
      <w:r w:rsidR="00282F5A">
        <w:rPr>
          <w:rFonts w:ascii="Arial Narrow" w:hAnsi="Arial Narrow" w:cs="Arial"/>
          <w:b w:val="0"/>
          <w:color w:val="5F5F5F"/>
          <w:kern w:val="28"/>
          <w:sz w:val="20"/>
          <w:szCs w:val="20"/>
        </w:rPr>
        <w:t xml:space="preserve"> </w:t>
      </w:r>
      <w:r w:rsidR="00282F5A" w:rsidRPr="00E35121">
        <w:rPr>
          <w:rFonts w:ascii="Arial Narrow" w:hAnsi="Arial Narrow" w:cs="Arial"/>
          <w:b w:val="0"/>
          <w:bCs/>
          <w:color w:val="5F5F5F"/>
          <w:kern w:val="28"/>
          <w:sz w:val="20"/>
          <w:szCs w:val="22"/>
        </w:rPr>
        <w:t>(a)</w:t>
      </w:r>
    </w:p>
    <w:p w14:paraId="7D4EF78A" w14:textId="108EF15A" w:rsidR="004D2796" w:rsidRDefault="002070CD" w:rsidP="00BF4D0B">
      <w:pPr>
        <w:pStyle w:val="Corpodeltesto1"/>
        <w:spacing w:after="120"/>
        <w:ind w:left="142" w:firstLine="142"/>
        <w:jc w:val="left"/>
        <w:rPr>
          <w:rFonts w:ascii="Arial Narrow" w:hAnsi="Arial Narrow" w:cs="Arial"/>
          <w:b w:val="0"/>
          <w:color w:val="5F5F5F"/>
          <w:kern w:val="28"/>
          <w:sz w:val="20"/>
          <w:szCs w:val="20"/>
        </w:rPr>
      </w:pPr>
      <w:r>
        <w:rPr>
          <w:noProof/>
        </w:rPr>
        <w:drawing>
          <wp:inline distT="0" distB="0" distL="0" distR="0" wp14:anchorId="56CDCFD4" wp14:editId="49E90EF1">
            <wp:extent cx="6660000" cy="2160000"/>
            <wp:effectExtent l="0" t="0" r="7620" b="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7B6211" w14:textId="77777777" w:rsidR="0025622B" w:rsidRDefault="0025622B" w:rsidP="006D02F3">
      <w:pPr>
        <w:pStyle w:val="Corpodeltesto1"/>
        <w:jc w:val="left"/>
        <w:rPr>
          <w:rFonts w:ascii="Arial Narrow" w:hAnsi="Arial Narrow" w:cs="Arial"/>
          <w:bCs/>
          <w:color w:val="E42618"/>
          <w:kern w:val="28"/>
          <w:sz w:val="22"/>
          <w:szCs w:val="22"/>
        </w:rPr>
      </w:pPr>
    </w:p>
    <w:p w14:paraId="6D6E069B" w14:textId="77777777" w:rsidR="006D02F3" w:rsidRDefault="006D02F3" w:rsidP="006D02F3">
      <w:pPr>
        <w:pStyle w:val="Corpodeltesto1"/>
        <w:jc w:val="left"/>
        <w:rPr>
          <w:rFonts w:ascii="Arial Narrow" w:hAnsi="Arial Narrow" w:cs="Arial"/>
          <w:bCs/>
          <w:color w:val="5F5F5F"/>
          <w:kern w:val="28"/>
          <w:sz w:val="22"/>
          <w:szCs w:val="22"/>
        </w:rPr>
      </w:pPr>
      <w:r w:rsidRPr="002A153A">
        <w:rPr>
          <w:rFonts w:ascii="Arial Narrow" w:hAnsi="Arial Narrow" w:cs="Arial"/>
          <w:bCs/>
          <w:color w:val="E42618"/>
          <w:kern w:val="28"/>
          <w:sz w:val="22"/>
          <w:szCs w:val="22"/>
        </w:rPr>
        <w:t xml:space="preserve">FIGURA </w:t>
      </w:r>
      <w:r>
        <w:rPr>
          <w:rFonts w:ascii="Arial Narrow" w:hAnsi="Arial Narrow" w:cs="Arial"/>
          <w:bCs/>
          <w:color w:val="E42618"/>
          <w:kern w:val="28"/>
          <w:sz w:val="22"/>
          <w:szCs w:val="22"/>
        </w:rPr>
        <w:t>7</w:t>
      </w:r>
      <w:r w:rsidRPr="00F527AD">
        <w:rPr>
          <w:rFonts w:ascii="Arial Narrow" w:hAnsi="Arial Narrow" w:cs="Arial"/>
          <w:bCs/>
          <w:color w:val="E42618"/>
          <w:kern w:val="28"/>
          <w:sz w:val="22"/>
          <w:szCs w:val="22"/>
        </w:rPr>
        <w:t>.</w:t>
      </w:r>
      <w:r w:rsidRPr="002A153A">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GRADUATORIA DEI SETTORI DI ATTIVIT</w:t>
      </w:r>
      <w:r w:rsidR="00C25C1A" w:rsidRPr="00AB6CA8">
        <w:rPr>
          <w:rFonts w:ascii="Arial Narrow" w:hAnsi="Arial Narrow" w:cs="Arial"/>
          <w:bCs/>
          <w:color w:val="5F5F5F"/>
          <w:kern w:val="28"/>
          <w:sz w:val="22"/>
          <w:szCs w:val="22"/>
        </w:rPr>
        <w:t>À</w:t>
      </w:r>
      <w:r w:rsidR="00D40C17">
        <w:rPr>
          <w:rFonts w:ascii="Arial Narrow" w:hAnsi="Arial Narrow" w:cs="Arial"/>
          <w:bCs/>
          <w:color w:val="5F5F5F"/>
          <w:kern w:val="28"/>
          <w:sz w:val="22"/>
          <w:szCs w:val="22"/>
        </w:rPr>
        <w:t xml:space="preserve"> ECONOMICA</w:t>
      </w:r>
      <w:r w:rsidR="00D40C17" w:rsidRPr="00516EEC">
        <w:rPr>
          <w:rFonts w:ascii="Arial Narrow" w:hAnsi="Arial Narrow" w:cs="Arial"/>
          <w:bCs/>
          <w:color w:val="5F5F5F"/>
          <w:kern w:val="28"/>
          <w:sz w:val="22"/>
          <w:szCs w:val="22"/>
        </w:rPr>
        <w:t xml:space="preserve"> </w:t>
      </w:r>
      <w:r w:rsidR="00D40C17">
        <w:rPr>
          <w:rFonts w:ascii="Arial Narrow" w:hAnsi="Arial Narrow" w:cs="Arial"/>
          <w:bCs/>
          <w:color w:val="5F5F5F"/>
          <w:kern w:val="28"/>
          <w:sz w:val="22"/>
          <w:szCs w:val="22"/>
        </w:rPr>
        <w:t>SECONDO I</w:t>
      </w:r>
      <w:r w:rsidR="00D40C17" w:rsidRPr="00516EEC">
        <w:rPr>
          <w:rFonts w:ascii="Arial Narrow" w:hAnsi="Arial Narrow" w:cs="Arial"/>
          <w:bCs/>
          <w:color w:val="5F5F5F"/>
          <w:kern w:val="28"/>
          <w:sz w:val="22"/>
          <w:szCs w:val="22"/>
        </w:rPr>
        <w:t xml:space="preserve"> CONTRIBUT</w:t>
      </w:r>
      <w:r w:rsidR="00D40C17">
        <w:rPr>
          <w:rFonts w:ascii="Arial Narrow" w:hAnsi="Arial Narrow" w:cs="Arial"/>
          <w:bCs/>
          <w:color w:val="5F5F5F"/>
          <w:kern w:val="28"/>
          <w:sz w:val="22"/>
          <w:szCs w:val="22"/>
        </w:rPr>
        <w:t>I ALL’IMPORT</w:t>
      </w:r>
    </w:p>
    <w:p w14:paraId="31005FBF" w14:textId="4902747B" w:rsidR="00DD774B" w:rsidRDefault="00470B67" w:rsidP="00DD774B">
      <w:pPr>
        <w:pStyle w:val="Corpodeltesto1"/>
        <w:spacing w:after="120"/>
        <w:jc w:val="left"/>
        <w:rPr>
          <w:rFonts w:ascii="Arial Narrow" w:hAnsi="Arial Narrow" w:cs="Arial"/>
          <w:b w:val="0"/>
          <w:bCs/>
          <w:color w:val="5F5F5F"/>
          <w:kern w:val="28"/>
          <w:sz w:val="20"/>
          <w:szCs w:val="22"/>
        </w:rPr>
      </w:pPr>
      <w:r>
        <w:rPr>
          <w:rFonts w:ascii="Arial Narrow" w:hAnsi="Arial Narrow" w:cs="Arial"/>
          <w:b w:val="0"/>
          <w:color w:val="5F5F5F"/>
          <w:kern w:val="28"/>
          <w:sz w:val="20"/>
          <w:szCs w:val="20"/>
        </w:rPr>
        <w:t>Gennaio</w:t>
      </w:r>
      <w:r w:rsidR="00C829DA" w:rsidRPr="00C829DA">
        <w:rPr>
          <w:rFonts w:ascii="Arial Narrow" w:hAnsi="Arial Narrow" w:cs="Arial"/>
          <w:b w:val="0"/>
          <w:color w:val="5F5F5F"/>
          <w:kern w:val="28"/>
          <w:sz w:val="20"/>
          <w:szCs w:val="20"/>
        </w:rPr>
        <w:t xml:space="preserve"> </w:t>
      </w:r>
      <w:r>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w:t>
      </w:r>
      <w:r w:rsidR="00592CBA" w:rsidRPr="005C343A">
        <w:rPr>
          <w:rFonts w:ascii="Arial Narrow" w:hAnsi="Arial Narrow" w:cs="Arial"/>
          <w:b w:val="0"/>
          <w:color w:val="5F5F5F"/>
          <w:kern w:val="28"/>
          <w:sz w:val="20"/>
          <w:szCs w:val="20"/>
        </w:rPr>
        <w:t>entuali e vari</w:t>
      </w:r>
      <w:r w:rsidR="00592CBA">
        <w:rPr>
          <w:rFonts w:ascii="Arial Narrow" w:hAnsi="Arial Narrow" w:cs="Arial"/>
          <w:b w:val="0"/>
          <w:color w:val="5F5F5F"/>
          <w:kern w:val="28"/>
          <w:sz w:val="20"/>
          <w:szCs w:val="20"/>
        </w:rPr>
        <w:t>azioni</w:t>
      </w:r>
      <w:r w:rsidR="00592CBA" w:rsidRPr="005C343A">
        <w:rPr>
          <w:rFonts w:ascii="Arial Narrow" w:hAnsi="Arial Narrow" w:cs="Arial"/>
          <w:b w:val="0"/>
          <w:color w:val="5F5F5F"/>
          <w:kern w:val="28"/>
          <w:sz w:val="20"/>
          <w:szCs w:val="20"/>
        </w:rPr>
        <w:t xml:space="preserve"> percentuali tendenziali</w:t>
      </w:r>
      <w:r w:rsidR="00592CBA">
        <w:rPr>
          <w:rFonts w:ascii="Arial Narrow" w:hAnsi="Arial Narrow" w:cs="Arial"/>
          <w:b w:val="0"/>
          <w:color w:val="5F5F5F"/>
          <w:kern w:val="28"/>
          <w:sz w:val="20"/>
          <w:szCs w:val="20"/>
        </w:rPr>
        <w:t xml:space="preserve"> </w:t>
      </w:r>
      <w:r w:rsidR="00DD774B">
        <w:rPr>
          <w:rFonts w:ascii="Arial Narrow" w:hAnsi="Arial Narrow" w:cs="Arial"/>
          <w:b w:val="0"/>
          <w:bCs/>
          <w:color w:val="5F5F5F"/>
          <w:kern w:val="28"/>
          <w:sz w:val="20"/>
          <w:szCs w:val="22"/>
        </w:rPr>
        <w:t>(a)</w:t>
      </w:r>
    </w:p>
    <w:p w14:paraId="62220090" w14:textId="066F9C29" w:rsidR="00BC59CE" w:rsidRDefault="002070CD" w:rsidP="00DD774B">
      <w:pPr>
        <w:pStyle w:val="Corpodeltesto1"/>
        <w:spacing w:after="120"/>
        <w:jc w:val="left"/>
        <w:rPr>
          <w:rFonts w:ascii="Arial Narrow" w:hAnsi="Arial Narrow" w:cs="Arial"/>
          <w:b w:val="0"/>
          <w:bCs/>
          <w:color w:val="5F5F5F"/>
          <w:kern w:val="28"/>
          <w:sz w:val="20"/>
          <w:szCs w:val="22"/>
        </w:rPr>
      </w:pPr>
      <w:r>
        <w:rPr>
          <w:noProof/>
        </w:rPr>
        <w:drawing>
          <wp:inline distT="0" distB="0" distL="0" distR="0" wp14:anchorId="02C67B3C" wp14:editId="4DC436DC">
            <wp:extent cx="6660000" cy="2160000"/>
            <wp:effectExtent l="0" t="0" r="7620" b="0"/>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E3AD43" w14:textId="6CA006CB" w:rsidR="00282F5A" w:rsidRDefault="00282F5A" w:rsidP="00282F5A">
      <w:pPr>
        <w:spacing w:after="120"/>
        <w:jc w:val="both"/>
        <w:rPr>
          <w:rFonts w:ascii="Arial Narrow" w:hAnsi="Arial Narrow" w:cs="Calibri"/>
          <w:sz w:val="15"/>
          <w:szCs w:val="15"/>
        </w:rPr>
      </w:pPr>
      <w:r w:rsidRPr="009F2C56">
        <w:rPr>
          <w:rFonts w:ascii="Arial Narrow" w:hAnsi="Arial Narrow" w:cs="Calibri"/>
          <w:sz w:val="15"/>
          <w:szCs w:val="15"/>
        </w:rPr>
        <w:t xml:space="preserve">(a) </w:t>
      </w:r>
      <w:r w:rsidRPr="00AC09DF">
        <w:rPr>
          <w:rFonts w:ascii="Arial Narrow" w:hAnsi="Arial Narrow" w:cs="Calibri"/>
          <w:sz w:val="15"/>
          <w:szCs w:val="15"/>
        </w:rPr>
        <w:t>Limitatamente ai settori la cui quota sull’export (import) per l’anno 20</w:t>
      </w:r>
      <w:r w:rsidR="001E77DD">
        <w:rPr>
          <w:rFonts w:ascii="Arial Narrow" w:hAnsi="Arial Narrow" w:cs="Calibri"/>
          <w:sz w:val="15"/>
          <w:szCs w:val="15"/>
        </w:rPr>
        <w:t>2</w:t>
      </w:r>
      <w:r w:rsidR="00FF3E48">
        <w:rPr>
          <w:rFonts w:ascii="Arial Narrow" w:hAnsi="Arial Narrow" w:cs="Calibri"/>
          <w:sz w:val="15"/>
          <w:szCs w:val="15"/>
        </w:rPr>
        <w:t>1</w:t>
      </w:r>
      <w:r w:rsidRPr="00AC09DF">
        <w:rPr>
          <w:rFonts w:ascii="Arial Narrow" w:hAnsi="Arial Narrow" w:cs="Calibri"/>
          <w:sz w:val="15"/>
          <w:szCs w:val="15"/>
        </w:rPr>
        <w:t xml:space="preserve"> è superiore all’1,5%.</w:t>
      </w:r>
    </w:p>
    <w:p w14:paraId="3F7ACA5E" w14:textId="77777777" w:rsidR="00971A17" w:rsidRDefault="00971A17" w:rsidP="00E224CF">
      <w:pPr>
        <w:spacing w:after="120"/>
        <w:jc w:val="both"/>
        <w:rPr>
          <w:rFonts w:ascii="Arial" w:hAnsi="Arial"/>
          <w:sz w:val="21"/>
          <w:szCs w:val="21"/>
        </w:rPr>
      </w:pPr>
      <w:r w:rsidRPr="009F2C56">
        <w:rPr>
          <w:rFonts w:ascii="Arial Narrow" w:hAnsi="Arial Narrow" w:cs="Calibri"/>
          <w:sz w:val="15"/>
          <w:szCs w:val="15"/>
        </w:rPr>
        <w:t>Abbreviazioni</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sidRPr="00456679">
        <w:rPr>
          <w:rFonts w:ascii="Arial Narrow" w:hAnsi="Arial Narrow" w:cs="Calibri"/>
          <w:sz w:val="15"/>
          <w:szCs w:val="15"/>
        </w:rPr>
        <w:t>Metalli</w:t>
      </w:r>
      <w:r w:rsidRPr="004D645B">
        <w:rPr>
          <w:rFonts w:ascii="Arial Narrow" w:hAnsi="Arial Narrow" w:cs="Calibri"/>
          <w:sz w:val="15"/>
          <w:szCs w:val="15"/>
        </w:rPr>
        <w:t>=</w:t>
      </w:r>
      <w:r w:rsidRPr="00456679">
        <w:rPr>
          <w:rFonts w:ascii="Arial Narrow" w:hAnsi="Arial Narrow" w:cs="Calibri"/>
          <w:sz w:val="15"/>
          <w:szCs w:val="15"/>
        </w:rPr>
        <w:t>Metalli di base e prodotti in metallo, esclusi macchine e impianti</w:t>
      </w:r>
      <w:r w:rsidRPr="004D645B">
        <w:rPr>
          <w:rFonts w:ascii="Arial Narrow" w:hAnsi="Arial Narrow" w:cs="Calibri"/>
          <w:sz w:val="15"/>
          <w:szCs w:val="15"/>
        </w:rPr>
        <w:t xml:space="preserve">; </w:t>
      </w:r>
      <w:r w:rsidRPr="00456679">
        <w:rPr>
          <w:rFonts w:ascii="Arial Narrow" w:hAnsi="Arial Narrow" w:cs="Calibri"/>
          <w:sz w:val="15"/>
          <w:szCs w:val="15"/>
        </w:rPr>
        <w:t>Altri m</w:t>
      </w:r>
      <w:r w:rsidR="00A61899">
        <w:rPr>
          <w:rFonts w:ascii="Arial Narrow" w:hAnsi="Arial Narrow" w:cs="Calibri"/>
          <w:sz w:val="15"/>
          <w:szCs w:val="15"/>
        </w:rPr>
        <w:t>ezzi</w:t>
      </w:r>
      <w:r w:rsidRPr="00456679">
        <w:rPr>
          <w:rFonts w:ascii="Arial Narrow" w:hAnsi="Arial Narrow" w:cs="Calibri"/>
          <w:sz w:val="15"/>
          <w:szCs w:val="15"/>
        </w:rPr>
        <w:t xml:space="preserve"> trasp</w:t>
      </w:r>
      <w:r w:rsidR="00A61899">
        <w:rPr>
          <w:rFonts w:ascii="Arial Narrow" w:hAnsi="Arial Narrow" w:cs="Calibri"/>
          <w:sz w:val="15"/>
          <w:szCs w:val="15"/>
        </w:rPr>
        <w:t>orto</w:t>
      </w:r>
      <w:r w:rsidRPr="004D645B">
        <w:rPr>
          <w:rFonts w:ascii="Arial Narrow" w:hAnsi="Arial Narrow" w:cs="Calibri"/>
          <w:sz w:val="15"/>
          <w:szCs w:val="15"/>
        </w:rPr>
        <w:t xml:space="preserve">= </w:t>
      </w:r>
      <w:r w:rsidRPr="00456679">
        <w:rPr>
          <w:rFonts w:ascii="Arial Narrow" w:hAnsi="Arial Narrow" w:cs="Calibri"/>
          <w:sz w:val="15"/>
          <w:szCs w:val="15"/>
        </w:rPr>
        <w:t>Mezzi di trasporto (escl. autoveicoli)</w:t>
      </w:r>
      <w:r w:rsidRPr="004D645B">
        <w:rPr>
          <w:rFonts w:ascii="Arial Narrow" w:hAnsi="Arial Narrow" w:cs="Calibri"/>
          <w:sz w:val="15"/>
          <w:szCs w:val="15"/>
        </w:rPr>
        <w:t xml:space="preserve">; </w:t>
      </w:r>
      <w:r w:rsidRPr="00456679">
        <w:rPr>
          <w:rFonts w:ascii="Arial Narrow" w:hAnsi="Arial Narrow" w:cs="Calibri"/>
          <w:sz w:val="15"/>
          <w:szCs w:val="15"/>
        </w:rPr>
        <w:t>Macchinari</w:t>
      </w:r>
      <w:r w:rsidRPr="004D645B">
        <w:rPr>
          <w:rFonts w:ascii="Arial Narrow" w:hAnsi="Arial Narrow" w:cs="Calibri"/>
          <w:sz w:val="15"/>
          <w:szCs w:val="15"/>
        </w:rPr>
        <w:t>=</w:t>
      </w:r>
      <w:r w:rsidR="008D0F0F">
        <w:rPr>
          <w:rFonts w:ascii="Arial Narrow" w:hAnsi="Arial Narrow" w:cs="Calibri"/>
          <w:sz w:val="15"/>
          <w:szCs w:val="15"/>
        </w:rPr>
        <w:t>Macchinari</w:t>
      </w:r>
      <w:r w:rsidRPr="00456679">
        <w:rPr>
          <w:rFonts w:ascii="Arial Narrow" w:hAnsi="Arial Narrow" w:cs="Calibri"/>
          <w:sz w:val="15"/>
          <w:szCs w:val="15"/>
        </w:rPr>
        <w:t xml:space="preserve"> e apparecchi n.c.a.</w:t>
      </w:r>
      <w:r w:rsidRPr="004D645B">
        <w:rPr>
          <w:rFonts w:ascii="Arial Narrow" w:hAnsi="Arial Narrow" w:cs="Calibri"/>
          <w:sz w:val="15"/>
          <w:szCs w:val="15"/>
        </w:rPr>
        <w:t xml:space="preserve">; </w:t>
      </w:r>
      <w:r w:rsidRPr="00456679">
        <w:rPr>
          <w:rFonts w:ascii="Arial Narrow" w:hAnsi="Arial Narrow" w:cs="Calibri"/>
          <w:sz w:val="15"/>
          <w:szCs w:val="15"/>
        </w:rPr>
        <w:t>Carta-stampa</w:t>
      </w:r>
      <w:r w:rsidRPr="004D645B">
        <w:rPr>
          <w:rFonts w:ascii="Arial Narrow" w:hAnsi="Arial Narrow" w:cs="Calibri"/>
          <w:sz w:val="15"/>
          <w:szCs w:val="15"/>
        </w:rPr>
        <w:t>=</w:t>
      </w:r>
      <w:r w:rsidRPr="00456679">
        <w:rPr>
          <w:rFonts w:ascii="Arial Narrow" w:hAnsi="Arial Narrow" w:cs="Calibri"/>
          <w:sz w:val="15"/>
          <w:szCs w:val="15"/>
        </w:rPr>
        <w:t>Carta e prodotti di carta; prodotti della stampa e della riproduzione di supporti registrati</w:t>
      </w:r>
      <w:r w:rsidRPr="004D645B">
        <w:rPr>
          <w:rFonts w:ascii="Arial Narrow" w:hAnsi="Arial Narrow" w:cs="Calibri"/>
          <w:sz w:val="15"/>
          <w:szCs w:val="15"/>
        </w:rPr>
        <w:t xml:space="preserve">; </w:t>
      </w:r>
      <w:r w:rsidRPr="00456679">
        <w:rPr>
          <w:rFonts w:ascii="Arial Narrow" w:hAnsi="Arial Narrow" w:cs="Calibri"/>
          <w:sz w:val="15"/>
          <w:szCs w:val="15"/>
        </w:rPr>
        <w:t>Chimica</w:t>
      </w:r>
      <w:r w:rsidRPr="004D645B">
        <w:rPr>
          <w:rFonts w:ascii="Arial Narrow" w:hAnsi="Arial Narrow" w:cs="Calibri"/>
          <w:sz w:val="15"/>
          <w:szCs w:val="15"/>
        </w:rPr>
        <w:t xml:space="preserve">= </w:t>
      </w:r>
      <w:r w:rsidRPr="00456679">
        <w:rPr>
          <w:rFonts w:ascii="Arial Narrow" w:hAnsi="Arial Narrow" w:cs="Calibri"/>
          <w:sz w:val="15"/>
          <w:szCs w:val="15"/>
        </w:rPr>
        <w:t>Sostanze e prodotti chimici</w:t>
      </w:r>
      <w:r w:rsidRPr="004D645B">
        <w:rPr>
          <w:rFonts w:ascii="Arial Narrow" w:hAnsi="Arial Narrow" w:cs="Calibri"/>
          <w:sz w:val="15"/>
          <w:szCs w:val="15"/>
        </w:rPr>
        <w:t xml:space="preserve">; </w:t>
      </w:r>
      <w:r w:rsidR="00A61899">
        <w:rPr>
          <w:rFonts w:ascii="Arial Narrow" w:hAnsi="Arial Narrow" w:cs="Calibri"/>
          <w:sz w:val="15"/>
          <w:szCs w:val="15"/>
        </w:rPr>
        <w:t>Minerali non metalliferi</w:t>
      </w:r>
      <w:r w:rsidRPr="004D645B">
        <w:rPr>
          <w:rFonts w:ascii="Arial Narrow" w:hAnsi="Arial Narrow" w:cs="Calibri"/>
          <w:sz w:val="15"/>
          <w:szCs w:val="15"/>
        </w:rPr>
        <w:t xml:space="preserve">= </w:t>
      </w:r>
      <w:r w:rsidRPr="00456679">
        <w:rPr>
          <w:rFonts w:ascii="Arial Narrow" w:hAnsi="Arial Narrow" w:cs="Calibri"/>
          <w:sz w:val="15"/>
          <w:szCs w:val="15"/>
        </w:rPr>
        <w:t>Altri prodotti della lavorazione di minerali non metalliferi</w:t>
      </w:r>
      <w:r w:rsidRPr="004D645B">
        <w:rPr>
          <w:rFonts w:ascii="Arial Narrow" w:hAnsi="Arial Narrow" w:cs="Calibri"/>
          <w:sz w:val="15"/>
          <w:szCs w:val="15"/>
        </w:rPr>
        <w:t xml:space="preserve">; </w:t>
      </w:r>
      <w:r w:rsidR="00A61899">
        <w:rPr>
          <w:rFonts w:ascii="Arial Narrow" w:hAnsi="Arial Narrow" w:cs="Calibri"/>
          <w:sz w:val="15"/>
          <w:szCs w:val="15"/>
        </w:rPr>
        <w:t>Altra</w:t>
      </w:r>
      <w:r w:rsidRPr="00456679">
        <w:rPr>
          <w:rFonts w:ascii="Arial Narrow" w:hAnsi="Arial Narrow" w:cs="Calibri"/>
          <w:sz w:val="15"/>
          <w:szCs w:val="15"/>
        </w:rPr>
        <w:t xml:space="preserve"> manif</w:t>
      </w:r>
      <w:r w:rsidR="00A61899">
        <w:rPr>
          <w:rFonts w:ascii="Arial Narrow" w:hAnsi="Arial Narrow" w:cs="Calibri"/>
          <w:sz w:val="15"/>
          <w:szCs w:val="15"/>
        </w:rPr>
        <w:t>attura</w:t>
      </w:r>
      <w:r w:rsidRPr="004D645B">
        <w:rPr>
          <w:rFonts w:ascii="Arial Narrow" w:hAnsi="Arial Narrow" w:cs="Calibri"/>
          <w:sz w:val="15"/>
          <w:szCs w:val="15"/>
        </w:rPr>
        <w:t xml:space="preserve">= </w:t>
      </w:r>
      <w:r w:rsidR="00A61899" w:rsidRPr="00A61899">
        <w:rPr>
          <w:rFonts w:ascii="Arial Narrow" w:hAnsi="Arial Narrow" w:cs="Calibri"/>
          <w:sz w:val="15"/>
          <w:szCs w:val="15"/>
        </w:rPr>
        <w:t>Articoli sportivi, giochi, strum. musicali, preziosi, strum. medici e altri prodotti n.c.a.</w:t>
      </w:r>
      <w:r w:rsidRPr="004D645B">
        <w:rPr>
          <w:rFonts w:ascii="Arial Narrow" w:hAnsi="Arial Narrow" w:cs="Calibri"/>
          <w:sz w:val="15"/>
          <w:szCs w:val="15"/>
        </w:rPr>
        <w:t xml:space="preserve">; </w:t>
      </w:r>
      <w:r w:rsidRPr="00456679">
        <w:rPr>
          <w:rFonts w:ascii="Arial Narrow" w:hAnsi="Arial Narrow" w:cs="Calibri"/>
          <w:sz w:val="15"/>
          <w:szCs w:val="15"/>
        </w:rPr>
        <w:t>Gomma-plastica</w:t>
      </w:r>
      <w:r w:rsidRPr="004D645B">
        <w:rPr>
          <w:rFonts w:ascii="Arial Narrow" w:hAnsi="Arial Narrow" w:cs="Calibri"/>
          <w:sz w:val="15"/>
          <w:szCs w:val="15"/>
        </w:rPr>
        <w:t>=</w:t>
      </w:r>
      <w:r w:rsidRPr="00456679">
        <w:rPr>
          <w:rFonts w:ascii="Arial Narrow" w:hAnsi="Arial Narrow" w:cs="Calibri"/>
          <w:sz w:val="15"/>
          <w:szCs w:val="15"/>
        </w:rPr>
        <w:t>Articoli in gomma e materie plastiche</w:t>
      </w:r>
      <w:r w:rsidRPr="004D645B">
        <w:rPr>
          <w:rFonts w:ascii="Arial Narrow" w:hAnsi="Arial Narrow" w:cs="Calibri"/>
          <w:sz w:val="15"/>
          <w:szCs w:val="15"/>
        </w:rPr>
        <w:t xml:space="preserve">; </w:t>
      </w:r>
      <w:r w:rsidRPr="00456679">
        <w:rPr>
          <w:rFonts w:ascii="Arial Narrow" w:hAnsi="Arial Narrow" w:cs="Calibri"/>
          <w:sz w:val="15"/>
          <w:szCs w:val="15"/>
        </w:rPr>
        <w:t>Pelletteria</w:t>
      </w:r>
      <w:r w:rsidRPr="004D645B">
        <w:rPr>
          <w:rFonts w:ascii="Arial Narrow" w:hAnsi="Arial Narrow" w:cs="Calibri"/>
          <w:sz w:val="15"/>
          <w:szCs w:val="15"/>
        </w:rPr>
        <w:t>=A</w:t>
      </w:r>
      <w:r w:rsidRPr="00456679">
        <w:rPr>
          <w:rFonts w:ascii="Arial Narrow" w:hAnsi="Arial Narrow" w:cs="Calibri"/>
          <w:sz w:val="15"/>
          <w:szCs w:val="15"/>
        </w:rPr>
        <w:t>rticoli in pelle (escluso abbigliamento) e simili</w:t>
      </w:r>
      <w:r w:rsidRPr="004D645B">
        <w:rPr>
          <w:rFonts w:ascii="Arial Narrow" w:hAnsi="Arial Narrow" w:cs="Calibri"/>
          <w:sz w:val="15"/>
          <w:szCs w:val="15"/>
        </w:rPr>
        <w:t xml:space="preserve">; </w:t>
      </w:r>
      <w:r w:rsidRPr="00456679">
        <w:rPr>
          <w:rFonts w:ascii="Arial Narrow" w:hAnsi="Arial Narrow" w:cs="Calibri"/>
          <w:sz w:val="15"/>
          <w:szCs w:val="15"/>
        </w:rPr>
        <w:t>Abbigliamento</w:t>
      </w:r>
      <w:r w:rsidRPr="004D645B">
        <w:rPr>
          <w:rFonts w:ascii="Arial Narrow" w:hAnsi="Arial Narrow" w:cs="Calibri"/>
          <w:sz w:val="15"/>
          <w:szCs w:val="15"/>
        </w:rPr>
        <w:t>=</w:t>
      </w:r>
      <w:r w:rsidRPr="00456679">
        <w:rPr>
          <w:rFonts w:ascii="Arial Narrow" w:hAnsi="Arial Narrow" w:cs="Calibri"/>
          <w:sz w:val="15"/>
          <w:szCs w:val="15"/>
        </w:rPr>
        <w:t>Articoli di abbigliamento (anche in pelle e in pelliccia)</w:t>
      </w:r>
      <w:r w:rsidRPr="004D645B">
        <w:rPr>
          <w:rFonts w:ascii="Arial Narrow" w:hAnsi="Arial Narrow" w:cs="Calibri"/>
          <w:sz w:val="15"/>
          <w:szCs w:val="15"/>
        </w:rPr>
        <w:t xml:space="preserve">; </w:t>
      </w:r>
      <w:r w:rsidRPr="00456679">
        <w:rPr>
          <w:rFonts w:ascii="Arial Narrow" w:hAnsi="Arial Narrow" w:cs="Calibri"/>
          <w:sz w:val="15"/>
          <w:szCs w:val="15"/>
        </w:rPr>
        <w:t>Tessili</w:t>
      </w:r>
      <w:r w:rsidRPr="004D645B">
        <w:rPr>
          <w:rFonts w:ascii="Arial Narrow" w:hAnsi="Arial Narrow" w:cs="Calibri"/>
          <w:sz w:val="15"/>
          <w:szCs w:val="15"/>
        </w:rPr>
        <w:t xml:space="preserve">= </w:t>
      </w:r>
      <w:r w:rsidRPr="00456679">
        <w:rPr>
          <w:rFonts w:ascii="Arial Narrow" w:hAnsi="Arial Narrow" w:cs="Calibri"/>
          <w:sz w:val="15"/>
          <w:szCs w:val="15"/>
        </w:rPr>
        <w:t>Prodotti tessili</w:t>
      </w:r>
      <w:r w:rsidRPr="004D645B">
        <w:rPr>
          <w:rFonts w:ascii="Arial Narrow" w:hAnsi="Arial Narrow" w:cs="Calibri"/>
          <w:sz w:val="15"/>
          <w:szCs w:val="15"/>
        </w:rPr>
        <w:t xml:space="preserve">; </w:t>
      </w:r>
      <w:r w:rsidRPr="00456679">
        <w:rPr>
          <w:rFonts w:ascii="Arial Narrow" w:hAnsi="Arial Narrow" w:cs="Calibri"/>
          <w:sz w:val="15"/>
          <w:szCs w:val="15"/>
        </w:rPr>
        <w:t>Agricoltura</w:t>
      </w:r>
      <w:r w:rsidRPr="004D645B">
        <w:rPr>
          <w:rFonts w:ascii="Arial Narrow" w:hAnsi="Arial Narrow" w:cs="Calibri"/>
          <w:sz w:val="15"/>
          <w:szCs w:val="15"/>
        </w:rPr>
        <w:t xml:space="preserve">= </w:t>
      </w:r>
      <w:r w:rsidRPr="00456679">
        <w:rPr>
          <w:rFonts w:ascii="Arial Narrow" w:hAnsi="Arial Narrow" w:cs="Calibri"/>
          <w:sz w:val="15"/>
          <w:szCs w:val="15"/>
        </w:rPr>
        <w:t>Prodotti dell'agricoltura, della silvicoltura e della pesca</w:t>
      </w:r>
      <w:r w:rsidRPr="004D645B">
        <w:rPr>
          <w:rFonts w:ascii="Arial Narrow" w:hAnsi="Arial Narrow" w:cs="Calibri"/>
          <w:sz w:val="15"/>
          <w:szCs w:val="15"/>
        </w:rPr>
        <w:t xml:space="preserve">; </w:t>
      </w:r>
      <w:r w:rsidRPr="00456679">
        <w:rPr>
          <w:rFonts w:ascii="Arial Narrow" w:hAnsi="Arial Narrow" w:cs="Calibri"/>
          <w:sz w:val="15"/>
          <w:szCs w:val="15"/>
        </w:rPr>
        <w:t>Elettronica</w:t>
      </w:r>
      <w:r w:rsidRPr="004D645B">
        <w:rPr>
          <w:rFonts w:ascii="Arial Narrow" w:hAnsi="Arial Narrow" w:cs="Calibri"/>
          <w:sz w:val="15"/>
          <w:szCs w:val="15"/>
        </w:rPr>
        <w:t xml:space="preserve">= </w:t>
      </w:r>
      <w:r w:rsidRPr="00456679">
        <w:rPr>
          <w:rFonts w:ascii="Arial Narrow" w:hAnsi="Arial Narrow" w:cs="Calibri"/>
          <w:sz w:val="15"/>
          <w:szCs w:val="15"/>
        </w:rPr>
        <w:t>Computer, apparecchi elettronici e ottici</w:t>
      </w:r>
      <w:r w:rsidRPr="004D645B">
        <w:rPr>
          <w:rFonts w:ascii="Arial Narrow" w:hAnsi="Arial Narrow" w:cs="Calibri"/>
          <w:sz w:val="15"/>
          <w:szCs w:val="15"/>
        </w:rPr>
        <w:t xml:space="preserve">; </w:t>
      </w:r>
      <w:r w:rsidRPr="00456679">
        <w:rPr>
          <w:rFonts w:ascii="Arial Narrow" w:hAnsi="Arial Narrow" w:cs="Calibri"/>
          <w:sz w:val="15"/>
          <w:szCs w:val="15"/>
        </w:rPr>
        <w:t>Raffinazione</w:t>
      </w:r>
      <w:r w:rsidRPr="004D645B">
        <w:rPr>
          <w:rFonts w:ascii="Arial Narrow" w:hAnsi="Arial Narrow" w:cs="Calibri"/>
          <w:sz w:val="15"/>
          <w:szCs w:val="15"/>
        </w:rPr>
        <w:t xml:space="preserve">= </w:t>
      </w:r>
      <w:r w:rsidRPr="00456679">
        <w:rPr>
          <w:rFonts w:ascii="Arial Narrow" w:hAnsi="Arial Narrow" w:cs="Calibri"/>
          <w:sz w:val="15"/>
          <w:szCs w:val="15"/>
        </w:rPr>
        <w:t>Coke e prodotti petroliferi raffinati</w:t>
      </w:r>
      <w:r w:rsidRPr="004D645B">
        <w:rPr>
          <w:rFonts w:ascii="Arial Narrow" w:hAnsi="Arial Narrow" w:cs="Calibri"/>
          <w:sz w:val="15"/>
          <w:szCs w:val="15"/>
        </w:rPr>
        <w:t xml:space="preserve">; </w:t>
      </w:r>
      <w:r w:rsidRPr="00456679">
        <w:rPr>
          <w:rFonts w:ascii="Arial Narrow" w:hAnsi="Arial Narrow" w:cs="Calibri"/>
          <w:sz w:val="15"/>
          <w:szCs w:val="15"/>
        </w:rPr>
        <w:t>Alimentari</w:t>
      </w:r>
      <w:r w:rsidRPr="004D645B">
        <w:rPr>
          <w:rFonts w:ascii="Arial Narrow" w:hAnsi="Arial Narrow" w:cs="Calibri"/>
          <w:sz w:val="15"/>
          <w:szCs w:val="15"/>
        </w:rPr>
        <w:t xml:space="preserve">= </w:t>
      </w:r>
      <w:r w:rsidRPr="00456679">
        <w:rPr>
          <w:rFonts w:ascii="Arial Narrow" w:hAnsi="Arial Narrow" w:cs="Calibri"/>
          <w:sz w:val="15"/>
          <w:szCs w:val="15"/>
        </w:rPr>
        <w:t>Prodotti alimentari, bevande e tabacco</w:t>
      </w:r>
      <w:r w:rsidRPr="004D645B">
        <w:rPr>
          <w:rFonts w:ascii="Arial Narrow" w:hAnsi="Arial Narrow" w:cs="Calibri"/>
          <w:sz w:val="15"/>
          <w:szCs w:val="15"/>
        </w:rPr>
        <w:t xml:space="preserve">; </w:t>
      </w:r>
      <w:r w:rsidRPr="00456679">
        <w:rPr>
          <w:rFonts w:ascii="Arial Narrow" w:hAnsi="Arial Narrow" w:cs="Calibri"/>
          <w:sz w:val="15"/>
          <w:szCs w:val="15"/>
        </w:rPr>
        <w:t>Farmaceutica</w:t>
      </w:r>
      <w:r w:rsidRPr="004D645B">
        <w:rPr>
          <w:rFonts w:ascii="Arial Narrow" w:hAnsi="Arial Narrow" w:cs="Calibri"/>
          <w:sz w:val="15"/>
          <w:szCs w:val="15"/>
        </w:rPr>
        <w:t xml:space="preserve">= </w:t>
      </w:r>
      <w:r w:rsidRPr="00456679">
        <w:rPr>
          <w:rFonts w:ascii="Arial Narrow" w:hAnsi="Arial Narrow" w:cs="Calibri"/>
          <w:sz w:val="15"/>
          <w:szCs w:val="15"/>
        </w:rPr>
        <w:t>Articoli farmaceutici, chimico-medicinali e botanici</w:t>
      </w:r>
      <w:r>
        <w:rPr>
          <w:rFonts w:ascii="Arial Narrow" w:hAnsi="Arial Narrow" w:cs="Calibri"/>
          <w:sz w:val="15"/>
          <w:szCs w:val="15"/>
        </w:rPr>
        <w:t>.</w:t>
      </w:r>
    </w:p>
    <w:p w14:paraId="64B2489F" w14:textId="77777777" w:rsidR="00C6666F" w:rsidRDefault="00C6666F" w:rsidP="00BC4705">
      <w:pPr>
        <w:spacing w:after="60"/>
        <w:jc w:val="both"/>
        <w:rPr>
          <w:rFonts w:ascii="Arial" w:hAnsi="Arial"/>
          <w:sz w:val="21"/>
          <w:szCs w:val="21"/>
        </w:rPr>
      </w:pPr>
    </w:p>
    <w:p w14:paraId="50C0012F" w14:textId="77777777" w:rsidR="00660BD3" w:rsidRDefault="00660BD3" w:rsidP="0020174D">
      <w:pPr>
        <w:spacing w:after="120"/>
        <w:jc w:val="both"/>
        <w:rPr>
          <w:rFonts w:ascii="Arial" w:hAnsi="Arial"/>
          <w:sz w:val="21"/>
          <w:szCs w:val="21"/>
        </w:rPr>
      </w:pPr>
    </w:p>
    <w:p w14:paraId="70FA5431" w14:textId="77777777" w:rsidR="00CC2949" w:rsidRPr="00067430" w:rsidRDefault="0025622B" w:rsidP="00CC2949">
      <w:pPr>
        <w:pStyle w:val="001TitoloBolocco"/>
        <w:spacing w:after="0" w:line="240" w:lineRule="auto"/>
        <w:rPr>
          <w:rFonts w:ascii="Arial Narrow" w:hAnsi="Arial Narrow"/>
          <w:bCs w:val="0"/>
          <w:caps w:val="0"/>
          <w:sz w:val="22"/>
        </w:rPr>
      </w:pPr>
      <w:r>
        <w:rPr>
          <w:bCs w:val="0"/>
          <w:caps w:val="0"/>
        </w:rPr>
        <w:br w:type="page"/>
      </w:r>
    </w:p>
    <w:p w14:paraId="4E7CE020" w14:textId="77777777" w:rsidR="00ED1109" w:rsidRPr="00ED1109" w:rsidRDefault="00ED1109" w:rsidP="00ED1109">
      <w:pPr>
        <w:pStyle w:val="Corpodeltesto1"/>
        <w:jc w:val="left"/>
        <w:rPr>
          <w:rFonts w:ascii="Arial Narrow" w:hAnsi="Arial Narrow"/>
          <w:bCs/>
          <w:caps/>
          <w:sz w:val="22"/>
        </w:rPr>
      </w:pPr>
    </w:p>
    <w:p w14:paraId="27AEFD13" w14:textId="77777777" w:rsidR="00BF702B" w:rsidRDefault="00BF702B" w:rsidP="00BF702B">
      <w:pPr>
        <w:pStyle w:val="001TitoloBolocco"/>
        <w:spacing w:after="120" w:line="240" w:lineRule="auto"/>
      </w:pPr>
      <w:r>
        <w:rPr>
          <w:bCs w:val="0"/>
          <w:caps w:val="0"/>
        </w:rPr>
        <w:t>P</w:t>
      </w:r>
      <w:r w:rsidR="002A153A">
        <w:rPr>
          <w:bCs w:val="0"/>
          <w:caps w:val="0"/>
        </w:rPr>
        <w:t>A</w:t>
      </w:r>
      <w:r>
        <w:rPr>
          <w:bCs w:val="0"/>
          <w:caps w:val="0"/>
        </w:rPr>
        <w:t>E</w:t>
      </w:r>
      <w:r w:rsidR="002A153A">
        <w:rPr>
          <w:bCs w:val="0"/>
          <w:caps w:val="0"/>
        </w:rPr>
        <w:t>SI PARTNER NEL COMMERCIO ESTERO</w:t>
      </w:r>
    </w:p>
    <w:p w14:paraId="7F2F8662" w14:textId="77777777" w:rsidR="00D40C17" w:rsidRPr="00D40C17" w:rsidRDefault="002A153A" w:rsidP="00D40C17">
      <w:pPr>
        <w:pStyle w:val="Corpodeltesto1"/>
        <w:jc w:val="left"/>
        <w:rPr>
          <w:rFonts w:ascii="Arial Narrow" w:hAnsi="Arial Narrow" w:cs="Arial"/>
          <w:bCs/>
          <w:color w:val="E42618"/>
          <w:kern w:val="28"/>
          <w:sz w:val="22"/>
          <w:szCs w:val="22"/>
        </w:rPr>
      </w:pPr>
      <w:r w:rsidRPr="00D40C17">
        <w:rPr>
          <w:rFonts w:ascii="Arial Narrow" w:hAnsi="Arial Narrow" w:cs="Arial"/>
          <w:bCs/>
          <w:color w:val="E42618"/>
          <w:kern w:val="28"/>
          <w:sz w:val="22"/>
          <w:szCs w:val="22"/>
        </w:rPr>
        <w:t xml:space="preserve">FIGURA </w:t>
      </w:r>
      <w:r w:rsidR="00864908" w:rsidRPr="00D40C17">
        <w:rPr>
          <w:rFonts w:ascii="Arial Narrow" w:hAnsi="Arial Narrow" w:cs="Arial"/>
          <w:bCs/>
          <w:color w:val="E42618"/>
          <w:kern w:val="28"/>
          <w:sz w:val="22"/>
          <w:szCs w:val="22"/>
        </w:rPr>
        <w:t>8</w:t>
      </w:r>
      <w:r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sidRPr="00D40C17">
        <w:rPr>
          <w:rFonts w:ascii="Arial Narrow" w:hAnsi="Arial Narrow" w:cs="Arial"/>
          <w:bCs/>
          <w:color w:val="5F5F5F"/>
          <w:kern w:val="28"/>
          <w:sz w:val="22"/>
          <w:szCs w:val="22"/>
        </w:rPr>
        <w:t xml:space="preserve">EXPORT  </w:t>
      </w:r>
      <w:r w:rsidR="00D40C17" w:rsidRPr="00D40C17">
        <w:rPr>
          <w:rFonts w:ascii="Arial Narrow" w:hAnsi="Arial Narrow" w:cs="Arial"/>
          <w:bCs/>
          <w:color w:val="E42618"/>
          <w:kern w:val="28"/>
          <w:sz w:val="22"/>
          <w:szCs w:val="22"/>
        </w:rPr>
        <w:t xml:space="preserve">  </w:t>
      </w:r>
    </w:p>
    <w:p w14:paraId="5D435E8D" w14:textId="7FB0A142" w:rsidR="00041D56" w:rsidRDefault="00470B67" w:rsidP="00041D56">
      <w:pPr>
        <w:pStyle w:val="Corpodeltesto1"/>
        <w:spacing w:after="120"/>
        <w:jc w:val="left"/>
        <w:rPr>
          <w:noProof/>
        </w:rPr>
      </w:pPr>
      <w:r>
        <w:rPr>
          <w:rFonts w:ascii="Arial Narrow" w:hAnsi="Arial Narrow" w:cs="Arial"/>
          <w:b w:val="0"/>
          <w:color w:val="5F5F5F"/>
          <w:kern w:val="28"/>
          <w:sz w:val="20"/>
          <w:szCs w:val="20"/>
        </w:rPr>
        <w:t>Gennaio</w:t>
      </w:r>
      <w:r w:rsidR="00C829DA" w:rsidRPr="00C829DA">
        <w:rPr>
          <w:rFonts w:ascii="Arial Narrow" w:hAnsi="Arial Narrow" w:cs="Arial"/>
          <w:b w:val="0"/>
          <w:color w:val="5F5F5F"/>
          <w:kern w:val="28"/>
          <w:sz w:val="20"/>
          <w:szCs w:val="20"/>
        </w:rPr>
        <w:t xml:space="preserve"> </w:t>
      </w:r>
      <w:r w:rsidR="00756458" w:rsidRPr="00756458">
        <w:rPr>
          <w:rFonts w:ascii="Arial Narrow" w:hAnsi="Arial Narrow" w:cs="Arial"/>
          <w:b w:val="0"/>
          <w:color w:val="5F5F5F"/>
          <w:kern w:val="28"/>
          <w:sz w:val="20"/>
          <w:szCs w:val="20"/>
        </w:rPr>
        <w:t>202</w:t>
      </w:r>
      <w:r>
        <w:rPr>
          <w:rFonts w:ascii="Arial Narrow" w:hAnsi="Arial Narrow" w:cs="Arial"/>
          <w:b w:val="0"/>
          <w:color w:val="5F5F5F"/>
          <w:kern w:val="28"/>
          <w:sz w:val="20"/>
          <w:szCs w:val="20"/>
        </w:rPr>
        <w:t>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7C8F3849" w14:textId="1E964CE3" w:rsidR="00147CB5" w:rsidRDefault="00C13D72"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07106508" wp14:editId="798C42EB">
            <wp:extent cx="6660000" cy="2160000"/>
            <wp:effectExtent l="0" t="0" r="7620" b="0"/>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6F4C65" w14:textId="77777777" w:rsidR="009D29C9" w:rsidRDefault="009D29C9" w:rsidP="00763EB2">
      <w:pPr>
        <w:pStyle w:val="Corpodeltesto1"/>
        <w:rPr>
          <w:rFonts w:ascii="Arial Narrow" w:hAnsi="Arial Narrow" w:cs="Arial"/>
          <w:color w:val="E42618"/>
          <w:kern w:val="28"/>
          <w:sz w:val="22"/>
          <w:szCs w:val="22"/>
        </w:rPr>
      </w:pPr>
    </w:p>
    <w:p w14:paraId="51D28C8B" w14:textId="77777777" w:rsidR="00B145A1" w:rsidRDefault="00B145A1" w:rsidP="00763EB2">
      <w:pPr>
        <w:pStyle w:val="Corpodeltesto1"/>
        <w:rPr>
          <w:rFonts w:ascii="Arial Narrow" w:hAnsi="Arial Narrow" w:cs="Arial"/>
          <w:bCs/>
          <w:color w:val="5F5F5F"/>
          <w:kern w:val="28"/>
          <w:sz w:val="22"/>
          <w:szCs w:val="22"/>
        </w:rPr>
      </w:pPr>
      <w:r w:rsidRPr="002A153A">
        <w:rPr>
          <w:rFonts w:ascii="Arial Narrow" w:hAnsi="Arial Narrow" w:cs="Arial"/>
          <w:color w:val="E42618"/>
          <w:kern w:val="28"/>
          <w:sz w:val="22"/>
          <w:szCs w:val="22"/>
        </w:rPr>
        <w:t xml:space="preserve">FIGURA </w:t>
      </w:r>
      <w:r>
        <w:rPr>
          <w:rFonts w:ascii="Arial Narrow" w:hAnsi="Arial Narrow" w:cs="Arial"/>
          <w:color w:val="E42618"/>
          <w:kern w:val="28"/>
          <w:sz w:val="22"/>
          <w:szCs w:val="22"/>
        </w:rPr>
        <w:t>9</w:t>
      </w:r>
      <w:r w:rsidRPr="002A153A">
        <w:rPr>
          <w:rFonts w:ascii="Arial Narrow" w:hAnsi="Arial Narrow" w:cs="Arial"/>
          <w:color w:val="E42618"/>
          <w:kern w:val="28"/>
          <w:sz w:val="22"/>
          <w:szCs w:val="22"/>
        </w:rPr>
        <w:t>.</w:t>
      </w:r>
      <w:r w:rsidRPr="00B37F7D">
        <w:rPr>
          <w:rFonts w:ascii="Arial Narrow" w:hAnsi="Arial Narrow" w:cs="Arial"/>
          <w:color w:val="5F5F5F"/>
          <w:spacing w:val="-8"/>
          <w:sz w:val="20"/>
        </w:rPr>
        <w:t xml:space="preserve"> </w:t>
      </w:r>
      <w:r w:rsidR="00D40C17" w:rsidRPr="00D40C17">
        <w:rPr>
          <w:rFonts w:ascii="Arial Narrow" w:hAnsi="Arial Narrow" w:cs="Arial"/>
          <w:bCs/>
          <w:color w:val="5F5F5F"/>
          <w:kern w:val="28"/>
          <w:sz w:val="22"/>
          <w:szCs w:val="22"/>
        </w:rPr>
        <w:t>PRINCIPALI PARTNER COMMERCIALI: GRADUATORIA DEI PAESI SECONDO I CONTRIBUTI ALL’</w:t>
      </w:r>
      <w:r w:rsidR="00D40C17" w:rsidRPr="00D40C17">
        <w:rPr>
          <w:rFonts w:ascii="Arial Narrow" w:hAnsi="Arial Narrow" w:cs="Arial"/>
          <w:bCs/>
          <w:color w:val="E42618"/>
          <w:kern w:val="28"/>
          <w:sz w:val="22"/>
          <w:szCs w:val="22"/>
        </w:rPr>
        <w:t xml:space="preserve"> </w:t>
      </w:r>
      <w:r w:rsidR="00D40C17">
        <w:rPr>
          <w:rFonts w:ascii="Arial Narrow" w:hAnsi="Arial Narrow" w:cs="Arial"/>
          <w:bCs/>
          <w:color w:val="5F5F5F"/>
          <w:kern w:val="28"/>
          <w:sz w:val="22"/>
          <w:szCs w:val="22"/>
        </w:rPr>
        <w:t>IM</w:t>
      </w:r>
      <w:r w:rsidR="00D40C17" w:rsidRPr="00D40C17">
        <w:rPr>
          <w:rFonts w:ascii="Arial Narrow" w:hAnsi="Arial Narrow" w:cs="Arial"/>
          <w:bCs/>
          <w:color w:val="5F5F5F"/>
          <w:kern w:val="28"/>
          <w:sz w:val="22"/>
          <w:szCs w:val="22"/>
        </w:rPr>
        <w:t xml:space="preserve">PORT  </w:t>
      </w:r>
      <w:r w:rsidR="00D40C17" w:rsidRPr="00D40C17">
        <w:rPr>
          <w:rFonts w:ascii="Arial Narrow" w:hAnsi="Arial Narrow" w:cs="Arial"/>
          <w:bCs/>
          <w:color w:val="E42618"/>
          <w:kern w:val="28"/>
          <w:sz w:val="22"/>
          <w:szCs w:val="22"/>
        </w:rPr>
        <w:t xml:space="preserve">  </w:t>
      </w:r>
    </w:p>
    <w:p w14:paraId="15667FC6" w14:textId="077A9900" w:rsidR="00041D56" w:rsidRDefault="00470B67" w:rsidP="00041D56">
      <w:pPr>
        <w:pStyle w:val="Corpodeltesto1"/>
        <w:spacing w:after="120"/>
        <w:jc w:val="left"/>
        <w:rPr>
          <w:noProof/>
        </w:rPr>
      </w:pPr>
      <w:r>
        <w:rPr>
          <w:rFonts w:ascii="Arial Narrow" w:hAnsi="Arial Narrow" w:cs="Arial"/>
          <w:b w:val="0"/>
          <w:color w:val="5F5F5F"/>
          <w:kern w:val="28"/>
          <w:sz w:val="20"/>
          <w:szCs w:val="20"/>
        </w:rPr>
        <w:t>Gennaio</w:t>
      </w:r>
      <w:r w:rsidR="00C829DA" w:rsidRPr="00C829DA">
        <w:rPr>
          <w:rFonts w:ascii="Arial Narrow" w:hAnsi="Arial Narrow" w:cs="Arial"/>
          <w:b w:val="0"/>
          <w:color w:val="5F5F5F"/>
          <w:kern w:val="28"/>
          <w:sz w:val="20"/>
          <w:szCs w:val="20"/>
        </w:rPr>
        <w:t xml:space="preserve"> </w:t>
      </w:r>
      <w:r>
        <w:rPr>
          <w:rFonts w:ascii="Arial Narrow" w:hAnsi="Arial Narrow" w:cs="Arial"/>
          <w:b w:val="0"/>
          <w:color w:val="5F5F5F"/>
          <w:kern w:val="28"/>
          <w:sz w:val="20"/>
          <w:szCs w:val="20"/>
        </w:rPr>
        <w:t>2022</w:t>
      </w:r>
      <w:r w:rsidR="00041D56" w:rsidRPr="005C343A">
        <w:rPr>
          <w:rFonts w:ascii="Arial Narrow" w:hAnsi="Arial Narrow" w:cs="Arial"/>
          <w:b w:val="0"/>
          <w:color w:val="5F5F5F"/>
          <w:kern w:val="28"/>
          <w:sz w:val="20"/>
          <w:szCs w:val="20"/>
        </w:rPr>
        <w:t>, contributi alla variazione in punti percentuali e vari</w:t>
      </w:r>
      <w:r w:rsidR="00041D56">
        <w:rPr>
          <w:rFonts w:ascii="Arial Narrow" w:hAnsi="Arial Narrow" w:cs="Arial"/>
          <w:b w:val="0"/>
          <w:color w:val="5F5F5F"/>
          <w:kern w:val="28"/>
          <w:sz w:val="20"/>
          <w:szCs w:val="20"/>
        </w:rPr>
        <w:t>azioni</w:t>
      </w:r>
      <w:r w:rsidR="00041D56" w:rsidRPr="005C343A">
        <w:rPr>
          <w:rFonts w:ascii="Arial Narrow" w:hAnsi="Arial Narrow" w:cs="Arial"/>
          <w:b w:val="0"/>
          <w:color w:val="5F5F5F"/>
          <w:kern w:val="28"/>
          <w:sz w:val="20"/>
          <w:szCs w:val="20"/>
        </w:rPr>
        <w:t xml:space="preserve"> percentuali tendenziali</w:t>
      </w:r>
      <w:r w:rsidR="00041D56">
        <w:rPr>
          <w:rFonts w:ascii="Arial Narrow" w:hAnsi="Arial Narrow" w:cs="Arial"/>
          <w:b w:val="0"/>
          <w:color w:val="5F5F5F"/>
          <w:kern w:val="28"/>
          <w:sz w:val="20"/>
          <w:szCs w:val="20"/>
        </w:rPr>
        <w:t xml:space="preserve"> </w:t>
      </w:r>
      <w:r w:rsidR="00041D56" w:rsidRPr="00E35121">
        <w:rPr>
          <w:rFonts w:ascii="Arial Narrow" w:hAnsi="Arial Narrow" w:cs="Arial"/>
          <w:b w:val="0"/>
          <w:bCs/>
          <w:color w:val="5F5F5F"/>
          <w:kern w:val="28"/>
          <w:sz w:val="20"/>
          <w:szCs w:val="22"/>
        </w:rPr>
        <w:t>(a)</w:t>
      </w:r>
    </w:p>
    <w:p w14:paraId="18408927" w14:textId="701259E6" w:rsidR="00403189" w:rsidRDefault="00C13D72" w:rsidP="002A153A">
      <w:pPr>
        <w:pStyle w:val="Corpodeltesto1"/>
        <w:spacing w:after="120"/>
        <w:jc w:val="left"/>
        <w:rPr>
          <w:rFonts w:ascii="Arial Narrow" w:hAnsi="Arial Narrow" w:cs="Arial"/>
          <w:b w:val="0"/>
          <w:color w:val="5F5F5F"/>
          <w:kern w:val="28"/>
          <w:sz w:val="20"/>
          <w:szCs w:val="20"/>
        </w:rPr>
      </w:pPr>
      <w:r>
        <w:rPr>
          <w:noProof/>
        </w:rPr>
        <w:drawing>
          <wp:inline distT="0" distB="0" distL="0" distR="0" wp14:anchorId="0B0FBD1A" wp14:editId="24DD02E2">
            <wp:extent cx="6660000" cy="2160000"/>
            <wp:effectExtent l="0" t="0" r="7620" b="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DA55CF" w14:textId="1FD595A2" w:rsidR="00C22E24" w:rsidRDefault="00C0323B" w:rsidP="00C22E24">
      <w:pPr>
        <w:spacing w:before="60"/>
        <w:jc w:val="both"/>
        <w:rPr>
          <w:rFonts w:ascii="Arial Narrow" w:hAnsi="Arial Narrow" w:cs="Calibri"/>
          <w:sz w:val="15"/>
          <w:szCs w:val="15"/>
        </w:rPr>
      </w:pPr>
      <w:r w:rsidRPr="009F2C56">
        <w:rPr>
          <w:rFonts w:ascii="Arial Narrow" w:hAnsi="Arial Narrow" w:cs="Calibri"/>
          <w:sz w:val="15"/>
          <w:szCs w:val="15"/>
        </w:rPr>
        <w:t xml:space="preserve">(a) </w:t>
      </w:r>
      <w:r w:rsidRPr="00C97A46">
        <w:rPr>
          <w:rFonts w:ascii="Arial Narrow" w:hAnsi="Arial Narrow" w:cs="Calibri"/>
          <w:sz w:val="15"/>
          <w:szCs w:val="15"/>
        </w:rPr>
        <w:t>Limitatamente ai paesi la cui quota sull</w:t>
      </w:r>
      <w:r w:rsidR="00B67619">
        <w:rPr>
          <w:rFonts w:ascii="Arial Narrow" w:hAnsi="Arial Narrow" w:cs="Calibri"/>
          <w:sz w:val="15"/>
          <w:szCs w:val="15"/>
        </w:rPr>
        <w:t>’export (import)</w:t>
      </w:r>
      <w:r w:rsidR="001E77DD">
        <w:rPr>
          <w:rFonts w:ascii="Arial Narrow" w:hAnsi="Arial Narrow" w:cs="Calibri"/>
          <w:sz w:val="15"/>
          <w:szCs w:val="15"/>
        </w:rPr>
        <w:t xml:space="preserve"> per l’anno 202</w:t>
      </w:r>
      <w:r w:rsidR="00FF3E48">
        <w:rPr>
          <w:rFonts w:ascii="Arial Narrow" w:hAnsi="Arial Narrow" w:cs="Calibri"/>
          <w:sz w:val="15"/>
          <w:szCs w:val="15"/>
        </w:rPr>
        <w:t>1</w:t>
      </w:r>
      <w:r w:rsidRPr="00C97A46">
        <w:rPr>
          <w:rFonts w:ascii="Arial Narrow" w:hAnsi="Arial Narrow" w:cs="Calibri"/>
          <w:sz w:val="15"/>
          <w:szCs w:val="15"/>
        </w:rPr>
        <w:t xml:space="preserve"> è superiore all’1%.</w:t>
      </w:r>
    </w:p>
    <w:p w14:paraId="191AF2B1" w14:textId="77777777" w:rsidR="00C0323B" w:rsidRDefault="00C0323B" w:rsidP="00E74CD4">
      <w:pPr>
        <w:spacing w:before="60"/>
        <w:jc w:val="both"/>
        <w:rPr>
          <w:rFonts w:ascii="Arial Narrow" w:hAnsi="Arial Narrow" w:cs="Calibri"/>
          <w:sz w:val="15"/>
          <w:szCs w:val="15"/>
        </w:rPr>
      </w:pPr>
    </w:p>
    <w:p w14:paraId="39DD39F5" w14:textId="77777777" w:rsidR="008D59B2" w:rsidRPr="008D59B2" w:rsidRDefault="008D59B2" w:rsidP="008D59B2">
      <w:pPr>
        <w:spacing w:after="120"/>
        <w:jc w:val="both"/>
        <w:rPr>
          <w:rFonts w:ascii="Arial" w:hAnsi="Arial"/>
          <w:sz w:val="21"/>
          <w:szCs w:val="21"/>
        </w:rPr>
      </w:pPr>
    </w:p>
    <w:p w14:paraId="770534AE" w14:textId="77777777" w:rsidR="00833A77" w:rsidRPr="00055CB6" w:rsidRDefault="00525F9A" w:rsidP="00E84E4F">
      <w:pPr>
        <w:pStyle w:val="001TitoloBolocco"/>
        <w:spacing w:after="120" w:line="240" w:lineRule="auto"/>
      </w:pPr>
      <w:r w:rsidRPr="00055CB6">
        <w:rPr>
          <w:bCs w:val="0"/>
          <w:caps w:val="0"/>
        </w:rPr>
        <w:t>A</w:t>
      </w:r>
      <w:r w:rsidR="00885870" w:rsidRPr="00055CB6">
        <w:rPr>
          <w:bCs w:val="0"/>
          <w:caps w:val="0"/>
        </w:rPr>
        <w:t>NALISI PER PRODOTTO E PAESE</w:t>
      </w:r>
    </w:p>
    <w:p w14:paraId="0B64E351" w14:textId="5DEC8E7B" w:rsidR="00D02297" w:rsidRPr="0098323F" w:rsidRDefault="00D02297" w:rsidP="00D02297">
      <w:pPr>
        <w:pStyle w:val="Corpotesto1"/>
        <w:spacing w:after="120"/>
        <w:rPr>
          <w:rFonts w:ascii="Arial" w:hAnsi="Arial"/>
          <w:b w:val="0"/>
          <w:sz w:val="21"/>
          <w:szCs w:val="21"/>
          <w:lang w:val="it-IT" w:eastAsia="it-IT"/>
        </w:rPr>
      </w:pPr>
      <w:r w:rsidRPr="0098323F">
        <w:rPr>
          <w:rFonts w:ascii="Arial" w:hAnsi="Arial"/>
          <w:b w:val="0"/>
          <w:sz w:val="21"/>
          <w:szCs w:val="21"/>
          <w:lang w:val="it-IT" w:eastAsia="it-IT"/>
        </w:rPr>
        <w:t xml:space="preserve">Sulla base delle elaborazioni allegate al presente comunicato nel file “Grafici aggiuntivi commercio estero e prezzi all'import”, risulta che la crescita tendenziale dell’export è spiegata per </w:t>
      </w:r>
      <w:r w:rsidR="0098323F" w:rsidRPr="0098323F">
        <w:rPr>
          <w:rFonts w:ascii="Arial" w:hAnsi="Arial"/>
          <w:b w:val="0"/>
          <w:sz w:val="21"/>
          <w:szCs w:val="21"/>
          <w:lang w:val="it-IT" w:eastAsia="it-IT"/>
        </w:rPr>
        <w:t>2,2</w:t>
      </w:r>
      <w:r w:rsidRPr="0098323F">
        <w:rPr>
          <w:rFonts w:ascii="Arial" w:hAnsi="Arial"/>
          <w:b w:val="0"/>
          <w:sz w:val="21"/>
          <w:szCs w:val="21"/>
          <w:lang w:val="it-IT" w:eastAsia="it-IT"/>
        </w:rPr>
        <w:t xml:space="preserve"> punti percentuali </w:t>
      </w:r>
      <w:r w:rsidR="00B64D61" w:rsidRPr="0098323F">
        <w:rPr>
          <w:rFonts w:ascii="Arial" w:hAnsi="Arial"/>
          <w:b w:val="0"/>
          <w:sz w:val="21"/>
          <w:szCs w:val="21"/>
          <w:lang w:val="it-IT" w:eastAsia="it-IT"/>
        </w:rPr>
        <w:t xml:space="preserve">dall’incremento delle vendite </w:t>
      </w:r>
      <w:r w:rsidRPr="0098323F">
        <w:rPr>
          <w:rFonts w:ascii="Arial" w:hAnsi="Arial"/>
          <w:b w:val="0"/>
          <w:sz w:val="21"/>
          <w:szCs w:val="21"/>
          <w:lang w:val="it-IT" w:eastAsia="it-IT"/>
        </w:rPr>
        <w:t xml:space="preserve">di </w:t>
      </w:r>
      <w:r w:rsidR="00853D0B" w:rsidRPr="0098323F">
        <w:rPr>
          <w:rFonts w:ascii="Arial" w:hAnsi="Arial"/>
          <w:b w:val="0"/>
          <w:sz w:val="21"/>
          <w:szCs w:val="21"/>
          <w:lang w:val="it-IT" w:eastAsia="it-IT"/>
        </w:rPr>
        <w:t xml:space="preserve">mezzi di trasporto, autoveicoli esclusi, </w:t>
      </w:r>
      <w:r w:rsidRPr="0098323F">
        <w:rPr>
          <w:rFonts w:ascii="Arial" w:hAnsi="Arial"/>
          <w:b w:val="0"/>
          <w:sz w:val="21"/>
          <w:szCs w:val="21"/>
          <w:lang w:val="it-IT" w:eastAsia="it-IT"/>
        </w:rPr>
        <w:t xml:space="preserve">verso </w:t>
      </w:r>
      <w:r w:rsidR="00D764D9" w:rsidRPr="0098323F">
        <w:rPr>
          <w:rFonts w:ascii="Arial" w:hAnsi="Arial"/>
          <w:b w:val="0"/>
          <w:sz w:val="21"/>
          <w:szCs w:val="21"/>
          <w:lang w:val="it-IT" w:eastAsia="it-IT"/>
        </w:rPr>
        <w:t xml:space="preserve">gli </w:t>
      </w:r>
      <w:r w:rsidR="00853D0B" w:rsidRPr="0098323F">
        <w:rPr>
          <w:rFonts w:ascii="Arial" w:hAnsi="Arial"/>
          <w:b w:val="0"/>
          <w:sz w:val="21"/>
          <w:szCs w:val="21"/>
          <w:lang w:val="it-IT" w:eastAsia="it-IT"/>
        </w:rPr>
        <w:t>Stati Uniti</w:t>
      </w:r>
      <w:r w:rsidR="0098323F" w:rsidRPr="0098323F">
        <w:rPr>
          <w:rFonts w:ascii="Arial" w:hAnsi="Arial"/>
          <w:b w:val="0"/>
          <w:sz w:val="21"/>
          <w:szCs w:val="21"/>
          <w:lang w:val="it-IT" w:eastAsia="it-IT"/>
        </w:rPr>
        <w:t xml:space="preserve">; un ulteriore contributo pari a 2,6 punti percentuali deriva dall’aumento delle </w:t>
      </w:r>
      <w:r w:rsidR="00F51D71">
        <w:rPr>
          <w:rFonts w:ascii="Arial" w:hAnsi="Arial"/>
          <w:b w:val="0"/>
          <w:sz w:val="21"/>
          <w:szCs w:val="21"/>
          <w:lang w:val="it-IT" w:eastAsia="it-IT"/>
        </w:rPr>
        <w:t>esportazioni</w:t>
      </w:r>
      <w:r w:rsidR="00D764D9" w:rsidRPr="0098323F">
        <w:rPr>
          <w:rFonts w:ascii="Arial" w:hAnsi="Arial"/>
          <w:b w:val="0"/>
          <w:sz w:val="21"/>
          <w:szCs w:val="21"/>
          <w:lang w:val="it-IT" w:eastAsia="it-IT"/>
        </w:rPr>
        <w:t xml:space="preserve"> di metalli di base e prodotti in metallo verso Germania e Francia</w:t>
      </w:r>
      <w:r w:rsidR="00D26764" w:rsidRPr="0098323F">
        <w:rPr>
          <w:rFonts w:ascii="Arial" w:hAnsi="Arial"/>
          <w:b w:val="0"/>
          <w:sz w:val="21"/>
          <w:szCs w:val="21"/>
          <w:lang w:val="it-IT" w:eastAsia="it-IT"/>
        </w:rPr>
        <w:t xml:space="preserve"> </w:t>
      </w:r>
      <w:r w:rsidR="00DA34B7" w:rsidRPr="0098323F">
        <w:rPr>
          <w:rFonts w:ascii="Arial" w:hAnsi="Arial"/>
          <w:b w:val="0"/>
          <w:sz w:val="21"/>
          <w:szCs w:val="21"/>
          <w:lang w:val="it-IT" w:eastAsia="it-IT"/>
        </w:rPr>
        <w:t>e di articoli farmaceutici, chimico</w:t>
      </w:r>
      <w:r w:rsidR="00D26764" w:rsidRPr="0098323F">
        <w:rPr>
          <w:rFonts w:ascii="Arial" w:hAnsi="Arial"/>
          <w:b w:val="0"/>
          <w:sz w:val="21"/>
          <w:szCs w:val="21"/>
          <w:lang w:val="it-IT" w:eastAsia="it-IT"/>
        </w:rPr>
        <w:t xml:space="preserve">-medicinali e botanici verso </w:t>
      </w:r>
      <w:r w:rsidR="00DA34B7" w:rsidRPr="0098323F">
        <w:rPr>
          <w:rFonts w:ascii="Arial" w:hAnsi="Arial"/>
          <w:b w:val="0"/>
          <w:sz w:val="21"/>
          <w:szCs w:val="21"/>
          <w:lang w:val="it-IT" w:eastAsia="it-IT"/>
        </w:rPr>
        <w:t>Belgio</w:t>
      </w:r>
      <w:r w:rsidR="00D764D9" w:rsidRPr="0098323F">
        <w:rPr>
          <w:rFonts w:ascii="Arial" w:hAnsi="Arial"/>
          <w:b w:val="0"/>
          <w:sz w:val="21"/>
          <w:szCs w:val="21"/>
          <w:lang w:val="it-IT" w:eastAsia="it-IT"/>
        </w:rPr>
        <w:t xml:space="preserve"> e Paesi Bassi</w:t>
      </w:r>
      <w:r w:rsidRPr="0098323F">
        <w:rPr>
          <w:rFonts w:ascii="Arial" w:hAnsi="Arial"/>
          <w:b w:val="0"/>
          <w:sz w:val="21"/>
          <w:szCs w:val="21"/>
          <w:lang w:val="it-IT" w:eastAsia="it-IT"/>
        </w:rPr>
        <w:t xml:space="preserve">. </w:t>
      </w:r>
      <w:r w:rsidR="00EE2D39" w:rsidRPr="0098323F">
        <w:rPr>
          <w:rFonts w:ascii="Arial" w:hAnsi="Arial"/>
          <w:b w:val="0"/>
          <w:sz w:val="21"/>
          <w:szCs w:val="21"/>
          <w:lang w:val="it-IT" w:eastAsia="it-IT"/>
        </w:rPr>
        <w:t>All’opposto</w:t>
      </w:r>
      <w:r w:rsidR="00996A69" w:rsidRPr="0098323F">
        <w:rPr>
          <w:rFonts w:ascii="Arial" w:hAnsi="Arial"/>
          <w:b w:val="0"/>
          <w:sz w:val="21"/>
          <w:szCs w:val="21"/>
          <w:lang w:val="it-IT" w:eastAsia="it-IT"/>
        </w:rPr>
        <w:t>, i</w:t>
      </w:r>
      <w:r w:rsidR="0068437D" w:rsidRPr="0098323F">
        <w:rPr>
          <w:rFonts w:ascii="Arial" w:hAnsi="Arial"/>
          <w:b w:val="0"/>
          <w:sz w:val="21"/>
          <w:szCs w:val="21"/>
          <w:lang w:val="it-IT" w:eastAsia="it-IT"/>
        </w:rPr>
        <w:t>l</w:t>
      </w:r>
      <w:r w:rsidR="003E3529" w:rsidRPr="0098323F">
        <w:rPr>
          <w:rFonts w:ascii="Arial" w:hAnsi="Arial"/>
          <w:b w:val="0"/>
          <w:sz w:val="21"/>
          <w:szCs w:val="21"/>
          <w:lang w:val="it-IT" w:eastAsia="it-IT"/>
        </w:rPr>
        <w:t xml:space="preserve"> calo delle vendite</w:t>
      </w:r>
      <w:r w:rsidRPr="0098323F">
        <w:rPr>
          <w:rFonts w:ascii="Arial" w:hAnsi="Arial"/>
          <w:b w:val="0"/>
          <w:sz w:val="21"/>
          <w:szCs w:val="21"/>
          <w:lang w:val="it-IT" w:eastAsia="it-IT"/>
        </w:rPr>
        <w:t xml:space="preserve"> </w:t>
      </w:r>
      <w:r w:rsidR="00D26764" w:rsidRPr="0098323F">
        <w:rPr>
          <w:rFonts w:ascii="Arial" w:hAnsi="Arial"/>
          <w:b w:val="0"/>
          <w:sz w:val="21"/>
          <w:szCs w:val="21"/>
          <w:lang w:val="it-IT" w:eastAsia="it-IT"/>
        </w:rPr>
        <w:t>di metalli di base e prodotti in metallo</w:t>
      </w:r>
      <w:r w:rsidR="00565ACF" w:rsidRPr="0098323F">
        <w:rPr>
          <w:rFonts w:ascii="Arial" w:hAnsi="Arial"/>
          <w:b w:val="0"/>
          <w:sz w:val="21"/>
          <w:szCs w:val="21"/>
          <w:lang w:val="it-IT" w:eastAsia="it-IT"/>
        </w:rPr>
        <w:t xml:space="preserve"> </w:t>
      </w:r>
      <w:r w:rsidRPr="0098323F">
        <w:rPr>
          <w:rFonts w:ascii="Arial" w:hAnsi="Arial"/>
          <w:b w:val="0"/>
          <w:sz w:val="21"/>
          <w:szCs w:val="21"/>
          <w:lang w:val="it-IT" w:eastAsia="it-IT"/>
        </w:rPr>
        <w:t xml:space="preserve">verso </w:t>
      </w:r>
      <w:r w:rsidR="00D764D9" w:rsidRPr="0098323F">
        <w:rPr>
          <w:rFonts w:ascii="Arial" w:hAnsi="Arial"/>
          <w:b w:val="0"/>
          <w:sz w:val="21"/>
          <w:szCs w:val="21"/>
          <w:lang w:val="it-IT" w:eastAsia="it-IT"/>
        </w:rPr>
        <w:t>la</w:t>
      </w:r>
      <w:r w:rsidR="00D26764" w:rsidRPr="0098323F">
        <w:rPr>
          <w:rFonts w:ascii="Arial" w:hAnsi="Arial"/>
          <w:b w:val="0"/>
          <w:sz w:val="21"/>
          <w:szCs w:val="21"/>
          <w:lang w:val="it-IT" w:eastAsia="it-IT"/>
        </w:rPr>
        <w:t xml:space="preserve"> Svizzera</w:t>
      </w:r>
      <w:r w:rsidR="00D764D9" w:rsidRPr="0098323F">
        <w:rPr>
          <w:rFonts w:ascii="Arial" w:hAnsi="Arial"/>
          <w:b w:val="0"/>
          <w:sz w:val="21"/>
          <w:szCs w:val="21"/>
          <w:lang w:val="it-IT" w:eastAsia="it-IT"/>
        </w:rPr>
        <w:t>, di macchinari e apparecchi verso la Cina</w:t>
      </w:r>
      <w:r w:rsidR="00853D0B" w:rsidRPr="0098323F">
        <w:rPr>
          <w:rFonts w:ascii="Arial" w:hAnsi="Arial"/>
          <w:b w:val="0"/>
          <w:sz w:val="21"/>
          <w:szCs w:val="21"/>
          <w:lang w:val="it-IT" w:eastAsia="it-IT"/>
        </w:rPr>
        <w:t xml:space="preserve"> e di autoveicoli verso </w:t>
      </w:r>
      <w:r w:rsidR="00D764D9" w:rsidRPr="0098323F">
        <w:rPr>
          <w:rFonts w:ascii="Arial" w:hAnsi="Arial"/>
          <w:b w:val="0"/>
          <w:sz w:val="21"/>
          <w:szCs w:val="21"/>
          <w:lang w:val="it-IT" w:eastAsia="it-IT"/>
        </w:rPr>
        <w:t>Germania e Stati Uniti</w:t>
      </w:r>
      <w:r w:rsidR="00BE6A12" w:rsidRPr="0098323F">
        <w:rPr>
          <w:rFonts w:ascii="Arial" w:hAnsi="Arial"/>
          <w:b w:val="0"/>
          <w:sz w:val="21"/>
          <w:szCs w:val="21"/>
          <w:lang w:val="it-IT" w:eastAsia="it-IT"/>
        </w:rPr>
        <w:t xml:space="preserve"> </w:t>
      </w:r>
      <w:r w:rsidRPr="0098323F">
        <w:rPr>
          <w:rFonts w:ascii="Arial" w:hAnsi="Arial"/>
          <w:b w:val="0"/>
          <w:sz w:val="21"/>
          <w:szCs w:val="21"/>
          <w:lang w:val="it-IT" w:eastAsia="it-IT"/>
        </w:rPr>
        <w:t xml:space="preserve">apporta un contributo negativo di </w:t>
      </w:r>
      <w:r w:rsidR="00F10637" w:rsidRPr="0098323F">
        <w:rPr>
          <w:rFonts w:ascii="Arial" w:hAnsi="Arial"/>
          <w:b w:val="0"/>
          <w:sz w:val="21"/>
          <w:szCs w:val="21"/>
          <w:lang w:val="it-IT" w:eastAsia="it-IT"/>
        </w:rPr>
        <w:t>1,1</w:t>
      </w:r>
      <w:r w:rsidRPr="0098323F">
        <w:rPr>
          <w:rFonts w:ascii="Arial" w:hAnsi="Arial"/>
          <w:b w:val="0"/>
          <w:sz w:val="21"/>
          <w:szCs w:val="21"/>
          <w:lang w:val="it-IT" w:eastAsia="it-IT"/>
        </w:rPr>
        <w:t xml:space="preserve"> punti percentuali. </w:t>
      </w:r>
    </w:p>
    <w:p w14:paraId="5CB42294" w14:textId="3964BE76" w:rsidR="00F466FD" w:rsidRDefault="00D02297" w:rsidP="00D02297">
      <w:pPr>
        <w:pStyle w:val="Corpotesto1"/>
        <w:spacing w:after="120"/>
        <w:rPr>
          <w:rFonts w:ascii="Arial" w:hAnsi="Arial"/>
          <w:b w:val="0"/>
          <w:sz w:val="21"/>
          <w:szCs w:val="21"/>
          <w:lang w:val="it-IT" w:eastAsia="it-IT"/>
        </w:rPr>
      </w:pPr>
      <w:r w:rsidRPr="0098323F">
        <w:rPr>
          <w:rFonts w:ascii="Arial" w:hAnsi="Arial"/>
          <w:b w:val="0"/>
          <w:sz w:val="21"/>
          <w:szCs w:val="21"/>
          <w:lang w:val="it-IT" w:eastAsia="it-IT"/>
        </w:rPr>
        <w:t>L’incremento degli a</w:t>
      </w:r>
      <w:r w:rsidR="0007706A" w:rsidRPr="0098323F">
        <w:rPr>
          <w:rFonts w:ascii="Arial" w:hAnsi="Arial"/>
          <w:b w:val="0"/>
          <w:sz w:val="21"/>
          <w:szCs w:val="21"/>
          <w:lang w:val="it-IT" w:eastAsia="it-IT"/>
        </w:rPr>
        <w:t xml:space="preserve">cquisti </w:t>
      </w:r>
      <w:r w:rsidR="00D764D9" w:rsidRPr="0098323F">
        <w:rPr>
          <w:rFonts w:ascii="Arial" w:hAnsi="Arial"/>
          <w:b w:val="0"/>
          <w:sz w:val="21"/>
          <w:szCs w:val="21"/>
          <w:lang w:val="it-IT" w:eastAsia="it-IT"/>
        </w:rPr>
        <w:t>di gas</w:t>
      </w:r>
      <w:r w:rsidR="009153BC">
        <w:rPr>
          <w:rFonts w:ascii="Arial" w:hAnsi="Arial"/>
          <w:b w:val="0"/>
          <w:sz w:val="21"/>
          <w:szCs w:val="21"/>
          <w:lang w:val="it-IT" w:eastAsia="it-IT"/>
        </w:rPr>
        <w:t xml:space="preserve"> naturale</w:t>
      </w:r>
      <w:r w:rsidR="0007706A" w:rsidRPr="0098323F">
        <w:rPr>
          <w:rFonts w:ascii="Arial" w:hAnsi="Arial"/>
          <w:b w:val="0"/>
          <w:sz w:val="21"/>
          <w:szCs w:val="21"/>
          <w:lang w:val="it-IT" w:eastAsia="it-IT"/>
        </w:rPr>
        <w:t xml:space="preserve"> da </w:t>
      </w:r>
      <w:r w:rsidR="00D764D9" w:rsidRPr="0098323F">
        <w:rPr>
          <w:rFonts w:ascii="Arial" w:hAnsi="Arial"/>
          <w:b w:val="0"/>
          <w:sz w:val="21"/>
          <w:szCs w:val="21"/>
          <w:lang w:val="it-IT" w:eastAsia="it-IT"/>
        </w:rPr>
        <w:t>Russia e paesi OPEC e di petrolio greggio dai paesi OPEC</w:t>
      </w:r>
      <w:r w:rsidR="0007706A" w:rsidRPr="0098323F">
        <w:rPr>
          <w:rFonts w:ascii="Arial" w:hAnsi="Arial"/>
          <w:b w:val="0"/>
          <w:sz w:val="21"/>
          <w:szCs w:val="21"/>
          <w:lang w:val="it-IT" w:eastAsia="it-IT"/>
        </w:rPr>
        <w:t xml:space="preserve"> </w:t>
      </w:r>
      <w:r w:rsidRPr="0098323F">
        <w:rPr>
          <w:rFonts w:ascii="Arial" w:hAnsi="Arial"/>
          <w:b w:val="0"/>
          <w:sz w:val="21"/>
          <w:szCs w:val="21"/>
          <w:lang w:val="it-IT" w:eastAsia="it-IT"/>
        </w:rPr>
        <w:t>spiega pe</w:t>
      </w:r>
      <w:r w:rsidR="009D343D" w:rsidRPr="0098323F">
        <w:rPr>
          <w:rFonts w:ascii="Arial" w:hAnsi="Arial"/>
          <w:b w:val="0"/>
          <w:sz w:val="21"/>
          <w:szCs w:val="21"/>
          <w:lang w:val="it-IT" w:eastAsia="it-IT"/>
        </w:rPr>
        <w:t xml:space="preserve">r </w:t>
      </w:r>
      <w:r w:rsidR="009153BC">
        <w:rPr>
          <w:rFonts w:ascii="Arial" w:hAnsi="Arial"/>
          <w:b w:val="0"/>
          <w:sz w:val="21"/>
          <w:szCs w:val="21"/>
          <w:lang w:val="it-IT" w:eastAsia="it-IT"/>
        </w:rPr>
        <w:t>4</w:t>
      </w:r>
      <w:r w:rsidR="00D764D9" w:rsidRPr="0098323F">
        <w:rPr>
          <w:rFonts w:ascii="Arial" w:hAnsi="Arial"/>
          <w:b w:val="0"/>
          <w:sz w:val="21"/>
          <w:szCs w:val="21"/>
          <w:lang w:val="it-IT" w:eastAsia="it-IT"/>
        </w:rPr>
        <w:t>,</w:t>
      </w:r>
      <w:r w:rsidR="009153BC">
        <w:rPr>
          <w:rFonts w:ascii="Arial" w:hAnsi="Arial"/>
          <w:b w:val="0"/>
          <w:sz w:val="21"/>
          <w:szCs w:val="21"/>
          <w:lang w:val="it-IT" w:eastAsia="it-IT"/>
        </w:rPr>
        <w:t>3</w:t>
      </w:r>
      <w:r w:rsidRPr="0098323F">
        <w:rPr>
          <w:rFonts w:ascii="Arial" w:hAnsi="Arial"/>
          <w:b w:val="0"/>
          <w:sz w:val="21"/>
          <w:szCs w:val="21"/>
          <w:lang w:val="it-IT" w:eastAsia="it-IT"/>
        </w:rPr>
        <w:t xml:space="preserve"> punti percentuali la crescita tendenziale dell’import. Il calo degli acquisti di </w:t>
      </w:r>
      <w:r w:rsidR="009563C0" w:rsidRPr="0098323F">
        <w:rPr>
          <w:rFonts w:ascii="Arial" w:hAnsi="Arial"/>
          <w:b w:val="0"/>
          <w:sz w:val="21"/>
          <w:szCs w:val="21"/>
          <w:lang w:val="it-IT" w:eastAsia="it-IT"/>
        </w:rPr>
        <w:t>metalli di base e prodo</w:t>
      </w:r>
      <w:r w:rsidR="00CE0C54" w:rsidRPr="0098323F">
        <w:rPr>
          <w:rFonts w:ascii="Arial" w:hAnsi="Arial"/>
          <w:b w:val="0"/>
          <w:sz w:val="21"/>
          <w:szCs w:val="21"/>
          <w:lang w:val="it-IT" w:eastAsia="it-IT"/>
        </w:rPr>
        <w:t>tti in metallo da paesi OPEC</w:t>
      </w:r>
      <w:r w:rsidR="00D764D9" w:rsidRPr="0098323F">
        <w:rPr>
          <w:rFonts w:ascii="Arial" w:hAnsi="Arial"/>
          <w:b w:val="0"/>
          <w:sz w:val="21"/>
          <w:szCs w:val="21"/>
          <w:lang w:val="it-IT" w:eastAsia="it-IT"/>
        </w:rPr>
        <w:t xml:space="preserve"> e </w:t>
      </w:r>
      <w:r w:rsidR="0098323F">
        <w:rPr>
          <w:rFonts w:ascii="Arial" w:hAnsi="Arial"/>
          <w:b w:val="0"/>
          <w:sz w:val="21"/>
          <w:szCs w:val="21"/>
          <w:lang w:val="it-IT" w:eastAsia="it-IT"/>
        </w:rPr>
        <w:t>S</w:t>
      </w:r>
      <w:r w:rsidR="00D764D9" w:rsidRPr="0098323F">
        <w:rPr>
          <w:rFonts w:ascii="Arial" w:hAnsi="Arial"/>
          <w:b w:val="0"/>
          <w:sz w:val="21"/>
          <w:szCs w:val="21"/>
          <w:lang w:val="it-IT" w:eastAsia="it-IT"/>
        </w:rPr>
        <w:t>tati Uniti</w:t>
      </w:r>
      <w:r w:rsidR="00CE0C54" w:rsidRPr="0098323F">
        <w:rPr>
          <w:rFonts w:ascii="Arial" w:hAnsi="Arial"/>
          <w:b w:val="0"/>
          <w:sz w:val="21"/>
          <w:szCs w:val="21"/>
          <w:lang w:val="it-IT" w:eastAsia="it-IT"/>
        </w:rPr>
        <w:t xml:space="preserve"> </w:t>
      </w:r>
      <w:r w:rsidR="0098323F" w:rsidRPr="0098323F">
        <w:rPr>
          <w:rFonts w:ascii="Arial" w:hAnsi="Arial"/>
          <w:b w:val="0"/>
          <w:sz w:val="21"/>
          <w:szCs w:val="21"/>
          <w:lang w:val="it-IT" w:eastAsia="it-IT"/>
        </w:rPr>
        <w:t>e</w:t>
      </w:r>
      <w:r w:rsidR="00D764D9" w:rsidRPr="0098323F">
        <w:rPr>
          <w:rFonts w:ascii="Arial" w:hAnsi="Arial"/>
          <w:b w:val="0"/>
          <w:sz w:val="21"/>
          <w:szCs w:val="21"/>
          <w:lang w:val="it-IT" w:eastAsia="it-IT"/>
        </w:rPr>
        <w:t xml:space="preserve"> di articoli farmaceutici, chimico-medicinali e botanici dalla Francia </w:t>
      </w:r>
      <w:r w:rsidR="00E06DCE" w:rsidRPr="0098323F">
        <w:rPr>
          <w:rFonts w:ascii="Arial" w:hAnsi="Arial"/>
          <w:b w:val="0"/>
          <w:sz w:val="21"/>
          <w:szCs w:val="21"/>
          <w:lang w:val="it-IT" w:eastAsia="it-IT"/>
        </w:rPr>
        <w:t>fornisce un contributo negativo di</w:t>
      </w:r>
      <w:r w:rsidR="00D764D9" w:rsidRPr="0098323F">
        <w:rPr>
          <w:rFonts w:ascii="Arial" w:hAnsi="Arial"/>
          <w:b w:val="0"/>
          <w:sz w:val="21"/>
          <w:szCs w:val="21"/>
          <w:lang w:val="it-IT" w:eastAsia="it-IT"/>
        </w:rPr>
        <w:t xml:space="preserve"> 1,1</w:t>
      </w:r>
      <w:r w:rsidRPr="0098323F">
        <w:rPr>
          <w:rFonts w:ascii="Arial" w:hAnsi="Arial"/>
          <w:b w:val="0"/>
          <w:sz w:val="21"/>
          <w:szCs w:val="21"/>
          <w:lang w:val="it-IT" w:eastAsia="it-IT"/>
        </w:rPr>
        <w:t xml:space="preserve"> punt</w:t>
      </w:r>
      <w:r w:rsidR="00D764D9" w:rsidRPr="0098323F">
        <w:rPr>
          <w:rFonts w:ascii="Arial" w:hAnsi="Arial"/>
          <w:b w:val="0"/>
          <w:sz w:val="21"/>
          <w:szCs w:val="21"/>
          <w:lang w:val="it-IT" w:eastAsia="it-IT"/>
        </w:rPr>
        <w:t>i percentuali</w:t>
      </w:r>
      <w:r w:rsidRPr="0098323F">
        <w:rPr>
          <w:rFonts w:ascii="Arial" w:hAnsi="Arial"/>
          <w:b w:val="0"/>
          <w:sz w:val="21"/>
          <w:szCs w:val="21"/>
          <w:lang w:val="it-IT" w:eastAsia="it-IT"/>
        </w:rPr>
        <w:t xml:space="preserve"> </w:t>
      </w:r>
      <w:r w:rsidR="00E06DCE" w:rsidRPr="0098323F">
        <w:rPr>
          <w:rFonts w:ascii="Arial" w:hAnsi="Arial"/>
          <w:b w:val="0"/>
          <w:sz w:val="21"/>
          <w:szCs w:val="21"/>
          <w:lang w:val="it-IT" w:eastAsia="it-IT"/>
        </w:rPr>
        <w:t xml:space="preserve">alla variazione </w:t>
      </w:r>
      <w:r w:rsidRPr="0098323F">
        <w:rPr>
          <w:rFonts w:ascii="Arial" w:hAnsi="Arial"/>
          <w:b w:val="0"/>
          <w:sz w:val="21"/>
          <w:szCs w:val="21"/>
          <w:lang w:val="it-IT" w:eastAsia="it-IT"/>
        </w:rPr>
        <w:t>delle importazioni.</w:t>
      </w:r>
    </w:p>
    <w:p w14:paraId="6509650D" w14:textId="77777777" w:rsidR="00B7102C" w:rsidRPr="008F0E70" w:rsidRDefault="00B7102C" w:rsidP="00D02297">
      <w:pPr>
        <w:pStyle w:val="Corpotesto1"/>
        <w:spacing w:after="120"/>
        <w:rPr>
          <w:rFonts w:ascii="Arial" w:hAnsi="Arial"/>
          <w:b w:val="0"/>
          <w:sz w:val="21"/>
          <w:szCs w:val="21"/>
          <w:lang w:val="it-IT" w:eastAsia="it-IT"/>
        </w:rPr>
      </w:pPr>
    </w:p>
    <w:p w14:paraId="09A486A4" w14:textId="49965B6A" w:rsidR="002B3BA3" w:rsidRPr="00B13780" w:rsidRDefault="00B13FB7" w:rsidP="001A424B">
      <w:pPr>
        <w:pStyle w:val="Rientrocorpodeltesto"/>
        <w:spacing w:before="240"/>
        <w:ind w:left="0" w:right="84"/>
        <w:rPr>
          <w:rFonts w:ascii="Calibri" w:hAnsi="Calibri" w:cs="Calibri"/>
          <w:color w:val="E42618"/>
          <w:sz w:val="36"/>
          <w:szCs w:val="36"/>
        </w:rPr>
      </w:pPr>
      <w:r w:rsidRPr="00B13780">
        <w:rPr>
          <w:rFonts w:ascii="Calibri" w:hAnsi="Calibri" w:cs="Calibri"/>
          <w:color w:val="E42618"/>
          <w:sz w:val="36"/>
          <w:szCs w:val="36"/>
        </w:rPr>
        <w:lastRenderedPageBreak/>
        <w:t>Prezzi all’importazione</w:t>
      </w:r>
    </w:p>
    <w:p w14:paraId="07CDF0DD" w14:textId="77777777" w:rsidR="00147CB5" w:rsidRPr="00B13780" w:rsidRDefault="002B3BA3" w:rsidP="00147CB5">
      <w:pPr>
        <w:jc w:val="both"/>
        <w:rPr>
          <w:rFonts w:ascii="Arial Narrow" w:hAnsi="Arial Narrow" w:cs="Arial"/>
          <w:b/>
          <w:color w:val="5F5F5F"/>
          <w:sz w:val="22"/>
          <w:szCs w:val="22"/>
        </w:rPr>
      </w:pPr>
      <w:r w:rsidRPr="00B13780">
        <w:rPr>
          <w:rFonts w:ascii="Arial Narrow" w:hAnsi="Arial Narrow" w:cs="Arial"/>
          <w:b/>
          <w:color w:val="E42618"/>
          <w:sz w:val="22"/>
          <w:szCs w:val="22"/>
        </w:rPr>
        <w:t xml:space="preserve">PROSPETTO </w:t>
      </w:r>
      <w:r w:rsidR="00B076CD" w:rsidRPr="00B13780">
        <w:rPr>
          <w:rFonts w:ascii="Arial Narrow" w:hAnsi="Arial Narrow" w:cs="Arial"/>
          <w:b/>
          <w:color w:val="E42618"/>
          <w:sz w:val="22"/>
          <w:szCs w:val="22"/>
        </w:rPr>
        <w:t>5</w:t>
      </w:r>
      <w:r w:rsidRPr="00B13780">
        <w:rPr>
          <w:rFonts w:ascii="Arial Narrow" w:hAnsi="Arial Narrow" w:cs="Arial"/>
          <w:b/>
          <w:color w:val="E42618"/>
          <w:sz w:val="22"/>
          <w:szCs w:val="22"/>
        </w:rPr>
        <w:t>.</w:t>
      </w:r>
      <w:r w:rsidRPr="00B13780">
        <w:rPr>
          <w:rFonts w:ascii="Arial Narrow" w:hAnsi="Arial Narrow" w:cs="Arial"/>
          <w:b/>
          <w:color w:val="5F5F5F"/>
        </w:rPr>
        <w:t xml:space="preserve"> </w:t>
      </w:r>
      <w:r w:rsidRPr="00B13780">
        <w:rPr>
          <w:rFonts w:ascii="Arial Narrow" w:hAnsi="Arial Narrow" w:cs="Arial"/>
          <w:b/>
          <w:color w:val="5F5F5F"/>
          <w:sz w:val="22"/>
          <w:szCs w:val="22"/>
        </w:rPr>
        <w:t>INDICI DEI PREZZI ALL’IMPORTAZIONE PER RAGGRUPPAMENTO PRINCIPALE DI INDUSTRIE</w:t>
      </w:r>
    </w:p>
    <w:p w14:paraId="029DF301" w14:textId="240F5092" w:rsidR="00537BEB" w:rsidRPr="006304A5" w:rsidRDefault="00127273" w:rsidP="00537BEB">
      <w:pPr>
        <w:pStyle w:val="Corpodeltesto1"/>
        <w:spacing w:after="120"/>
        <w:jc w:val="left"/>
        <w:rPr>
          <w:rFonts w:ascii="Arial Narrow" w:hAnsi="Arial Narrow" w:cs="Arial"/>
          <w:b w:val="0"/>
          <w:bCs/>
          <w:sz w:val="19"/>
          <w:szCs w:val="19"/>
        </w:rPr>
      </w:pPr>
      <w:r>
        <w:rPr>
          <w:rFonts w:ascii="Arial Narrow" w:hAnsi="Arial Narrow" w:cs="Arial"/>
          <w:b w:val="0"/>
          <w:color w:val="5F5F5F"/>
          <w:kern w:val="28"/>
          <w:sz w:val="20"/>
          <w:szCs w:val="20"/>
        </w:rPr>
        <w:t>Gennaio 2022</w:t>
      </w:r>
      <w:r w:rsidR="00537BEB" w:rsidRPr="00B13780">
        <w:rPr>
          <w:rFonts w:ascii="Arial Narrow" w:hAnsi="Arial Narrow" w:cs="Arial"/>
          <w:b w:val="0"/>
          <w:color w:val="5F5F5F"/>
          <w:kern w:val="28"/>
          <w:sz w:val="20"/>
          <w:szCs w:val="20"/>
        </w:rPr>
        <w:t>, variazioni percentuali congiunturali e tendenziali (base 2015=100)</w:t>
      </w:r>
    </w:p>
    <w:tbl>
      <w:tblPr>
        <w:tblW w:w="10206" w:type="dxa"/>
        <w:tblBorders>
          <w:top w:val="single" w:sz="4" w:space="0" w:color="333333"/>
          <w:bottom w:val="single" w:sz="4" w:space="0" w:color="333333"/>
          <w:insideH w:val="single" w:sz="4" w:space="0" w:color="333333"/>
        </w:tblBorders>
        <w:tblLayout w:type="fixed"/>
        <w:tblCellMar>
          <w:left w:w="68" w:type="dxa"/>
          <w:right w:w="68" w:type="dxa"/>
        </w:tblCellMar>
        <w:tblLook w:val="0000" w:firstRow="0" w:lastRow="0" w:firstColumn="0" w:lastColumn="0" w:noHBand="0" w:noVBand="0"/>
      </w:tblPr>
      <w:tblGrid>
        <w:gridCol w:w="2317"/>
        <w:gridCol w:w="1157"/>
        <w:gridCol w:w="1334"/>
        <w:gridCol w:w="1346"/>
        <w:gridCol w:w="1349"/>
        <w:gridCol w:w="1345"/>
        <w:gridCol w:w="1346"/>
        <w:gridCol w:w="12"/>
      </w:tblGrid>
      <w:tr w:rsidR="002B3BA3" w:rsidRPr="005E4472" w14:paraId="079B8D98" w14:textId="77777777" w:rsidTr="001C6B2C">
        <w:trPr>
          <w:cantSplit/>
          <w:trHeight w:val="255"/>
        </w:trPr>
        <w:tc>
          <w:tcPr>
            <w:tcW w:w="2317" w:type="dxa"/>
            <w:vMerge w:val="restart"/>
            <w:shd w:val="clear" w:color="auto" w:fill="auto"/>
            <w:tcMar>
              <w:left w:w="0" w:type="dxa"/>
              <w:right w:w="0" w:type="dxa"/>
            </w:tcMar>
            <w:vAlign w:val="center"/>
          </w:tcPr>
          <w:p w14:paraId="008020FE" w14:textId="77777777" w:rsidR="002B3BA3" w:rsidRPr="005E4472" w:rsidRDefault="00B076CD" w:rsidP="00B076CD">
            <w:pPr>
              <w:tabs>
                <w:tab w:val="left" w:pos="-4253"/>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rPr>
                <w:rFonts w:ascii="Arial Narrow" w:hAnsi="Arial Narrow" w:cs="Arial"/>
                <w:b/>
                <w:sz w:val="18"/>
                <w:szCs w:val="18"/>
              </w:rPr>
            </w:pPr>
            <w:r w:rsidRPr="005E4472">
              <w:rPr>
                <w:rFonts w:ascii="Arial Narrow" w:hAnsi="Arial Narrow" w:cs="Arial"/>
                <w:b/>
                <w:sz w:val="18"/>
                <w:szCs w:val="18"/>
              </w:rPr>
              <w:t xml:space="preserve">RAGGRUPPAMENTI </w:t>
            </w:r>
            <w:r w:rsidR="00851BE8">
              <w:rPr>
                <w:rFonts w:ascii="Arial Narrow" w:hAnsi="Arial Narrow" w:cs="Arial"/>
                <w:b/>
                <w:sz w:val="18"/>
                <w:szCs w:val="18"/>
              </w:rPr>
              <w:br/>
            </w:r>
            <w:r w:rsidRPr="005E4472">
              <w:rPr>
                <w:rFonts w:ascii="Arial Narrow" w:hAnsi="Arial Narrow" w:cs="Arial"/>
                <w:b/>
                <w:sz w:val="18"/>
                <w:szCs w:val="18"/>
              </w:rPr>
              <w:t>PRINCIPALI DI INDUSTRIE</w:t>
            </w:r>
          </w:p>
        </w:tc>
        <w:tc>
          <w:tcPr>
            <w:tcW w:w="2491" w:type="dxa"/>
            <w:gridSpan w:val="2"/>
            <w:shd w:val="clear" w:color="auto" w:fill="D9D9D9"/>
            <w:tcMar>
              <w:left w:w="0" w:type="dxa"/>
              <w:right w:w="0" w:type="dxa"/>
            </w:tcMar>
            <w:vAlign w:val="center"/>
          </w:tcPr>
          <w:p w14:paraId="4E7E6985" w14:textId="77777777" w:rsidR="002B3BA3" w:rsidRPr="005E4472" w:rsidRDefault="002B3BA3" w:rsidP="001C6B2C">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sidRPr="005E4472">
              <w:rPr>
                <w:rFonts w:ascii="Arial Narrow" w:hAnsi="Arial Narrow" w:cs="Arial"/>
                <w:b/>
                <w:sz w:val="18"/>
                <w:szCs w:val="18"/>
              </w:rPr>
              <w:t>Totale</w:t>
            </w:r>
          </w:p>
        </w:tc>
        <w:tc>
          <w:tcPr>
            <w:tcW w:w="2695" w:type="dxa"/>
            <w:gridSpan w:val="2"/>
            <w:shd w:val="clear" w:color="auto" w:fill="auto"/>
            <w:vAlign w:val="center"/>
          </w:tcPr>
          <w:p w14:paraId="62A2FB76" w14:textId="77777777" w:rsidR="002B3BA3" w:rsidRPr="005E4472" w:rsidRDefault="002B3BA3" w:rsidP="001C6B2C">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euro</w:t>
            </w:r>
          </w:p>
        </w:tc>
        <w:tc>
          <w:tcPr>
            <w:tcW w:w="2703" w:type="dxa"/>
            <w:gridSpan w:val="3"/>
            <w:shd w:val="clear" w:color="auto" w:fill="D9D9D9"/>
            <w:tcMar>
              <w:left w:w="0" w:type="dxa"/>
              <w:right w:w="0" w:type="dxa"/>
            </w:tcMar>
            <w:vAlign w:val="center"/>
          </w:tcPr>
          <w:p w14:paraId="2195B709" w14:textId="77777777" w:rsidR="002B3BA3" w:rsidRPr="005E4472" w:rsidRDefault="002B3BA3" w:rsidP="001C6B2C">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cs="Arial"/>
                <w:b/>
                <w:sz w:val="18"/>
                <w:szCs w:val="18"/>
              </w:rPr>
              <w:t>Area non euro</w:t>
            </w:r>
          </w:p>
        </w:tc>
      </w:tr>
      <w:tr w:rsidR="00851BE8" w:rsidRPr="005E4472" w14:paraId="2EA1AB8B" w14:textId="77777777" w:rsidTr="001C6B2C">
        <w:trPr>
          <w:gridAfter w:val="1"/>
          <w:wAfter w:w="12" w:type="dxa"/>
          <w:cantSplit/>
          <w:trHeight w:val="255"/>
        </w:trPr>
        <w:tc>
          <w:tcPr>
            <w:tcW w:w="2317" w:type="dxa"/>
            <w:vMerge/>
            <w:shd w:val="clear" w:color="auto" w:fill="auto"/>
            <w:vAlign w:val="center"/>
          </w:tcPr>
          <w:p w14:paraId="7593B1F8" w14:textId="77777777" w:rsidR="00851BE8" w:rsidRPr="005E4472" w:rsidRDefault="00851BE8" w:rsidP="00B076CD">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FFFFFF"/>
            <w:vAlign w:val="center"/>
          </w:tcPr>
          <w:p w14:paraId="3E1F6850" w14:textId="77777777" w:rsidR="00147CB5" w:rsidRDefault="00147CB5" w:rsidP="003D6953">
            <w:pPr>
              <w:spacing w:before="40" w:after="20"/>
              <w:jc w:val="center"/>
              <w:rPr>
                <w:rFonts w:ascii="Arial Narrow" w:hAnsi="Arial Narrow"/>
                <w:sz w:val="18"/>
                <w:szCs w:val="18"/>
              </w:rPr>
            </w:pPr>
            <w:r>
              <w:rPr>
                <w:rFonts w:ascii="Arial Narrow" w:hAnsi="Arial Narrow"/>
                <w:sz w:val="18"/>
                <w:szCs w:val="18"/>
              </w:rPr>
              <w:t>Variazioni</w:t>
            </w:r>
          </w:p>
          <w:p w14:paraId="55F18A38" w14:textId="77777777" w:rsidR="00851BE8" w:rsidRPr="00BA36DD" w:rsidRDefault="00147CB5" w:rsidP="003D6953">
            <w:pPr>
              <w:spacing w:before="40" w:after="20"/>
              <w:jc w:val="center"/>
              <w:rPr>
                <w:rFonts w:ascii="Arial Narrow" w:hAnsi="Arial Narrow"/>
                <w:sz w:val="18"/>
                <w:szCs w:val="18"/>
              </w:rPr>
            </w:pPr>
            <w:r>
              <w:rPr>
                <w:rFonts w:ascii="Arial Narrow" w:hAnsi="Arial Narrow"/>
                <w:sz w:val="18"/>
                <w:szCs w:val="18"/>
              </w:rPr>
              <w:t>c</w:t>
            </w:r>
            <w:r w:rsidR="00851BE8" w:rsidRPr="00BA36DD">
              <w:rPr>
                <w:rFonts w:ascii="Arial Narrow" w:hAnsi="Arial Narrow"/>
                <w:sz w:val="18"/>
                <w:szCs w:val="18"/>
              </w:rPr>
              <w:t>ongiuntu</w:t>
            </w:r>
            <w:r w:rsidR="00AE656E">
              <w:rPr>
                <w:rFonts w:ascii="Arial Narrow" w:hAnsi="Arial Narrow"/>
                <w:sz w:val="18"/>
                <w:szCs w:val="18"/>
              </w:rPr>
              <w:t>r</w:t>
            </w:r>
            <w:r w:rsidR="00851BE8" w:rsidRPr="00BA36DD">
              <w:rPr>
                <w:rFonts w:ascii="Arial Narrow" w:hAnsi="Arial Narrow"/>
                <w:sz w:val="18"/>
                <w:szCs w:val="18"/>
              </w:rPr>
              <w:t>ali</w:t>
            </w:r>
          </w:p>
        </w:tc>
        <w:tc>
          <w:tcPr>
            <w:tcW w:w="1334" w:type="dxa"/>
            <w:shd w:val="clear" w:color="auto" w:fill="FFFFFF"/>
            <w:vAlign w:val="center"/>
          </w:tcPr>
          <w:p w14:paraId="2E507949" w14:textId="77777777" w:rsidR="00147CB5" w:rsidRDefault="00147CB5" w:rsidP="001C6B2C">
            <w:pPr>
              <w:spacing w:before="40" w:after="20"/>
              <w:jc w:val="center"/>
              <w:rPr>
                <w:rFonts w:ascii="Arial Narrow" w:hAnsi="Arial Narrow"/>
                <w:sz w:val="18"/>
                <w:szCs w:val="18"/>
              </w:rPr>
            </w:pPr>
            <w:r>
              <w:rPr>
                <w:rFonts w:ascii="Arial Narrow" w:hAnsi="Arial Narrow"/>
                <w:sz w:val="18"/>
                <w:szCs w:val="18"/>
              </w:rPr>
              <w:t>Variazioni</w:t>
            </w:r>
          </w:p>
          <w:p w14:paraId="6049B16C" w14:textId="77777777" w:rsidR="00851BE8" w:rsidRPr="00BA36DD" w:rsidRDefault="00147CB5" w:rsidP="001C6B2C">
            <w:pPr>
              <w:spacing w:before="40" w:after="20"/>
              <w:jc w:val="center"/>
              <w:rPr>
                <w:rFonts w:ascii="Arial Narrow" w:hAnsi="Arial Narrow"/>
                <w:sz w:val="18"/>
                <w:szCs w:val="18"/>
              </w:rPr>
            </w:pPr>
            <w:r>
              <w:rPr>
                <w:rFonts w:ascii="Arial Narrow" w:hAnsi="Arial Narrow"/>
                <w:sz w:val="18"/>
                <w:szCs w:val="18"/>
              </w:rPr>
              <w:t>t</w:t>
            </w:r>
            <w:r w:rsidR="00851BE8" w:rsidRPr="00BA36DD">
              <w:rPr>
                <w:rFonts w:ascii="Arial Narrow" w:hAnsi="Arial Narrow"/>
                <w:sz w:val="18"/>
                <w:szCs w:val="18"/>
              </w:rPr>
              <w:t>endenziali</w:t>
            </w:r>
          </w:p>
        </w:tc>
        <w:tc>
          <w:tcPr>
            <w:tcW w:w="1346" w:type="dxa"/>
            <w:shd w:val="clear" w:color="auto" w:fill="FFFFFF"/>
            <w:vAlign w:val="center"/>
          </w:tcPr>
          <w:p w14:paraId="06285627" w14:textId="77777777" w:rsidR="00147CB5" w:rsidRDefault="00147CB5" w:rsidP="001C6B2C">
            <w:pPr>
              <w:spacing w:before="40" w:after="20"/>
              <w:jc w:val="center"/>
              <w:rPr>
                <w:rFonts w:ascii="Arial Narrow" w:hAnsi="Arial Narrow"/>
                <w:sz w:val="18"/>
                <w:szCs w:val="18"/>
              </w:rPr>
            </w:pPr>
            <w:r>
              <w:rPr>
                <w:rFonts w:ascii="Arial Narrow" w:hAnsi="Arial Narrow"/>
                <w:sz w:val="18"/>
                <w:szCs w:val="18"/>
              </w:rPr>
              <w:t>Variazioni</w:t>
            </w:r>
          </w:p>
          <w:p w14:paraId="547DC872" w14:textId="77777777" w:rsidR="00851BE8" w:rsidRPr="00BA36DD" w:rsidRDefault="00147CB5" w:rsidP="001C6B2C">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sidR="00AE656E">
              <w:rPr>
                <w:rFonts w:ascii="Arial Narrow" w:hAnsi="Arial Narrow"/>
                <w:sz w:val="18"/>
                <w:szCs w:val="18"/>
              </w:rPr>
              <w:t>r</w:t>
            </w:r>
            <w:r w:rsidRPr="00BA36DD">
              <w:rPr>
                <w:rFonts w:ascii="Arial Narrow" w:hAnsi="Arial Narrow"/>
                <w:sz w:val="18"/>
                <w:szCs w:val="18"/>
              </w:rPr>
              <w:t>ali</w:t>
            </w:r>
          </w:p>
        </w:tc>
        <w:tc>
          <w:tcPr>
            <w:tcW w:w="1349" w:type="dxa"/>
            <w:shd w:val="clear" w:color="auto" w:fill="FFFFFF"/>
            <w:vAlign w:val="center"/>
          </w:tcPr>
          <w:p w14:paraId="787F92AE" w14:textId="77777777" w:rsidR="00147CB5" w:rsidRDefault="00147CB5" w:rsidP="001C6B2C">
            <w:pPr>
              <w:spacing w:before="40" w:after="20"/>
              <w:jc w:val="center"/>
              <w:rPr>
                <w:rFonts w:ascii="Arial Narrow" w:hAnsi="Arial Narrow"/>
                <w:sz w:val="18"/>
                <w:szCs w:val="18"/>
              </w:rPr>
            </w:pPr>
            <w:r>
              <w:rPr>
                <w:rFonts w:ascii="Arial Narrow" w:hAnsi="Arial Narrow"/>
                <w:sz w:val="18"/>
                <w:szCs w:val="18"/>
              </w:rPr>
              <w:t>Variazioni</w:t>
            </w:r>
          </w:p>
          <w:p w14:paraId="512B122C" w14:textId="77777777" w:rsidR="00851BE8" w:rsidRPr="00BA36DD" w:rsidRDefault="00147CB5" w:rsidP="001C6B2C">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c>
          <w:tcPr>
            <w:tcW w:w="1345" w:type="dxa"/>
            <w:shd w:val="clear" w:color="auto" w:fill="FFFFFF"/>
            <w:vAlign w:val="center"/>
          </w:tcPr>
          <w:p w14:paraId="7C6510A6" w14:textId="77777777" w:rsidR="00147CB5" w:rsidRDefault="00147CB5" w:rsidP="001C6B2C">
            <w:pPr>
              <w:spacing w:before="40" w:after="20"/>
              <w:jc w:val="center"/>
              <w:rPr>
                <w:rFonts w:ascii="Arial Narrow" w:hAnsi="Arial Narrow"/>
                <w:sz w:val="18"/>
                <w:szCs w:val="18"/>
              </w:rPr>
            </w:pPr>
            <w:r>
              <w:rPr>
                <w:rFonts w:ascii="Arial Narrow" w:hAnsi="Arial Narrow"/>
                <w:sz w:val="18"/>
                <w:szCs w:val="18"/>
              </w:rPr>
              <w:t>Variazioni</w:t>
            </w:r>
          </w:p>
          <w:p w14:paraId="4C3CBB5F" w14:textId="77777777" w:rsidR="00851BE8" w:rsidRPr="00BA36DD" w:rsidRDefault="00147CB5" w:rsidP="001C6B2C">
            <w:pPr>
              <w:spacing w:before="40" w:after="20"/>
              <w:jc w:val="center"/>
              <w:rPr>
                <w:rFonts w:ascii="Arial Narrow" w:hAnsi="Arial Narrow"/>
                <w:sz w:val="18"/>
                <w:szCs w:val="18"/>
              </w:rPr>
            </w:pPr>
            <w:r>
              <w:rPr>
                <w:rFonts w:ascii="Arial Narrow" w:hAnsi="Arial Narrow"/>
                <w:sz w:val="18"/>
                <w:szCs w:val="18"/>
              </w:rPr>
              <w:t>c</w:t>
            </w:r>
            <w:r w:rsidRPr="00BA36DD">
              <w:rPr>
                <w:rFonts w:ascii="Arial Narrow" w:hAnsi="Arial Narrow"/>
                <w:sz w:val="18"/>
                <w:szCs w:val="18"/>
              </w:rPr>
              <w:t>ongiuntu</w:t>
            </w:r>
            <w:r w:rsidR="00AE656E">
              <w:rPr>
                <w:rFonts w:ascii="Arial Narrow" w:hAnsi="Arial Narrow"/>
                <w:sz w:val="18"/>
                <w:szCs w:val="18"/>
              </w:rPr>
              <w:t>r</w:t>
            </w:r>
            <w:r w:rsidRPr="00BA36DD">
              <w:rPr>
                <w:rFonts w:ascii="Arial Narrow" w:hAnsi="Arial Narrow"/>
                <w:sz w:val="18"/>
                <w:szCs w:val="18"/>
              </w:rPr>
              <w:t>ali</w:t>
            </w:r>
          </w:p>
        </w:tc>
        <w:tc>
          <w:tcPr>
            <w:tcW w:w="1346" w:type="dxa"/>
            <w:shd w:val="clear" w:color="auto" w:fill="FFFFFF"/>
            <w:vAlign w:val="center"/>
          </w:tcPr>
          <w:p w14:paraId="50ED0A25" w14:textId="77777777" w:rsidR="00147CB5" w:rsidRDefault="00147CB5" w:rsidP="001C6B2C">
            <w:pPr>
              <w:spacing w:before="40" w:after="20"/>
              <w:jc w:val="center"/>
              <w:rPr>
                <w:rFonts w:ascii="Arial Narrow" w:hAnsi="Arial Narrow"/>
                <w:sz w:val="18"/>
                <w:szCs w:val="18"/>
              </w:rPr>
            </w:pPr>
            <w:r>
              <w:rPr>
                <w:rFonts w:ascii="Arial Narrow" w:hAnsi="Arial Narrow"/>
                <w:sz w:val="18"/>
                <w:szCs w:val="18"/>
              </w:rPr>
              <w:t>Variazioni</w:t>
            </w:r>
          </w:p>
          <w:p w14:paraId="30AB1717" w14:textId="77777777" w:rsidR="00851BE8" w:rsidRPr="00BA36DD" w:rsidRDefault="00147CB5" w:rsidP="001C6B2C">
            <w:pPr>
              <w:spacing w:before="40" w:after="20"/>
              <w:jc w:val="center"/>
              <w:rPr>
                <w:rFonts w:ascii="Arial Narrow" w:hAnsi="Arial Narrow"/>
                <w:sz w:val="18"/>
                <w:szCs w:val="18"/>
              </w:rPr>
            </w:pPr>
            <w:r>
              <w:rPr>
                <w:rFonts w:ascii="Arial Narrow" w:hAnsi="Arial Narrow"/>
                <w:sz w:val="18"/>
                <w:szCs w:val="18"/>
              </w:rPr>
              <w:t>t</w:t>
            </w:r>
            <w:r w:rsidRPr="00BA36DD">
              <w:rPr>
                <w:rFonts w:ascii="Arial Narrow" w:hAnsi="Arial Narrow"/>
                <w:sz w:val="18"/>
                <w:szCs w:val="18"/>
              </w:rPr>
              <w:t>endenziali</w:t>
            </w:r>
          </w:p>
        </w:tc>
      </w:tr>
      <w:tr w:rsidR="00127273" w:rsidRPr="005E4472" w14:paraId="3794CEA1" w14:textId="77777777" w:rsidTr="00000B94">
        <w:trPr>
          <w:gridAfter w:val="1"/>
          <w:wAfter w:w="12" w:type="dxa"/>
          <w:cantSplit/>
          <w:trHeight w:val="255"/>
        </w:trPr>
        <w:tc>
          <w:tcPr>
            <w:tcW w:w="2317" w:type="dxa"/>
            <w:vMerge/>
            <w:shd w:val="clear" w:color="auto" w:fill="auto"/>
            <w:vAlign w:val="center"/>
          </w:tcPr>
          <w:p w14:paraId="0B3EB357" w14:textId="77777777" w:rsidR="00127273" w:rsidRPr="005E4472" w:rsidRDefault="00127273" w:rsidP="00127273">
            <w:pPr>
              <w:tabs>
                <w:tab w:val="left" w:pos="-774"/>
                <w:tab w:val="left" w:pos="-567"/>
                <w:tab w:val="left" w:pos="67"/>
                <w:tab w:val="left" w:pos="565"/>
                <w:tab w:val="left" w:pos="1258"/>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sz w:val="18"/>
                <w:szCs w:val="18"/>
              </w:rPr>
            </w:pPr>
          </w:p>
        </w:tc>
        <w:tc>
          <w:tcPr>
            <w:tcW w:w="1157" w:type="dxa"/>
            <w:shd w:val="clear" w:color="auto" w:fill="D9D9D9"/>
            <w:vAlign w:val="center"/>
          </w:tcPr>
          <w:p w14:paraId="7F72BAC9" w14:textId="10CF08EE" w:rsidR="00127273" w:rsidRPr="0069402A" w:rsidRDefault="00127273" w:rsidP="00127273">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6F74BB56" w14:textId="20A9B0D8" w:rsidR="00127273" w:rsidRPr="00BA36DD" w:rsidRDefault="00127273" w:rsidP="00127273">
            <w:pPr>
              <w:spacing w:before="40" w:after="20"/>
              <w:jc w:val="center"/>
              <w:rPr>
                <w:rFonts w:ascii="Arial Narrow" w:hAnsi="Arial Narrow"/>
                <w:sz w:val="18"/>
                <w:szCs w:val="18"/>
              </w:rPr>
            </w:pPr>
            <w:r>
              <w:rPr>
                <w:rFonts w:ascii="Arial Narrow" w:hAnsi="Arial Narrow"/>
                <w:sz w:val="18"/>
                <w:szCs w:val="18"/>
                <w:lang w:val="en-US"/>
              </w:rPr>
              <w:t>dic 21</w:t>
            </w:r>
          </w:p>
        </w:tc>
        <w:tc>
          <w:tcPr>
            <w:tcW w:w="1334" w:type="dxa"/>
            <w:shd w:val="clear" w:color="auto" w:fill="FFFFFF"/>
            <w:vAlign w:val="center"/>
          </w:tcPr>
          <w:p w14:paraId="6C43B811" w14:textId="74CC8C1C" w:rsidR="00127273" w:rsidRPr="0069402A" w:rsidRDefault="00127273" w:rsidP="00127273">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7CF95EAE" w14:textId="026DC3EB" w:rsidR="00127273" w:rsidRPr="00BA36DD" w:rsidRDefault="00127273" w:rsidP="00127273">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gen 21</w:t>
            </w:r>
          </w:p>
        </w:tc>
        <w:tc>
          <w:tcPr>
            <w:tcW w:w="1346" w:type="dxa"/>
            <w:shd w:val="clear" w:color="auto" w:fill="D9D9D9"/>
            <w:vAlign w:val="center"/>
          </w:tcPr>
          <w:p w14:paraId="50ECD0DE" w14:textId="77777777" w:rsidR="00127273" w:rsidRPr="0069402A" w:rsidRDefault="00127273" w:rsidP="00127273">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213A6A4B" w14:textId="2815AFC3" w:rsidR="00127273" w:rsidRPr="00BA36DD" w:rsidRDefault="00127273" w:rsidP="00127273">
            <w:pPr>
              <w:spacing w:before="40" w:after="20"/>
              <w:jc w:val="center"/>
              <w:rPr>
                <w:rFonts w:ascii="Arial Narrow" w:hAnsi="Arial Narrow"/>
                <w:sz w:val="18"/>
                <w:szCs w:val="18"/>
              </w:rPr>
            </w:pPr>
            <w:r>
              <w:rPr>
                <w:rFonts w:ascii="Arial Narrow" w:hAnsi="Arial Narrow"/>
                <w:sz w:val="18"/>
                <w:szCs w:val="18"/>
                <w:lang w:val="en-US"/>
              </w:rPr>
              <w:t>dic 21</w:t>
            </w:r>
          </w:p>
        </w:tc>
        <w:tc>
          <w:tcPr>
            <w:tcW w:w="1349" w:type="dxa"/>
            <w:shd w:val="clear" w:color="auto" w:fill="FFFFFF"/>
            <w:vAlign w:val="center"/>
          </w:tcPr>
          <w:p w14:paraId="439CDE29" w14:textId="77777777" w:rsidR="00127273" w:rsidRPr="0069402A" w:rsidRDefault="00127273" w:rsidP="00127273">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4DC512F0" w14:textId="74039F7C" w:rsidR="00127273" w:rsidRPr="00BA36DD" w:rsidRDefault="00127273" w:rsidP="00127273">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gen 21</w:t>
            </w:r>
          </w:p>
        </w:tc>
        <w:tc>
          <w:tcPr>
            <w:tcW w:w="1345" w:type="dxa"/>
            <w:shd w:val="clear" w:color="auto" w:fill="D9D9D9"/>
            <w:vAlign w:val="center"/>
          </w:tcPr>
          <w:p w14:paraId="2068F9FC" w14:textId="77777777" w:rsidR="00127273" w:rsidRPr="0069402A" w:rsidRDefault="00127273" w:rsidP="00127273">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38FFB441" w14:textId="764AF7B5" w:rsidR="00127273" w:rsidRPr="00BA36DD" w:rsidRDefault="00127273" w:rsidP="00127273">
            <w:pPr>
              <w:spacing w:before="40" w:after="20"/>
              <w:jc w:val="center"/>
              <w:rPr>
                <w:rFonts w:ascii="Arial Narrow" w:hAnsi="Arial Narrow"/>
                <w:sz w:val="18"/>
                <w:szCs w:val="18"/>
              </w:rPr>
            </w:pPr>
            <w:r>
              <w:rPr>
                <w:rFonts w:ascii="Arial Narrow" w:hAnsi="Arial Narrow"/>
                <w:sz w:val="18"/>
                <w:szCs w:val="18"/>
                <w:lang w:val="en-US"/>
              </w:rPr>
              <w:t>dic 21</w:t>
            </w:r>
          </w:p>
        </w:tc>
        <w:tc>
          <w:tcPr>
            <w:tcW w:w="1346" w:type="dxa"/>
            <w:shd w:val="clear" w:color="auto" w:fill="FFFFFF"/>
            <w:vAlign w:val="center"/>
          </w:tcPr>
          <w:p w14:paraId="704AD2AD" w14:textId="77777777" w:rsidR="00127273" w:rsidRPr="0069402A" w:rsidRDefault="00127273" w:rsidP="00127273">
            <w:pPr>
              <w:spacing w:before="40" w:after="20"/>
              <w:jc w:val="center"/>
              <w:rPr>
                <w:rFonts w:ascii="Arial Narrow" w:hAnsi="Arial Narrow"/>
                <w:sz w:val="18"/>
                <w:szCs w:val="18"/>
                <w:u w:val="single"/>
                <w:lang w:val="en-US"/>
              </w:rPr>
            </w:pPr>
            <w:r>
              <w:rPr>
                <w:rFonts w:ascii="Arial Narrow" w:hAnsi="Arial Narrow"/>
                <w:sz w:val="18"/>
                <w:szCs w:val="18"/>
                <w:u w:val="single"/>
                <w:lang w:val="en-US"/>
              </w:rPr>
              <w:t>gen 22</w:t>
            </w:r>
          </w:p>
          <w:p w14:paraId="22DDF1DF" w14:textId="01812718" w:rsidR="00127273" w:rsidRPr="00BA36DD" w:rsidRDefault="00127273" w:rsidP="00127273">
            <w:pPr>
              <w:tabs>
                <w:tab w:val="left" w:pos="-774"/>
                <w:tab w:val="left" w:pos="-690"/>
                <w:tab w:val="left" w:pos="1258"/>
                <w:tab w:val="left" w:pos="1350"/>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40" w:after="20"/>
              <w:jc w:val="center"/>
              <w:rPr>
                <w:rFonts w:ascii="Arial Narrow" w:hAnsi="Arial Narrow" w:cs="Arial"/>
                <w:b/>
                <w:sz w:val="18"/>
                <w:szCs w:val="18"/>
              </w:rPr>
            </w:pPr>
            <w:r>
              <w:rPr>
                <w:rFonts w:ascii="Arial Narrow" w:hAnsi="Arial Narrow"/>
                <w:sz w:val="18"/>
                <w:szCs w:val="18"/>
                <w:lang w:val="en-US"/>
              </w:rPr>
              <w:t>gen 21</w:t>
            </w:r>
          </w:p>
        </w:tc>
      </w:tr>
      <w:tr w:rsidR="00CA3FCE" w:rsidRPr="00452E5E" w14:paraId="36E7D4F6" w14:textId="77777777" w:rsidTr="00D9043E">
        <w:trPr>
          <w:gridAfter w:val="1"/>
          <w:wAfter w:w="12" w:type="dxa"/>
          <w:cantSplit/>
          <w:trHeight w:val="255"/>
        </w:trPr>
        <w:tc>
          <w:tcPr>
            <w:tcW w:w="2317" w:type="dxa"/>
            <w:vAlign w:val="center"/>
          </w:tcPr>
          <w:p w14:paraId="62C7CF6D" w14:textId="77777777" w:rsidR="00CA3FCE" w:rsidRPr="005E4472" w:rsidRDefault="00CA3FCE" w:rsidP="00CA3FCE">
            <w:pPr>
              <w:spacing w:before="40" w:after="20"/>
              <w:rPr>
                <w:rFonts w:ascii="Arial Narrow" w:hAnsi="Arial Narrow" w:cs="Arial"/>
                <w:sz w:val="18"/>
                <w:szCs w:val="18"/>
              </w:rPr>
            </w:pPr>
            <w:r w:rsidRPr="005E4472">
              <w:rPr>
                <w:rFonts w:ascii="Arial Narrow" w:hAnsi="Arial Narrow" w:cs="Arial"/>
                <w:sz w:val="18"/>
                <w:szCs w:val="18"/>
              </w:rPr>
              <w:t>Beni di consumo</w:t>
            </w:r>
          </w:p>
        </w:tc>
        <w:tc>
          <w:tcPr>
            <w:tcW w:w="1157" w:type="dxa"/>
            <w:shd w:val="clear" w:color="auto" w:fill="D9D9D9"/>
            <w:vAlign w:val="center"/>
          </w:tcPr>
          <w:p w14:paraId="266D79BE" w14:textId="03E31DAB"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+0,8</w:t>
            </w:r>
          </w:p>
        </w:tc>
        <w:tc>
          <w:tcPr>
            <w:tcW w:w="1334" w:type="dxa"/>
            <w:tcMar>
              <w:left w:w="0" w:type="dxa"/>
            </w:tcMar>
            <w:vAlign w:val="center"/>
          </w:tcPr>
          <w:p w14:paraId="50E42C23" w14:textId="03567FB1"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+5,7</w:t>
            </w:r>
          </w:p>
        </w:tc>
        <w:tc>
          <w:tcPr>
            <w:tcW w:w="1346" w:type="dxa"/>
            <w:shd w:val="clear" w:color="auto" w:fill="D9D9D9"/>
            <w:vAlign w:val="center"/>
          </w:tcPr>
          <w:p w14:paraId="5C7E2ACE" w14:textId="0653928E"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+0,7</w:t>
            </w:r>
          </w:p>
        </w:tc>
        <w:tc>
          <w:tcPr>
            <w:tcW w:w="1349" w:type="dxa"/>
            <w:vAlign w:val="center"/>
          </w:tcPr>
          <w:p w14:paraId="6F3D16D8" w14:textId="1ADA3F6F"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+4,7</w:t>
            </w:r>
          </w:p>
        </w:tc>
        <w:tc>
          <w:tcPr>
            <w:tcW w:w="1345" w:type="dxa"/>
            <w:shd w:val="clear" w:color="auto" w:fill="D9D9D9"/>
            <w:vAlign w:val="center"/>
          </w:tcPr>
          <w:p w14:paraId="15A25FE5" w14:textId="0901C31C"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+1,0</w:t>
            </w:r>
          </w:p>
        </w:tc>
        <w:tc>
          <w:tcPr>
            <w:tcW w:w="1346" w:type="dxa"/>
            <w:vAlign w:val="center"/>
          </w:tcPr>
          <w:p w14:paraId="11459EC0" w14:textId="4FD0B044"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+6,6</w:t>
            </w:r>
          </w:p>
        </w:tc>
      </w:tr>
      <w:tr w:rsidR="00CA3FCE" w:rsidRPr="00452E5E" w14:paraId="17B965B4" w14:textId="77777777" w:rsidTr="00D9043E">
        <w:trPr>
          <w:gridAfter w:val="1"/>
          <w:wAfter w:w="12" w:type="dxa"/>
          <w:cantSplit/>
          <w:trHeight w:val="255"/>
        </w:trPr>
        <w:tc>
          <w:tcPr>
            <w:tcW w:w="2317" w:type="dxa"/>
            <w:vAlign w:val="center"/>
          </w:tcPr>
          <w:p w14:paraId="76E1B775" w14:textId="77777777" w:rsidR="00CA3FCE" w:rsidRPr="007F2CF0" w:rsidRDefault="00CA3FCE" w:rsidP="00CA3FCE">
            <w:pPr>
              <w:spacing w:before="40" w:after="20"/>
              <w:rPr>
                <w:rFonts w:ascii="Arial Narrow" w:hAnsi="Arial Narrow" w:cs="Arial"/>
                <w:sz w:val="18"/>
                <w:szCs w:val="18"/>
              </w:rPr>
            </w:pPr>
            <w:r w:rsidRPr="007F2CF0">
              <w:rPr>
                <w:rFonts w:ascii="Arial Narrow" w:hAnsi="Arial Narrow" w:cs="Arial"/>
                <w:sz w:val="18"/>
                <w:szCs w:val="18"/>
              </w:rPr>
              <w:t xml:space="preserve">  </w:t>
            </w:r>
            <w:r>
              <w:rPr>
                <w:rFonts w:ascii="Arial Narrow" w:hAnsi="Arial Narrow" w:cs="Arial"/>
                <w:sz w:val="18"/>
                <w:szCs w:val="18"/>
              </w:rPr>
              <w:t>d</w:t>
            </w:r>
            <w:r w:rsidRPr="007F2CF0">
              <w:rPr>
                <w:rFonts w:ascii="Arial Narrow" w:hAnsi="Arial Narrow" w:cs="Arial"/>
                <w:sz w:val="18"/>
                <w:szCs w:val="18"/>
              </w:rPr>
              <w:t>urevoli</w:t>
            </w:r>
          </w:p>
        </w:tc>
        <w:tc>
          <w:tcPr>
            <w:tcW w:w="1157" w:type="dxa"/>
            <w:shd w:val="clear" w:color="auto" w:fill="D9D9D9"/>
            <w:vAlign w:val="center"/>
          </w:tcPr>
          <w:p w14:paraId="4C47F864" w14:textId="6E3BD055"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+1,0</w:t>
            </w:r>
          </w:p>
        </w:tc>
        <w:tc>
          <w:tcPr>
            <w:tcW w:w="1334" w:type="dxa"/>
            <w:tcMar>
              <w:left w:w="0" w:type="dxa"/>
            </w:tcMar>
            <w:vAlign w:val="center"/>
          </w:tcPr>
          <w:p w14:paraId="0010FBF5" w14:textId="2A6E36D8"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+3,8</w:t>
            </w:r>
          </w:p>
        </w:tc>
        <w:tc>
          <w:tcPr>
            <w:tcW w:w="1346" w:type="dxa"/>
            <w:shd w:val="clear" w:color="auto" w:fill="D9D9D9"/>
            <w:vAlign w:val="center"/>
          </w:tcPr>
          <w:p w14:paraId="269EA180" w14:textId="2698E4C4"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+0,9</w:t>
            </w:r>
          </w:p>
        </w:tc>
        <w:tc>
          <w:tcPr>
            <w:tcW w:w="1349" w:type="dxa"/>
            <w:vAlign w:val="center"/>
          </w:tcPr>
          <w:p w14:paraId="2EA66785" w14:textId="03D0837F"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+2,5</w:t>
            </w:r>
          </w:p>
        </w:tc>
        <w:tc>
          <w:tcPr>
            <w:tcW w:w="1345" w:type="dxa"/>
            <w:shd w:val="clear" w:color="auto" w:fill="D9D9D9"/>
            <w:vAlign w:val="center"/>
          </w:tcPr>
          <w:p w14:paraId="40DE2D63" w14:textId="5908F520"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+1,1</w:t>
            </w:r>
          </w:p>
        </w:tc>
        <w:tc>
          <w:tcPr>
            <w:tcW w:w="1346" w:type="dxa"/>
            <w:vAlign w:val="center"/>
          </w:tcPr>
          <w:p w14:paraId="2680012A" w14:textId="630545D3"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+4,5</w:t>
            </w:r>
          </w:p>
        </w:tc>
      </w:tr>
      <w:tr w:rsidR="00CA3FCE" w:rsidRPr="00452E5E" w14:paraId="7DE9E2A9" w14:textId="77777777" w:rsidTr="00D9043E">
        <w:trPr>
          <w:gridAfter w:val="1"/>
          <w:wAfter w:w="12" w:type="dxa"/>
          <w:cantSplit/>
          <w:trHeight w:val="255"/>
        </w:trPr>
        <w:tc>
          <w:tcPr>
            <w:tcW w:w="2317" w:type="dxa"/>
            <w:vAlign w:val="center"/>
          </w:tcPr>
          <w:p w14:paraId="3E7F5BC5" w14:textId="77777777" w:rsidR="00CA3FCE" w:rsidRPr="007F2CF0" w:rsidRDefault="00CA3FCE" w:rsidP="00CA3FCE">
            <w:pPr>
              <w:spacing w:before="40" w:after="20"/>
              <w:rPr>
                <w:rFonts w:ascii="Arial Narrow" w:hAnsi="Arial Narrow" w:cs="Arial"/>
                <w:sz w:val="18"/>
                <w:szCs w:val="18"/>
              </w:rPr>
            </w:pPr>
            <w:r w:rsidRPr="007F2CF0">
              <w:rPr>
                <w:rFonts w:ascii="Arial Narrow" w:hAnsi="Arial Narrow" w:cs="Arial"/>
                <w:sz w:val="18"/>
                <w:szCs w:val="18"/>
              </w:rPr>
              <w:t xml:space="preserve">  non durevoli</w:t>
            </w:r>
          </w:p>
        </w:tc>
        <w:tc>
          <w:tcPr>
            <w:tcW w:w="1157" w:type="dxa"/>
            <w:shd w:val="clear" w:color="auto" w:fill="D9D9D9"/>
            <w:vAlign w:val="center"/>
          </w:tcPr>
          <w:p w14:paraId="36F062F1" w14:textId="37447DBB"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+0,8</w:t>
            </w:r>
          </w:p>
        </w:tc>
        <w:tc>
          <w:tcPr>
            <w:tcW w:w="1334" w:type="dxa"/>
            <w:tcMar>
              <w:left w:w="0" w:type="dxa"/>
            </w:tcMar>
            <w:vAlign w:val="center"/>
          </w:tcPr>
          <w:p w14:paraId="3F10913E" w14:textId="436E971E"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+6,0</w:t>
            </w:r>
          </w:p>
        </w:tc>
        <w:tc>
          <w:tcPr>
            <w:tcW w:w="1346" w:type="dxa"/>
            <w:shd w:val="clear" w:color="auto" w:fill="D9D9D9"/>
            <w:vAlign w:val="center"/>
          </w:tcPr>
          <w:p w14:paraId="79A0BB41" w14:textId="43966E2D"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+0,7</w:t>
            </w:r>
          </w:p>
        </w:tc>
        <w:tc>
          <w:tcPr>
            <w:tcW w:w="1349" w:type="dxa"/>
            <w:vAlign w:val="center"/>
          </w:tcPr>
          <w:p w14:paraId="263CB49C" w14:textId="0E1A01D6"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+5,0</w:t>
            </w:r>
          </w:p>
        </w:tc>
        <w:tc>
          <w:tcPr>
            <w:tcW w:w="1345" w:type="dxa"/>
            <w:shd w:val="clear" w:color="auto" w:fill="D9D9D9"/>
            <w:vAlign w:val="center"/>
          </w:tcPr>
          <w:p w14:paraId="01E9923A" w14:textId="21C4A6C7"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+0,9</w:t>
            </w:r>
          </w:p>
        </w:tc>
        <w:tc>
          <w:tcPr>
            <w:tcW w:w="1346" w:type="dxa"/>
            <w:vAlign w:val="center"/>
          </w:tcPr>
          <w:p w14:paraId="789B6E78" w14:textId="5A738301"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+7,1</w:t>
            </w:r>
          </w:p>
        </w:tc>
      </w:tr>
      <w:tr w:rsidR="00CA3FCE" w:rsidRPr="00452E5E" w14:paraId="0BAFC243" w14:textId="77777777" w:rsidTr="00D9043E">
        <w:trPr>
          <w:gridAfter w:val="1"/>
          <w:wAfter w:w="12" w:type="dxa"/>
          <w:cantSplit/>
          <w:trHeight w:val="255"/>
        </w:trPr>
        <w:tc>
          <w:tcPr>
            <w:tcW w:w="2317" w:type="dxa"/>
            <w:vAlign w:val="center"/>
          </w:tcPr>
          <w:p w14:paraId="10A961E9" w14:textId="77777777" w:rsidR="00CA3FCE" w:rsidRPr="001C01EA" w:rsidRDefault="00CA3FCE" w:rsidP="00CA3FCE">
            <w:pPr>
              <w:spacing w:before="40" w:after="20"/>
              <w:rPr>
                <w:rFonts w:ascii="Arial Narrow" w:hAnsi="Arial Narrow" w:cs="Arial"/>
                <w:sz w:val="18"/>
                <w:szCs w:val="18"/>
              </w:rPr>
            </w:pPr>
            <w:r w:rsidRPr="001C01EA">
              <w:rPr>
                <w:rFonts w:ascii="Arial Narrow" w:hAnsi="Arial Narrow" w:cs="Arial"/>
                <w:sz w:val="18"/>
                <w:szCs w:val="18"/>
              </w:rPr>
              <w:t>Beni strumentali</w:t>
            </w:r>
          </w:p>
        </w:tc>
        <w:tc>
          <w:tcPr>
            <w:tcW w:w="1157" w:type="dxa"/>
            <w:shd w:val="clear" w:color="auto" w:fill="D9D9D9"/>
            <w:vAlign w:val="center"/>
          </w:tcPr>
          <w:p w14:paraId="4D1DEC81" w14:textId="6ABFC350"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+0,9</w:t>
            </w:r>
          </w:p>
        </w:tc>
        <w:tc>
          <w:tcPr>
            <w:tcW w:w="1334" w:type="dxa"/>
            <w:tcMar>
              <w:left w:w="0" w:type="dxa"/>
            </w:tcMar>
            <w:vAlign w:val="center"/>
          </w:tcPr>
          <w:p w14:paraId="1006E7EF" w14:textId="06E4618A"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+2,9</w:t>
            </w:r>
          </w:p>
        </w:tc>
        <w:tc>
          <w:tcPr>
            <w:tcW w:w="1346" w:type="dxa"/>
            <w:shd w:val="clear" w:color="auto" w:fill="D9D9D9"/>
            <w:vAlign w:val="center"/>
          </w:tcPr>
          <w:p w14:paraId="73FC71D8" w14:textId="4BFCB659"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+1,0</w:t>
            </w:r>
          </w:p>
        </w:tc>
        <w:tc>
          <w:tcPr>
            <w:tcW w:w="1349" w:type="dxa"/>
            <w:vAlign w:val="center"/>
          </w:tcPr>
          <w:p w14:paraId="36A86A40" w14:textId="5BFB9C9B"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+3,4</w:t>
            </w:r>
          </w:p>
        </w:tc>
        <w:tc>
          <w:tcPr>
            <w:tcW w:w="1345" w:type="dxa"/>
            <w:shd w:val="clear" w:color="auto" w:fill="D9D9D9"/>
            <w:vAlign w:val="center"/>
          </w:tcPr>
          <w:p w14:paraId="7600D99C" w14:textId="34DBB591"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+0,5</w:t>
            </w:r>
          </w:p>
        </w:tc>
        <w:tc>
          <w:tcPr>
            <w:tcW w:w="1346" w:type="dxa"/>
            <w:vAlign w:val="center"/>
          </w:tcPr>
          <w:p w14:paraId="19A93700" w14:textId="57F2E453"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+1,8</w:t>
            </w:r>
          </w:p>
        </w:tc>
      </w:tr>
      <w:tr w:rsidR="00CA3FCE" w:rsidRPr="00452E5E" w14:paraId="5FFC840D" w14:textId="77777777" w:rsidTr="00D9043E">
        <w:trPr>
          <w:gridAfter w:val="1"/>
          <w:wAfter w:w="12" w:type="dxa"/>
          <w:cantSplit/>
          <w:trHeight w:val="255"/>
        </w:trPr>
        <w:tc>
          <w:tcPr>
            <w:tcW w:w="2317" w:type="dxa"/>
            <w:vAlign w:val="center"/>
          </w:tcPr>
          <w:p w14:paraId="70BC2DD9" w14:textId="77777777" w:rsidR="00CA3FCE" w:rsidRPr="001C01EA" w:rsidRDefault="00CA3FCE" w:rsidP="00CA3FCE">
            <w:pPr>
              <w:spacing w:before="40" w:after="20"/>
              <w:rPr>
                <w:rFonts w:ascii="Arial Narrow" w:hAnsi="Arial Narrow" w:cs="Arial"/>
                <w:sz w:val="18"/>
                <w:szCs w:val="18"/>
              </w:rPr>
            </w:pPr>
            <w:r w:rsidRPr="001C01EA">
              <w:rPr>
                <w:rFonts w:ascii="Arial Narrow" w:hAnsi="Arial Narrow" w:cs="Arial"/>
                <w:sz w:val="18"/>
                <w:szCs w:val="18"/>
              </w:rPr>
              <w:t>Beni intermedi</w:t>
            </w:r>
          </w:p>
        </w:tc>
        <w:tc>
          <w:tcPr>
            <w:tcW w:w="1157" w:type="dxa"/>
            <w:tcBorders>
              <w:bottom w:val="single" w:sz="4" w:space="0" w:color="333333"/>
            </w:tcBorders>
            <w:shd w:val="clear" w:color="auto" w:fill="D9D9D9"/>
            <w:vAlign w:val="center"/>
          </w:tcPr>
          <w:p w14:paraId="7E37CFCB" w14:textId="308667D8" w:rsidR="00CA3FCE" w:rsidRPr="0080663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+1,8</w:t>
            </w:r>
          </w:p>
        </w:tc>
        <w:tc>
          <w:tcPr>
            <w:tcW w:w="1334" w:type="dxa"/>
            <w:tcMar>
              <w:left w:w="0" w:type="dxa"/>
            </w:tcMar>
            <w:vAlign w:val="center"/>
          </w:tcPr>
          <w:p w14:paraId="3E2BA997" w14:textId="5A03C66D" w:rsidR="00CA3FCE" w:rsidRPr="0080663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+19,1</w:t>
            </w:r>
          </w:p>
        </w:tc>
        <w:tc>
          <w:tcPr>
            <w:tcW w:w="1346" w:type="dxa"/>
            <w:tcBorders>
              <w:bottom w:val="single" w:sz="4" w:space="0" w:color="333333"/>
            </w:tcBorders>
            <w:shd w:val="clear" w:color="auto" w:fill="D9D9D9"/>
            <w:vAlign w:val="center"/>
          </w:tcPr>
          <w:p w14:paraId="2C15CFA9" w14:textId="7C4E86E7" w:rsidR="00CA3FCE" w:rsidRPr="0080663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+2,1</w:t>
            </w:r>
          </w:p>
        </w:tc>
        <w:tc>
          <w:tcPr>
            <w:tcW w:w="1349" w:type="dxa"/>
            <w:vAlign w:val="center"/>
          </w:tcPr>
          <w:p w14:paraId="5BCC5D03" w14:textId="1B723B79" w:rsidR="00CA3FCE" w:rsidRPr="0080663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+20,2</w:t>
            </w:r>
          </w:p>
        </w:tc>
        <w:tc>
          <w:tcPr>
            <w:tcW w:w="1345" w:type="dxa"/>
            <w:tcBorders>
              <w:bottom w:val="single" w:sz="4" w:space="0" w:color="333333"/>
            </w:tcBorders>
            <w:shd w:val="clear" w:color="auto" w:fill="D9D9D9"/>
            <w:vAlign w:val="center"/>
          </w:tcPr>
          <w:p w14:paraId="4A191508" w14:textId="73C03EDE" w:rsidR="00CA3FCE" w:rsidRPr="0080663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+1,4</w:t>
            </w:r>
          </w:p>
        </w:tc>
        <w:tc>
          <w:tcPr>
            <w:tcW w:w="1346" w:type="dxa"/>
            <w:vAlign w:val="center"/>
          </w:tcPr>
          <w:p w14:paraId="3F489EAF" w14:textId="69CDEA52"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+17,8</w:t>
            </w:r>
          </w:p>
        </w:tc>
      </w:tr>
      <w:tr w:rsidR="00CA3FCE" w:rsidRPr="00452E5E" w14:paraId="30AD21A8" w14:textId="77777777" w:rsidTr="00D9043E">
        <w:trPr>
          <w:gridAfter w:val="1"/>
          <w:wAfter w:w="12" w:type="dxa"/>
          <w:cantSplit/>
          <w:trHeight w:val="255"/>
        </w:trPr>
        <w:tc>
          <w:tcPr>
            <w:tcW w:w="2317" w:type="dxa"/>
            <w:tcBorders>
              <w:bottom w:val="single" w:sz="4" w:space="0" w:color="333333"/>
            </w:tcBorders>
            <w:vAlign w:val="center"/>
          </w:tcPr>
          <w:p w14:paraId="7562D6D0" w14:textId="77777777" w:rsidR="00CA3FCE" w:rsidRPr="001C01EA" w:rsidRDefault="00CA3FCE" w:rsidP="00CA3FCE">
            <w:pPr>
              <w:spacing w:before="40" w:after="20"/>
              <w:rPr>
                <w:rFonts w:ascii="Arial Narrow" w:hAnsi="Arial Narrow" w:cs="Arial"/>
                <w:sz w:val="18"/>
                <w:szCs w:val="18"/>
              </w:rPr>
            </w:pPr>
            <w:r w:rsidRPr="001C01EA">
              <w:rPr>
                <w:rFonts w:ascii="Arial Narrow" w:hAnsi="Arial Narrow" w:cs="Arial"/>
                <w:sz w:val="18"/>
                <w:szCs w:val="18"/>
              </w:rPr>
              <w:t>Energia</w:t>
            </w:r>
          </w:p>
        </w:tc>
        <w:tc>
          <w:tcPr>
            <w:tcW w:w="1157" w:type="dxa"/>
            <w:tcBorders>
              <w:bottom w:val="single" w:sz="4" w:space="0" w:color="333333"/>
            </w:tcBorders>
            <w:shd w:val="clear" w:color="auto" w:fill="D9D9D9"/>
            <w:vAlign w:val="center"/>
          </w:tcPr>
          <w:p w14:paraId="6BD7DF92" w14:textId="607C59E7"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+13,1</w:t>
            </w:r>
          </w:p>
        </w:tc>
        <w:tc>
          <w:tcPr>
            <w:tcW w:w="1334" w:type="dxa"/>
            <w:tcBorders>
              <w:bottom w:val="single" w:sz="4" w:space="0" w:color="333333"/>
            </w:tcBorders>
            <w:tcMar>
              <w:left w:w="0" w:type="dxa"/>
            </w:tcMar>
            <w:vAlign w:val="center"/>
          </w:tcPr>
          <w:p w14:paraId="53A8E78A" w14:textId="018DB06E"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+76,2</w:t>
            </w:r>
          </w:p>
        </w:tc>
        <w:tc>
          <w:tcPr>
            <w:tcW w:w="1346" w:type="dxa"/>
            <w:tcBorders>
              <w:bottom w:val="single" w:sz="4" w:space="0" w:color="333333"/>
            </w:tcBorders>
            <w:shd w:val="clear" w:color="auto" w:fill="D9D9D9"/>
            <w:vAlign w:val="center"/>
          </w:tcPr>
          <w:p w14:paraId="11C76A95" w14:textId="6EE36635"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-2,3</w:t>
            </w:r>
          </w:p>
        </w:tc>
        <w:tc>
          <w:tcPr>
            <w:tcW w:w="1349" w:type="dxa"/>
            <w:tcBorders>
              <w:bottom w:val="single" w:sz="4" w:space="0" w:color="333333"/>
            </w:tcBorders>
            <w:vAlign w:val="center"/>
          </w:tcPr>
          <w:p w14:paraId="2A509A9D" w14:textId="1AB0A945"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+12,7</w:t>
            </w:r>
          </w:p>
        </w:tc>
        <w:tc>
          <w:tcPr>
            <w:tcW w:w="1345" w:type="dxa"/>
            <w:tcBorders>
              <w:bottom w:val="single" w:sz="4" w:space="0" w:color="333333"/>
            </w:tcBorders>
            <w:shd w:val="clear" w:color="auto" w:fill="D9D9D9"/>
            <w:vAlign w:val="center"/>
          </w:tcPr>
          <w:p w14:paraId="7148539F" w14:textId="5B136404"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+15,0</w:t>
            </w:r>
          </w:p>
        </w:tc>
        <w:tc>
          <w:tcPr>
            <w:tcW w:w="1346" w:type="dxa"/>
            <w:tcBorders>
              <w:bottom w:val="single" w:sz="4" w:space="0" w:color="333333"/>
            </w:tcBorders>
            <w:vAlign w:val="center"/>
          </w:tcPr>
          <w:p w14:paraId="7EBCEBC0" w14:textId="5C2BC4A7"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+84,2</w:t>
            </w:r>
          </w:p>
        </w:tc>
      </w:tr>
      <w:tr w:rsidR="00CA3FCE" w:rsidRPr="00452E5E" w14:paraId="32D59583" w14:textId="77777777" w:rsidTr="00D9043E">
        <w:trPr>
          <w:gridAfter w:val="1"/>
          <w:wAfter w:w="12" w:type="dxa"/>
          <w:cantSplit/>
          <w:trHeight w:val="255"/>
        </w:trPr>
        <w:tc>
          <w:tcPr>
            <w:tcW w:w="2317" w:type="dxa"/>
            <w:shd w:val="clear" w:color="auto" w:fill="auto"/>
            <w:vAlign w:val="center"/>
          </w:tcPr>
          <w:p w14:paraId="7CF0FC13" w14:textId="77777777" w:rsidR="00CA3FCE" w:rsidRPr="007F2CF0" w:rsidRDefault="00CA3FCE" w:rsidP="00CA3FCE">
            <w:pPr>
              <w:spacing w:before="40" w:after="20"/>
              <w:rPr>
                <w:rFonts w:ascii="Arial Narrow" w:hAnsi="Arial Narrow" w:cs="Arial"/>
                <w:sz w:val="18"/>
                <w:szCs w:val="18"/>
              </w:rPr>
            </w:pPr>
            <w:r w:rsidRPr="001C01EA">
              <w:rPr>
                <w:rFonts w:ascii="Arial Narrow" w:hAnsi="Arial Narrow" w:cs="Arial"/>
                <w:sz w:val="18"/>
                <w:szCs w:val="18"/>
              </w:rPr>
              <w:t>Totale al netto dell’energia</w:t>
            </w:r>
          </w:p>
        </w:tc>
        <w:tc>
          <w:tcPr>
            <w:tcW w:w="1157" w:type="dxa"/>
            <w:shd w:val="clear" w:color="auto" w:fill="D9D9D9"/>
            <w:vAlign w:val="center"/>
          </w:tcPr>
          <w:p w14:paraId="44036122" w14:textId="00A6B73D"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+1,2</w:t>
            </w:r>
          </w:p>
        </w:tc>
        <w:tc>
          <w:tcPr>
            <w:tcW w:w="1334" w:type="dxa"/>
            <w:shd w:val="clear" w:color="auto" w:fill="auto"/>
            <w:tcMar>
              <w:left w:w="0" w:type="dxa"/>
            </w:tcMar>
            <w:vAlign w:val="center"/>
          </w:tcPr>
          <w:p w14:paraId="50B2357C" w14:textId="5271D834"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+9,9</w:t>
            </w:r>
          </w:p>
        </w:tc>
        <w:tc>
          <w:tcPr>
            <w:tcW w:w="1346" w:type="dxa"/>
            <w:shd w:val="clear" w:color="auto" w:fill="D9D9D9"/>
            <w:vAlign w:val="center"/>
          </w:tcPr>
          <w:p w14:paraId="5FBAB19C" w14:textId="7454D70C"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+1,3</w:t>
            </w:r>
          </w:p>
        </w:tc>
        <w:tc>
          <w:tcPr>
            <w:tcW w:w="1349" w:type="dxa"/>
            <w:shd w:val="clear" w:color="auto" w:fill="auto"/>
            <w:vAlign w:val="center"/>
          </w:tcPr>
          <w:p w14:paraId="183C862A" w14:textId="0558C319"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+10,1</w:t>
            </w:r>
          </w:p>
        </w:tc>
        <w:tc>
          <w:tcPr>
            <w:tcW w:w="1345" w:type="dxa"/>
            <w:shd w:val="clear" w:color="auto" w:fill="D9D9D9"/>
            <w:vAlign w:val="center"/>
          </w:tcPr>
          <w:p w14:paraId="64F3C096" w14:textId="16376113"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+1,0</w:t>
            </w:r>
          </w:p>
        </w:tc>
        <w:tc>
          <w:tcPr>
            <w:tcW w:w="1346" w:type="dxa"/>
            <w:shd w:val="clear" w:color="auto" w:fill="auto"/>
            <w:vAlign w:val="center"/>
          </w:tcPr>
          <w:p w14:paraId="763037B2" w14:textId="753376C8" w:rsidR="00CA3FCE" w:rsidRDefault="00CA3FCE" w:rsidP="00CA3FCE">
            <w:pPr>
              <w:jc w:val="center"/>
              <w:rPr>
                <w:rFonts w:ascii="Arial Narrow" w:hAnsi="Arial Narrow" w:cs="Arial Narrow"/>
                <w:color w:val="000000"/>
                <w:sz w:val="18"/>
                <w:szCs w:val="18"/>
              </w:rPr>
            </w:pPr>
            <w:r w:rsidRPr="004E3846">
              <w:rPr>
                <w:rFonts w:ascii="Arial Narrow" w:hAnsi="Arial Narrow" w:cs="Arial"/>
                <w:color w:val="000000"/>
                <w:sz w:val="18"/>
                <w:szCs w:val="18"/>
              </w:rPr>
              <w:t>+9,6</w:t>
            </w:r>
          </w:p>
        </w:tc>
      </w:tr>
      <w:tr w:rsidR="00CA3FCE" w:rsidRPr="00452E5E" w14:paraId="312B5092" w14:textId="77777777" w:rsidTr="00F92D55">
        <w:trPr>
          <w:gridAfter w:val="1"/>
          <w:wAfter w:w="12" w:type="dxa"/>
          <w:cantSplit/>
          <w:trHeight w:val="255"/>
        </w:trPr>
        <w:tc>
          <w:tcPr>
            <w:tcW w:w="2317" w:type="dxa"/>
            <w:shd w:val="clear" w:color="auto" w:fill="FF0000"/>
            <w:vAlign w:val="center"/>
          </w:tcPr>
          <w:p w14:paraId="46D58128" w14:textId="77777777" w:rsidR="00CA3FCE" w:rsidRPr="00452E5E" w:rsidRDefault="00CA3FCE" w:rsidP="00CA3FCE">
            <w:pPr>
              <w:spacing w:before="40" w:after="20"/>
              <w:rPr>
                <w:rFonts w:ascii="Arial Narrow" w:hAnsi="Arial Narrow" w:cs="Arial"/>
                <w:b/>
                <w:color w:val="FFFFFF" w:themeColor="background1"/>
                <w:sz w:val="18"/>
                <w:szCs w:val="18"/>
              </w:rPr>
            </w:pPr>
            <w:r w:rsidRPr="00452E5E">
              <w:rPr>
                <w:rFonts w:ascii="Arial Narrow" w:hAnsi="Arial Narrow" w:cs="Arial"/>
                <w:b/>
                <w:color w:val="FFFFFF" w:themeColor="background1"/>
                <w:sz w:val="18"/>
                <w:szCs w:val="18"/>
              </w:rPr>
              <w:t>Totale</w:t>
            </w:r>
          </w:p>
        </w:tc>
        <w:tc>
          <w:tcPr>
            <w:tcW w:w="1157" w:type="dxa"/>
            <w:shd w:val="clear" w:color="auto" w:fill="FF0000"/>
          </w:tcPr>
          <w:p w14:paraId="07C8A8B6" w14:textId="6722930C" w:rsidR="00CA3FCE" w:rsidRPr="00F5128F" w:rsidRDefault="00CA3FCE" w:rsidP="00CA3FCE">
            <w:pPr>
              <w:spacing w:before="40" w:after="20"/>
              <w:jc w:val="center"/>
              <w:rPr>
                <w:rFonts w:ascii="Arial Narrow" w:hAnsi="Arial Narrow" w:cs="Arial"/>
                <w:b/>
                <w:color w:val="FFFFFF" w:themeColor="background1"/>
                <w:sz w:val="18"/>
                <w:szCs w:val="18"/>
              </w:rPr>
            </w:pPr>
            <w:r w:rsidRPr="004E3846">
              <w:rPr>
                <w:rFonts w:ascii="Arial Narrow" w:hAnsi="Arial Narrow" w:cs="Arial"/>
                <w:b/>
                <w:color w:val="FFFFFF" w:themeColor="background1"/>
                <w:sz w:val="18"/>
                <w:szCs w:val="18"/>
              </w:rPr>
              <w:t>+3,0</w:t>
            </w:r>
          </w:p>
        </w:tc>
        <w:tc>
          <w:tcPr>
            <w:tcW w:w="1334" w:type="dxa"/>
            <w:shd w:val="clear" w:color="auto" w:fill="FF0000"/>
            <w:tcMar>
              <w:left w:w="0" w:type="dxa"/>
            </w:tcMar>
          </w:tcPr>
          <w:p w14:paraId="37FD050A" w14:textId="4D4C25F2" w:rsidR="00CA3FCE" w:rsidRPr="00F5128F" w:rsidRDefault="00CA3FCE" w:rsidP="00CA3FCE">
            <w:pPr>
              <w:spacing w:before="40" w:after="20"/>
              <w:jc w:val="center"/>
              <w:rPr>
                <w:rFonts w:ascii="Arial Narrow" w:hAnsi="Arial Narrow" w:cs="Arial"/>
                <w:b/>
                <w:color w:val="FFFFFF" w:themeColor="background1"/>
                <w:sz w:val="18"/>
                <w:szCs w:val="18"/>
              </w:rPr>
            </w:pPr>
            <w:r w:rsidRPr="004E3846">
              <w:rPr>
                <w:rFonts w:ascii="Arial Narrow" w:hAnsi="Arial Narrow" w:cs="Arial"/>
                <w:b/>
                <w:color w:val="FFFFFF" w:themeColor="background1"/>
                <w:sz w:val="18"/>
                <w:szCs w:val="18"/>
              </w:rPr>
              <w:t>+17,9</w:t>
            </w:r>
          </w:p>
        </w:tc>
        <w:tc>
          <w:tcPr>
            <w:tcW w:w="1346" w:type="dxa"/>
            <w:shd w:val="clear" w:color="auto" w:fill="FF0000"/>
          </w:tcPr>
          <w:p w14:paraId="00B72FF2" w14:textId="47CE4647" w:rsidR="00CA3FCE" w:rsidRPr="00F5128F" w:rsidRDefault="00CA3FCE" w:rsidP="00CA3FCE">
            <w:pPr>
              <w:spacing w:before="40" w:after="20"/>
              <w:jc w:val="center"/>
              <w:rPr>
                <w:rFonts w:ascii="Arial Narrow" w:hAnsi="Arial Narrow" w:cs="Arial"/>
                <w:b/>
                <w:color w:val="FFFFFF" w:themeColor="background1"/>
                <w:sz w:val="18"/>
                <w:szCs w:val="18"/>
              </w:rPr>
            </w:pPr>
            <w:r w:rsidRPr="004E3846">
              <w:rPr>
                <w:rFonts w:ascii="Arial Narrow" w:hAnsi="Arial Narrow" w:cs="Arial"/>
                <w:b/>
                <w:color w:val="FFFFFF" w:themeColor="background1"/>
                <w:sz w:val="18"/>
                <w:szCs w:val="18"/>
              </w:rPr>
              <w:t>+1,3</w:t>
            </w:r>
          </w:p>
        </w:tc>
        <w:tc>
          <w:tcPr>
            <w:tcW w:w="1349" w:type="dxa"/>
            <w:shd w:val="clear" w:color="auto" w:fill="FF0000"/>
          </w:tcPr>
          <w:p w14:paraId="0EB70C31" w14:textId="55E3E03E" w:rsidR="00CA3FCE" w:rsidRPr="00F5128F" w:rsidRDefault="00CA3FCE" w:rsidP="00CA3FCE">
            <w:pPr>
              <w:spacing w:before="40" w:after="20"/>
              <w:jc w:val="center"/>
              <w:rPr>
                <w:rFonts w:ascii="Arial Narrow" w:hAnsi="Arial Narrow" w:cs="Arial"/>
                <w:b/>
                <w:color w:val="FFFFFF" w:themeColor="background1"/>
                <w:sz w:val="18"/>
                <w:szCs w:val="18"/>
              </w:rPr>
            </w:pPr>
            <w:r w:rsidRPr="004E3846">
              <w:rPr>
                <w:rFonts w:ascii="Arial Narrow" w:hAnsi="Arial Narrow" w:cs="Arial"/>
                <w:b/>
                <w:color w:val="FFFFFF" w:themeColor="background1"/>
                <w:sz w:val="18"/>
                <w:szCs w:val="18"/>
              </w:rPr>
              <w:t>+10,2</w:t>
            </w:r>
          </w:p>
        </w:tc>
        <w:tc>
          <w:tcPr>
            <w:tcW w:w="1345" w:type="dxa"/>
            <w:shd w:val="clear" w:color="auto" w:fill="FF0000"/>
          </w:tcPr>
          <w:p w14:paraId="1F5B6CE6" w14:textId="0B88CA44" w:rsidR="00CA3FCE" w:rsidRPr="00F5128F" w:rsidRDefault="00CA3FCE" w:rsidP="00CA3FCE">
            <w:pPr>
              <w:spacing w:before="40" w:after="20"/>
              <w:jc w:val="center"/>
              <w:rPr>
                <w:rFonts w:ascii="Arial Narrow" w:hAnsi="Arial Narrow" w:cs="Arial"/>
                <w:b/>
                <w:color w:val="FFFFFF" w:themeColor="background1"/>
                <w:sz w:val="18"/>
                <w:szCs w:val="18"/>
              </w:rPr>
            </w:pPr>
            <w:r w:rsidRPr="004E3846">
              <w:rPr>
                <w:rFonts w:ascii="Arial Narrow" w:hAnsi="Arial Narrow" w:cs="Arial"/>
                <w:b/>
                <w:color w:val="FFFFFF" w:themeColor="background1"/>
                <w:sz w:val="18"/>
                <w:szCs w:val="18"/>
              </w:rPr>
              <w:t>+4,8</w:t>
            </w:r>
          </w:p>
        </w:tc>
        <w:tc>
          <w:tcPr>
            <w:tcW w:w="1346" w:type="dxa"/>
            <w:shd w:val="clear" w:color="auto" w:fill="FF0000"/>
          </w:tcPr>
          <w:p w14:paraId="116D8245" w14:textId="1A661D25" w:rsidR="00CA3FCE" w:rsidRPr="00F5128F" w:rsidRDefault="00CA3FCE" w:rsidP="00CA3FCE">
            <w:pPr>
              <w:spacing w:before="40" w:after="20"/>
              <w:jc w:val="center"/>
              <w:rPr>
                <w:rFonts w:ascii="Arial Narrow" w:hAnsi="Arial Narrow" w:cs="Arial"/>
                <w:b/>
                <w:color w:val="FFFFFF" w:themeColor="background1"/>
                <w:sz w:val="18"/>
                <w:szCs w:val="18"/>
              </w:rPr>
            </w:pPr>
            <w:r w:rsidRPr="004E3846">
              <w:rPr>
                <w:rFonts w:ascii="Arial Narrow" w:hAnsi="Arial Narrow" w:cs="Arial"/>
                <w:b/>
                <w:color w:val="FFFFFF" w:themeColor="background1"/>
                <w:sz w:val="18"/>
                <w:szCs w:val="18"/>
              </w:rPr>
              <w:t>+25,6</w:t>
            </w:r>
          </w:p>
        </w:tc>
      </w:tr>
    </w:tbl>
    <w:p w14:paraId="20B18A51" w14:textId="77777777" w:rsidR="009A4965" w:rsidRPr="00934F9D" w:rsidRDefault="009A4965" w:rsidP="009A4965">
      <w:pPr>
        <w:rPr>
          <w:rFonts w:ascii="Arial" w:hAnsi="Arial"/>
          <w:kern w:val="28"/>
          <w:sz w:val="18"/>
          <w:szCs w:val="18"/>
        </w:rPr>
      </w:pPr>
    </w:p>
    <w:p w14:paraId="31B7FFB9" w14:textId="41AD68DE" w:rsidR="006F6BD9" w:rsidRPr="004B371A" w:rsidRDefault="006F6BD9" w:rsidP="00934F9D">
      <w:pPr>
        <w:pStyle w:val="001TitoloBolocco"/>
        <w:pBdr>
          <w:bottom w:val="none" w:sz="0" w:space="0" w:color="auto"/>
        </w:pBdr>
        <w:spacing w:after="100"/>
        <w:rPr>
          <w:rFonts w:ascii="Arial" w:hAnsi="Arial" w:cs="Times New Roman"/>
          <w:b w:val="0"/>
          <w:bCs w:val="0"/>
          <w:caps w:val="0"/>
          <w:color w:val="auto"/>
          <w:kern w:val="28"/>
          <w:sz w:val="21"/>
          <w:szCs w:val="21"/>
        </w:rPr>
      </w:pPr>
      <w:r>
        <w:rPr>
          <w:rFonts w:ascii="Arial" w:hAnsi="Arial" w:cs="Times New Roman"/>
          <w:b w:val="0"/>
          <w:bCs w:val="0"/>
          <w:caps w:val="0"/>
          <w:color w:val="auto"/>
          <w:kern w:val="28"/>
          <w:sz w:val="21"/>
          <w:szCs w:val="21"/>
        </w:rPr>
        <w:t xml:space="preserve">A gennaio 2022 </w:t>
      </w:r>
      <w:r w:rsidRPr="004B371A">
        <w:rPr>
          <w:rFonts w:ascii="Arial" w:hAnsi="Arial" w:cs="Times New Roman"/>
          <w:b w:val="0"/>
          <w:bCs w:val="0"/>
          <w:caps w:val="0"/>
          <w:color w:val="auto"/>
          <w:kern w:val="28"/>
          <w:sz w:val="21"/>
          <w:szCs w:val="21"/>
        </w:rPr>
        <w:t xml:space="preserve">i prezzi all’importazione dei beni di </w:t>
      </w:r>
      <w:r>
        <w:rPr>
          <w:rFonts w:ascii="Arial" w:hAnsi="Arial" w:cs="Times New Roman"/>
          <w:b w:val="0"/>
          <w:bCs w:val="0"/>
          <w:caps w:val="0"/>
          <w:color w:val="auto"/>
          <w:kern w:val="28"/>
          <w:sz w:val="21"/>
          <w:szCs w:val="21"/>
        </w:rPr>
        <w:t>consumo</w:t>
      </w:r>
      <w:r w:rsidRPr="004B371A">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aumentano, rispetto al mese precedente, dello 0,8% nel complesso, sintesi di incrementi dello 0,7% per l’Area euro e dell’1,0% per l’Area non euro; su base annua,</w:t>
      </w:r>
      <w:r w:rsidRPr="004B371A">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crescono del 5,7% per il mercato totale (+4,7% Area euro, +6,6% Area non euro).</w:t>
      </w:r>
    </w:p>
    <w:p w14:paraId="7ADA348B" w14:textId="407FAD33" w:rsidR="006F6BD9" w:rsidRDefault="006F6BD9" w:rsidP="00934F9D">
      <w:pPr>
        <w:pStyle w:val="001TitoloBolocco"/>
        <w:pBdr>
          <w:bottom w:val="none" w:sz="0" w:space="0" w:color="auto"/>
        </w:pBdr>
        <w:spacing w:after="100"/>
        <w:rPr>
          <w:rFonts w:ascii="Arial" w:hAnsi="Arial" w:cs="Times New Roman"/>
          <w:b w:val="0"/>
          <w:bCs w:val="0"/>
          <w:caps w:val="0"/>
          <w:color w:val="auto"/>
          <w:kern w:val="28"/>
          <w:sz w:val="21"/>
          <w:szCs w:val="21"/>
        </w:rPr>
      </w:pPr>
      <w:r w:rsidRPr="00822617">
        <w:rPr>
          <w:rFonts w:ascii="Arial" w:hAnsi="Arial" w:cs="Times New Roman"/>
          <w:b w:val="0"/>
          <w:bCs w:val="0"/>
          <w:caps w:val="0"/>
          <w:color w:val="auto"/>
          <w:kern w:val="28"/>
          <w:sz w:val="21"/>
          <w:szCs w:val="21"/>
        </w:rPr>
        <w:t>I prezzi all’importazione dei beni strumentali</w:t>
      </w:r>
      <w:r>
        <w:rPr>
          <w:rFonts w:ascii="Arial" w:hAnsi="Arial" w:cs="Times New Roman"/>
          <w:b w:val="0"/>
          <w:bCs w:val="0"/>
          <w:caps w:val="0"/>
          <w:color w:val="auto"/>
          <w:kern w:val="28"/>
          <w:sz w:val="21"/>
          <w:szCs w:val="21"/>
        </w:rPr>
        <w:t xml:space="preserve"> aumentano su base mensile dello 0,9%</w:t>
      </w:r>
      <w:r w:rsidRPr="00822617">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 xml:space="preserve">per il mercato totale (+1,0% </w:t>
      </w:r>
      <w:r w:rsidRPr="00822617">
        <w:rPr>
          <w:rFonts w:ascii="Arial" w:hAnsi="Arial" w:cs="Times New Roman"/>
          <w:b w:val="0"/>
          <w:bCs w:val="0"/>
          <w:caps w:val="0"/>
          <w:color w:val="auto"/>
          <w:kern w:val="28"/>
          <w:sz w:val="21"/>
          <w:szCs w:val="21"/>
        </w:rPr>
        <w:t>Area euro</w:t>
      </w:r>
      <w:r>
        <w:rPr>
          <w:rFonts w:ascii="Arial" w:hAnsi="Arial" w:cs="Times New Roman"/>
          <w:b w:val="0"/>
          <w:bCs w:val="0"/>
          <w:caps w:val="0"/>
          <w:color w:val="auto"/>
          <w:kern w:val="28"/>
          <w:sz w:val="21"/>
          <w:szCs w:val="21"/>
        </w:rPr>
        <w:t>,</w:t>
      </w:r>
      <w:r w:rsidRPr="00822617">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+0,5%</w:t>
      </w:r>
      <w:r w:rsidRPr="00822617">
        <w:rPr>
          <w:rFonts w:ascii="Arial" w:hAnsi="Arial" w:cs="Times New Roman"/>
          <w:b w:val="0"/>
          <w:bCs w:val="0"/>
          <w:caps w:val="0"/>
          <w:color w:val="auto"/>
          <w:kern w:val="28"/>
          <w:sz w:val="21"/>
          <w:szCs w:val="21"/>
        </w:rPr>
        <w:t xml:space="preserve"> Area non euro</w:t>
      </w:r>
      <w:r>
        <w:rPr>
          <w:rFonts w:ascii="Arial" w:hAnsi="Arial" w:cs="Times New Roman"/>
          <w:b w:val="0"/>
          <w:bCs w:val="0"/>
          <w:caps w:val="0"/>
          <w:color w:val="auto"/>
          <w:kern w:val="28"/>
          <w:sz w:val="21"/>
          <w:szCs w:val="21"/>
        </w:rPr>
        <w:t>) mentre i</w:t>
      </w:r>
      <w:r w:rsidRPr="00822617">
        <w:rPr>
          <w:rFonts w:ascii="Arial" w:hAnsi="Arial" w:cs="Times New Roman"/>
          <w:b w:val="0"/>
          <w:bCs w:val="0"/>
          <w:caps w:val="0"/>
          <w:color w:val="auto"/>
          <w:kern w:val="28"/>
          <w:sz w:val="21"/>
          <w:szCs w:val="21"/>
        </w:rPr>
        <w:t>n termini tendenzi</w:t>
      </w:r>
      <w:r>
        <w:rPr>
          <w:rFonts w:ascii="Arial" w:hAnsi="Arial" w:cs="Times New Roman"/>
          <w:b w:val="0"/>
          <w:bCs w:val="0"/>
          <w:caps w:val="0"/>
          <w:color w:val="auto"/>
          <w:kern w:val="28"/>
          <w:sz w:val="21"/>
          <w:szCs w:val="21"/>
        </w:rPr>
        <w:t>ali crescono del 2,9</w:t>
      </w:r>
      <w:r w:rsidRPr="00822617">
        <w:rPr>
          <w:rFonts w:ascii="Arial" w:hAnsi="Arial" w:cs="Times New Roman"/>
          <w:b w:val="0"/>
          <w:bCs w:val="0"/>
          <w:caps w:val="0"/>
          <w:color w:val="auto"/>
          <w:kern w:val="28"/>
          <w:sz w:val="21"/>
          <w:szCs w:val="21"/>
        </w:rPr>
        <w:t xml:space="preserve">% </w:t>
      </w:r>
      <w:r>
        <w:rPr>
          <w:rFonts w:ascii="Arial" w:hAnsi="Arial" w:cs="Times New Roman"/>
          <w:b w:val="0"/>
          <w:bCs w:val="0"/>
          <w:caps w:val="0"/>
          <w:color w:val="auto"/>
          <w:kern w:val="28"/>
          <w:sz w:val="21"/>
          <w:szCs w:val="21"/>
        </w:rPr>
        <w:t xml:space="preserve">(+3,4% </w:t>
      </w:r>
      <w:r w:rsidRPr="00822617">
        <w:rPr>
          <w:rFonts w:ascii="Arial" w:hAnsi="Arial" w:cs="Times New Roman"/>
          <w:b w:val="0"/>
          <w:bCs w:val="0"/>
          <w:caps w:val="0"/>
          <w:color w:val="auto"/>
          <w:kern w:val="28"/>
          <w:sz w:val="21"/>
          <w:szCs w:val="21"/>
        </w:rPr>
        <w:t>Area euro,</w:t>
      </w:r>
      <w:r>
        <w:rPr>
          <w:rFonts w:ascii="Arial" w:hAnsi="Arial" w:cs="Times New Roman"/>
          <w:b w:val="0"/>
          <w:bCs w:val="0"/>
          <w:caps w:val="0"/>
          <w:color w:val="auto"/>
          <w:kern w:val="28"/>
          <w:sz w:val="21"/>
          <w:szCs w:val="21"/>
        </w:rPr>
        <w:t xml:space="preserve"> +1,8% Area non euro). </w:t>
      </w:r>
    </w:p>
    <w:p w14:paraId="201EBE9F" w14:textId="0993EB04" w:rsidR="006F6BD9" w:rsidRDefault="00934F9D" w:rsidP="00934F9D">
      <w:pPr>
        <w:pStyle w:val="001TitoloBolocco"/>
        <w:pBdr>
          <w:bottom w:val="none" w:sz="0" w:space="0" w:color="auto"/>
        </w:pBdr>
        <w:spacing w:after="0"/>
        <w:rPr>
          <w:rFonts w:ascii="Arial" w:hAnsi="Arial" w:cs="Times New Roman"/>
          <w:b w:val="0"/>
          <w:bCs w:val="0"/>
          <w:caps w:val="0"/>
          <w:color w:val="auto"/>
          <w:kern w:val="28"/>
          <w:sz w:val="21"/>
          <w:szCs w:val="21"/>
        </w:rPr>
      </w:pPr>
      <w:r>
        <w:rPr>
          <w:rFonts w:ascii="Arial" w:hAnsi="Arial" w:cs="Times New Roman"/>
          <w:b w:val="0"/>
          <w:bCs w:val="0"/>
          <w:caps w:val="0"/>
          <w:color w:val="auto"/>
          <w:kern w:val="28"/>
          <w:sz w:val="21"/>
          <w:szCs w:val="21"/>
        </w:rPr>
        <w:t>P</w:t>
      </w:r>
      <w:r w:rsidR="006F6BD9">
        <w:rPr>
          <w:rFonts w:ascii="Arial" w:hAnsi="Arial" w:cs="Times New Roman"/>
          <w:b w:val="0"/>
          <w:bCs w:val="0"/>
          <w:caps w:val="0"/>
          <w:color w:val="auto"/>
          <w:kern w:val="28"/>
          <w:sz w:val="21"/>
          <w:szCs w:val="21"/>
        </w:rPr>
        <w:t xml:space="preserve">er quanto riguarda i beni intermedi, i prezzi all’importazione aumentano su base congiunturale dell’1,8% (+2,1% Area euro, +1,4% </w:t>
      </w:r>
      <w:r w:rsidR="006F6BD9" w:rsidRPr="004A689A">
        <w:rPr>
          <w:rFonts w:ascii="Arial" w:hAnsi="Arial" w:cs="Times New Roman"/>
          <w:b w:val="0"/>
          <w:bCs w:val="0"/>
          <w:caps w:val="0"/>
          <w:color w:val="auto"/>
          <w:kern w:val="28"/>
          <w:sz w:val="21"/>
          <w:szCs w:val="21"/>
        </w:rPr>
        <w:t>Area non euro)</w:t>
      </w:r>
      <w:r w:rsidR="006F6BD9">
        <w:rPr>
          <w:rFonts w:ascii="Arial" w:hAnsi="Arial" w:cs="Times New Roman"/>
          <w:b w:val="0"/>
          <w:bCs w:val="0"/>
          <w:caps w:val="0"/>
          <w:color w:val="auto"/>
          <w:kern w:val="28"/>
          <w:sz w:val="21"/>
          <w:szCs w:val="21"/>
        </w:rPr>
        <w:t>; su base annua, crescono del 19,1% per il mercato totale, del 20,2% per l’Area euro e del 17,8%</w:t>
      </w:r>
      <w:r w:rsidR="006F6BD9" w:rsidRPr="004A689A">
        <w:rPr>
          <w:rFonts w:ascii="Arial" w:hAnsi="Arial" w:cs="Times New Roman"/>
          <w:b w:val="0"/>
          <w:bCs w:val="0"/>
          <w:caps w:val="0"/>
          <w:color w:val="auto"/>
          <w:kern w:val="28"/>
          <w:sz w:val="21"/>
          <w:szCs w:val="21"/>
        </w:rPr>
        <w:t xml:space="preserve"> </w:t>
      </w:r>
      <w:r w:rsidR="006F6BD9">
        <w:rPr>
          <w:rFonts w:ascii="Arial" w:hAnsi="Arial" w:cs="Times New Roman"/>
          <w:b w:val="0"/>
          <w:bCs w:val="0"/>
          <w:caps w:val="0"/>
          <w:color w:val="auto"/>
          <w:kern w:val="28"/>
          <w:sz w:val="21"/>
          <w:szCs w:val="21"/>
        </w:rPr>
        <w:t>per l’Area non euro</w:t>
      </w:r>
      <w:r w:rsidR="006F6BD9" w:rsidRPr="004A689A">
        <w:rPr>
          <w:rFonts w:ascii="Arial" w:hAnsi="Arial" w:cs="Times New Roman"/>
          <w:b w:val="0"/>
          <w:bCs w:val="0"/>
          <w:caps w:val="0"/>
          <w:color w:val="auto"/>
          <w:kern w:val="28"/>
          <w:sz w:val="21"/>
          <w:szCs w:val="21"/>
        </w:rPr>
        <w:t>.</w:t>
      </w:r>
    </w:p>
    <w:p w14:paraId="3F32A75A" w14:textId="1E03F5FA" w:rsidR="006F6BD9" w:rsidRDefault="006F6BD9" w:rsidP="00CA3FCE">
      <w:pPr>
        <w:pStyle w:val="001TitoloBolocco"/>
        <w:pBdr>
          <w:bottom w:val="none" w:sz="0" w:space="0" w:color="auto"/>
        </w:pBdr>
        <w:spacing w:after="0"/>
        <w:rPr>
          <w:rFonts w:ascii="Arial" w:hAnsi="Arial" w:cs="Times New Roman"/>
          <w:b w:val="0"/>
          <w:bCs w:val="0"/>
          <w:caps w:val="0"/>
          <w:color w:val="auto"/>
          <w:kern w:val="28"/>
          <w:sz w:val="21"/>
          <w:szCs w:val="21"/>
        </w:rPr>
      </w:pPr>
    </w:p>
    <w:p w14:paraId="69D3DA61" w14:textId="3C58F250" w:rsidR="00B076CD" w:rsidRPr="00E71B50" w:rsidRDefault="00B076CD" w:rsidP="00B076CD">
      <w:pPr>
        <w:pStyle w:val="001TitoloBolocco"/>
        <w:spacing w:after="120" w:line="240" w:lineRule="auto"/>
      </w:pPr>
      <w:r w:rsidRPr="00E71B50">
        <w:t>settori di attività economica</w:t>
      </w:r>
    </w:p>
    <w:p w14:paraId="4E7158C2" w14:textId="6F777729" w:rsidR="00E2552F" w:rsidRPr="00E2552F" w:rsidRDefault="00E2552F" w:rsidP="00E2552F">
      <w:pPr>
        <w:jc w:val="both"/>
        <w:rPr>
          <w:rFonts w:ascii="Arial Narrow" w:hAnsi="Arial Narrow" w:cs="Arial"/>
          <w:b/>
          <w:color w:val="E42618"/>
          <w:kern w:val="28"/>
          <w:sz w:val="22"/>
          <w:szCs w:val="22"/>
        </w:rPr>
      </w:pPr>
      <w:r w:rsidRPr="00E2552F">
        <w:rPr>
          <w:rFonts w:ascii="Arial Narrow" w:hAnsi="Arial Narrow" w:cs="Arial"/>
          <w:b/>
          <w:color w:val="E42618"/>
          <w:kern w:val="28"/>
          <w:sz w:val="22"/>
          <w:szCs w:val="22"/>
        </w:rPr>
        <w:t>FIGURA 1</w:t>
      </w:r>
      <w:r w:rsidR="006218A7">
        <w:rPr>
          <w:rFonts w:ascii="Arial Narrow" w:hAnsi="Arial Narrow" w:cs="Arial"/>
          <w:b/>
          <w:color w:val="E42618"/>
          <w:kern w:val="28"/>
          <w:sz w:val="22"/>
          <w:szCs w:val="22"/>
        </w:rPr>
        <w:t>1</w:t>
      </w:r>
      <w:r w:rsidRPr="00E2552F">
        <w:rPr>
          <w:rFonts w:ascii="Arial Narrow" w:hAnsi="Arial Narrow" w:cs="Arial"/>
          <w:b/>
          <w:color w:val="E42618"/>
          <w:kern w:val="28"/>
          <w:sz w:val="22"/>
          <w:szCs w:val="22"/>
        </w:rPr>
        <w:t xml:space="preserve">. </w:t>
      </w:r>
      <w:r w:rsidR="006218A7" w:rsidRPr="006218A7">
        <w:rPr>
          <w:rFonts w:ascii="Arial Narrow" w:hAnsi="Arial Narrow" w:cs="Arial"/>
          <w:b/>
          <w:color w:val="5F5F5F"/>
          <w:sz w:val="22"/>
          <w:szCs w:val="22"/>
        </w:rPr>
        <w:t>PREZZI ALL’IMPORTAZIONE PER SETTORE DI ATTIVITÀ ECONOMICA</w:t>
      </w:r>
    </w:p>
    <w:p w14:paraId="4750FFDA" w14:textId="7E4FB0F2" w:rsidR="00E2552F" w:rsidRDefault="00127273" w:rsidP="006F6BD9">
      <w:pPr>
        <w:pStyle w:val="Corpodeltesto1"/>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Gennaio 2022</w:t>
      </w:r>
      <w:r w:rsidR="00E2552F" w:rsidRPr="00E2552F">
        <w:rPr>
          <w:rFonts w:ascii="Arial Narrow" w:hAnsi="Arial Narrow" w:cs="Arial"/>
          <w:b w:val="0"/>
          <w:color w:val="5F5F5F"/>
          <w:kern w:val="28"/>
          <w:sz w:val="20"/>
          <w:szCs w:val="20"/>
        </w:rPr>
        <w:t>, variazioni percentuali tendenziali (base 2015=100)</w:t>
      </w:r>
    </w:p>
    <w:p w14:paraId="101730C3" w14:textId="72074A6E" w:rsidR="006218A7" w:rsidRDefault="006F6BD9" w:rsidP="006F6BD9">
      <w:pPr>
        <w:ind w:left="-284"/>
        <w:jc w:val="both"/>
        <w:rPr>
          <w:rFonts w:ascii="Arial" w:hAnsi="Arial" w:cs="Arial"/>
          <w:color w:val="000000"/>
          <w:sz w:val="21"/>
          <w:szCs w:val="21"/>
        </w:rPr>
      </w:pPr>
      <w:r>
        <w:rPr>
          <w:rFonts w:ascii="Arial Narrow" w:hAnsi="Arial Narrow" w:cs="Arial"/>
          <w:b/>
          <w:noProof/>
          <w:color w:val="5F5F5F"/>
          <w:kern w:val="28"/>
          <w:sz w:val="20"/>
          <w:szCs w:val="20"/>
        </w:rPr>
        <w:drawing>
          <wp:inline distT="0" distB="0" distL="0" distR="0" wp14:anchorId="1CBF485D" wp14:editId="5122C587">
            <wp:extent cx="6745857" cy="2515870"/>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5857" cy="2515870"/>
                    </a:xfrm>
                    <a:prstGeom prst="rect">
                      <a:avLst/>
                    </a:prstGeom>
                    <a:noFill/>
                  </pic:spPr>
                </pic:pic>
              </a:graphicData>
            </a:graphic>
          </wp:inline>
        </w:drawing>
      </w:r>
    </w:p>
    <w:p w14:paraId="037388FD" w14:textId="68AB4B88" w:rsidR="00E05DFF" w:rsidRPr="00E05DFF" w:rsidRDefault="00E05DFF" w:rsidP="00E05DFF">
      <w:pPr>
        <w:jc w:val="both"/>
        <w:rPr>
          <w:rFonts w:ascii="Arial Narrow" w:hAnsi="Arial Narrow" w:cs="Arial"/>
          <w:color w:val="000000"/>
          <w:sz w:val="15"/>
          <w:szCs w:val="15"/>
        </w:rPr>
      </w:pPr>
      <w:r>
        <w:rPr>
          <w:rFonts w:ascii="Arial Narrow" w:hAnsi="Arial Narrow" w:cs="Calibri"/>
          <w:sz w:val="15"/>
          <w:szCs w:val="15"/>
        </w:rPr>
        <w:t>Codifiche</w:t>
      </w:r>
      <w:r>
        <w:rPr>
          <w:rFonts w:ascii="Arial Narrow" w:hAnsi="Arial Narrow"/>
          <w:sz w:val="15"/>
          <w:szCs w:val="15"/>
        </w:rPr>
        <w:t xml:space="preserve"> dei settori di attività economica</w:t>
      </w:r>
      <w:r w:rsidRPr="004D645B">
        <w:rPr>
          <w:rFonts w:ascii="Arial Narrow" w:hAnsi="Arial Narrow"/>
          <w:sz w:val="15"/>
          <w:szCs w:val="15"/>
        </w:rPr>
        <w:t>:</w:t>
      </w:r>
      <w:r w:rsidRPr="004D645B">
        <w:rPr>
          <w:rFonts w:ascii="Arial Narrow" w:hAnsi="Arial Narrow" w:cs="Calibri"/>
          <w:sz w:val="15"/>
          <w:szCs w:val="15"/>
        </w:rPr>
        <w:t xml:space="preserve"> </w:t>
      </w:r>
      <w:r>
        <w:rPr>
          <w:rFonts w:ascii="Arial Narrow" w:hAnsi="Arial Narrow" w:cs="Calibri"/>
          <w:sz w:val="15"/>
          <w:szCs w:val="15"/>
        </w:rPr>
        <w:t xml:space="preserve"> </w:t>
      </w:r>
      <w:r w:rsidRPr="00E05DFF">
        <w:rPr>
          <w:rFonts w:ascii="Arial Narrow" w:hAnsi="Arial Narrow" w:cs="Arial"/>
          <w:color w:val="000000"/>
          <w:sz w:val="15"/>
          <w:szCs w:val="15"/>
        </w:rPr>
        <w:t>CA - Industrie alimentari, bevande e tabacco; CB - Industrie tessili, abbigliamento, pelli e accessori; CC - Industria del legno, della carta e stampa; CD - Fabbricazione di coke e prodotti petroliferi raffinati; CE - Fabbricazione di prodotti chimici; CF - Produzione di prodotti farmaceutici di base e preparati farmaceutici; CG - Fabbricazione di articoli in gomma e materie plastiche, altri prodotti della lavorazione di minerali non metalliferi; CH - Metallurgia e fabbricazione di prodotti in metallo (esclusi macchine e impianti); CI - Fabbricazione di computer, prodotti di elettronica e ottica, apparecchi elettromedicali, apparecchi di misurazione e orologi; CJ - Fabbricazione di apparecchiature elettriche e apparecchiature per uso domestico non elettriche; CK - Fabbricazione di macchinari e attrezzature n.c.a.; CL - Fabbricazione di mezzi di trasporto; CM - Altre industrie manifatturiere, riparazione e installazione di macchine e apparecchiature.</w:t>
      </w:r>
    </w:p>
    <w:p w14:paraId="6B72D06C" w14:textId="77777777" w:rsidR="00123742" w:rsidRPr="00505B4F" w:rsidRDefault="00123742" w:rsidP="00391ADB">
      <w:pPr>
        <w:jc w:val="both"/>
        <w:rPr>
          <w:rFonts w:ascii="Arial" w:hAnsi="Arial" w:cs="Arial"/>
          <w:color w:val="000000"/>
          <w:sz w:val="6"/>
          <w:szCs w:val="16"/>
        </w:rPr>
      </w:pPr>
    </w:p>
    <w:p w14:paraId="4407CAAA" w14:textId="77777777" w:rsidR="00934F9D" w:rsidRPr="00934F9D" w:rsidRDefault="00934F9D" w:rsidP="006F6BD9">
      <w:pPr>
        <w:jc w:val="both"/>
        <w:rPr>
          <w:rFonts w:ascii="Arial" w:hAnsi="Arial" w:cs="Arial"/>
          <w:color w:val="000000"/>
          <w:sz w:val="10"/>
          <w:szCs w:val="10"/>
        </w:rPr>
      </w:pPr>
    </w:p>
    <w:p w14:paraId="030B5E86" w14:textId="77777777" w:rsidR="00E0019C" w:rsidRDefault="006F6BD9" w:rsidP="006F6BD9">
      <w:pPr>
        <w:jc w:val="both"/>
        <w:rPr>
          <w:rFonts w:ascii="Arial" w:hAnsi="Arial" w:cs="Arial"/>
          <w:color w:val="000000"/>
          <w:sz w:val="21"/>
          <w:szCs w:val="21"/>
        </w:rPr>
      </w:pPr>
      <w:r>
        <w:rPr>
          <w:rFonts w:ascii="Arial" w:hAnsi="Arial" w:cs="Arial"/>
          <w:color w:val="000000"/>
          <w:sz w:val="21"/>
          <w:szCs w:val="21"/>
        </w:rPr>
        <w:t>I</w:t>
      </w:r>
      <w:r w:rsidRPr="005355BE">
        <w:rPr>
          <w:rFonts w:ascii="Arial" w:hAnsi="Arial" w:cs="Arial"/>
          <w:color w:val="000000"/>
          <w:sz w:val="21"/>
          <w:szCs w:val="21"/>
        </w:rPr>
        <w:t xml:space="preserve"> prezzi all’importazione segnano</w:t>
      </w:r>
      <w:r>
        <w:rPr>
          <w:rFonts w:ascii="Arial" w:hAnsi="Arial" w:cs="Arial"/>
          <w:color w:val="000000"/>
          <w:sz w:val="21"/>
          <w:szCs w:val="21"/>
        </w:rPr>
        <w:t xml:space="preserve"> incrementi</w:t>
      </w:r>
      <w:r w:rsidRPr="005355BE">
        <w:rPr>
          <w:rFonts w:ascii="Arial" w:hAnsi="Arial" w:cs="Arial"/>
          <w:color w:val="000000"/>
          <w:sz w:val="21"/>
          <w:szCs w:val="21"/>
        </w:rPr>
        <w:t xml:space="preserve"> tendenziali </w:t>
      </w:r>
      <w:r>
        <w:rPr>
          <w:rFonts w:ascii="Arial" w:hAnsi="Arial" w:cs="Arial"/>
          <w:color w:val="000000"/>
          <w:sz w:val="21"/>
          <w:szCs w:val="21"/>
        </w:rPr>
        <w:t xml:space="preserve">in quasi tutti i settori manifatturieri; i </w:t>
      </w:r>
      <w:r w:rsidRPr="005355BE">
        <w:rPr>
          <w:rFonts w:ascii="Arial" w:hAnsi="Arial" w:cs="Arial"/>
          <w:color w:val="000000"/>
          <w:sz w:val="21"/>
          <w:szCs w:val="21"/>
        </w:rPr>
        <w:t xml:space="preserve">più elevati </w:t>
      </w:r>
      <w:r>
        <w:rPr>
          <w:rFonts w:ascii="Arial" w:hAnsi="Arial" w:cs="Arial"/>
          <w:color w:val="000000"/>
          <w:sz w:val="21"/>
          <w:szCs w:val="21"/>
        </w:rPr>
        <w:t xml:space="preserve">interessano fabbricazione di </w:t>
      </w:r>
      <w:r w:rsidRPr="005355BE">
        <w:rPr>
          <w:rFonts w:ascii="Arial" w:hAnsi="Arial" w:cs="Arial"/>
          <w:color w:val="000000"/>
          <w:sz w:val="21"/>
          <w:szCs w:val="21"/>
        </w:rPr>
        <w:t>coke e pr</w:t>
      </w:r>
      <w:r>
        <w:rPr>
          <w:rFonts w:ascii="Arial" w:hAnsi="Arial" w:cs="Arial"/>
          <w:color w:val="000000"/>
          <w:sz w:val="21"/>
          <w:szCs w:val="21"/>
        </w:rPr>
        <w:t>odotti petroliferi raffinati (+31,7% Area euro, +21,8% Area non euro), m</w:t>
      </w:r>
      <w:r w:rsidRPr="00DA01C4">
        <w:rPr>
          <w:rFonts w:ascii="Arial" w:hAnsi="Arial" w:cs="Arial"/>
          <w:color w:val="000000"/>
          <w:sz w:val="21"/>
          <w:szCs w:val="21"/>
        </w:rPr>
        <w:t>etallurgia e fabbricazione di prodotti in metallo</w:t>
      </w:r>
      <w:r>
        <w:rPr>
          <w:rFonts w:ascii="Arial" w:hAnsi="Arial" w:cs="Arial"/>
          <w:color w:val="000000"/>
          <w:sz w:val="21"/>
          <w:szCs w:val="21"/>
        </w:rPr>
        <w:t xml:space="preserve">, </w:t>
      </w:r>
      <w:r w:rsidRPr="00DA01C4">
        <w:rPr>
          <w:rFonts w:ascii="Arial" w:hAnsi="Arial" w:cs="Arial"/>
          <w:color w:val="000000"/>
          <w:sz w:val="21"/>
          <w:szCs w:val="21"/>
        </w:rPr>
        <w:t>esclusi macchine e impianti</w:t>
      </w:r>
      <w:r>
        <w:rPr>
          <w:rFonts w:ascii="Arial" w:hAnsi="Arial" w:cs="Arial"/>
          <w:color w:val="000000"/>
          <w:sz w:val="21"/>
          <w:szCs w:val="21"/>
        </w:rPr>
        <w:t xml:space="preserve"> (+25,5% Area euro, +27,3% Area </w:t>
      </w:r>
    </w:p>
    <w:p w14:paraId="461984B4" w14:textId="77777777" w:rsidR="0020128C" w:rsidRDefault="0020128C" w:rsidP="006F6BD9">
      <w:pPr>
        <w:jc w:val="both"/>
        <w:rPr>
          <w:rFonts w:ascii="Arial" w:hAnsi="Arial" w:cs="Arial"/>
          <w:color w:val="000000"/>
          <w:sz w:val="21"/>
          <w:szCs w:val="21"/>
        </w:rPr>
      </w:pPr>
    </w:p>
    <w:p w14:paraId="012D2820" w14:textId="4E73A8A4" w:rsidR="006F6BD9" w:rsidRDefault="006F6BD9" w:rsidP="006F6BD9">
      <w:pPr>
        <w:jc w:val="both"/>
        <w:rPr>
          <w:rFonts w:ascii="Arial" w:hAnsi="Arial" w:cs="Arial"/>
          <w:color w:val="000000"/>
          <w:sz w:val="21"/>
          <w:szCs w:val="21"/>
        </w:rPr>
      </w:pPr>
      <w:r>
        <w:rPr>
          <w:rFonts w:ascii="Arial" w:hAnsi="Arial" w:cs="Arial"/>
          <w:color w:val="000000"/>
          <w:sz w:val="21"/>
          <w:szCs w:val="21"/>
        </w:rPr>
        <w:t xml:space="preserve">non euro), industria del legno, della carta e stampa (+23,3% Area euro, +24,7% Area non euro), fabbricazione di prodotti chimici (+24,4% Area euro, +16,3% Area non euro) e industrie alimentari, bevande e tabacco (+9,3% Area euro, +14,1% Area non euro). </w:t>
      </w:r>
    </w:p>
    <w:p w14:paraId="45493CFF" w14:textId="77777777" w:rsidR="006F6BD9" w:rsidRDefault="006F6BD9"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6F6BD9" w:rsidSect="009B2E91">
          <w:headerReference w:type="default" r:id="rId33"/>
          <w:pgSz w:w="11907" w:h="16840" w:code="9"/>
          <w:pgMar w:top="1534" w:right="851" w:bottom="680" w:left="851" w:header="567" w:footer="567" w:gutter="0"/>
          <w:cols w:space="720"/>
          <w:noEndnote/>
          <w:docGrid w:linePitch="272"/>
        </w:sectPr>
      </w:pPr>
    </w:p>
    <w:p w14:paraId="2CC81382" w14:textId="77777777" w:rsidR="00FE069A" w:rsidRDefault="00FE069A" w:rsidP="00010C7B">
      <w:pPr>
        <w:ind w:right="57"/>
        <w:jc w:val="both"/>
        <w:rPr>
          <w:rFonts w:ascii="Arial Narrow" w:hAnsi="Arial Narrow" w:cs="Arial"/>
          <w:b/>
          <w:color w:val="E42618"/>
          <w:sz w:val="22"/>
          <w:szCs w:val="22"/>
        </w:rPr>
      </w:pPr>
    </w:p>
    <w:p w14:paraId="12A12C42" w14:textId="738912B3" w:rsidR="00010C7B" w:rsidRPr="00AD4483" w:rsidRDefault="00010C7B" w:rsidP="00010C7B">
      <w:pPr>
        <w:ind w:right="57"/>
        <w:jc w:val="both"/>
        <w:rPr>
          <w:rFonts w:ascii="Arial Narrow" w:hAnsi="Arial Narrow" w:cs="Arial"/>
          <w:b/>
          <w:color w:val="5F5F5F"/>
          <w:sz w:val="22"/>
          <w:szCs w:val="22"/>
        </w:rPr>
      </w:pPr>
      <w:r w:rsidRPr="00AD4483">
        <w:rPr>
          <w:rFonts w:ascii="Arial Narrow" w:hAnsi="Arial Narrow" w:cs="Arial"/>
          <w:b/>
          <w:color w:val="E42618"/>
          <w:sz w:val="22"/>
          <w:szCs w:val="22"/>
        </w:rPr>
        <w:t xml:space="preserve">PROSPETTO </w:t>
      </w:r>
      <w:r w:rsidR="007D643E" w:rsidRPr="00AD4483">
        <w:rPr>
          <w:rFonts w:ascii="Arial Narrow" w:hAnsi="Arial Narrow" w:cs="Arial"/>
          <w:b/>
          <w:color w:val="E42618"/>
          <w:sz w:val="22"/>
          <w:szCs w:val="22"/>
        </w:rPr>
        <w:t>6</w:t>
      </w:r>
      <w:r w:rsidR="00E2032D">
        <w:rPr>
          <w:rFonts w:ascii="Arial Narrow" w:hAnsi="Arial Narrow" w:cs="Arial"/>
          <w:b/>
          <w:color w:val="E42618"/>
          <w:sz w:val="22"/>
          <w:szCs w:val="22"/>
        </w:rPr>
        <w:t>.</w:t>
      </w:r>
      <w:r w:rsidRPr="00AD4483">
        <w:rPr>
          <w:rFonts w:ascii="Arial Narrow" w:hAnsi="Arial Narrow" w:cs="Arial"/>
          <w:b/>
          <w:color w:val="5F5F5F"/>
        </w:rPr>
        <w:t xml:space="preserve"> </w:t>
      </w:r>
      <w:r w:rsidRPr="00AD4483">
        <w:rPr>
          <w:rFonts w:ascii="Arial Narrow" w:hAnsi="Arial Narrow" w:cs="Arial"/>
          <w:b/>
          <w:color w:val="5F5F5F"/>
          <w:sz w:val="22"/>
          <w:szCs w:val="22"/>
        </w:rPr>
        <w:t>ESPORTAZIONI E IMPORTAZIONI DI MERCI IN VALORE</w:t>
      </w:r>
    </w:p>
    <w:p w14:paraId="4C2BA523" w14:textId="2A8AB385" w:rsidR="00010C7B" w:rsidRPr="00FF4F6A" w:rsidRDefault="00376CE6" w:rsidP="00FF4F6A">
      <w:pPr>
        <w:pStyle w:val="Corpodeltesto1"/>
        <w:spacing w:after="120"/>
        <w:jc w:val="left"/>
        <w:rPr>
          <w:rFonts w:ascii="Arial Narrow" w:hAnsi="Arial Narrow" w:cs="Arial"/>
          <w:b w:val="0"/>
          <w:color w:val="5F5F5F"/>
          <w:kern w:val="28"/>
          <w:sz w:val="20"/>
          <w:szCs w:val="20"/>
        </w:rPr>
      </w:pPr>
      <w:r>
        <w:rPr>
          <w:rFonts w:ascii="Arial Narrow" w:hAnsi="Arial Narrow" w:cs="Arial"/>
          <w:b w:val="0"/>
          <w:color w:val="5F5F5F"/>
          <w:kern w:val="28"/>
          <w:sz w:val="20"/>
          <w:szCs w:val="20"/>
        </w:rPr>
        <w:t>Gennaio 2022</w:t>
      </w:r>
      <w:r w:rsidR="00010C7B" w:rsidRPr="00AD4483">
        <w:rPr>
          <w:rFonts w:ascii="Arial Narrow" w:hAnsi="Arial Narrow" w:cs="Arial"/>
          <w:b w:val="0"/>
          <w:color w:val="5F5F5F"/>
          <w:kern w:val="28"/>
          <w:sz w:val="20"/>
          <w:szCs w:val="20"/>
        </w:rPr>
        <w:t>, revisioni delle variazioni percentuali, differenze in punti percentuali</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458"/>
        <w:gridCol w:w="1456"/>
        <w:gridCol w:w="1456"/>
        <w:gridCol w:w="1410"/>
        <w:gridCol w:w="1531"/>
        <w:gridCol w:w="1426"/>
        <w:gridCol w:w="1469"/>
      </w:tblGrid>
      <w:tr w:rsidR="0090230D" w:rsidRPr="001C01EA" w14:paraId="4D1A5551" w14:textId="77777777" w:rsidTr="00D6552B">
        <w:trPr>
          <w:trHeight w:val="255"/>
        </w:trPr>
        <w:tc>
          <w:tcPr>
            <w:tcW w:w="1458" w:type="dxa"/>
            <w:tcBorders>
              <w:bottom w:val="nil"/>
            </w:tcBorders>
            <w:shd w:val="clear" w:color="auto" w:fill="auto"/>
            <w:vAlign w:val="center"/>
          </w:tcPr>
          <w:p w14:paraId="416AFC4B" w14:textId="77777777" w:rsidR="0090230D" w:rsidRPr="001C01EA" w:rsidRDefault="0090230D" w:rsidP="00C8610A">
            <w:pPr>
              <w:spacing w:before="40" w:after="20"/>
              <w:ind w:firstLine="142"/>
              <w:jc w:val="center"/>
              <w:rPr>
                <w:rFonts w:ascii="Arial Narrow" w:hAnsi="Arial Narrow" w:cs="Arial"/>
                <w:b/>
                <w:bCs/>
                <w:sz w:val="18"/>
                <w:szCs w:val="18"/>
              </w:rPr>
            </w:pPr>
          </w:p>
        </w:tc>
        <w:tc>
          <w:tcPr>
            <w:tcW w:w="2912" w:type="dxa"/>
            <w:gridSpan w:val="2"/>
            <w:tcBorders>
              <w:bottom w:val="single" w:sz="4" w:space="0" w:color="333333"/>
            </w:tcBorders>
            <w:shd w:val="clear" w:color="auto" w:fill="E6E6E6"/>
            <w:vAlign w:val="center"/>
          </w:tcPr>
          <w:p w14:paraId="405D9526" w14:textId="77777777" w:rsidR="0090230D" w:rsidRPr="001C01EA" w:rsidRDefault="0090230D" w:rsidP="00C8610A">
            <w:pPr>
              <w:spacing w:before="40" w:after="20"/>
              <w:ind w:firstLine="142"/>
              <w:jc w:val="center"/>
              <w:rPr>
                <w:rFonts w:ascii="Arial Narrow" w:hAnsi="Arial Narrow" w:cs="Arial"/>
                <w:b/>
                <w:bCs/>
                <w:sz w:val="18"/>
                <w:szCs w:val="18"/>
              </w:rPr>
            </w:pPr>
            <w:r w:rsidRPr="001C01EA">
              <w:rPr>
                <w:rFonts w:ascii="Arial Narrow" w:hAnsi="Arial Narrow" w:cs="Arial"/>
                <w:b/>
                <w:bCs/>
                <w:sz w:val="18"/>
                <w:szCs w:val="18"/>
              </w:rPr>
              <w:t>Mondo</w:t>
            </w:r>
          </w:p>
        </w:tc>
        <w:tc>
          <w:tcPr>
            <w:tcW w:w="2941" w:type="dxa"/>
            <w:gridSpan w:val="2"/>
            <w:tcBorders>
              <w:bottom w:val="single" w:sz="4" w:space="0" w:color="333333"/>
            </w:tcBorders>
            <w:vAlign w:val="center"/>
          </w:tcPr>
          <w:p w14:paraId="612FACB8" w14:textId="77777777" w:rsidR="0090230D" w:rsidRPr="001C01EA" w:rsidRDefault="0090230D" w:rsidP="00C8610A">
            <w:pPr>
              <w:spacing w:before="40" w:after="20"/>
              <w:jc w:val="center"/>
              <w:rPr>
                <w:rFonts w:ascii="Arial Narrow" w:hAnsi="Arial Narrow" w:cs="Arial"/>
                <w:b/>
                <w:bCs/>
                <w:sz w:val="18"/>
                <w:szCs w:val="18"/>
              </w:rPr>
            </w:pPr>
            <w:r w:rsidRPr="001C01EA">
              <w:rPr>
                <w:rFonts w:ascii="Arial Narrow" w:hAnsi="Arial Narrow" w:cs="Arial"/>
                <w:b/>
                <w:bCs/>
                <w:sz w:val="18"/>
                <w:szCs w:val="18"/>
              </w:rPr>
              <w:t>Paesi Ue</w:t>
            </w:r>
            <w:r>
              <w:rPr>
                <w:rFonts w:ascii="Arial Narrow" w:hAnsi="Arial Narrow" w:cs="Arial"/>
                <w:b/>
                <w:bCs/>
                <w:sz w:val="18"/>
                <w:szCs w:val="18"/>
              </w:rPr>
              <w:t>27</w:t>
            </w:r>
          </w:p>
        </w:tc>
        <w:tc>
          <w:tcPr>
            <w:tcW w:w="2895" w:type="dxa"/>
            <w:gridSpan w:val="2"/>
            <w:tcBorders>
              <w:bottom w:val="single" w:sz="4" w:space="0" w:color="333333"/>
            </w:tcBorders>
            <w:shd w:val="clear" w:color="auto" w:fill="E6E6E6"/>
            <w:vAlign w:val="center"/>
          </w:tcPr>
          <w:p w14:paraId="7D01E77B" w14:textId="77777777" w:rsidR="0090230D" w:rsidRPr="001C01EA" w:rsidRDefault="0090230D" w:rsidP="006629BE">
            <w:pPr>
              <w:spacing w:before="40" w:after="20"/>
              <w:jc w:val="center"/>
              <w:rPr>
                <w:rFonts w:ascii="Arial Narrow" w:hAnsi="Arial Narrow" w:cs="Arial"/>
                <w:b/>
                <w:bCs/>
                <w:sz w:val="18"/>
                <w:szCs w:val="18"/>
              </w:rPr>
            </w:pPr>
            <w:r w:rsidRPr="001C01EA">
              <w:rPr>
                <w:rFonts w:ascii="Arial Narrow" w:hAnsi="Arial Narrow" w:cs="Arial"/>
                <w:b/>
                <w:bCs/>
                <w:sz w:val="18"/>
                <w:szCs w:val="18"/>
              </w:rPr>
              <w:t>Paesi extra Ue</w:t>
            </w:r>
            <w:r>
              <w:rPr>
                <w:rFonts w:ascii="Arial Narrow" w:hAnsi="Arial Narrow" w:cs="Arial"/>
                <w:b/>
                <w:bCs/>
                <w:sz w:val="18"/>
                <w:szCs w:val="18"/>
              </w:rPr>
              <w:t>27</w:t>
            </w:r>
          </w:p>
        </w:tc>
      </w:tr>
      <w:tr w:rsidR="0090230D" w:rsidRPr="001C01EA" w14:paraId="2C5C6C71" w14:textId="77777777" w:rsidTr="00D6552B">
        <w:trPr>
          <w:trHeight w:val="255"/>
        </w:trPr>
        <w:tc>
          <w:tcPr>
            <w:tcW w:w="1458" w:type="dxa"/>
            <w:tcBorders>
              <w:top w:val="nil"/>
              <w:bottom w:val="nil"/>
            </w:tcBorders>
            <w:shd w:val="clear" w:color="auto" w:fill="auto"/>
            <w:vAlign w:val="center"/>
          </w:tcPr>
          <w:p w14:paraId="0647D32E" w14:textId="77777777" w:rsidR="0090230D" w:rsidRPr="001C01EA" w:rsidRDefault="0090230D" w:rsidP="00C8610A">
            <w:pPr>
              <w:spacing w:before="40" w:after="20"/>
              <w:jc w:val="center"/>
              <w:rPr>
                <w:rFonts w:ascii="Arial Narrow" w:hAnsi="Arial Narrow" w:cs="Arial"/>
                <w:bCs/>
                <w:sz w:val="18"/>
                <w:szCs w:val="18"/>
              </w:rPr>
            </w:pPr>
          </w:p>
        </w:tc>
        <w:tc>
          <w:tcPr>
            <w:tcW w:w="1456" w:type="dxa"/>
            <w:shd w:val="clear" w:color="auto" w:fill="E6E6E6"/>
            <w:vAlign w:val="center"/>
          </w:tcPr>
          <w:p w14:paraId="0C7D3B85"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56" w:type="dxa"/>
            <w:vAlign w:val="center"/>
          </w:tcPr>
          <w:p w14:paraId="3B610C72"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10" w:type="dxa"/>
            <w:shd w:val="clear" w:color="auto" w:fill="E6E6E6"/>
            <w:vAlign w:val="center"/>
          </w:tcPr>
          <w:p w14:paraId="152754EC"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531" w:type="dxa"/>
            <w:vAlign w:val="center"/>
          </w:tcPr>
          <w:p w14:paraId="20F19D9B"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426" w:type="dxa"/>
            <w:shd w:val="clear" w:color="auto" w:fill="E6E6E6"/>
            <w:vAlign w:val="center"/>
          </w:tcPr>
          <w:p w14:paraId="7037FBCD"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469" w:type="dxa"/>
            <w:vAlign w:val="center"/>
          </w:tcPr>
          <w:p w14:paraId="2EC3E607" w14:textId="77777777" w:rsidR="0090230D" w:rsidRPr="001C01EA" w:rsidRDefault="0090230D" w:rsidP="00C8610A">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90230D" w:rsidRPr="001C01EA" w14:paraId="024E6F6A" w14:textId="77777777" w:rsidTr="00D6552B">
        <w:trPr>
          <w:trHeight w:val="255"/>
        </w:trPr>
        <w:tc>
          <w:tcPr>
            <w:tcW w:w="10206" w:type="dxa"/>
            <w:gridSpan w:val="7"/>
            <w:shd w:val="clear" w:color="auto" w:fill="FFFFFF"/>
            <w:vAlign w:val="center"/>
          </w:tcPr>
          <w:p w14:paraId="70B8F2FB" w14:textId="37C6D02B" w:rsidR="0090230D" w:rsidRPr="00010C7B" w:rsidRDefault="00376CE6" w:rsidP="00C8610A">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Gennaio</w:t>
            </w:r>
            <w:r w:rsidR="00760BF5">
              <w:rPr>
                <w:rFonts w:ascii="Arial Narrow" w:hAnsi="Arial Narrow" w:cs="Arial Narrow"/>
                <w:b/>
                <w:color w:val="000000"/>
                <w:sz w:val="18"/>
                <w:szCs w:val="18"/>
              </w:rPr>
              <w:t xml:space="preserve"> </w:t>
            </w:r>
            <w:r w:rsidR="0090230D">
              <w:rPr>
                <w:rFonts w:ascii="Arial Narrow" w:hAnsi="Arial Narrow" w:cs="Arial Narrow"/>
                <w:b/>
                <w:color w:val="000000"/>
                <w:sz w:val="18"/>
                <w:szCs w:val="18"/>
              </w:rPr>
              <w:t>202</w:t>
            </w:r>
            <w:r>
              <w:rPr>
                <w:rFonts w:ascii="Arial Narrow" w:hAnsi="Arial Narrow" w:cs="Arial Narrow"/>
                <w:b/>
                <w:color w:val="000000"/>
                <w:sz w:val="18"/>
                <w:szCs w:val="18"/>
              </w:rPr>
              <w:t>2</w:t>
            </w:r>
          </w:p>
        </w:tc>
      </w:tr>
      <w:tr w:rsidR="00406568" w:rsidRPr="008C0651" w14:paraId="5BA71B94" w14:textId="77777777" w:rsidTr="00D6552B">
        <w:trPr>
          <w:trHeight w:val="255"/>
        </w:trPr>
        <w:tc>
          <w:tcPr>
            <w:tcW w:w="1458" w:type="dxa"/>
            <w:shd w:val="clear" w:color="auto" w:fill="E6E6E6"/>
            <w:vAlign w:val="center"/>
          </w:tcPr>
          <w:p w14:paraId="1614DC19"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394C7377"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44F6788B"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3E7B3DF2"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19043167"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50E7F0A4" w14:textId="2892BB95"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+0,2</w:t>
            </w:r>
          </w:p>
        </w:tc>
        <w:tc>
          <w:tcPr>
            <w:tcW w:w="1469" w:type="dxa"/>
            <w:vAlign w:val="center"/>
          </w:tcPr>
          <w:p w14:paraId="6D07B491" w14:textId="62F9B2A1"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+0,1</w:t>
            </w:r>
          </w:p>
        </w:tc>
      </w:tr>
      <w:tr w:rsidR="00406568" w:rsidRPr="008C0651" w14:paraId="18CA9FA4" w14:textId="77777777" w:rsidTr="00D6552B">
        <w:trPr>
          <w:trHeight w:val="255"/>
        </w:trPr>
        <w:tc>
          <w:tcPr>
            <w:tcW w:w="1458" w:type="dxa"/>
            <w:shd w:val="clear" w:color="auto" w:fill="E6E6E6"/>
            <w:vAlign w:val="center"/>
          </w:tcPr>
          <w:p w14:paraId="34D9F52D"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289F9538"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56" w:type="dxa"/>
            <w:vAlign w:val="center"/>
          </w:tcPr>
          <w:p w14:paraId="0D2C3EF8"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10" w:type="dxa"/>
            <w:shd w:val="clear" w:color="auto" w:fill="E6E6E6"/>
            <w:vAlign w:val="center"/>
          </w:tcPr>
          <w:p w14:paraId="7578575A"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531" w:type="dxa"/>
            <w:vAlign w:val="center"/>
          </w:tcPr>
          <w:p w14:paraId="24BC1ECB"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w:t>
            </w:r>
          </w:p>
        </w:tc>
        <w:tc>
          <w:tcPr>
            <w:tcW w:w="1426" w:type="dxa"/>
            <w:shd w:val="clear" w:color="auto" w:fill="E6E6E6"/>
            <w:vAlign w:val="center"/>
          </w:tcPr>
          <w:p w14:paraId="5FF61867" w14:textId="3E210FB9"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0,0</w:t>
            </w:r>
          </w:p>
        </w:tc>
        <w:tc>
          <w:tcPr>
            <w:tcW w:w="1469" w:type="dxa"/>
            <w:vAlign w:val="center"/>
          </w:tcPr>
          <w:p w14:paraId="7F130C45" w14:textId="1CF5F276"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+0,2</w:t>
            </w:r>
          </w:p>
        </w:tc>
      </w:tr>
      <w:tr w:rsidR="0090230D" w:rsidRPr="001C01EA" w14:paraId="30C2BF91" w14:textId="77777777" w:rsidTr="00D6552B">
        <w:trPr>
          <w:trHeight w:val="255"/>
        </w:trPr>
        <w:tc>
          <w:tcPr>
            <w:tcW w:w="10206" w:type="dxa"/>
            <w:gridSpan w:val="7"/>
            <w:shd w:val="clear" w:color="auto" w:fill="FFFFFF"/>
            <w:vAlign w:val="center"/>
          </w:tcPr>
          <w:p w14:paraId="305B11B3" w14:textId="431CBCA2" w:rsidR="0090230D" w:rsidRPr="00010C7B" w:rsidRDefault="00376CE6" w:rsidP="00C8610A">
            <w:pPr>
              <w:spacing w:before="40" w:after="20"/>
              <w:jc w:val="center"/>
              <w:rPr>
                <w:rFonts w:ascii="Arial Narrow" w:hAnsi="Arial Narrow" w:cs="Arial Narrow"/>
                <w:b/>
                <w:color w:val="000000"/>
                <w:sz w:val="18"/>
                <w:szCs w:val="18"/>
              </w:rPr>
            </w:pPr>
            <w:r>
              <w:rPr>
                <w:rFonts w:ascii="Arial Narrow" w:hAnsi="Arial Narrow" w:cs="Arial Narrow"/>
                <w:b/>
                <w:color w:val="000000"/>
                <w:sz w:val="18"/>
                <w:szCs w:val="18"/>
              </w:rPr>
              <w:t>Dicembre</w:t>
            </w:r>
            <w:r w:rsidR="0090230D">
              <w:rPr>
                <w:rFonts w:ascii="Arial Narrow" w:hAnsi="Arial Narrow" w:cs="Arial Narrow"/>
                <w:b/>
                <w:color w:val="000000"/>
                <w:sz w:val="18"/>
                <w:szCs w:val="18"/>
              </w:rPr>
              <w:t xml:space="preserve"> 202</w:t>
            </w:r>
            <w:r w:rsidR="00D35D89">
              <w:rPr>
                <w:rFonts w:ascii="Arial Narrow" w:hAnsi="Arial Narrow" w:cs="Arial Narrow"/>
                <w:b/>
                <w:color w:val="000000"/>
                <w:sz w:val="18"/>
                <w:szCs w:val="18"/>
              </w:rPr>
              <w:t>1</w:t>
            </w:r>
          </w:p>
        </w:tc>
      </w:tr>
      <w:tr w:rsidR="00406568" w:rsidRPr="008C0651" w14:paraId="39380601" w14:textId="77777777" w:rsidTr="00D6552B">
        <w:trPr>
          <w:trHeight w:val="255"/>
        </w:trPr>
        <w:tc>
          <w:tcPr>
            <w:tcW w:w="1458" w:type="dxa"/>
            <w:shd w:val="clear" w:color="auto" w:fill="E6E6E6"/>
            <w:vAlign w:val="center"/>
          </w:tcPr>
          <w:p w14:paraId="3A3BF8B7"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Export</w:t>
            </w:r>
          </w:p>
        </w:tc>
        <w:tc>
          <w:tcPr>
            <w:tcW w:w="1456" w:type="dxa"/>
            <w:shd w:val="clear" w:color="auto" w:fill="E6E6E6"/>
            <w:vAlign w:val="center"/>
          </w:tcPr>
          <w:p w14:paraId="29C1528F" w14:textId="03E9541F"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0,0</w:t>
            </w:r>
          </w:p>
        </w:tc>
        <w:tc>
          <w:tcPr>
            <w:tcW w:w="1456" w:type="dxa"/>
            <w:vAlign w:val="center"/>
          </w:tcPr>
          <w:p w14:paraId="7888F5C3" w14:textId="49D70B4B"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+0,1</w:t>
            </w:r>
          </w:p>
        </w:tc>
        <w:tc>
          <w:tcPr>
            <w:tcW w:w="1410" w:type="dxa"/>
            <w:shd w:val="clear" w:color="auto" w:fill="E6E6E6"/>
            <w:vAlign w:val="center"/>
          </w:tcPr>
          <w:p w14:paraId="3949346C" w14:textId="4DE9C7E6"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0,0</w:t>
            </w:r>
          </w:p>
        </w:tc>
        <w:tc>
          <w:tcPr>
            <w:tcW w:w="1531" w:type="dxa"/>
            <w:vAlign w:val="center"/>
          </w:tcPr>
          <w:p w14:paraId="486CF35E" w14:textId="211DDE08"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+0,1</w:t>
            </w:r>
          </w:p>
        </w:tc>
        <w:tc>
          <w:tcPr>
            <w:tcW w:w="1426" w:type="dxa"/>
            <w:shd w:val="clear" w:color="auto" w:fill="E6E6E6"/>
            <w:vAlign w:val="center"/>
          </w:tcPr>
          <w:p w14:paraId="16C138B7" w14:textId="31D2D8AD" w:rsidR="00406568" w:rsidRDefault="00406568" w:rsidP="00406568">
            <w:pPr>
              <w:jc w:val="center"/>
              <w:rPr>
                <w:rFonts w:ascii="Arial Narrow" w:hAnsi="Arial Narrow"/>
                <w:color w:val="000000"/>
                <w:sz w:val="18"/>
                <w:szCs w:val="18"/>
              </w:rPr>
            </w:pPr>
            <w:r>
              <w:rPr>
                <w:rFonts w:ascii="Arial Narrow" w:hAnsi="Arial Narrow"/>
                <w:color w:val="000000"/>
                <w:sz w:val="18"/>
                <w:szCs w:val="18"/>
              </w:rPr>
              <w:t>-</w:t>
            </w:r>
          </w:p>
        </w:tc>
        <w:tc>
          <w:tcPr>
            <w:tcW w:w="1469" w:type="dxa"/>
            <w:vAlign w:val="center"/>
          </w:tcPr>
          <w:p w14:paraId="0DA9769C" w14:textId="274632E6"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+0,1</w:t>
            </w:r>
          </w:p>
        </w:tc>
      </w:tr>
      <w:tr w:rsidR="00406568" w:rsidRPr="008C0651" w14:paraId="1FE9FEC0" w14:textId="77777777" w:rsidTr="00D6552B">
        <w:trPr>
          <w:trHeight w:val="255"/>
        </w:trPr>
        <w:tc>
          <w:tcPr>
            <w:tcW w:w="1458" w:type="dxa"/>
            <w:shd w:val="clear" w:color="auto" w:fill="E6E6E6"/>
            <w:vAlign w:val="center"/>
          </w:tcPr>
          <w:p w14:paraId="354B2B35" w14:textId="77777777" w:rsidR="00406568" w:rsidRPr="00C479EF" w:rsidRDefault="00406568" w:rsidP="00406568">
            <w:pPr>
              <w:spacing w:before="40" w:after="20"/>
              <w:jc w:val="center"/>
              <w:rPr>
                <w:rFonts w:ascii="Arial Narrow" w:hAnsi="Arial Narrow" w:cs="Arial"/>
                <w:bCs/>
                <w:sz w:val="18"/>
                <w:szCs w:val="18"/>
              </w:rPr>
            </w:pPr>
            <w:r w:rsidRPr="00C479EF">
              <w:rPr>
                <w:rFonts w:ascii="Arial Narrow" w:hAnsi="Arial Narrow" w:cs="Arial"/>
                <w:bCs/>
                <w:sz w:val="18"/>
                <w:szCs w:val="18"/>
              </w:rPr>
              <w:t>Import</w:t>
            </w:r>
          </w:p>
        </w:tc>
        <w:tc>
          <w:tcPr>
            <w:tcW w:w="1456" w:type="dxa"/>
            <w:shd w:val="clear" w:color="auto" w:fill="E6E6E6"/>
            <w:vAlign w:val="center"/>
          </w:tcPr>
          <w:p w14:paraId="1FC557BD" w14:textId="765CE5C1"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+0,5</w:t>
            </w:r>
          </w:p>
        </w:tc>
        <w:tc>
          <w:tcPr>
            <w:tcW w:w="1456" w:type="dxa"/>
            <w:vAlign w:val="center"/>
          </w:tcPr>
          <w:p w14:paraId="70C3AC13" w14:textId="447D73AC" w:rsidR="00406568" w:rsidRDefault="00EC0A4D" w:rsidP="00EC0A4D">
            <w:pPr>
              <w:jc w:val="center"/>
              <w:rPr>
                <w:rFonts w:ascii="Arial Narrow" w:hAnsi="Arial Narrow"/>
                <w:color w:val="000000"/>
                <w:sz w:val="18"/>
                <w:szCs w:val="18"/>
              </w:rPr>
            </w:pPr>
            <w:r>
              <w:rPr>
                <w:rFonts w:ascii="Arial Narrow" w:hAnsi="Arial Narrow"/>
                <w:color w:val="000000"/>
                <w:sz w:val="18"/>
                <w:szCs w:val="18"/>
              </w:rPr>
              <w:t>n.d.</w:t>
            </w:r>
          </w:p>
        </w:tc>
        <w:tc>
          <w:tcPr>
            <w:tcW w:w="1410" w:type="dxa"/>
            <w:shd w:val="clear" w:color="auto" w:fill="E6E6E6"/>
            <w:vAlign w:val="center"/>
          </w:tcPr>
          <w:p w14:paraId="1DAD3A82" w14:textId="44746650"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+0,8</w:t>
            </w:r>
          </w:p>
        </w:tc>
        <w:tc>
          <w:tcPr>
            <w:tcW w:w="1531" w:type="dxa"/>
            <w:vAlign w:val="center"/>
          </w:tcPr>
          <w:p w14:paraId="19AA4C65" w14:textId="69162155" w:rsidR="00406568" w:rsidRDefault="00406568" w:rsidP="00406568">
            <w:pPr>
              <w:jc w:val="center"/>
              <w:rPr>
                <w:rFonts w:ascii="Arial Narrow" w:hAnsi="Arial Narrow"/>
                <w:color w:val="000000"/>
                <w:sz w:val="18"/>
                <w:szCs w:val="18"/>
              </w:rPr>
            </w:pPr>
            <w:r>
              <w:rPr>
                <w:rFonts w:ascii="Arial Narrow" w:hAnsi="Arial Narrow"/>
                <w:color w:val="000000"/>
                <w:sz w:val="18"/>
                <w:szCs w:val="18"/>
              </w:rPr>
              <w:t>+0,5</w:t>
            </w:r>
          </w:p>
        </w:tc>
        <w:tc>
          <w:tcPr>
            <w:tcW w:w="1426" w:type="dxa"/>
            <w:shd w:val="clear" w:color="auto" w:fill="E6E6E6"/>
            <w:vAlign w:val="center"/>
          </w:tcPr>
          <w:p w14:paraId="354176E3" w14:textId="3B741D7A" w:rsidR="00406568" w:rsidRDefault="00406568" w:rsidP="00406568">
            <w:pPr>
              <w:jc w:val="center"/>
              <w:rPr>
                <w:rFonts w:ascii="Arial Narrow" w:hAnsi="Arial Narrow"/>
                <w:color w:val="000000"/>
                <w:sz w:val="18"/>
                <w:szCs w:val="18"/>
              </w:rPr>
            </w:pPr>
            <w:r>
              <w:rPr>
                <w:rFonts w:ascii="Arial Narrow" w:hAnsi="Arial Narrow"/>
                <w:color w:val="000000"/>
                <w:sz w:val="18"/>
                <w:szCs w:val="18"/>
              </w:rPr>
              <w:t>-</w:t>
            </w:r>
          </w:p>
        </w:tc>
        <w:tc>
          <w:tcPr>
            <w:tcW w:w="1469" w:type="dxa"/>
            <w:vAlign w:val="center"/>
          </w:tcPr>
          <w:p w14:paraId="2B7AC526" w14:textId="7ECE10EF" w:rsidR="00406568" w:rsidRDefault="00EC0A4D" w:rsidP="00406568">
            <w:pPr>
              <w:jc w:val="center"/>
              <w:rPr>
                <w:rFonts w:ascii="Arial Narrow" w:hAnsi="Arial Narrow"/>
                <w:color w:val="000000"/>
                <w:sz w:val="18"/>
                <w:szCs w:val="18"/>
              </w:rPr>
            </w:pPr>
            <w:r>
              <w:rPr>
                <w:rFonts w:ascii="Arial Narrow" w:hAnsi="Arial Narrow"/>
                <w:color w:val="000000"/>
                <w:sz w:val="18"/>
                <w:szCs w:val="18"/>
              </w:rPr>
              <w:t>n.d.</w:t>
            </w:r>
          </w:p>
        </w:tc>
      </w:tr>
    </w:tbl>
    <w:p w14:paraId="6EDECB36" w14:textId="148B9B52" w:rsidR="006629BE" w:rsidRDefault="006629BE" w:rsidP="00072C03">
      <w:pPr>
        <w:ind w:right="28"/>
        <w:jc w:val="both"/>
        <w:rPr>
          <w:rFonts w:ascii="Arial" w:hAnsi="Arial" w:cs="Arial"/>
          <w:color w:val="000000"/>
          <w:sz w:val="21"/>
          <w:szCs w:val="21"/>
        </w:rPr>
      </w:pPr>
    </w:p>
    <w:p w14:paraId="4AD25D59" w14:textId="77777777" w:rsidR="00D6552B" w:rsidRPr="00D6552B" w:rsidRDefault="00D6552B" w:rsidP="00072C03">
      <w:pPr>
        <w:ind w:right="28"/>
        <w:jc w:val="both"/>
        <w:rPr>
          <w:rFonts w:ascii="Arial" w:hAnsi="Arial" w:cs="Arial"/>
          <w:color w:val="000000"/>
          <w:sz w:val="10"/>
          <w:szCs w:val="10"/>
        </w:rPr>
      </w:pPr>
    </w:p>
    <w:p w14:paraId="7426D10C" w14:textId="77777777" w:rsidR="006629BE" w:rsidRDefault="006629BE" w:rsidP="00072C03">
      <w:pPr>
        <w:ind w:right="28"/>
        <w:jc w:val="both"/>
        <w:rPr>
          <w:rFonts w:ascii="Arial Narrow" w:hAnsi="Arial Narrow" w:cs="Arial"/>
          <w:b/>
          <w:color w:val="E42618"/>
          <w:sz w:val="22"/>
          <w:szCs w:val="22"/>
        </w:rPr>
      </w:pPr>
    </w:p>
    <w:p w14:paraId="102EB212" w14:textId="77777777" w:rsidR="00072C03" w:rsidRPr="00B13780" w:rsidRDefault="00B076CD" w:rsidP="00072C03">
      <w:pPr>
        <w:ind w:right="28"/>
        <w:jc w:val="both"/>
        <w:rPr>
          <w:rFonts w:ascii="Arial Narrow" w:hAnsi="Arial Narrow" w:cs="Arial"/>
          <w:b/>
          <w:color w:val="5F5F5F"/>
          <w:sz w:val="22"/>
          <w:szCs w:val="22"/>
        </w:rPr>
      </w:pPr>
      <w:r w:rsidRPr="00B13780">
        <w:rPr>
          <w:rFonts w:ascii="Arial Narrow" w:hAnsi="Arial Narrow" w:cs="Arial"/>
          <w:b/>
          <w:color w:val="E42618"/>
          <w:sz w:val="22"/>
          <w:szCs w:val="22"/>
        </w:rPr>
        <w:t xml:space="preserve">PROSPETTO </w:t>
      </w:r>
      <w:r w:rsidR="007D643E" w:rsidRPr="00B13780">
        <w:rPr>
          <w:rFonts w:ascii="Arial Narrow" w:hAnsi="Arial Narrow" w:cs="Arial"/>
          <w:b/>
          <w:color w:val="E42618"/>
          <w:sz w:val="22"/>
          <w:szCs w:val="22"/>
        </w:rPr>
        <w:t>7</w:t>
      </w:r>
      <w:r w:rsidRPr="00B13780">
        <w:rPr>
          <w:rFonts w:ascii="Arial Narrow" w:hAnsi="Arial Narrow" w:cs="Arial"/>
          <w:b/>
          <w:color w:val="E42618"/>
          <w:sz w:val="22"/>
          <w:szCs w:val="22"/>
        </w:rPr>
        <w:t>.</w:t>
      </w:r>
      <w:r w:rsidRPr="00B13780">
        <w:rPr>
          <w:rFonts w:ascii="Arial Narrow" w:hAnsi="Arial Narrow" w:cs="Arial"/>
          <w:b/>
          <w:color w:val="5F5F5F"/>
        </w:rPr>
        <w:t xml:space="preserve"> </w:t>
      </w:r>
      <w:r w:rsidR="00B13FB7" w:rsidRPr="00B13780">
        <w:rPr>
          <w:rFonts w:ascii="Arial Narrow" w:hAnsi="Arial Narrow" w:cs="Arial"/>
          <w:b/>
          <w:color w:val="5F5F5F"/>
          <w:sz w:val="22"/>
          <w:szCs w:val="22"/>
        </w:rPr>
        <w:t>PREZZI ALL’IMPORTAZIONE</w:t>
      </w:r>
    </w:p>
    <w:p w14:paraId="6A7227FD" w14:textId="6545CB21" w:rsidR="009370E6" w:rsidRPr="006304A5" w:rsidRDefault="00376CE6" w:rsidP="009370E6">
      <w:pPr>
        <w:pStyle w:val="Corpodeltesto1"/>
        <w:spacing w:after="120"/>
        <w:jc w:val="left"/>
        <w:rPr>
          <w:rFonts w:ascii="Arial Narrow" w:hAnsi="Arial Narrow" w:cs="Arial"/>
          <w:b w:val="0"/>
          <w:bCs/>
          <w:sz w:val="19"/>
          <w:szCs w:val="19"/>
        </w:rPr>
      </w:pPr>
      <w:r>
        <w:rPr>
          <w:rFonts w:ascii="Arial Narrow" w:hAnsi="Arial Narrow" w:cs="Arial"/>
          <w:b w:val="0"/>
          <w:color w:val="5F5F5F"/>
          <w:kern w:val="28"/>
          <w:sz w:val="20"/>
          <w:szCs w:val="20"/>
        </w:rPr>
        <w:t>Dicembre</w:t>
      </w:r>
      <w:r w:rsidR="00606941" w:rsidRPr="00B13780">
        <w:rPr>
          <w:rFonts w:ascii="Arial Narrow" w:hAnsi="Arial Narrow" w:cs="Arial"/>
          <w:b w:val="0"/>
          <w:color w:val="5F5F5F"/>
          <w:kern w:val="28"/>
          <w:sz w:val="20"/>
          <w:szCs w:val="20"/>
        </w:rPr>
        <w:t xml:space="preserve"> </w:t>
      </w:r>
      <w:r w:rsidR="00D35D89" w:rsidRPr="00B13780">
        <w:rPr>
          <w:rFonts w:ascii="Arial Narrow" w:hAnsi="Arial Narrow" w:cs="Arial"/>
          <w:b w:val="0"/>
          <w:color w:val="5F5F5F"/>
          <w:kern w:val="28"/>
          <w:sz w:val="20"/>
          <w:szCs w:val="20"/>
        </w:rPr>
        <w:t>2021</w:t>
      </w:r>
      <w:r w:rsidR="00B076CD" w:rsidRPr="00B13780">
        <w:rPr>
          <w:rFonts w:ascii="Arial Narrow" w:hAnsi="Arial Narrow" w:cs="Arial"/>
          <w:b w:val="0"/>
          <w:color w:val="5F5F5F"/>
          <w:kern w:val="28"/>
          <w:sz w:val="20"/>
          <w:szCs w:val="20"/>
        </w:rPr>
        <w:t xml:space="preserve">, revisioni delle variazioni percentuali, differenze in punti percentuali </w:t>
      </w:r>
      <w:r w:rsidR="009370E6" w:rsidRPr="00B13780">
        <w:rPr>
          <w:rFonts w:ascii="Arial Narrow" w:hAnsi="Arial Narrow" w:cs="Arial"/>
          <w:b w:val="0"/>
          <w:color w:val="5F5F5F"/>
          <w:kern w:val="28"/>
          <w:sz w:val="20"/>
          <w:szCs w:val="20"/>
        </w:rPr>
        <w:t>(base 2015=100)</w:t>
      </w:r>
    </w:p>
    <w:tbl>
      <w:tblPr>
        <w:tblW w:w="10206" w:type="dxa"/>
        <w:tblBorders>
          <w:top w:val="single" w:sz="4" w:space="0" w:color="333333"/>
          <w:bottom w:val="single" w:sz="4" w:space="0" w:color="333333"/>
          <w:insideH w:val="single" w:sz="4" w:space="0" w:color="333333"/>
        </w:tblBorders>
        <w:tblLook w:val="01E0" w:firstRow="1" w:lastRow="1" w:firstColumn="1" w:lastColumn="1" w:noHBand="0" w:noVBand="0"/>
      </w:tblPr>
      <w:tblGrid>
        <w:gridCol w:w="1698"/>
        <w:gridCol w:w="1697"/>
        <w:gridCol w:w="1645"/>
        <w:gridCol w:w="1787"/>
        <w:gridCol w:w="1663"/>
        <w:gridCol w:w="1716"/>
      </w:tblGrid>
      <w:tr w:rsidR="00B076CD" w:rsidRPr="001C01EA" w14:paraId="1772340B" w14:textId="77777777" w:rsidTr="00D6552B">
        <w:trPr>
          <w:trHeight w:val="255"/>
        </w:trPr>
        <w:tc>
          <w:tcPr>
            <w:tcW w:w="3395" w:type="dxa"/>
            <w:gridSpan w:val="2"/>
            <w:tcBorders>
              <w:bottom w:val="single" w:sz="4" w:space="0" w:color="333333"/>
            </w:tcBorders>
            <w:shd w:val="clear" w:color="auto" w:fill="E6E6E6"/>
            <w:vAlign w:val="center"/>
          </w:tcPr>
          <w:p w14:paraId="387511BE" w14:textId="77777777" w:rsidR="00B076CD" w:rsidRPr="001C01EA" w:rsidRDefault="00B076CD" w:rsidP="00593C33">
            <w:pPr>
              <w:spacing w:before="40" w:after="20"/>
              <w:ind w:left="-142" w:firstLine="142"/>
              <w:jc w:val="center"/>
              <w:rPr>
                <w:rFonts w:ascii="Arial Narrow" w:hAnsi="Arial Narrow" w:cs="Arial"/>
                <w:b/>
                <w:bCs/>
                <w:sz w:val="18"/>
                <w:szCs w:val="18"/>
              </w:rPr>
            </w:pPr>
            <w:r w:rsidRPr="001C01EA">
              <w:rPr>
                <w:rFonts w:ascii="Arial Narrow" w:hAnsi="Arial Narrow" w:cs="Arial"/>
                <w:b/>
                <w:bCs/>
                <w:sz w:val="18"/>
                <w:szCs w:val="18"/>
              </w:rPr>
              <w:t>Totale</w:t>
            </w:r>
          </w:p>
        </w:tc>
        <w:tc>
          <w:tcPr>
            <w:tcW w:w="3432" w:type="dxa"/>
            <w:gridSpan w:val="2"/>
            <w:tcBorders>
              <w:bottom w:val="single" w:sz="4" w:space="0" w:color="333333"/>
            </w:tcBorders>
            <w:vAlign w:val="center"/>
          </w:tcPr>
          <w:p w14:paraId="7E367106"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euro</w:t>
            </w:r>
          </w:p>
        </w:tc>
        <w:tc>
          <w:tcPr>
            <w:tcW w:w="3379" w:type="dxa"/>
            <w:gridSpan w:val="2"/>
            <w:tcBorders>
              <w:bottom w:val="single" w:sz="4" w:space="0" w:color="333333"/>
            </w:tcBorders>
            <w:shd w:val="clear" w:color="auto" w:fill="E6E6E6"/>
            <w:vAlign w:val="center"/>
          </w:tcPr>
          <w:p w14:paraId="099AEC91" w14:textId="77777777" w:rsidR="00B076CD" w:rsidRPr="001C01EA" w:rsidRDefault="00B076CD" w:rsidP="00593C33">
            <w:pPr>
              <w:spacing w:before="40" w:after="20"/>
              <w:jc w:val="center"/>
              <w:rPr>
                <w:rFonts w:ascii="Arial Narrow" w:hAnsi="Arial Narrow" w:cs="Arial"/>
                <w:b/>
                <w:bCs/>
                <w:sz w:val="18"/>
                <w:szCs w:val="18"/>
              </w:rPr>
            </w:pPr>
            <w:r>
              <w:rPr>
                <w:rFonts w:ascii="Arial Narrow" w:hAnsi="Arial Narrow" w:cs="Arial"/>
                <w:b/>
                <w:bCs/>
                <w:sz w:val="18"/>
                <w:szCs w:val="18"/>
              </w:rPr>
              <w:t>Area non euro</w:t>
            </w:r>
          </w:p>
        </w:tc>
      </w:tr>
      <w:tr w:rsidR="00072C03" w:rsidRPr="001C01EA" w14:paraId="07E4D575" w14:textId="77777777" w:rsidTr="00D6552B">
        <w:trPr>
          <w:trHeight w:val="255"/>
        </w:trPr>
        <w:tc>
          <w:tcPr>
            <w:tcW w:w="1698" w:type="dxa"/>
            <w:shd w:val="clear" w:color="auto" w:fill="E6E6E6"/>
            <w:vAlign w:val="center"/>
          </w:tcPr>
          <w:p w14:paraId="13435AC6"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697" w:type="dxa"/>
            <w:vAlign w:val="center"/>
          </w:tcPr>
          <w:p w14:paraId="19FE0A11" w14:textId="77777777" w:rsidR="00072C03" w:rsidRPr="001C01EA" w:rsidRDefault="00072C03" w:rsidP="00593C33">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45" w:type="dxa"/>
            <w:shd w:val="clear" w:color="auto" w:fill="E6E6E6"/>
            <w:vAlign w:val="center"/>
          </w:tcPr>
          <w:p w14:paraId="41D4E121"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87" w:type="dxa"/>
            <w:vAlign w:val="center"/>
          </w:tcPr>
          <w:p w14:paraId="1ECD763F"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c>
          <w:tcPr>
            <w:tcW w:w="1663" w:type="dxa"/>
            <w:shd w:val="clear" w:color="auto" w:fill="E6E6E6"/>
            <w:vAlign w:val="center"/>
          </w:tcPr>
          <w:p w14:paraId="4B3E1EC3"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Tendenziali</w:t>
            </w:r>
          </w:p>
        </w:tc>
        <w:tc>
          <w:tcPr>
            <w:tcW w:w="1716" w:type="dxa"/>
            <w:vAlign w:val="center"/>
          </w:tcPr>
          <w:p w14:paraId="292EEA72" w14:textId="77777777" w:rsidR="00072C03" w:rsidRPr="001C01EA" w:rsidRDefault="00072C03" w:rsidP="00246367">
            <w:pPr>
              <w:spacing w:before="40" w:after="20"/>
              <w:jc w:val="center"/>
              <w:rPr>
                <w:rFonts w:ascii="Arial Narrow" w:hAnsi="Arial Narrow" w:cs="Arial"/>
                <w:bCs/>
                <w:sz w:val="18"/>
                <w:szCs w:val="18"/>
              </w:rPr>
            </w:pPr>
            <w:r>
              <w:rPr>
                <w:rFonts w:ascii="Arial Narrow" w:hAnsi="Arial Narrow" w:cs="Arial"/>
                <w:bCs/>
                <w:sz w:val="18"/>
                <w:szCs w:val="18"/>
              </w:rPr>
              <w:t>Congiunturali</w:t>
            </w:r>
          </w:p>
        </w:tc>
      </w:tr>
      <w:tr w:rsidR="00F92D55" w:rsidRPr="00C201C1" w14:paraId="7B10ED75" w14:textId="77777777" w:rsidTr="00E23D31">
        <w:trPr>
          <w:trHeight w:val="255"/>
        </w:trPr>
        <w:tc>
          <w:tcPr>
            <w:tcW w:w="1698" w:type="dxa"/>
            <w:shd w:val="clear" w:color="auto" w:fill="E6E6E6"/>
          </w:tcPr>
          <w:p w14:paraId="1534B5AB" w14:textId="52C05559" w:rsidR="00F92D55" w:rsidRPr="001559E1" w:rsidRDefault="00F92D55" w:rsidP="00F92D55">
            <w:pPr>
              <w:spacing w:before="40" w:after="20"/>
              <w:jc w:val="center"/>
              <w:rPr>
                <w:rFonts w:ascii="Arial Narrow" w:hAnsi="Arial Narrow" w:cs="Arial"/>
                <w:bCs/>
                <w:sz w:val="18"/>
                <w:szCs w:val="18"/>
              </w:rPr>
            </w:pPr>
            <w:r>
              <w:rPr>
                <w:rFonts w:ascii="Arial Narrow" w:hAnsi="Arial Narrow" w:cs="Arial"/>
                <w:bCs/>
                <w:sz w:val="18"/>
                <w:szCs w:val="18"/>
              </w:rPr>
              <w:t>0,0</w:t>
            </w:r>
          </w:p>
        </w:tc>
        <w:tc>
          <w:tcPr>
            <w:tcW w:w="1697" w:type="dxa"/>
          </w:tcPr>
          <w:p w14:paraId="222A2BFA" w14:textId="37D6E98A" w:rsidR="00F92D55" w:rsidRPr="001559E1" w:rsidRDefault="00F92D55" w:rsidP="00F92D55">
            <w:pPr>
              <w:spacing w:before="40" w:after="20"/>
              <w:jc w:val="center"/>
              <w:rPr>
                <w:rFonts w:ascii="Arial Narrow" w:hAnsi="Arial Narrow" w:cs="Arial"/>
                <w:bCs/>
                <w:sz w:val="18"/>
                <w:szCs w:val="18"/>
              </w:rPr>
            </w:pPr>
            <w:r>
              <w:rPr>
                <w:rFonts w:ascii="Arial Narrow" w:hAnsi="Arial Narrow" w:cs="Arial"/>
                <w:bCs/>
                <w:sz w:val="18"/>
                <w:szCs w:val="18"/>
              </w:rPr>
              <w:t>0,0</w:t>
            </w:r>
          </w:p>
        </w:tc>
        <w:tc>
          <w:tcPr>
            <w:tcW w:w="1645" w:type="dxa"/>
            <w:shd w:val="clear" w:color="auto" w:fill="E6E6E6"/>
          </w:tcPr>
          <w:p w14:paraId="46E5DAE7" w14:textId="474933DB" w:rsidR="00F92D55" w:rsidRPr="001559E1" w:rsidRDefault="00F92D55" w:rsidP="00F92D55">
            <w:pPr>
              <w:spacing w:before="40" w:after="20"/>
              <w:jc w:val="center"/>
              <w:rPr>
                <w:rFonts w:ascii="Arial Narrow" w:hAnsi="Arial Narrow" w:cs="Arial"/>
                <w:bCs/>
                <w:sz w:val="18"/>
                <w:szCs w:val="18"/>
              </w:rPr>
            </w:pPr>
            <w:r>
              <w:rPr>
                <w:rFonts w:ascii="Arial Narrow" w:hAnsi="Arial Narrow" w:cs="Arial"/>
                <w:bCs/>
                <w:sz w:val="18"/>
                <w:szCs w:val="18"/>
              </w:rPr>
              <w:t>0,0</w:t>
            </w:r>
          </w:p>
        </w:tc>
        <w:tc>
          <w:tcPr>
            <w:tcW w:w="1787" w:type="dxa"/>
          </w:tcPr>
          <w:p w14:paraId="7B0BBBE3" w14:textId="52690266" w:rsidR="00F92D55" w:rsidRPr="001559E1" w:rsidRDefault="00F92D55" w:rsidP="00F92D55">
            <w:pPr>
              <w:spacing w:before="40" w:after="20"/>
              <w:jc w:val="center"/>
              <w:rPr>
                <w:rFonts w:ascii="Arial Narrow" w:hAnsi="Arial Narrow" w:cs="Arial"/>
                <w:bCs/>
                <w:sz w:val="18"/>
                <w:szCs w:val="18"/>
              </w:rPr>
            </w:pPr>
            <w:r>
              <w:rPr>
                <w:rFonts w:ascii="Arial Narrow" w:hAnsi="Arial Narrow" w:cs="Arial"/>
                <w:bCs/>
                <w:sz w:val="18"/>
                <w:szCs w:val="18"/>
              </w:rPr>
              <w:t>0,0</w:t>
            </w:r>
          </w:p>
        </w:tc>
        <w:tc>
          <w:tcPr>
            <w:tcW w:w="1663" w:type="dxa"/>
            <w:shd w:val="clear" w:color="auto" w:fill="E6E6E6"/>
          </w:tcPr>
          <w:p w14:paraId="0C33E9DB" w14:textId="5AB08B3E" w:rsidR="00F92D55" w:rsidRPr="001559E1" w:rsidRDefault="00F92D55" w:rsidP="00F92D55">
            <w:pPr>
              <w:spacing w:before="40" w:after="20"/>
              <w:jc w:val="center"/>
              <w:rPr>
                <w:rFonts w:ascii="Arial Narrow" w:hAnsi="Arial Narrow" w:cs="Arial"/>
                <w:bCs/>
                <w:sz w:val="18"/>
                <w:szCs w:val="18"/>
              </w:rPr>
            </w:pPr>
            <w:r>
              <w:rPr>
                <w:rFonts w:ascii="Arial Narrow" w:hAnsi="Arial Narrow" w:cs="Arial"/>
                <w:bCs/>
                <w:sz w:val="18"/>
                <w:szCs w:val="18"/>
              </w:rPr>
              <w:t>0,0</w:t>
            </w:r>
          </w:p>
        </w:tc>
        <w:tc>
          <w:tcPr>
            <w:tcW w:w="1716" w:type="dxa"/>
          </w:tcPr>
          <w:p w14:paraId="3E9F29BC" w14:textId="7B9D39BF" w:rsidR="00F92D55" w:rsidRPr="001559E1" w:rsidRDefault="00F92D55" w:rsidP="00F92D55">
            <w:pPr>
              <w:spacing w:before="40" w:after="20"/>
              <w:jc w:val="center"/>
              <w:rPr>
                <w:rFonts w:ascii="Arial Narrow" w:hAnsi="Arial Narrow" w:cs="Arial"/>
                <w:bCs/>
                <w:sz w:val="18"/>
                <w:szCs w:val="18"/>
              </w:rPr>
            </w:pPr>
            <w:r>
              <w:rPr>
                <w:rFonts w:ascii="Arial Narrow" w:hAnsi="Arial Narrow" w:cs="Arial"/>
                <w:bCs/>
                <w:sz w:val="18"/>
                <w:szCs w:val="18"/>
              </w:rPr>
              <w:t>0,0</w:t>
            </w:r>
          </w:p>
        </w:tc>
      </w:tr>
    </w:tbl>
    <w:p w14:paraId="7770BD76" w14:textId="77777777" w:rsidR="009B2E91" w:rsidRDefault="009B2E91"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pPr>
    </w:p>
    <w:p w14:paraId="3B215333" w14:textId="77777777" w:rsidR="00111EC4" w:rsidRDefault="00111EC4" w:rsidP="009B2E9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b/>
          <w:spacing w:val="-3"/>
        </w:rPr>
        <w:sectPr w:rsidR="00111EC4" w:rsidSect="009B2E91">
          <w:headerReference w:type="default" r:id="rId34"/>
          <w:pgSz w:w="11907" w:h="16840" w:code="9"/>
          <w:pgMar w:top="1534" w:right="851" w:bottom="680" w:left="851" w:header="567" w:footer="567" w:gutter="0"/>
          <w:cols w:space="720"/>
          <w:noEndnote/>
          <w:docGrid w:linePitch="272"/>
        </w:sectPr>
      </w:pPr>
    </w:p>
    <w:p w14:paraId="0881A4C5" w14:textId="77777777" w:rsidR="000B233D" w:rsidRPr="000B233D" w:rsidRDefault="000B233D" w:rsidP="00CC2949">
      <w:pPr>
        <w:ind w:right="57"/>
        <w:jc w:val="both"/>
        <w:rPr>
          <w:rFonts w:ascii="Arial" w:hAnsi="Arial" w:cs="Arial"/>
          <w:b/>
          <w:bCs/>
        </w:rPr>
      </w:pPr>
    </w:p>
    <w:p w14:paraId="709AD9DA"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durevoli</w:t>
      </w:r>
      <w:r w:rsidRPr="00C9631A">
        <w:rPr>
          <w:rFonts w:ascii="Arial" w:hAnsi="Arial" w:cs="Arial"/>
          <w:sz w:val="20"/>
          <w:szCs w:val="20"/>
        </w:rPr>
        <w:t>: includono, tra gli altri, la fabbricazione di apparecchi per uso domestico, la fabbricazione di mobili, motocicli, la fabbricazione di apparecchi per la riproduzione del suono e dell’immagine.</w:t>
      </w:r>
    </w:p>
    <w:p w14:paraId="7FA47A8D"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di consumo non durevoli</w:t>
      </w:r>
      <w:r w:rsidRPr="00C9631A">
        <w:rPr>
          <w:rFonts w:ascii="Arial" w:hAnsi="Arial" w:cs="Arial"/>
          <w:sz w:val="20"/>
          <w:szCs w:val="20"/>
        </w:rPr>
        <w:t>: includono, tra gli altri, la produzione, la lavorazione e la conservazione di prodotti alimentari e bevande, alcune industrie tessili, la fabbricazione di prodotti farmaceutici.</w:t>
      </w:r>
    </w:p>
    <w:p w14:paraId="63FE64E3"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intermedi</w:t>
      </w:r>
      <w:r w:rsidRPr="00C9631A">
        <w:rPr>
          <w:rFonts w:ascii="Arial" w:hAnsi="Arial" w:cs="Arial"/>
          <w:sz w:val="20"/>
          <w:szCs w:val="20"/>
        </w:rPr>
        <w:t>: includono, tra gli altri, la fabbricazione di prodotti chimici, la fabbricazione di metalli e prodotti in metallo, la fabbricazione di apparecchi elettrici, l’industria del legno, la fabbricazione di tessuti.</w:t>
      </w:r>
    </w:p>
    <w:p w14:paraId="3171476F"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Beni strumentali</w:t>
      </w:r>
      <w:r w:rsidRPr="00C9631A">
        <w:rPr>
          <w:rFonts w:ascii="Arial" w:hAnsi="Arial" w:cs="Arial"/>
          <w:sz w:val="20"/>
          <w:szCs w:val="20"/>
        </w:rPr>
        <w:t>: includono, tra gli altri, la fabbricazione di macchine e motori, la fabbricazione di strumenti e apparecchi di misurazione e controllo, la fabbricazione di autoveicoli.</w:t>
      </w:r>
    </w:p>
    <w:p w14:paraId="61CE4789" w14:textId="77777777" w:rsidR="006B1C0B" w:rsidRPr="00C9631A" w:rsidRDefault="006B1C0B" w:rsidP="00E74CD4">
      <w:pPr>
        <w:pStyle w:val="Corpodeltesto1"/>
        <w:spacing w:after="120"/>
        <w:rPr>
          <w:rFonts w:ascii="Arial" w:hAnsi="Arial" w:cs="Arial"/>
          <w:b w:val="0"/>
          <w:bCs/>
          <w:sz w:val="20"/>
          <w:szCs w:val="20"/>
        </w:rPr>
      </w:pPr>
      <w:r w:rsidRPr="00C9631A">
        <w:rPr>
          <w:rFonts w:ascii="Arial" w:hAnsi="Arial" w:cs="Arial"/>
          <w:bCs/>
          <w:sz w:val="20"/>
          <w:szCs w:val="20"/>
        </w:rPr>
        <w:t>Contributo alla variazione tendenziale</w:t>
      </w:r>
      <w:r w:rsidRPr="00C9631A">
        <w:rPr>
          <w:rFonts w:ascii="Arial" w:hAnsi="Arial" w:cs="Arial"/>
          <w:b w:val="0"/>
          <w:bCs/>
          <w:sz w:val="20"/>
          <w:szCs w:val="20"/>
        </w:rPr>
        <w:t xml:space="preserve">: misura l’incidenza delle variazioni delle importazioni e delle esportazioni dei singoli aggregati merceologici o geografici sull’aumento o sulla diminuzione dei flussi aggregati. </w:t>
      </w:r>
    </w:p>
    <w:p w14:paraId="419B4749" w14:textId="77777777" w:rsidR="006B1C0B" w:rsidRPr="00C9631A" w:rsidRDefault="006B1C0B" w:rsidP="00E74CD4">
      <w:pPr>
        <w:spacing w:after="120"/>
        <w:ind w:right="23"/>
        <w:jc w:val="both"/>
        <w:rPr>
          <w:rFonts w:ascii="Arial" w:hAnsi="Arial" w:cs="Arial"/>
          <w:b/>
          <w:sz w:val="20"/>
          <w:szCs w:val="20"/>
        </w:rPr>
      </w:pPr>
      <w:r w:rsidRPr="00C9631A">
        <w:rPr>
          <w:rFonts w:ascii="Arial" w:hAnsi="Arial" w:cs="Arial"/>
          <w:b/>
          <w:bCs/>
          <w:sz w:val="20"/>
          <w:szCs w:val="20"/>
        </w:rPr>
        <w:t>Dati corretti per gli effetti di calendario</w:t>
      </w:r>
      <w:r w:rsidRPr="00C9631A">
        <w:rPr>
          <w:rFonts w:ascii="Arial" w:hAnsi="Arial" w:cs="Arial"/>
          <w:bCs/>
          <w:sz w:val="20"/>
          <w:szCs w:val="20"/>
        </w:rPr>
        <w:t>: dati depurati, mediante apposite tecniche statistiche, dalla variabilità attribuibile alla composizione del calendario nei singoli periodi (mesi o trimestri) dell’anno, dovuta al diverso numero di giorni lavorativi o di giorni specifici della settimana in essi contenuti, nonché dell’anno bisestile. Il ricorso a tale trasformazione dei dati consente di cogliere in maniera più adeguata sia le variazioni tendenziali (calcolate rispetto allo stesso periodo dell'anno precedente), sia le variazioni medie annue.</w:t>
      </w:r>
    </w:p>
    <w:p w14:paraId="7D0A804D"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Dati destagionalizzati</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16E90070"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include l’industria estrattiva di materie prime energetiche (petrolio, gas naturale, lignite), l’industria della raffinazione, la produzione di energia elettrica, gas e acqua, vapore, la raccolta, depurazione e distribuzione dell’acqua.</w:t>
      </w:r>
    </w:p>
    <w:p w14:paraId="03C282E9" w14:textId="77777777" w:rsidR="006B1C0B" w:rsidRPr="00C9631A" w:rsidRDefault="006B1C0B" w:rsidP="00E74CD4">
      <w:pPr>
        <w:spacing w:after="120"/>
        <w:ind w:right="23"/>
        <w:jc w:val="both"/>
        <w:rPr>
          <w:rFonts w:ascii="Arial" w:hAnsi="Arial" w:cs="Arial"/>
          <w:sz w:val="20"/>
          <w:szCs w:val="20"/>
        </w:rPr>
      </w:pPr>
      <w:r w:rsidRPr="00C9631A">
        <w:rPr>
          <w:rFonts w:ascii="Arial" w:hAnsi="Arial" w:cs="Arial"/>
          <w:b/>
          <w:sz w:val="20"/>
          <w:szCs w:val="20"/>
        </w:rPr>
        <w:t>Esportazioni</w:t>
      </w:r>
      <w:r w:rsidRPr="00C9631A">
        <w:rPr>
          <w:rFonts w:ascii="Arial" w:hAnsi="Arial" w:cs="Arial"/>
          <w:sz w:val="20"/>
          <w:szCs w:val="20"/>
        </w:rPr>
        <w:t>: includono tutti i beni (nazionali o nazionalizzati, nuovi o usati) che, a titolo oneroso o gratuito, escono dal territorio economico del Paese per essere destinati al resto del mondo. Esse sono valutate al valore Fob (free on board), che corrisponde al prezzo di mercato alla frontiera del Paese esportatore. Questo prezzo comprende il prezzo ex-fabrica, i margini commerciali, le spese di trasporto internazionale e gli eventuali diritti all'esportazione.</w:t>
      </w:r>
    </w:p>
    <w:p w14:paraId="5824DD4A" w14:textId="77777777" w:rsidR="006B1C0B" w:rsidRPr="00C9631A" w:rsidRDefault="006B1C0B" w:rsidP="00E74CD4">
      <w:pPr>
        <w:pStyle w:val="NormaleWeb"/>
        <w:spacing w:beforeAutospacing="0" w:after="120" w:afterAutospacing="0"/>
        <w:jc w:val="both"/>
        <w:rPr>
          <w:rFonts w:ascii="Arial" w:hAnsi="Arial" w:cs="Arial"/>
          <w:sz w:val="20"/>
          <w:szCs w:val="20"/>
        </w:rPr>
      </w:pPr>
      <w:r w:rsidRPr="00C9631A">
        <w:rPr>
          <w:rFonts w:ascii="Arial" w:hAnsi="Arial" w:cs="Arial"/>
          <w:b/>
          <w:sz w:val="20"/>
          <w:szCs w:val="20"/>
          <w:lang w:eastAsia="ar-SA"/>
        </w:rPr>
        <w:t>Importazioni</w:t>
      </w:r>
      <w:r w:rsidRPr="00C9631A">
        <w:rPr>
          <w:rFonts w:ascii="Arial" w:hAnsi="Arial" w:cs="Arial"/>
          <w:bCs/>
          <w:sz w:val="20"/>
          <w:szCs w:val="20"/>
          <w:lang w:eastAsia="ar-SA"/>
        </w:rPr>
        <w:t>:</w:t>
      </w:r>
      <w:r w:rsidRPr="00C9631A">
        <w:rPr>
          <w:rFonts w:ascii="Arial" w:hAnsi="Arial" w:cs="Arial"/>
          <w:sz w:val="20"/>
          <w:szCs w:val="20"/>
          <w:lang w:eastAsia="ar-SA"/>
        </w:rPr>
        <w:t xml:space="preserve"> comprendono tutti i beni (nuovi o usati) che, a titolo oneroso o gratuito, entrano nel territorio economico del Paese in provenienza dal Resto del mondo. Esse sono valutate al valore Cif (cost, insurance, freight), che comprende: il valore Fob dei beni, le spese di trasporto e le attività assicurative tra la frontiera del Paese esportatore e la frontiera del Paese importatore.</w:t>
      </w:r>
    </w:p>
    <w:p w14:paraId="194A4603"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mensile che misura le variazioni nel tempo dei prezzi all’importazione di un paniere rappresentativo dei principali prodotti industriali importati da imprese dell’industria e del commercio. I prezzi si riferiscono ai prodotti industriali importati da imprese (la cui attività economica prevalente nelle sezioni B, C, D, E, G della classificazione Ateco 2007 derivata dalla Nace Rev.2) situate sul territorio nazionale. L’indicatore è definito dal Regolamento delle Statistiche economiche congiunturali STS (CE) 1158/2005.</w:t>
      </w:r>
    </w:p>
    <w:p w14:paraId="516CAAAB" w14:textId="77777777" w:rsidR="006B1C0B" w:rsidRPr="00C9631A" w:rsidRDefault="006B1C0B" w:rsidP="00E74CD4">
      <w:pPr>
        <w:spacing w:after="120"/>
        <w:jc w:val="both"/>
        <w:rPr>
          <w:rFonts w:ascii="Arial" w:hAnsi="Arial" w:cs="Arial"/>
          <w:bCs/>
          <w:sz w:val="20"/>
          <w:szCs w:val="20"/>
        </w:rPr>
      </w:pPr>
      <w:r w:rsidRPr="00C9631A">
        <w:rPr>
          <w:rFonts w:ascii="Arial" w:hAnsi="Arial" w:cs="Arial"/>
          <w:b/>
          <w:bCs/>
          <w:sz w:val="20"/>
          <w:szCs w:val="20"/>
        </w:rPr>
        <w:t xml:space="preserve">Indice dei prezzi all’importazione </w:t>
      </w:r>
      <w:r w:rsidRPr="00C9631A">
        <w:rPr>
          <w:rFonts w:ascii="Arial" w:hAnsi="Arial" w:cs="Arial"/>
          <w:b/>
          <w:sz w:val="20"/>
          <w:szCs w:val="20"/>
        </w:rPr>
        <w:t>al netto dell’energia</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misura la componente di fondo dell’indice </w:t>
      </w:r>
      <w:r w:rsidRPr="00C9631A">
        <w:rPr>
          <w:rFonts w:ascii="Arial" w:hAnsi="Arial" w:cs="Arial"/>
          <w:bCs/>
          <w:sz w:val="20"/>
          <w:szCs w:val="20"/>
        </w:rPr>
        <w:t>aggregato, calcolata al netto del Raggruppamento principale di industria Energia.</w:t>
      </w:r>
    </w:p>
    <w:p w14:paraId="50DC4A3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Indice totale dei prezzi all’importazione</w:t>
      </w:r>
      <w:r w:rsidRPr="00C9631A">
        <w:rPr>
          <w:rFonts w:ascii="Arial" w:hAnsi="Arial" w:cs="Arial"/>
          <w:bCs/>
          <w:sz w:val="20"/>
          <w:szCs w:val="20"/>
        </w:rPr>
        <w:t>:</w:t>
      </w:r>
      <w:r w:rsidRPr="00C9631A">
        <w:rPr>
          <w:rFonts w:ascii="Arial" w:hAnsi="Arial" w:cs="Arial"/>
          <w:b/>
          <w:bCs/>
          <w:sz w:val="20"/>
          <w:szCs w:val="20"/>
        </w:rPr>
        <w:t xml:space="preserve"> </w:t>
      </w:r>
      <w:r w:rsidRPr="00C9631A">
        <w:rPr>
          <w:rFonts w:ascii="Arial" w:hAnsi="Arial" w:cs="Arial"/>
          <w:sz w:val="20"/>
          <w:szCs w:val="20"/>
        </w:rPr>
        <w:t>indicatore definito dalla media aritmetica ponderata degli indici dei prezzi calcolati sui mercati dell’Area euro e non euro.</w:t>
      </w:r>
    </w:p>
    <w:p w14:paraId="2E174578" w14:textId="48B791D0" w:rsidR="006B1C0B" w:rsidRPr="00C9631A" w:rsidRDefault="006B1C0B" w:rsidP="00E74CD4">
      <w:pPr>
        <w:spacing w:after="120"/>
        <w:jc w:val="both"/>
        <w:rPr>
          <w:rFonts w:ascii="Arial" w:hAnsi="Arial" w:cs="Arial"/>
          <w:sz w:val="20"/>
          <w:szCs w:val="20"/>
        </w:rPr>
      </w:pPr>
      <w:r w:rsidRPr="00C9631A">
        <w:rPr>
          <w:rFonts w:ascii="Arial" w:hAnsi="Arial" w:cs="Arial"/>
          <w:b/>
          <w:bCs/>
          <w:sz w:val="20"/>
          <w:szCs w:val="20"/>
        </w:rPr>
        <w:t>Merce</w:t>
      </w:r>
      <w:r w:rsidRPr="00C9631A">
        <w:rPr>
          <w:rFonts w:ascii="Arial" w:hAnsi="Arial" w:cs="Arial"/>
          <w:bCs/>
          <w:sz w:val="20"/>
          <w:szCs w:val="20"/>
        </w:rPr>
        <w:t>: tutte le merci che fisicamente transitano la frontier</w:t>
      </w:r>
      <w:r w:rsidR="00E37A51">
        <w:rPr>
          <w:rFonts w:ascii="Arial" w:hAnsi="Arial" w:cs="Arial"/>
          <w:bCs/>
          <w:sz w:val="20"/>
          <w:szCs w:val="20"/>
        </w:rPr>
        <w:t>a</w:t>
      </w:r>
      <w:r w:rsidRPr="00C9631A">
        <w:rPr>
          <w:rFonts w:ascii="Arial" w:hAnsi="Arial" w:cs="Arial"/>
          <w:bCs/>
          <w:sz w:val="20"/>
          <w:szCs w:val="20"/>
        </w:rPr>
        <w:t xml:space="preserve"> nazionale, inclusa l'energia elettrica. Per i movimenti particolari, che includono navi e aerei è utilizzato il principio della proprietà economica.</w:t>
      </w:r>
    </w:p>
    <w:p w14:paraId="4DD0D63F"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Quote di mercato</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 xml:space="preserve">rapporto percentuale tra valore delle esportazioni nazionali e valore delle esportazioni di un gruppo di paesi elaborato a partire da dati di fonte Eurostat rispetto all’ultimo periodo di disponibilità dei dati. </w:t>
      </w:r>
    </w:p>
    <w:p w14:paraId="5FB81DEE"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Raggruppamenti principali di industrie</w:t>
      </w:r>
      <w:r w:rsidRPr="00C9631A">
        <w:rPr>
          <w:rFonts w:ascii="Arial" w:hAnsi="Arial" w:cs="Arial"/>
          <w:sz w:val="20"/>
          <w:szCs w:val="20"/>
        </w:rPr>
        <w:t>:</w:t>
      </w:r>
      <w:r w:rsidRPr="00C9631A">
        <w:rPr>
          <w:rFonts w:ascii="Arial" w:hAnsi="Arial" w:cs="Arial"/>
          <w:b/>
          <w:sz w:val="20"/>
          <w:szCs w:val="20"/>
        </w:rPr>
        <w:t xml:space="preserve"> </w:t>
      </w:r>
      <w:r w:rsidRPr="00C9631A">
        <w:rPr>
          <w:rFonts w:ascii="Arial" w:hAnsi="Arial" w:cs="Arial"/>
          <w:sz w:val="20"/>
          <w:szCs w:val="20"/>
        </w:rPr>
        <w:t>gruppi e/o divisioni di attività economica definiti, secondo il criterio della prevalenza.</w:t>
      </w:r>
    </w:p>
    <w:p w14:paraId="356114A5" w14:textId="7777777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Revisioni</w:t>
      </w:r>
      <w:r w:rsidRPr="00C9631A">
        <w:rPr>
          <w:rFonts w:ascii="Arial" w:hAnsi="Arial" w:cs="Arial"/>
          <w:sz w:val="20"/>
          <w:szCs w:val="20"/>
        </w:rPr>
        <w:t>: differenze in punti tra la variazione percentuale pubblicata come dato provvisorio nel precedente comunicato stampa e quella definitiva relativa allo stesso mese di riferimento. Data la complessità merceologica e geografica dei dati di commercio estero, oltre alla revisione mensile, i regolamenti statistici comunitari prevedono che i dati mensili dell’anno t-1 siano ulteriormente rivisti e diffusi nel mese di novembre dell’anno t.</w:t>
      </w:r>
    </w:p>
    <w:p w14:paraId="6861C7F8" w14:textId="77777777" w:rsidR="008028CC" w:rsidRDefault="008028CC" w:rsidP="00E74CD4">
      <w:pPr>
        <w:spacing w:after="120"/>
        <w:jc w:val="both"/>
        <w:rPr>
          <w:rFonts w:ascii="Arial" w:hAnsi="Arial" w:cs="Arial"/>
          <w:b/>
          <w:sz w:val="20"/>
          <w:szCs w:val="20"/>
        </w:rPr>
      </w:pPr>
    </w:p>
    <w:p w14:paraId="0A41609F" w14:textId="77777777" w:rsidR="008028CC" w:rsidRDefault="008028CC" w:rsidP="00E74CD4">
      <w:pPr>
        <w:spacing w:after="120"/>
        <w:jc w:val="both"/>
        <w:rPr>
          <w:rFonts w:ascii="Arial" w:hAnsi="Arial" w:cs="Arial"/>
          <w:b/>
          <w:sz w:val="20"/>
          <w:szCs w:val="20"/>
        </w:rPr>
      </w:pPr>
    </w:p>
    <w:p w14:paraId="092459FB" w14:textId="77777777" w:rsidR="008028CC" w:rsidRDefault="008028CC" w:rsidP="00E74CD4">
      <w:pPr>
        <w:spacing w:after="120"/>
        <w:jc w:val="both"/>
        <w:rPr>
          <w:rFonts w:ascii="Arial" w:hAnsi="Arial" w:cs="Arial"/>
          <w:b/>
          <w:sz w:val="20"/>
          <w:szCs w:val="20"/>
        </w:rPr>
      </w:pPr>
    </w:p>
    <w:p w14:paraId="529C97B9" w14:textId="77777777" w:rsidR="008028CC" w:rsidRDefault="008028CC" w:rsidP="00E74CD4">
      <w:pPr>
        <w:spacing w:after="120"/>
        <w:jc w:val="both"/>
        <w:rPr>
          <w:rFonts w:ascii="Arial" w:hAnsi="Arial" w:cs="Arial"/>
          <w:b/>
          <w:sz w:val="20"/>
          <w:szCs w:val="20"/>
        </w:rPr>
      </w:pPr>
    </w:p>
    <w:p w14:paraId="5C756E1F" w14:textId="77777777" w:rsidR="006B1C0B" w:rsidRPr="00C9631A" w:rsidRDefault="006B1C0B" w:rsidP="00E74CD4">
      <w:pPr>
        <w:spacing w:after="120"/>
        <w:jc w:val="both"/>
        <w:rPr>
          <w:rFonts w:ascii="Arial" w:hAnsi="Arial" w:cs="Arial"/>
          <w:b/>
          <w:sz w:val="20"/>
          <w:szCs w:val="20"/>
        </w:rPr>
      </w:pPr>
      <w:r w:rsidRPr="00C9631A">
        <w:rPr>
          <w:rFonts w:ascii="Arial" w:hAnsi="Arial" w:cs="Arial"/>
          <w:b/>
          <w:sz w:val="20"/>
          <w:szCs w:val="20"/>
        </w:rPr>
        <w:t>Settori di attività economica</w:t>
      </w:r>
      <w:r w:rsidRPr="00C9631A">
        <w:rPr>
          <w:rFonts w:ascii="Arial" w:hAnsi="Arial" w:cs="Arial"/>
          <w:sz w:val="20"/>
          <w:szCs w:val="20"/>
        </w:rPr>
        <w:t xml:space="preserve">: aggregati della classificazione </w:t>
      </w:r>
      <w:hyperlink r:id="rId35" w:history="1">
        <w:r w:rsidRPr="00C9631A">
          <w:rPr>
            <w:rStyle w:val="Collegamentoipertestuale"/>
            <w:rFonts w:ascii="Arial" w:hAnsi="Arial" w:cs="Arial"/>
            <w:sz w:val="20"/>
            <w:szCs w:val="20"/>
          </w:rPr>
          <w:t>SNA/ISIC A38</w:t>
        </w:r>
      </w:hyperlink>
      <w:r w:rsidRPr="00C9631A">
        <w:rPr>
          <w:rFonts w:ascii="Arial" w:hAnsi="Arial" w:cs="Arial"/>
          <w:sz w:val="20"/>
          <w:szCs w:val="20"/>
        </w:rPr>
        <w:t xml:space="preserve"> (non previsti dalla classificazione </w:t>
      </w:r>
      <w:hyperlink r:id="rId36" w:history="1">
        <w:r w:rsidRPr="00C9631A">
          <w:rPr>
            <w:rStyle w:val="Collegamentoipertestuale"/>
            <w:rFonts w:ascii="Arial" w:hAnsi="Arial" w:cs="Arial"/>
            <w:sz w:val="20"/>
            <w:szCs w:val="20"/>
          </w:rPr>
          <w:t>Nace Rev.2</w:t>
        </w:r>
      </w:hyperlink>
      <w:r w:rsidRPr="00C9631A">
        <w:rPr>
          <w:rFonts w:ascii="Arial" w:hAnsi="Arial" w:cs="Arial"/>
          <w:sz w:val="20"/>
          <w:szCs w:val="20"/>
        </w:rPr>
        <w:t>) pubblicati per continuità storica con l’informazione fornita prima del gennaio 2009.</w:t>
      </w:r>
    </w:p>
    <w:p w14:paraId="200E73E7" w14:textId="77777777" w:rsidR="006B1C0B" w:rsidRPr="00C9631A" w:rsidRDefault="006B1C0B" w:rsidP="00E74CD4">
      <w:pPr>
        <w:spacing w:after="120"/>
        <w:ind w:right="20"/>
        <w:jc w:val="both"/>
        <w:rPr>
          <w:rFonts w:ascii="Arial" w:hAnsi="Arial" w:cs="Arial"/>
          <w:sz w:val="20"/>
          <w:szCs w:val="20"/>
        </w:rPr>
      </w:pPr>
      <w:r w:rsidRPr="00C9631A">
        <w:rPr>
          <w:rFonts w:ascii="Arial" w:hAnsi="Arial" w:cs="Arial"/>
          <w:b/>
          <w:sz w:val="20"/>
          <w:szCs w:val="20"/>
        </w:rPr>
        <w:t>Variazione congiunturale</w:t>
      </w:r>
      <w:r w:rsidRPr="00C9631A">
        <w:rPr>
          <w:rFonts w:ascii="Arial" w:hAnsi="Arial" w:cs="Arial"/>
          <w:sz w:val="20"/>
          <w:szCs w:val="20"/>
        </w:rPr>
        <w:t>: variazione percentuale rispetto al mese o al periodo precedente.</w:t>
      </w:r>
    </w:p>
    <w:p w14:paraId="65813A2F" w14:textId="77777777" w:rsidR="006B1C0B" w:rsidRPr="00C9631A" w:rsidRDefault="006B1C0B" w:rsidP="00E74CD4">
      <w:pPr>
        <w:pStyle w:val="Corpodeltesto1"/>
        <w:spacing w:after="120"/>
        <w:rPr>
          <w:rFonts w:ascii="Arial" w:hAnsi="Arial" w:cs="Arial"/>
          <w:b w:val="0"/>
          <w:sz w:val="20"/>
          <w:szCs w:val="20"/>
        </w:rPr>
      </w:pPr>
      <w:r w:rsidRPr="00C9631A">
        <w:rPr>
          <w:rFonts w:ascii="Arial" w:hAnsi="Arial" w:cs="Arial"/>
          <w:sz w:val="20"/>
          <w:szCs w:val="20"/>
        </w:rPr>
        <w:t>Variazione tendenziale</w:t>
      </w:r>
      <w:r w:rsidRPr="00C9631A">
        <w:rPr>
          <w:rFonts w:ascii="Arial" w:hAnsi="Arial" w:cs="Arial"/>
          <w:b w:val="0"/>
          <w:bCs/>
          <w:sz w:val="20"/>
          <w:szCs w:val="20"/>
        </w:rPr>
        <w:t>:</w:t>
      </w:r>
      <w:r w:rsidRPr="00C9631A">
        <w:rPr>
          <w:rFonts w:ascii="Arial" w:hAnsi="Arial" w:cs="Arial"/>
          <w:b w:val="0"/>
          <w:sz w:val="20"/>
          <w:szCs w:val="20"/>
        </w:rPr>
        <w:t xml:space="preserve"> variazione percentuale rispetto allo stesso mese o allo stesso periodo dell’anno precedente.</w:t>
      </w:r>
    </w:p>
    <w:p w14:paraId="29A2120A" w14:textId="77777777" w:rsidR="008028CC" w:rsidRPr="00C9631A" w:rsidRDefault="008028CC" w:rsidP="006B1C0B">
      <w:pPr>
        <w:spacing w:after="120"/>
        <w:jc w:val="both"/>
        <w:rPr>
          <w:rFonts w:ascii="Arial" w:hAnsi="Arial" w:cs="Arial"/>
          <w:b/>
          <w:sz w:val="20"/>
          <w:szCs w:val="20"/>
        </w:rPr>
      </w:pPr>
    </w:p>
    <w:p w14:paraId="499AD1DD" w14:textId="77777777" w:rsidR="006B1C0B" w:rsidRDefault="006B1C0B" w:rsidP="006B1C0B">
      <w:pPr>
        <w:spacing w:after="120"/>
        <w:jc w:val="both"/>
        <w:rPr>
          <w:rFonts w:ascii="Arial" w:hAnsi="Arial" w:cs="Arial"/>
          <w:b/>
          <w:sz w:val="22"/>
          <w:szCs w:val="20"/>
        </w:rPr>
      </w:pPr>
      <w:r w:rsidRPr="00C9631A">
        <w:rPr>
          <w:rFonts w:ascii="Arial" w:hAnsi="Arial" w:cs="Arial"/>
          <w:b/>
          <w:sz w:val="22"/>
          <w:szCs w:val="20"/>
        </w:rPr>
        <w:t>Definizioni delle aree geografiche e geoeconomiche</w:t>
      </w:r>
    </w:p>
    <w:p w14:paraId="5371E90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Africa settentrionale</w:t>
      </w:r>
      <w:r w:rsidRPr="00C9631A">
        <w:rPr>
          <w:rFonts w:ascii="Arial" w:hAnsi="Arial" w:cs="Arial"/>
          <w:sz w:val="20"/>
          <w:szCs w:val="20"/>
        </w:rPr>
        <w:t>: Algeria, Egitto, Ceuta, Libia, Marocco, Melilla, Sahara Occidentale, Tunisia.</w:t>
      </w:r>
    </w:p>
    <w:p w14:paraId="54054792"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Altri paesi africani</w:t>
      </w:r>
      <w:r w:rsidRPr="00C9631A">
        <w:rPr>
          <w:rFonts w:ascii="Arial" w:hAnsi="Arial" w:cs="Arial"/>
          <w:sz w:val="20"/>
          <w:szCs w:val="20"/>
        </w:rPr>
        <w:t xml:space="preserve">: Angola, Benin, Botswana, Burkina Faso, Burundi, Camerun, Capo Verde, Ciad, Comore, Congo, Costa d’Avorio, Eritrea, Etiopia, Gabon, Gambia, Ghana, Gibuti, Guinea, Guinea equatoriale, Guinea-Bissau, Kenya, Lesotho, Liberia, Madagascar, Malawi, Mali, Mauritania, Maurizio, Mayotte, Mozambico, Namibia, Niger, Nigeria, Repubblica Centrafricana, Repubblica democratica del Congo, Repubblica unita di Tanzania, Ruanda, Sant’Elena-Ascensione e Tristan da Cunha, São Tomé e Principe, Seychelles, Senegal, Sierra Leone, Somalia, Sud Africa, Sudan, Sud Sudan, Swaziland, Territorio britannico dell’ Oceano Indiano, Togo, Uganda, Zambia, Zimbabwe. </w:t>
      </w:r>
    </w:p>
    <w:p w14:paraId="69979550"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Altri paesi asiatici</w:t>
      </w:r>
      <w:r w:rsidRPr="00C9631A">
        <w:rPr>
          <w:rFonts w:ascii="Arial" w:hAnsi="Arial" w:cs="Arial"/>
          <w:i/>
          <w:iCs/>
          <w:sz w:val="20"/>
          <w:szCs w:val="20"/>
        </w:rPr>
        <w:t xml:space="preserve">: </w:t>
      </w:r>
      <w:r w:rsidRPr="00C9631A">
        <w:rPr>
          <w:rFonts w:ascii="Arial" w:hAnsi="Arial" w:cs="Arial"/>
          <w:sz w:val="20"/>
          <w:szCs w:val="20"/>
        </w:rPr>
        <w:t>Afghanistan, Bangladesh, Bhutan, Birmania, Brunei, Cambogia, Cina, Corea del Nord, Corea del Sud, Filippine, Giappone, Hong Kong, India, Indonesia, Kazakistan, Kirghizistan, Laos, Macao, Malaysia, Maldive, Mongolia, Nepal, Pakistan, Singapore, Sri Lanka, Tagikistan, Taiwan, Thailandia, Timor-Leste, Turkmenistan, Uzbekistan, Vietnam.</w:t>
      </w:r>
    </w:p>
    <w:p w14:paraId="7747FFC4"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centro-meridionale</w:t>
      </w:r>
      <w:r w:rsidRPr="00C9631A">
        <w:rPr>
          <w:rFonts w:ascii="Arial" w:hAnsi="Arial" w:cs="Arial"/>
          <w:i/>
          <w:iCs/>
          <w:sz w:val="20"/>
          <w:szCs w:val="20"/>
        </w:rPr>
        <w:t xml:space="preserve">: </w:t>
      </w:r>
      <w:r w:rsidRPr="00C9631A">
        <w:rPr>
          <w:rFonts w:ascii="Arial" w:hAnsi="Arial" w:cs="Arial"/>
          <w:sz w:val="20"/>
          <w:szCs w:val="20"/>
        </w:rPr>
        <w:t xml:space="preserve">Anguilla, Antigua e Barbuda, Argentina, Aruba, Bahama, Barbados, Belize, Bermuda, Bolivia, Bonaire, Sint Eustatius e Saba, Brasile, Cile, Colombia, Costa Rica, Cuba, Curaçao, Dominica, Ecuador, El Salvador, Giamaica, Grenada, Guatemala, Guyana, Haiti, Honduras, Isole Cayman, Isole Falkland, Isole Turks e Caicos, Isole Vergini Americane, Isole Vergini Britanniche, Messico, Montserrat, Nicaragua, Panama, Paraguay, Perù, Repubblica dominicana, Saint-Barthélemy, Saint Kitts e Nevis, Saint Vincente e le Grenadine, Santa Lucia, Sint Maarten, Suriname, Trinidad e Tobago, Uruguay, Venezuela. </w:t>
      </w:r>
    </w:p>
    <w:p w14:paraId="202BFD03"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America settentrionale</w:t>
      </w:r>
      <w:r w:rsidRPr="00C9631A">
        <w:rPr>
          <w:rFonts w:ascii="Arial" w:hAnsi="Arial" w:cs="Arial"/>
          <w:sz w:val="20"/>
          <w:szCs w:val="20"/>
        </w:rPr>
        <w:t>: Canada, Groenlandia, Saint-Pierre e Miquelon, Stati Uniti.</w:t>
      </w:r>
    </w:p>
    <w:p w14:paraId="52962AD7"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euro</w:t>
      </w:r>
      <w:r w:rsidRPr="00C9631A">
        <w:rPr>
          <w:rFonts w:ascii="Arial" w:hAnsi="Arial" w:cs="Arial"/>
          <w:sz w:val="20"/>
          <w:szCs w:val="20"/>
          <w:lang w:eastAsia="ar-SA"/>
        </w:rPr>
        <w:t>: Austria, Belgio, Cipro, Estonia, Finlandia, Francia, Germania, Grecia, Irlanda, Italia, Lettonia, Lituania, Lussemburgo, Malta, Paesi Bassi, Portogallo, Slovacchia, Slovenia, Spagna.</w:t>
      </w:r>
    </w:p>
    <w:p w14:paraId="65F65045" w14:textId="77777777" w:rsidR="006B1C0B" w:rsidRPr="00C9631A" w:rsidRDefault="006B1C0B" w:rsidP="00E74CD4">
      <w:pPr>
        <w:suppressAutoHyphens/>
        <w:spacing w:after="120"/>
        <w:jc w:val="both"/>
        <w:rPr>
          <w:rFonts w:ascii="Arial" w:hAnsi="Arial" w:cs="Arial"/>
          <w:b/>
          <w:bCs/>
          <w:i/>
          <w:iCs/>
          <w:sz w:val="20"/>
          <w:szCs w:val="20"/>
        </w:rPr>
      </w:pPr>
      <w:r w:rsidRPr="00C9631A">
        <w:rPr>
          <w:rFonts w:ascii="Arial" w:hAnsi="Arial" w:cs="Arial"/>
          <w:b/>
          <w:bCs/>
          <w:iCs/>
          <w:sz w:val="20"/>
          <w:szCs w:val="20"/>
          <w:lang w:eastAsia="ar-SA"/>
        </w:rPr>
        <w:t>Area non euro</w:t>
      </w:r>
      <w:r w:rsidRPr="00C9631A">
        <w:rPr>
          <w:rFonts w:ascii="Arial" w:hAnsi="Arial" w:cs="Arial"/>
          <w:bCs/>
          <w:iCs/>
          <w:sz w:val="20"/>
          <w:szCs w:val="20"/>
          <w:lang w:eastAsia="ar-SA"/>
        </w:rPr>
        <w:t>:</w:t>
      </w:r>
      <w:r w:rsidRPr="00C9631A">
        <w:rPr>
          <w:rFonts w:ascii="Arial" w:hAnsi="Arial" w:cs="Arial"/>
          <w:b/>
          <w:bCs/>
          <w:i/>
          <w:iCs/>
          <w:sz w:val="20"/>
          <w:szCs w:val="20"/>
          <w:lang w:eastAsia="ar-SA"/>
        </w:rPr>
        <w:t xml:space="preserve"> </w:t>
      </w:r>
      <w:r w:rsidRPr="00C9631A">
        <w:rPr>
          <w:rFonts w:ascii="Arial" w:hAnsi="Arial" w:cs="Arial"/>
          <w:bCs/>
          <w:iCs/>
          <w:sz w:val="20"/>
          <w:szCs w:val="20"/>
          <w:lang w:eastAsia="ar-SA"/>
        </w:rPr>
        <w:t>è costituita da tutti i paesi che non adottano l’euro: 1) Paesi che fanno parte dell’Unione europea ma che ancora non aderiscono all’euro (Bulgari</w:t>
      </w:r>
      <w:r w:rsidR="00C22FDA">
        <w:rPr>
          <w:rFonts w:ascii="Arial" w:hAnsi="Arial" w:cs="Arial"/>
          <w:bCs/>
          <w:iCs/>
          <w:sz w:val="20"/>
          <w:szCs w:val="20"/>
          <w:lang w:eastAsia="ar-SA"/>
        </w:rPr>
        <w:t>a, Croazia, Danimarca, Polonia</w:t>
      </w:r>
      <w:r w:rsidRPr="00C9631A">
        <w:rPr>
          <w:rFonts w:ascii="Arial" w:hAnsi="Arial" w:cs="Arial"/>
          <w:bCs/>
          <w:iCs/>
          <w:sz w:val="20"/>
          <w:szCs w:val="20"/>
          <w:lang w:eastAsia="ar-SA"/>
        </w:rPr>
        <w:t>, Repubblica ceca, Romania, Svezia, Ungheria); 2) tutti i Paesi del Resto del mondo. In particolare, Andorra, Città del Vaticano, Principato di Monaco e San Marino usano l’euro come moneta ufficiale ma non sono ufficialmente membri dell’Unione europea; pertanto, fanno parte dell’Area non euro.</w:t>
      </w:r>
    </w:p>
    <w:p w14:paraId="357262ED" w14:textId="77777777" w:rsidR="006B1C0B" w:rsidRPr="00C9631A" w:rsidRDefault="006B1C0B" w:rsidP="00E74CD4">
      <w:pPr>
        <w:suppressAutoHyphens/>
        <w:spacing w:after="120"/>
        <w:jc w:val="both"/>
        <w:rPr>
          <w:rFonts w:ascii="Arial" w:hAnsi="Arial" w:cs="Arial"/>
          <w:b/>
          <w:bCs/>
          <w:i/>
          <w:iCs/>
          <w:sz w:val="20"/>
          <w:szCs w:val="20"/>
          <w:lang w:eastAsia="ar-SA"/>
        </w:rPr>
      </w:pPr>
      <w:r w:rsidRPr="00C9631A">
        <w:rPr>
          <w:rFonts w:ascii="Arial" w:hAnsi="Arial" w:cs="Arial"/>
          <w:b/>
          <w:bCs/>
          <w:iCs/>
          <w:sz w:val="20"/>
          <w:szCs w:val="20"/>
          <w:lang w:eastAsia="ar-SA"/>
        </w:rPr>
        <w:t>Asean (Associazione delle Nazioni del Sud-Est Asiatico)</w:t>
      </w:r>
      <w:r w:rsidRPr="00C9631A">
        <w:rPr>
          <w:rFonts w:ascii="Arial" w:hAnsi="Arial" w:cs="Arial"/>
          <w:i/>
          <w:iCs/>
          <w:sz w:val="20"/>
          <w:szCs w:val="20"/>
          <w:lang w:eastAsia="ar-SA"/>
        </w:rPr>
        <w:t xml:space="preserve">: </w:t>
      </w:r>
      <w:r w:rsidRPr="00C9631A">
        <w:rPr>
          <w:rFonts w:ascii="Arial" w:hAnsi="Arial" w:cs="Arial"/>
          <w:sz w:val="20"/>
          <w:szCs w:val="20"/>
          <w:lang w:eastAsia="ar-SA"/>
        </w:rPr>
        <w:t xml:space="preserve">Brunei, Cambogia, Filippine, Indonesia, Laos, Malaysia, Birmania, Singapore, Thailandia, Vietnam. </w:t>
      </w:r>
    </w:p>
    <w:p w14:paraId="0049DB3E" w14:textId="77777777" w:rsidR="006B1C0B" w:rsidRPr="00C9631A" w:rsidRDefault="006B1C0B" w:rsidP="00E74CD4">
      <w:pPr>
        <w:spacing w:after="120"/>
        <w:jc w:val="both"/>
        <w:rPr>
          <w:rFonts w:ascii="Arial" w:hAnsi="Arial" w:cs="Arial"/>
          <w:b/>
          <w:bCs/>
          <w:i/>
          <w:iCs/>
          <w:sz w:val="20"/>
          <w:szCs w:val="20"/>
        </w:rPr>
      </w:pPr>
      <w:r w:rsidRPr="00C9631A">
        <w:rPr>
          <w:rFonts w:ascii="Arial" w:hAnsi="Arial" w:cs="Arial"/>
          <w:b/>
          <w:bCs/>
          <w:iCs/>
          <w:sz w:val="20"/>
          <w:szCs w:val="20"/>
        </w:rPr>
        <w:t>Medio Oriente</w:t>
      </w:r>
      <w:r w:rsidRPr="00C9631A">
        <w:rPr>
          <w:rFonts w:ascii="Arial" w:hAnsi="Arial" w:cs="Arial"/>
          <w:i/>
          <w:iCs/>
          <w:sz w:val="20"/>
          <w:szCs w:val="20"/>
        </w:rPr>
        <w:t xml:space="preserve">: </w:t>
      </w:r>
      <w:r w:rsidRPr="00C9631A">
        <w:rPr>
          <w:rFonts w:ascii="Arial" w:hAnsi="Arial" w:cs="Arial"/>
          <w:sz w:val="20"/>
          <w:szCs w:val="20"/>
        </w:rPr>
        <w:t xml:space="preserve">Arabia Saudita, Armenia, Azerbaigian, Bahrein, Emirati Arabi Uniti, Georgia, Giordania, Iraq, Israele, Kuwait, Libano, Oman, Qatar, Repubblica islamica dell’Iran, Siria, Territorio palestinese occupato, Yemen. </w:t>
      </w:r>
    </w:p>
    <w:p w14:paraId="2C6C9565" w14:textId="77777777"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Mercosur</w:t>
      </w:r>
      <w:r w:rsidRPr="00C9631A">
        <w:rPr>
          <w:rFonts w:ascii="Arial" w:hAnsi="Arial" w:cs="Arial"/>
          <w:sz w:val="20"/>
          <w:szCs w:val="20"/>
        </w:rPr>
        <w:t>: Brasile, Paraguay, Uruguay e Argentina.</w:t>
      </w:r>
    </w:p>
    <w:p w14:paraId="5CABFC30" w14:textId="77777777" w:rsidR="006B1C0B" w:rsidRPr="00C9631A" w:rsidRDefault="006B1C0B" w:rsidP="00E74CD4">
      <w:pPr>
        <w:spacing w:after="120"/>
        <w:jc w:val="both"/>
        <w:rPr>
          <w:rFonts w:ascii="Arial" w:hAnsi="Arial" w:cs="Arial"/>
          <w:bCs/>
          <w:i/>
          <w:iCs/>
          <w:sz w:val="20"/>
          <w:szCs w:val="20"/>
        </w:rPr>
      </w:pPr>
      <w:r w:rsidRPr="00C9631A">
        <w:rPr>
          <w:rFonts w:ascii="Arial" w:hAnsi="Arial" w:cs="Arial"/>
          <w:b/>
          <w:bCs/>
          <w:iCs/>
          <w:sz w:val="20"/>
          <w:szCs w:val="20"/>
        </w:rPr>
        <w:t>Oceania e altri territori</w:t>
      </w:r>
      <w:r w:rsidRPr="00C9631A">
        <w:rPr>
          <w:rFonts w:ascii="Arial" w:hAnsi="Arial" w:cs="Arial"/>
          <w:sz w:val="20"/>
          <w:szCs w:val="20"/>
        </w:rPr>
        <w:t>: Antartide, Australia, Figi, Georgia del Sud e Isole Sandwich australi, Isola di Bouvet, Isola Christmas, Isole Cocos (Keeling), Isole Cook, Isole Heard e McDonald, Isole Marianne settentrionali, Isole Marshall, Isole minori periferiche degli Stati Uniti, Isola Norfolk, Isole Pitcairn, Isole Salomone, Kiribati, Nauru, Niue, Nuova Caledonia, Nuova Zelanda, Palau, Papua Nuova Guinea, Polinesia francese, Samoa, Samoa americane, Stati Federati di Micronesia, Terre australi e antartiche francesi, Tokelau, Tonga, Tuvalu, Vanuatu, Wallis e Futuna, Provviste e dotazioni di bordo, Paesi e territori non specificati, Paesi e territori non specificati per ragioni commerciali o militari.</w:t>
      </w:r>
    </w:p>
    <w:p w14:paraId="4CF6A404" w14:textId="2BC01BC7" w:rsidR="006B1C0B" w:rsidRPr="00C9631A" w:rsidRDefault="006B1C0B" w:rsidP="00E74CD4">
      <w:pPr>
        <w:spacing w:after="120"/>
        <w:jc w:val="both"/>
        <w:rPr>
          <w:rFonts w:ascii="Arial" w:hAnsi="Arial" w:cs="Arial"/>
          <w:sz w:val="20"/>
          <w:szCs w:val="20"/>
        </w:rPr>
      </w:pPr>
      <w:r w:rsidRPr="00C9631A">
        <w:rPr>
          <w:rFonts w:ascii="Arial" w:hAnsi="Arial" w:cs="Arial"/>
          <w:b/>
          <w:sz w:val="20"/>
          <w:szCs w:val="20"/>
        </w:rPr>
        <w:t>Opec</w:t>
      </w:r>
      <w:r w:rsidRPr="00C9631A">
        <w:rPr>
          <w:rFonts w:ascii="Arial" w:hAnsi="Arial" w:cs="Arial"/>
          <w:sz w:val="20"/>
          <w:szCs w:val="20"/>
        </w:rPr>
        <w:t>:</w:t>
      </w:r>
      <w:r w:rsidRPr="00C9631A">
        <w:rPr>
          <w:rFonts w:ascii="Arial" w:hAnsi="Arial" w:cs="Arial"/>
          <w:i/>
          <w:sz w:val="20"/>
          <w:szCs w:val="20"/>
        </w:rPr>
        <w:t xml:space="preserve"> </w:t>
      </w:r>
      <w:r w:rsidRPr="00C9631A">
        <w:rPr>
          <w:rFonts w:ascii="Arial" w:hAnsi="Arial" w:cs="Arial"/>
          <w:sz w:val="20"/>
          <w:szCs w:val="20"/>
        </w:rPr>
        <w:t xml:space="preserve">Algeria, Angola, Arabia Saudita, Emirati Arabi Uniti, Iraq, Kuwait, Libia, Nigeria, Repubblica islamica </w:t>
      </w:r>
      <w:r w:rsidR="00C9631A">
        <w:rPr>
          <w:rFonts w:ascii="Arial" w:hAnsi="Arial" w:cs="Arial"/>
          <w:sz w:val="20"/>
          <w:szCs w:val="20"/>
        </w:rPr>
        <w:t>d</w:t>
      </w:r>
      <w:r w:rsidRPr="00C9631A">
        <w:rPr>
          <w:rFonts w:ascii="Arial" w:hAnsi="Arial" w:cs="Arial"/>
          <w:sz w:val="20"/>
          <w:szCs w:val="20"/>
        </w:rPr>
        <w:t xml:space="preserve">ell’Iran, </w:t>
      </w:r>
      <w:r w:rsidR="00245D91">
        <w:rPr>
          <w:rFonts w:ascii="Arial" w:hAnsi="Arial" w:cs="Arial"/>
          <w:sz w:val="20"/>
          <w:szCs w:val="20"/>
        </w:rPr>
        <w:t>Venezuela</w:t>
      </w:r>
      <w:r w:rsidRPr="00C9631A">
        <w:rPr>
          <w:rFonts w:ascii="Arial" w:hAnsi="Arial" w:cs="Arial"/>
          <w:sz w:val="20"/>
          <w:szCs w:val="20"/>
        </w:rPr>
        <w:t xml:space="preserve">, </w:t>
      </w:r>
      <w:r w:rsidR="00883849" w:rsidRPr="00C9631A">
        <w:rPr>
          <w:rFonts w:ascii="Arial" w:hAnsi="Arial" w:cs="Arial"/>
          <w:sz w:val="20"/>
          <w:szCs w:val="20"/>
        </w:rPr>
        <w:t xml:space="preserve">Gabon, </w:t>
      </w:r>
      <w:r w:rsidRPr="00C9631A">
        <w:rPr>
          <w:rFonts w:ascii="Arial" w:hAnsi="Arial" w:cs="Arial"/>
          <w:sz w:val="20"/>
          <w:szCs w:val="20"/>
        </w:rPr>
        <w:t>Guinea Equatoriale</w:t>
      </w:r>
      <w:r w:rsidR="00883849" w:rsidRPr="00C9631A">
        <w:rPr>
          <w:rFonts w:ascii="Arial" w:hAnsi="Arial" w:cs="Arial"/>
          <w:sz w:val="20"/>
          <w:szCs w:val="20"/>
        </w:rPr>
        <w:t xml:space="preserve"> e Congo</w:t>
      </w:r>
      <w:r w:rsidRPr="00C9631A">
        <w:rPr>
          <w:rFonts w:ascii="Arial" w:hAnsi="Arial" w:cs="Arial"/>
          <w:sz w:val="20"/>
          <w:szCs w:val="20"/>
        </w:rPr>
        <w:t>.</w:t>
      </w:r>
    </w:p>
    <w:p w14:paraId="2CFEFA7B" w14:textId="662571DA" w:rsidR="006B1C0B" w:rsidRPr="00C9631A" w:rsidRDefault="006B1C0B" w:rsidP="00E74CD4">
      <w:pPr>
        <w:spacing w:after="120"/>
        <w:jc w:val="both"/>
        <w:rPr>
          <w:rFonts w:ascii="Arial" w:hAnsi="Arial" w:cs="Arial"/>
          <w:sz w:val="20"/>
          <w:szCs w:val="20"/>
        </w:rPr>
      </w:pPr>
      <w:r w:rsidRPr="00C9631A">
        <w:rPr>
          <w:rFonts w:ascii="Arial" w:hAnsi="Arial" w:cs="Arial"/>
          <w:b/>
          <w:bCs/>
          <w:iCs/>
          <w:sz w:val="20"/>
          <w:szCs w:val="20"/>
        </w:rPr>
        <w:t>Paesi europei non Ue</w:t>
      </w:r>
      <w:r w:rsidRPr="00C9631A">
        <w:rPr>
          <w:rFonts w:ascii="Arial" w:hAnsi="Arial" w:cs="Arial"/>
          <w:sz w:val="20"/>
          <w:szCs w:val="20"/>
        </w:rPr>
        <w:t xml:space="preserve">: Albania, Andorra, Bielorussia, Bosnia-Erzegovina, Fær Øer, Gibilterra, Islanda, Kosovo, Liechtenstein, </w:t>
      </w:r>
      <w:r w:rsidR="00EF21D2">
        <w:rPr>
          <w:rFonts w:ascii="Arial" w:hAnsi="Arial" w:cs="Arial"/>
          <w:sz w:val="20"/>
          <w:szCs w:val="20"/>
        </w:rPr>
        <w:t>Macedonia del Nord,</w:t>
      </w:r>
      <w:r w:rsidR="00EF21D2" w:rsidRPr="00C9631A">
        <w:rPr>
          <w:rFonts w:ascii="Arial" w:hAnsi="Arial" w:cs="Arial"/>
          <w:sz w:val="20"/>
          <w:szCs w:val="20"/>
        </w:rPr>
        <w:t xml:space="preserve"> </w:t>
      </w:r>
      <w:r w:rsidRPr="00C9631A">
        <w:rPr>
          <w:rFonts w:ascii="Arial" w:hAnsi="Arial" w:cs="Arial"/>
          <w:sz w:val="20"/>
          <w:szCs w:val="20"/>
        </w:rPr>
        <w:t xml:space="preserve">Montenegro, Norvegia, </w:t>
      </w:r>
      <w:r w:rsidR="00C22FDA">
        <w:rPr>
          <w:rFonts w:ascii="Arial" w:hAnsi="Arial" w:cs="Arial"/>
          <w:sz w:val="20"/>
          <w:szCs w:val="20"/>
        </w:rPr>
        <w:t xml:space="preserve">Regno Unito, </w:t>
      </w:r>
      <w:r w:rsidRPr="00C9631A">
        <w:rPr>
          <w:rFonts w:ascii="Arial" w:hAnsi="Arial" w:cs="Arial"/>
          <w:sz w:val="20"/>
          <w:szCs w:val="20"/>
        </w:rPr>
        <w:t>Repubblica moldova, Russia, Santa Sede (Stato della Città del Vaticano), Serbia, Svizzera, Turchia, Ucraina.</w:t>
      </w:r>
    </w:p>
    <w:p w14:paraId="4CDC1008" w14:textId="77777777" w:rsidR="00B24754" w:rsidRDefault="006B1C0B" w:rsidP="00F865D6">
      <w:pPr>
        <w:spacing w:after="120"/>
        <w:jc w:val="both"/>
        <w:rPr>
          <w:rFonts w:ascii="Arial" w:hAnsi="Arial" w:cs="Arial"/>
        </w:rPr>
      </w:pPr>
      <w:r w:rsidRPr="00C9631A">
        <w:rPr>
          <w:rFonts w:ascii="Arial" w:hAnsi="Arial" w:cs="Arial"/>
          <w:b/>
          <w:bCs/>
          <w:iCs/>
          <w:sz w:val="20"/>
          <w:szCs w:val="20"/>
        </w:rPr>
        <w:t>Unione europea</w:t>
      </w:r>
      <w:r w:rsidRPr="00C9631A">
        <w:rPr>
          <w:rFonts w:ascii="Arial" w:hAnsi="Arial" w:cs="Arial"/>
          <w:sz w:val="20"/>
          <w:szCs w:val="20"/>
        </w:rPr>
        <w:t>: Austria, Belgio, Bulgaria, Cipro, Croazia, Danimarca, Estonia, Finlandia, Francia, Germania, Grecia, Irlanda, Italia, Lettonia, Lituania, Lussemburgo, Malta, Pa</w:t>
      </w:r>
      <w:r w:rsidR="00C22FDA">
        <w:rPr>
          <w:rFonts w:ascii="Arial" w:hAnsi="Arial" w:cs="Arial"/>
          <w:sz w:val="20"/>
          <w:szCs w:val="20"/>
        </w:rPr>
        <w:t>esi Bassi, Polonia, Portogallo</w:t>
      </w:r>
      <w:r w:rsidRPr="00C9631A">
        <w:rPr>
          <w:rFonts w:ascii="Arial" w:hAnsi="Arial" w:cs="Arial"/>
          <w:sz w:val="20"/>
          <w:szCs w:val="20"/>
        </w:rPr>
        <w:t>, Repubblica ceca, Romania, Slovacchia, Slovenia, Spagna, Svezia, Ungheria.</w:t>
      </w:r>
    </w:p>
    <w:p w14:paraId="315FEA75" w14:textId="77777777" w:rsidR="00940950" w:rsidRDefault="00940950" w:rsidP="00B81D29">
      <w:pPr>
        <w:spacing w:after="120"/>
        <w:rPr>
          <w:rFonts w:ascii="Arial" w:hAnsi="Arial" w:cs="Arial"/>
        </w:rPr>
        <w:sectPr w:rsidR="00940950" w:rsidSect="00B81D29">
          <w:headerReference w:type="default" r:id="rId37"/>
          <w:pgSz w:w="11907" w:h="16840" w:code="9"/>
          <w:pgMar w:top="1534" w:right="851" w:bottom="680" w:left="851" w:header="567" w:footer="567" w:gutter="0"/>
          <w:cols w:space="720"/>
          <w:noEndnote/>
          <w:docGrid w:linePitch="272"/>
        </w:sectPr>
      </w:pPr>
    </w:p>
    <w:p w14:paraId="47B26564" w14:textId="77777777" w:rsidR="00257DC4" w:rsidRPr="00397FAC" w:rsidRDefault="00257DC4" w:rsidP="00257DC4">
      <w:pPr>
        <w:spacing w:after="120"/>
        <w:rPr>
          <w:rFonts w:ascii="Arial" w:hAnsi="Arial" w:cs="Arial"/>
          <w:b/>
          <w:szCs w:val="28"/>
        </w:rPr>
      </w:pPr>
    </w:p>
    <w:p w14:paraId="21E893D5" w14:textId="77777777" w:rsidR="00CD38B7" w:rsidRPr="00C9631A" w:rsidRDefault="00CD38B7" w:rsidP="00CD38B7">
      <w:pPr>
        <w:spacing w:after="120"/>
        <w:rPr>
          <w:rFonts w:ascii="Arial" w:hAnsi="Arial" w:cs="Arial"/>
          <w:b/>
          <w:sz w:val="22"/>
          <w:szCs w:val="20"/>
        </w:rPr>
      </w:pPr>
      <w:r w:rsidRPr="00C9631A">
        <w:rPr>
          <w:rFonts w:ascii="Arial" w:hAnsi="Arial" w:cs="Arial"/>
          <w:b/>
          <w:sz w:val="22"/>
          <w:szCs w:val="20"/>
        </w:rPr>
        <w:t>Introduzione</w:t>
      </w:r>
    </w:p>
    <w:p w14:paraId="727C186F"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In questa nota sono riportati i principali riferimenti normativi e metodologici relativi alle rilevazioni sugli scambi con l’estero di merci e sui prezzi all’importazione dei prodotti industriali. Il Prospetto A ne riporta una sintesi.</w:t>
      </w:r>
    </w:p>
    <w:p w14:paraId="1DC25429" w14:textId="77777777" w:rsidR="00CD38B7" w:rsidRPr="00257DC4" w:rsidRDefault="00CD38B7" w:rsidP="00CD38B7">
      <w:pPr>
        <w:spacing w:before="240" w:after="120"/>
        <w:jc w:val="both"/>
        <w:rPr>
          <w:rFonts w:ascii="Arial Narrow" w:hAnsi="Arial Narrow" w:cs="Arial"/>
          <w:b/>
          <w:color w:val="7F7F7F"/>
          <w:sz w:val="19"/>
          <w:szCs w:val="19"/>
        </w:rPr>
      </w:pPr>
      <w:r w:rsidRPr="009E4A3B">
        <w:rPr>
          <w:rFonts w:ascii="Arial Narrow" w:hAnsi="Arial Narrow" w:cs="Arial"/>
          <w:b/>
          <w:color w:val="E42618"/>
          <w:sz w:val="22"/>
          <w:szCs w:val="22"/>
        </w:rPr>
        <w:t>PROSPETTO A.</w:t>
      </w:r>
      <w:r w:rsidRPr="009E4A3B">
        <w:rPr>
          <w:rFonts w:ascii="Arial Narrow" w:hAnsi="Arial Narrow" w:cs="Arial"/>
          <w:b/>
          <w:color w:val="C00000"/>
          <w:sz w:val="22"/>
          <w:szCs w:val="22"/>
        </w:rPr>
        <w:t xml:space="preserve"> </w:t>
      </w:r>
      <w:r w:rsidRPr="00257DC4">
        <w:rPr>
          <w:rFonts w:ascii="Arial Narrow" w:hAnsi="Arial Narrow" w:cs="Arial"/>
          <w:b/>
          <w:color w:val="7F7F7F"/>
          <w:sz w:val="22"/>
          <w:szCs w:val="22"/>
        </w:rPr>
        <w:t>RILEVAZIONI SUGLI SCAMBI CON L’ESTERO DI MERCI E SUI PREZZI ALL’IMPORTAZIONE</w:t>
      </w:r>
      <w:r>
        <w:rPr>
          <w:rFonts w:ascii="Arial Narrow" w:hAnsi="Arial Narrow" w:cs="Arial"/>
          <w:b/>
          <w:color w:val="7F7F7F"/>
          <w:sz w:val="22"/>
          <w:szCs w:val="22"/>
        </w:rPr>
        <w:t xml:space="preserve"> </w:t>
      </w:r>
      <w:r w:rsidRPr="00257DC4">
        <w:rPr>
          <w:rFonts w:ascii="Arial Narrow" w:hAnsi="Arial Narrow" w:cs="Arial"/>
          <w:b/>
          <w:color w:val="7F7F7F"/>
          <w:sz w:val="22"/>
          <w:szCs w:val="22"/>
        </w:rPr>
        <w:t>PRINCIPALI CARATTERISTICHE</w:t>
      </w:r>
    </w:p>
    <w:tbl>
      <w:tblPr>
        <w:tblW w:w="1020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026"/>
        <w:gridCol w:w="4089"/>
        <w:gridCol w:w="4091"/>
      </w:tblGrid>
      <w:tr w:rsidR="00CD38B7" w14:paraId="772DAAC8" w14:textId="77777777" w:rsidTr="000D3585">
        <w:trPr>
          <w:trHeight w:val="255"/>
        </w:trPr>
        <w:tc>
          <w:tcPr>
            <w:tcW w:w="993" w:type="pct"/>
            <w:vMerge w:val="restart"/>
            <w:shd w:val="clear" w:color="auto" w:fill="auto"/>
          </w:tcPr>
          <w:p w14:paraId="432369DC" w14:textId="77777777" w:rsidR="00CD38B7" w:rsidRPr="00232AB9" w:rsidRDefault="00CD38B7" w:rsidP="000D3585">
            <w:pPr>
              <w:spacing w:before="40" w:after="20"/>
              <w:jc w:val="center"/>
              <w:rPr>
                <w:rFonts w:ascii="Arial Narrow" w:hAnsi="Arial Narrow" w:cs="Arial"/>
                <w:b/>
                <w:sz w:val="18"/>
                <w:szCs w:val="18"/>
              </w:rPr>
            </w:pPr>
          </w:p>
        </w:tc>
        <w:tc>
          <w:tcPr>
            <w:tcW w:w="4007" w:type="pct"/>
            <w:gridSpan w:val="2"/>
            <w:shd w:val="clear" w:color="auto" w:fill="D9D9D9"/>
          </w:tcPr>
          <w:p w14:paraId="40A0E2E8" w14:textId="77777777" w:rsidR="00CD38B7" w:rsidRPr="00232AB9" w:rsidRDefault="00CD38B7" w:rsidP="000D3585">
            <w:pPr>
              <w:spacing w:before="40" w:after="20"/>
              <w:jc w:val="center"/>
              <w:rPr>
                <w:rFonts w:ascii="Arial Narrow" w:hAnsi="Arial Narrow" w:cs="Arial"/>
                <w:b/>
                <w:sz w:val="18"/>
                <w:szCs w:val="18"/>
              </w:rPr>
            </w:pPr>
            <w:r w:rsidRPr="00232AB9">
              <w:rPr>
                <w:rFonts w:ascii="Arial Narrow" w:hAnsi="Arial Narrow" w:cs="Arial"/>
                <w:b/>
                <w:sz w:val="18"/>
                <w:szCs w:val="18"/>
              </w:rPr>
              <w:t>RILEVAZIONI</w:t>
            </w:r>
          </w:p>
        </w:tc>
      </w:tr>
      <w:tr w:rsidR="00CD38B7" w14:paraId="3146597A" w14:textId="77777777" w:rsidTr="000D3585">
        <w:trPr>
          <w:trHeight w:val="255"/>
        </w:trPr>
        <w:tc>
          <w:tcPr>
            <w:tcW w:w="993" w:type="pct"/>
            <w:vMerge/>
            <w:shd w:val="clear" w:color="auto" w:fill="auto"/>
          </w:tcPr>
          <w:p w14:paraId="2DFDA5F4" w14:textId="77777777" w:rsidR="00CD38B7" w:rsidRPr="00232AB9" w:rsidRDefault="00CD38B7" w:rsidP="000D3585">
            <w:pPr>
              <w:spacing w:before="40" w:after="20"/>
              <w:jc w:val="center"/>
              <w:rPr>
                <w:rFonts w:ascii="Arial Narrow" w:hAnsi="Arial Narrow" w:cs="Arial"/>
                <w:b/>
                <w:sz w:val="18"/>
                <w:szCs w:val="18"/>
              </w:rPr>
            </w:pPr>
          </w:p>
        </w:tc>
        <w:tc>
          <w:tcPr>
            <w:tcW w:w="2003" w:type="pct"/>
            <w:shd w:val="clear" w:color="auto" w:fill="FFFFFF"/>
          </w:tcPr>
          <w:p w14:paraId="76D45FAC" w14:textId="77777777" w:rsidR="00CD38B7" w:rsidRPr="00232AB9" w:rsidRDefault="00CD38B7" w:rsidP="000D3585">
            <w:pPr>
              <w:spacing w:before="40" w:after="20"/>
              <w:jc w:val="center"/>
              <w:rPr>
                <w:b/>
              </w:rPr>
            </w:pPr>
            <w:r w:rsidRPr="00232AB9">
              <w:rPr>
                <w:rFonts w:ascii="Arial Narrow" w:hAnsi="Arial Narrow" w:cs="Arial"/>
                <w:b/>
                <w:sz w:val="18"/>
                <w:szCs w:val="18"/>
              </w:rPr>
              <w:t>Scambi con l’estero di merci</w:t>
            </w:r>
          </w:p>
        </w:tc>
        <w:tc>
          <w:tcPr>
            <w:tcW w:w="2004" w:type="pct"/>
            <w:shd w:val="clear" w:color="auto" w:fill="FFFFFF"/>
          </w:tcPr>
          <w:p w14:paraId="4C67481D" w14:textId="77777777" w:rsidR="00CD38B7" w:rsidRPr="00232AB9" w:rsidRDefault="00CD38B7" w:rsidP="000D3585">
            <w:pPr>
              <w:spacing w:before="40" w:after="20"/>
              <w:jc w:val="center"/>
              <w:rPr>
                <w:b/>
              </w:rPr>
            </w:pPr>
            <w:r w:rsidRPr="00232AB9">
              <w:rPr>
                <w:rFonts w:ascii="Arial Narrow" w:hAnsi="Arial Narrow" w:cs="Arial"/>
                <w:b/>
                <w:sz w:val="18"/>
                <w:szCs w:val="18"/>
              </w:rPr>
              <w:t>Prezzi all’importazione</w:t>
            </w:r>
          </w:p>
        </w:tc>
      </w:tr>
      <w:tr w:rsidR="00CD38B7" w14:paraId="575329F8" w14:textId="77777777" w:rsidTr="000D3585">
        <w:trPr>
          <w:trHeight w:val="255"/>
        </w:trPr>
        <w:tc>
          <w:tcPr>
            <w:tcW w:w="993" w:type="pct"/>
            <w:shd w:val="clear" w:color="auto" w:fill="auto"/>
          </w:tcPr>
          <w:p w14:paraId="72E36819" w14:textId="77777777" w:rsidR="00CD38B7" w:rsidRPr="009575F1" w:rsidRDefault="00CD38B7" w:rsidP="000D3585">
            <w:pPr>
              <w:spacing w:before="40" w:after="20"/>
            </w:pPr>
            <w:r w:rsidRPr="00232AB9">
              <w:rPr>
                <w:rFonts w:ascii="Arial Narrow" w:hAnsi="Arial Narrow" w:cs="Arial"/>
                <w:b/>
                <w:sz w:val="18"/>
                <w:szCs w:val="18"/>
              </w:rPr>
              <w:t>Fonti</w:t>
            </w:r>
          </w:p>
        </w:tc>
        <w:tc>
          <w:tcPr>
            <w:tcW w:w="2003" w:type="pct"/>
            <w:shd w:val="clear" w:color="auto" w:fill="D9D9D9"/>
          </w:tcPr>
          <w:p w14:paraId="191D6B90" w14:textId="77777777" w:rsidR="00CD38B7" w:rsidRPr="00232AB9" w:rsidRDefault="00CD38B7" w:rsidP="000D3585">
            <w:pPr>
              <w:spacing w:before="40" w:after="20"/>
              <w:rPr>
                <w:rFonts w:ascii="Arial Narrow" w:hAnsi="Arial Narrow" w:cs="Arial"/>
                <w:sz w:val="18"/>
                <w:szCs w:val="18"/>
              </w:rPr>
            </w:pPr>
            <w:r w:rsidRPr="00232AB9">
              <w:rPr>
                <w:rFonts w:ascii="Arial Narrow" w:hAnsi="Arial Narrow" w:cs="Arial"/>
                <w:sz w:val="18"/>
                <w:szCs w:val="18"/>
              </w:rPr>
              <w:t>1) Utilizzo dati doganali e sistema Intrastat</w:t>
            </w:r>
          </w:p>
          <w:p w14:paraId="18B43D1F" w14:textId="77777777" w:rsidR="00CD38B7" w:rsidRPr="00232AB9" w:rsidRDefault="00CD38B7" w:rsidP="000D3585">
            <w:pPr>
              <w:spacing w:before="40" w:after="20"/>
              <w:rPr>
                <w:rFonts w:ascii="Arial Narrow" w:hAnsi="Arial Narrow" w:cs="Arial"/>
                <w:sz w:val="18"/>
                <w:szCs w:val="18"/>
              </w:rPr>
            </w:pPr>
            <w:r w:rsidRPr="00232AB9">
              <w:rPr>
                <w:rFonts w:ascii="Arial Narrow" w:hAnsi="Arial Narrow" w:cs="Arial"/>
                <w:sz w:val="18"/>
                <w:szCs w:val="18"/>
              </w:rPr>
              <w:t>2) Elaborazioni da statistiche di base sugli Scambi con l’estero di merci</w:t>
            </w:r>
          </w:p>
          <w:p w14:paraId="55997E84" w14:textId="77777777" w:rsidR="00CD38B7" w:rsidRPr="009575F1" w:rsidRDefault="00CD38B7" w:rsidP="000D3585">
            <w:pPr>
              <w:spacing w:before="40" w:after="20"/>
            </w:pPr>
            <w:r w:rsidRPr="00232AB9">
              <w:rPr>
                <w:rFonts w:ascii="Arial Narrow" w:hAnsi="Arial Narrow" w:cs="Arial"/>
                <w:sz w:val="18"/>
                <w:szCs w:val="18"/>
              </w:rPr>
              <w:t>3) Le stime di particolari merci sono frutto di elaborazioni ottenute integrando fonti informative diverse</w:t>
            </w:r>
          </w:p>
        </w:tc>
        <w:tc>
          <w:tcPr>
            <w:tcW w:w="2004" w:type="pct"/>
            <w:shd w:val="clear" w:color="auto" w:fill="auto"/>
          </w:tcPr>
          <w:p w14:paraId="7C9766E4" w14:textId="77777777" w:rsidR="00CD38B7" w:rsidRDefault="00CD38B7" w:rsidP="000D3585">
            <w:pPr>
              <w:spacing w:before="40" w:after="20"/>
            </w:pPr>
            <w:r w:rsidRPr="00232AB9">
              <w:rPr>
                <w:rFonts w:ascii="Arial Narrow" w:hAnsi="Arial Narrow" w:cs="Arial"/>
                <w:sz w:val="18"/>
                <w:szCs w:val="18"/>
              </w:rPr>
              <w:t>Rilevazione diretta</w:t>
            </w:r>
          </w:p>
        </w:tc>
      </w:tr>
      <w:tr w:rsidR="00CD38B7" w14:paraId="53B3A7D3" w14:textId="77777777" w:rsidTr="000D3585">
        <w:trPr>
          <w:trHeight w:val="255"/>
        </w:trPr>
        <w:tc>
          <w:tcPr>
            <w:tcW w:w="993" w:type="pct"/>
            <w:shd w:val="clear" w:color="auto" w:fill="auto"/>
          </w:tcPr>
          <w:p w14:paraId="2C7DF3B9" w14:textId="77777777" w:rsidR="00CD38B7" w:rsidRDefault="00CD38B7" w:rsidP="000D3585">
            <w:pPr>
              <w:spacing w:before="40" w:after="20"/>
            </w:pPr>
            <w:r w:rsidRPr="00232AB9">
              <w:rPr>
                <w:rFonts w:ascii="Arial Narrow" w:hAnsi="Arial Narrow" w:cs="Arial"/>
                <w:b/>
                <w:sz w:val="18"/>
                <w:szCs w:val="18"/>
              </w:rPr>
              <w:t>Campo di osservazione</w:t>
            </w:r>
          </w:p>
        </w:tc>
        <w:tc>
          <w:tcPr>
            <w:tcW w:w="2003" w:type="pct"/>
            <w:shd w:val="clear" w:color="auto" w:fill="D9D9D9"/>
          </w:tcPr>
          <w:p w14:paraId="76FBD7DF" w14:textId="77777777" w:rsidR="00CD38B7" w:rsidRPr="00232AB9" w:rsidRDefault="00CD38B7" w:rsidP="000D3585">
            <w:pPr>
              <w:spacing w:before="40" w:after="20"/>
              <w:rPr>
                <w:rFonts w:ascii="Arial Narrow" w:hAnsi="Arial Narrow" w:cs="Arial"/>
                <w:sz w:val="18"/>
                <w:szCs w:val="18"/>
              </w:rPr>
            </w:pPr>
            <w:r w:rsidRPr="00232AB9">
              <w:rPr>
                <w:rFonts w:ascii="Arial Narrow" w:hAnsi="Arial Narrow" w:cs="Arial"/>
                <w:sz w:val="18"/>
                <w:szCs w:val="18"/>
              </w:rPr>
              <w:t>Tutte le merci (cfr glossario), senza restrizioni rispetto all'attività economica prevalente delle unità economiche che hanno attivato i flussi di scambi con l'estero, ad esclusione dell’oro monetario, del software personalizzato, degli strumenti di pagamento aventi corso legale e valori, delle merci destinate alla riparazione.</w:t>
            </w:r>
          </w:p>
        </w:tc>
        <w:tc>
          <w:tcPr>
            <w:tcW w:w="2004" w:type="pct"/>
            <w:shd w:val="clear" w:color="auto" w:fill="auto"/>
          </w:tcPr>
          <w:p w14:paraId="369573C8" w14:textId="77777777" w:rsidR="00CD38B7" w:rsidRPr="00232AB9" w:rsidRDefault="00CD38B7" w:rsidP="000D3585">
            <w:pPr>
              <w:spacing w:before="40" w:after="20"/>
              <w:rPr>
                <w:rFonts w:ascii="Arial Narrow" w:hAnsi="Arial Narrow" w:cs="Arial"/>
                <w:sz w:val="18"/>
                <w:szCs w:val="18"/>
              </w:rPr>
            </w:pPr>
            <w:r w:rsidRPr="00232AB9">
              <w:rPr>
                <w:rFonts w:ascii="Arial Narrow" w:hAnsi="Arial Narrow" w:cs="Arial"/>
                <w:sz w:val="18"/>
                <w:szCs w:val="18"/>
              </w:rPr>
              <w:t>1) Prodott</w:t>
            </w:r>
            <w:r>
              <w:rPr>
                <w:rFonts w:ascii="Arial Narrow" w:hAnsi="Arial Narrow" w:cs="Arial"/>
                <w:sz w:val="18"/>
                <w:szCs w:val="18"/>
              </w:rPr>
              <w:t>i inclusi nelle sezioni da B a D</w:t>
            </w:r>
            <w:r w:rsidRPr="00232AB9">
              <w:rPr>
                <w:rFonts w:ascii="Arial Narrow" w:hAnsi="Arial Narrow" w:cs="Arial"/>
                <w:sz w:val="18"/>
                <w:szCs w:val="18"/>
              </w:rPr>
              <w:t xml:space="preserve"> della classificazione CPA (derivata dalla Nace Rev.2);</w:t>
            </w:r>
          </w:p>
          <w:p w14:paraId="1E879D8B" w14:textId="77777777" w:rsidR="00CD38B7" w:rsidRDefault="00CD38B7" w:rsidP="000D3585">
            <w:pPr>
              <w:spacing w:before="40" w:after="20"/>
            </w:pPr>
            <w:r w:rsidRPr="00232AB9">
              <w:rPr>
                <w:rFonts w:ascii="Arial Narrow" w:hAnsi="Arial Narrow" w:cs="Arial"/>
                <w:sz w:val="18"/>
                <w:szCs w:val="18"/>
              </w:rPr>
              <w:t>2) imprese con attività economica prevalente nelle sezioni B, C, D, E, G della classificazione Ateco 2007 (derivata dalla Nace Rev.2).</w:t>
            </w:r>
          </w:p>
        </w:tc>
      </w:tr>
      <w:tr w:rsidR="00CD38B7" w14:paraId="0E827088" w14:textId="77777777" w:rsidTr="000D3585">
        <w:trPr>
          <w:trHeight w:val="255"/>
        </w:trPr>
        <w:tc>
          <w:tcPr>
            <w:tcW w:w="993" w:type="pct"/>
            <w:shd w:val="clear" w:color="auto" w:fill="auto"/>
          </w:tcPr>
          <w:p w14:paraId="2E3A2AB0" w14:textId="77777777" w:rsidR="00CD38B7" w:rsidRDefault="00CD38B7" w:rsidP="000D3585">
            <w:pPr>
              <w:spacing w:before="40" w:after="20"/>
            </w:pPr>
            <w:r w:rsidRPr="00232AB9">
              <w:rPr>
                <w:rFonts w:ascii="Arial Narrow" w:hAnsi="Arial Narrow" w:cs="Arial"/>
                <w:b/>
                <w:sz w:val="18"/>
                <w:szCs w:val="18"/>
              </w:rPr>
              <w:t>Periodicità di diffusione e dettaglio territoriale dei dati</w:t>
            </w:r>
          </w:p>
        </w:tc>
        <w:tc>
          <w:tcPr>
            <w:tcW w:w="2003" w:type="pct"/>
            <w:shd w:val="clear" w:color="auto" w:fill="D9D9D9"/>
          </w:tcPr>
          <w:p w14:paraId="08845E09" w14:textId="77777777" w:rsidR="00CD38B7" w:rsidRPr="00232AB9" w:rsidRDefault="00CD38B7" w:rsidP="000D3585">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c>
          <w:tcPr>
            <w:tcW w:w="2004" w:type="pct"/>
            <w:shd w:val="clear" w:color="auto" w:fill="auto"/>
          </w:tcPr>
          <w:p w14:paraId="5918264E" w14:textId="77777777" w:rsidR="00CD38B7" w:rsidRPr="00232AB9" w:rsidRDefault="00CD38B7" w:rsidP="000D3585">
            <w:pPr>
              <w:spacing w:before="40" w:after="20"/>
              <w:rPr>
                <w:rFonts w:ascii="Arial Narrow" w:hAnsi="Arial Narrow" w:cs="Arial"/>
                <w:sz w:val="18"/>
                <w:szCs w:val="18"/>
              </w:rPr>
            </w:pPr>
            <w:r w:rsidRPr="00232AB9">
              <w:rPr>
                <w:rFonts w:ascii="Arial Narrow" w:hAnsi="Arial Narrow" w:cs="Arial"/>
                <w:sz w:val="18"/>
                <w:szCs w:val="18"/>
              </w:rPr>
              <w:t>Cadenza mensile delle stime degli indicatori a livello nazionale</w:t>
            </w:r>
          </w:p>
        </w:tc>
      </w:tr>
      <w:tr w:rsidR="00CD38B7" w14:paraId="2889D15D" w14:textId="77777777" w:rsidTr="000D3585">
        <w:trPr>
          <w:trHeight w:val="255"/>
        </w:trPr>
        <w:tc>
          <w:tcPr>
            <w:tcW w:w="993" w:type="pct"/>
            <w:shd w:val="clear" w:color="auto" w:fill="auto"/>
          </w:tcPr>
          <w:p w14:paraId="3D23BDFD" w14:textId="77777777" w:rsidR="00CD38B7" w:rsidRDefault="00CD38B7" w:rsidP="000D3585">
            <w:pPr>
              <w:spacing w:before="40" w:after="20"/>
            </w:pPr>
            <w:r w:rsidRPr="00232AB9">
              <w:rPr>
                <w:rFonts w:ascii="Arial Narrow" w:hAnsi="Arial Narrow" w:cs="Arial"/>
                <w:b/>
                <w:sz w:val="18"/>
                <w:szCs w:val="18"/>
              </w:rPr>
              <w:t>Periodo di riferimento</w:t>
            </w:r>
          </w:p>
        </w:tc>
        <w:tc>
          <w:tcPr>
            <w:tcW w:w="2003" w:type="pct"/>
            <w:shd w:val="clear" w:color="auto" w:fill="D9D9D9"/>
          </w:tcPr>
          <w:p w14:paraId="1F3C6FAC" w14:textId="77777777" w:rsidR="00CD38B7" w:rsidRPr="00232AB9" w:rsidRDefault="00CD38B7" w:rsidP="000D3585">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c>
          <w:tcPr>
            <w:tcW w:w="2004" w:type="pct"/>
            <w:shd w:val="clear" w:color="auto" w:fill="auto"/>
          </w:tcPr>
          <w:p w14:paraId="6C94EE60" w14:textId="77777777" w:rsidR="00CD38B7" w:rsidRPr="00232AB9" w:rsidRDefault="00CD38B7" w:rsidP="000D3585">
            <w:pPr>
              <w:spacing w:before="40" w:after="20"/>
              <w:rPr>
                <w:rFonts w:ascii="Arial Narrow" w:hAnsi="Arial Narrow" w:cs="Arial"/>
                <w:sz w:val="18"/>
                <w:szCs w:val="18"/>
              </w:rPr>
            </w:pPr>
            <w:r w:rsidRPr="00232AB9">
              <w:rPr>
                <w:rFonts w:ascii="Arial Narrow" w:hAnsi="Arial Narrow" w:cs="Arial"/>
                <w:sz w:val="18"/>
                <w:szCs w:val="18"/>
              </w:rPr>
              <w:t>Mese e periodo cui si riferiscono le informazioni raccolte</w:t>
            </w:r>
          </w:p>
        </w:tc>
      </w:tr>
      <w:tr w:rsidR="00CD38B7" w14:paraId="1EDA9108" w14:textId="77777777" w:rsidTr="000D3585">
        <w:trPr>
          <w:trHeight w:val="255"/>
        </w:trPr>
        <w:tc>
          <w:tcPr>
            <w:tcW w:w="993" w:type="pct"/>
            <w:shd w:val="clear" w:color="auto" w:fill="auto"/>
          </w:tcPr>
          <w:p w14:paraId="4A319342" w14:textId="77777777" w:rsidR="00CD38B7" w:rsidRDefault="00CD38B7" w:rsidP="000D3585">
            <w:pPr>
              <w:spacing w:before="40" w:after="20"/>
            </w:pPr>
            <w:r w:rsidRPr="00232AB9">
              <w:rPr>
                <w:rFonts w:ascii="Arial Narrow" w:hAnsi="Arial Narrow" w:cs="Arial"/>
                <w:b/>
                <w:sz w:val="18"/>
                <w:szCs w:val="18"/>
              </w:rPr>
              <w:t>Principali indicatori</w:t>
            </w:r>
          </w:p>
        </w:tc>
        <w:tc>
          <w:tcPr>
            <w:tcW w:w="2003" w:type="pct"/>
            <w:shd w:val="clear" w:color="auto" w:fill="D9D9D9"/>
          </w:tcPr>
          <w:p w14:paraId="6AEB26D6" w14:textId="77777777" w:rsidR="00CD38B7" w:rsidRPr="00232AB9" w:rsidRDefault="00CD38B7" w:rsidP="000D3585">
            <w:pPr>
              <w:spacing w:before="40" w:after="20"/>
              <w:rPr>
                <w:rFonts w:ascii="Arial Narrow" w:hAnsi="Arial Narrow" w:cs="Arial"/>
                <w:sz w:val="18"/>
                <w:szCs w:val="18"/>
              </w:rPr>
            </w:pPr>
            <w:r w:rsidRPr="00232AB9">
              <w:rPr>
                <w:rFonts w:ascii="Arial Narrow" w:hAnsi="Arial Narrow" w:cs="Arial"/>
                <w:sz w:val="18"/>
                <w:szCs w:val="18"/>
              </w:rPr>
              <w:t>1) Valori monetari a prezzi correnti rilevati o stimati in termini di valore statistico (Cif, Fob)</w:t>
            </w:r>
          </w:p>
          <w:p w14:paraId="5A3DD41B" w14:textId="77777777" w:rsidR="00CD38B7" w:rsidRDefault="00CD38B7" w:rsidP="000D3585">
            <w:pPr>
              <w:spacing w:before="40" w:after="20"/>
            </w:pPr>
            <w:r w:rsidRPr="00232AB9">
              <w:rPr>
                <w:rFonts w:ascii="Arial Narrow" w:hAnsi="Arial Narrow" w:cs="Arial"/>
                <w:sz w:val="18"/>
                <w:szCs w:val="18"/>
              </w:rPr>
              <w:t>2) VMU e volumi: Indici di Fisher a base mobile concatenati</w:t>
            </w:r>
          </w:p>
        </w:tc>
        <w:tc>
          <w:tcPr>
            <w:tcW w:w="2004" w:type="pct"/>
            <w:shd w:val="clear" w:color="auto" w:fill="auto"/>
          </w:tcPr>
          <w:p w14:paraId="10FEED19" w14:textId="77777777" w:rsidR="00CD38B7" w:rsidRDefault="00CD38B7" w:rsidP="000D3585">
            <w:pPr>
              <w:spacing w:before="40" w:after="20"/>
            </w:pPr>
            <w:r w:rsidRPr="00232AB9">
              <w:rPr>
                <w:rFonts w:ascii="Arial Narrow" w:hAnsi="Arial Narrow" w:cs="Arial"/>
                <w:sz w:val="18"/>
                <w:szCs w:val="18"/>
              </w:rPr>
              <w:t>Indice di Laspeyres a base fissa 2015=100</w:t>
            </w:r>
          </w:p>
        </w:tc>
      </w:tr>
    </w:tbl>
    <w:p w14:paraId="41FA952E" w14:textId="77777777" w:rsidR="00CD38B7" w:rsidRDefault="00CD38B7" w:rsidP="00CD38B7">
      <w:pPr>
        <w:spacing w:after="120"/>
        <w:jc w:val="both"/>
        <w:rPr>
          <w:rFonts w:ascii="Arial" w:hAnsi="Arial" w:cs="Arial"/>
          <w:b/>
        </w:rPr>
      </w:pPr>
    </w:p>
    <w:p w14:paraId="4539E52B" w14:textId="77777777" w:rsidR="00CD38B7" w:rsidRPr="00C9631A" w:rsidRDefault="00CD38B7" w:rsidP="00CD38B7">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Commercio con l’estero</w:t>
      </w:r>
    </w:p>
    <w:p w14:paraId="59198C32" w14:textId="761A050D" w:rsidR="00CD38B7" w:rsidRPr="00C21B33" w:rsidRDefault="00CD38B7" w:rsidP="00CD38B7">
      <w:pPr>
        <w:spacing w:after="120"/>
        <w:jc w:val="both"/>
        <w:rPr>
          <w:rFonts w:ascii="Arial" w:hAnsi="Arial" w:cs="Arial"/>
          <w:strike/>
          <w:sz w:val="20"/>
          <w:szCs w:val="20"/>
        </w:rPr>
      </w:pPr>
      <w:r w:rsidRPr="00C9631A">
        <w:rPr>
          <w:rFonts w:ascii="Arial" w:hAnsi="Arial" w:cs="Arial"/>
          <w:sz w:val="20"/>
          <w:szCs w:val="20"/>
        </w:rPr>
        <w:t>Le statistiche del commercio estero di beni sono il risultato di due rilevazioni che hanno come oggetto gli scambi dell’Italia con i paesi dell’Unione europea (Ue) e con i paesi extra Ue</w:t>
      </w:r>
      <w:r w:rsidRPr="00104132">
        <w:rPr>
          <w:rFonts w:ascii="Arial" w:hAnsi="Arial" w:cs="Arial"/>
          <w:sz w:val="20"/>
          <w:szCs w:val="20"/>
        </w:rPr>
        <w:t xml:space="preserve">. </w:t>
      </w:r>
    </w:p>
    <w:p w14:paraId="44243161" w14:textId="77777777" w:rsidR="00CD38B7" w:rsidRPr="00C9631A" w:rsidRDefault="00CD38B7" w:rsidP="00CD38B7">
      <w:pPr>
        <w:spacing w:after="120"/>
        <w:jc w:val="both"/>
        <w:rPr>
          <w:rFonts w:ascii="Arial" w:hAnsi="Arial" w:cs="Arial"/>
          <w:sz w:val="20"/>
          <w:szCs w:val="20"/>
        </w:rPr>
      </w:pPr>
    </w:p>
    <w:p w14:paraId="3B874090" w14:textId="5A09D4F5" w:rsidR="00CD38B7" w:rsidRDefault="00CD38B7" w:rsidP="00CD38B7">
      <w:pPr>
        <w:spacing w:after="120"/>
        <w:jc w:val="both"/>
        <w:rPr>
          <w:rFonts w:ascii="Arial" w:hAnsi="Arial" w:cs="Arial"/>
          <w:b/>
          <w:sz w:val="20"/>
          <w:szCs w:val="20"/>
        </w:rPr>
      </w:pPr>
      <w:r w:rsidRPr="00C9631A">
        <w:rPr>
          <w:rFonts w:ascii="Arial" w:hAnsi="Arial" w:cs="Arial"/>
          <w:b/>
          <w:sz w:val="20"/>
          <w:szCs w:val="20"/>
        </w:rPr>
        <w:t>Quadro normativo di riferimento</w:t>
      </w:r>
    </w:p>
    <w:p w14:paraId="41E97BAF" w14:textId="73876AED" w:rsidR="00D069DC" w:rsidRPr="00D61DDB" w:rsidRDefault="00D069DC" w:rsidP="00D069DC">
      <w:pPr>
        <w:spacing w:after="120"/>
        <w:jc w:val="both"/>
        <w:rPr>
          <w:rFonts w:ascii="Arial" w:hAnsi="Arial" w:cs="Arial"/>
          <w:sz w:val="20"/>
          <w:szCs w:val="20"/>
        </w:rPr>
      </w:pPr>
      <w:r w:rsidRPr="00D61DDB">
        <w:rPr>
          <w:rFonts w:ascii="Arial" w:hAnsi="Arial" w:cs="Arial"/>
          <w:sz w:val="20"/>
          <w:szCs w:val="20"/>
        </w:rPr>
        <w:t>L</w:t>
      </w:r>
      <w:r>
        <w:rPr>
          <w:rFonts w:ascii="Arial" w:hAnsi="Arial" w:cs="Arial"/>
          <w:sz w:val="20"/>
          <w:szCs w:val="20"/>
        </w:rPr>
        <w:t>e rilevazioni</w:t>
      </w:r>
      <w:r w:rsidRPr="00D61DDB">
        <w:rPr>
          <w:rFonts w:ascii="Arial" w:hAnsi="Arial" w:cs="Arial"/>
          <w:sz w:val="20"/>
          <w:szCs w:val="20"/>
        </w:rPr>
        <w:t xml:space="preserve"> del commercio con i paesi </w:t>
      </w:r>
      <w:r>
        <w:rPr>
          <w:rFonts w:ascii="Arial" w:hAnsi="Arial" w:cs="Arial"/>
          <w:sz w:val="20"/>
          <w:szCs w:val="20"/>
        </w:rPr>
        <w:t xml:space="preserve">Ue ed </w:t>
      </w:r>
      <w:r w:rsidRPr="00D61DDB">
        <w:rPr>
          <w:rFonts w:ascii="Arial" w:hAnsi="Arial" w:cs="Arial"/>
          <w:sz w:val="20"/>
          <w:szCs w:val="20"/>
        </w:rPr>
        <w:t xml:space="preserve">extra Ue </w:t>
      </w:r>
      <w:r>
        <w:rPr>
          <w:rFonts w:ascii="Arial" w:hAnsi="Arial" w:cs="Arial"/>
          <w:sz w:val="20"/>
          <w:szCs w:val="20"/>
        </w:rPr>
        <w:t>sono</w:t>
      </w:r>
      <w:r w:rsidRPr="00E41033">
        <w:rPr>
          <w:rFonts w:ascii="Arial" w:hAnsi="Arial" w:cs="Arial"/>
          <w:sz w:val="20"/>
          <w:szCs w:val="20"/>
        </w:rPr>
        <w:t xml:space="preserve"> effettuat</w:t>
      </w:r>
      <w:r>
        <w:rPr>
          <w:rFonts w:ascii="Arial" w:hAnsi="Arial" w:cs="Arial"/>
          <w:sz w:val="20"/>
          <w:szCs w:val="20"/>
        </w:rPr>
        <w:t>e</w:t>
      </w:r>
      <w:r w:rsidRPr="00D61DDB">
        <w:rPr>
          <w:rFonts w:ascii="Arial" w:hAnsi="Arial" w:cs="Arial"/>
          <w:sz w:val="20"/>
          <w:szCs w:val="20"/>
        </w:rPr>
        <w:t xml:space="preserve"> secondo la normativa comunitaria: Regolamento (UE) 2019/2152 del Parlamento europeo e del Consiglio relativo alle statistiche europee sulle imprese; Regolamento di esecuzione (UE) 2020/1197 della Commissione che stabilisce le specifiche tecniche e le modalità a norma del regolamento (UE) 2019/2152; Regolamento delegato (UE) 2021/1704 della Commissione che integra il regolamento (UE) 2019/2152 specificando ulteriormente i dettagli delle informazioni statistiche che devono essere fornite dalle autorità fiscali e doganali e che ne modifica gli allegati V e VI; Regolamento di esecuzione (UE) 2021/1225 della Commi</w:t>
      </w:r>
      <w:r w:rsidR="00A90453">
        <w:rPr>
          <w:rFonts w:ascii="Arial" w:hAnsi="Arial" w:cs="Arial"/>
          <w:sz w:val="20"/>
          <w:szCs w:val="20"/>
        </w:rPr>
        <w:t>s</w:t>
      </w:r>
      <w:r w:rsidRPr="00D61DDB">
        <w:rPr>
          <w:rFonts w:ascii="Arial" w:hAnsi="Arial" w:cs="Arial"/>
          <w:sz w:val="20"/>
          <w:szCs w:val="20"/>
        </w:rPr>
        <w:t>sione che specifica le modalità degli scambi di dati a norma del regolamento (UE) 2019/2152 e che modifica il regolamento di esecuzione (UE) 2020/1197 per quanto riguarda lo Stato membro di esportazione extra-UE e gli obblighi delle unità rispondenti</w:t>
      </w:r>
      <w:r w:rsidR="00EF5150">
        <w:rPr>
          <w:rFonts w:ascii="Arial" w:hAnsi="Arial" w:cs="Arial"/>
          <w:sz w:val="20"/>
          <w:szCs w:val="20"/>
        </w:rPr>
        <w:t>.</w:t>
      </w:r>
    </w:p>
    <w:p w14:paraId="353AB17B" w14:textId="11418AC1" w:rsidR="00D069DC" w:rsidRPr="00C9631A" w:rsidRDefault="00D069DC" w:rsidP="00D069DC">
      <w:pPr>
        <w:spacing w:after="120"/>
        <w:jc w:val="both"/>
        <w:rPr>
          <w:rFonts w:ascii="Arial" w:hAnsi="Arial" w:cs="Arial"/>
          <w:sz w:val="20"/>
          <w:szCs w:val="20"/>
        </w:rPr>
      </w:pPr>
      <w:r w:rsidRPr="00C9631A">
        <w:rPr>
          <w:rFonts w:ascii="Arial" w:hAnsi="Arial" w:cs="Arial"/>
          <w:sz w:val="20"/>
          <w:szCs w:val="20"/>
        </w:rPr>
        <w:t xml:space="preserve">La rilevazione del commercio con i paesi appartenenti all’Unione europea </w:t>
      </w:r>
      <w:r>
        <w:rPr>
          <w:rFonts w:ascii="Arial" w:hAnsi="Arial" w:cs="Arial"/>
          <w:sz w:val="20"/>
          <w:szCs w:val="20"/>
        </w:rPr>
        <w:t>t</w:t>
      </w:r>
      <w:r w:rsidRPr="00C9631A">
        <w:rPr>
          <w:rFonts w:ascii="Arial" w:hAnsi="Arial" w:cs="Arial"/>
          <w:sz w:val="20"/>
          <w:szCs w:val="20"/>
        </w:rPr>
        <w:t>rova applicazione in sede nazionale con il Decreto Legislativo n. 18/2010 (GU n. 41 del 19-2-2010), il Decreto del Ministro dell’</w:t>
      </w:r>
      <w:r w:rsidR="008C1FF0">
        <w:rPr>
          <w:rFonts w:ascii="Arial" w:hAnsi="Arial" w:cs="Arial"/>
          <w:sz w:val="20"/>
          <w:szCs w:val="20"/>
        </w:rPr>
        <w:t>e</w:t>
      </w:r>
      <w:r w:rsidRPr="00C9631A">
        <w:rPr>
          <w:rFonts w:ascii="Arial" w:hAnsi="Arial" w:cs="Arial"/>
          <w:sz w:val="20"/>
          <w:szCs w:val="20"/>
        </w:rPr>
        <w:t xml:space="preserve">conomia e delle </w:t>
      </w:r>
      <w:r w:rsidR="008C1FF0">
        <w:rPr>
          <w:rFonts w:ascii="Arial" w:hAnsi="Arial" w:cs="Arial"/>
          <w:sz w:val="20"/>
          <w:szCs w:val="20"/>
        </w:rPr>
        <w:t>f</w:t>
      </w:r>
      <w:r w:rsidRPr="00C9631A">
        <w:rPr>
          <w:rFonts w:ascii="Arial" w:hAnsi="Arial" w:cs="Arial"/>
          <w:sz w:val="20"/>
          <w:szCs w:val="20"/>
        </w:rPr>
        <w:t>inanze del 22/2/2010 (GU n.53 del 5-3-2010) e l</w:t>
      </w:r>
      <w:r>
        <w:rPr>
          <w:rFonts w:ascii="Arial" w:hAnsi="Arial" w:cs="Arial"/>
          <w:sz w:val="20"/>
          <w:szCs w:val="20"/>
        </w:rPr>
        <w:t>a</w:t>
      </w:r>
      <w:r w:rsidRPr="00C9631A">
        <w:rPr>
          <w:rFonts w:ascii="Arial" w:hAnsi="Arial" w:cs="Arial"/>
          <w:sz w:val="20"/>
          <w:szCs w:val="20"/>
        </w:rPr>
        <w:t xml:space="preserve"> Determinazione </w:t>
      </w:r>
      <w:r w:rsidR="00541ED8">
        <w:rPr>
          <w:rFonts w:ascii="Arial" w:hAnsi="Arial" w:cs="Arial"/>
          <w:sz w:val="20"/>
          <w:szCs w:val="20"/>
        </w:rPr>
        <w:t xml:space="preserve">del Direttore </w:t>
      </w:r>
      <w:r w:rsidRPr="00C9631A">
        <w:rPr>
          <w:rFonts w:ascii="Arial" w:hAnsi="Arial" w:cs="Arial"/>
          <w:sz w:val="20"/>
          <w:szCs w:val="20"/>
        </w:rPr>
        <w:t xml:space="preserve">dell’Agenzia delle </w:t>
      </w:r>
      <w:r>
        <w:rPr>
          <w:rFonts w:ascii="Arial" w:hAnsi="Arial" w:cs="Arial"/>
          <w:sz w:val="20"/>
          <w:szCs w:val="20"/>
        </w:rPr>
        <w:t>d</w:t>
      </w:r>
      <w:r w:rsidRPr="00C9631A">
        <w:rPr>
          <w:rFonts w:ascii="Arial" w:hAnsi="Arial" w:cs="Arial"/>
          <w:sz w:val="20"/>
          <w:szCs w:val="20"/>
        </w:rPr>
        <w:t>ogane del 22/2/2010</w:t>
      </w:r>
      <w:r>
        <w:rPr>
          <w:rFonts w:ascii="Arial" w:hAnsi="Arial" w:cs="Arial"/>
          <w:sz w:val="20"/>
          <w:szCs w:val="20"/>
        </w:rPr>
        <w:t>,</w:t>
      </w:r>
      <w:r w:rsidRPr="00C9631A">
        <w:rPr>
          <w:rFonts w:ascii="Arial" w:hAnsi="Arial" w:cs="Arial"/>
          <w:sz w:val="20"/>
          <w:szCs w:val="20"/>
        </w:rPr>
        <w:t xml:space="preserve"> </w:t>
      </w:r>
      <w:r>
        <w:rPr>
          <w:rFonts w:ascii="Arial" w:hAnsi="Arial" w:cs="Arial"/>
          <w:sz w:val="20"/>
          <w:szCs w:val="20"/>
        </w:rPr>
        <w:t>il</w:t>
      </w:r>
      <w:r w:rsidRPr="00C9631A">
        <w:rPr>
          <w:rFonts w:ascii="Arial" w:hAnsi="Arial" w:cs="Arial"/>
          <w:sz w:val="20"/>
          <w:szCs w:val="20"/>
        </w:rPr>
        <w:t xml:space="preserve"> Provvedimento del </w:t>
      </w:r>
      <w:r>
        <w:rPr>
          <w:rFonts w:ascii="Arial" w:hAnsi="Arial" w:cs="Arial"/>
          <w:sz w:val="20"/>
          <w:szCs w:val="20"/>
        </w:rPr>
        <w:t>D</w:t>
      </w:r>
      <w:r w:rsidRPr="00C9631A">
        <w:rPr>
          <w:rFonts w:ascii="Arial" w:hAnsi="Arial" w:cs="Arial"/>
          <w:sz w:val="20"/>
          <w:szCs w:val="20"/>
        </w:rPr>
        <w:t>irettore dell'Agenzia delle entrate</w:t>
      </w:r>
      <w:r>
        <w:rPr>
          <w:rFonts w:ascii="Arial" w:hAnsi="Arial" w:cs="Arial"/>
          <w:sz w:val="20"/>
          <w:szCs w:val="20"/>
        </w:rPr>
        <w:t xml:space="preserve"> n. 194409 </w:t>
      </w:r>
      <w:r w:rsidRPr="00C9631A">
        <w:rPr>
          <w:rFonts w:ascii="Arial" w:hAnsi="Arial" w:cs="Arial"/>
          <w:sz w:val="20"/>
          <w:szCs w:val="20"/>
        </w:rPr>
        <w:t xml:space="preserve"> del 25/09/2017</w:t>
      </w:r>
      <w:r>
        <w:rPr>
          <w:rFonts w:ascii="Arial" w:hAnsi="Arial" w:cs="Arial"/>
          <w:sz w:val="20"/>
          <w:szCs w:val="20"/>
        </w:rPr>
        <w:t xml:space="preserve"> e la </w:t>
      </w:r>
      <w:r w:rsidRPr="00D05D6A">
        <w:rPr>
          <w:rFonts w:ascii="Arial" w:hAnsi="Arial" w:cs="Arial"/>
          <w:sz w:val="20"/>
          <w:szCs w:val="20"/>
        </w:rPr>
        <w:t xml:space="preserve">Determinazione </w:t>
      </w:r>
      <w:r>
        <w:rPr>
          <w:rFonts w:ascii="Arial" w:hAnsi="Arial" w:cs="Arial"/>
          <w:sz w:val="20"/>
          <w:szCs w:val="20"/>
        </w:rPr>
        <w:t xml:space="preserve">del Direttore dell’Agenzia delle dogane e monopoli </w:t>
      </w:r>
      <w:r w:rsidRPr="00D05D6A">
        <w:rPr>
          <w:rFonts w:ascii="Arial" w:hAnsi="Arial" w:cs="Arial"/>
          <w:sz w:val="20"/>
          <w:szCs w:val="20"/>
        </w:rPr>
        <w:t>n</w:t>
      </w:r>
      <w:r>
        <w:rPr>
          <w:rFonts w:ascii="Arial" w:hAnsi="Arial" w:cs="Arial"/>
          <w:sz w:val="20"/>
          <w:szCs w:val="20"/>
        </w:rPr>
        <w:t>.</w:t>
      </w:r>
      <w:r w:rsidRPr="00D05D6A">
        <w:rPr>
          <w:rFonts w:ascii="Arial" w:hAnsi="Arial" w:cs="Arial"/>
          <w:sz w:val="20"/>
          <w:szCs w:val="20"/>
        </w:rPr>
        <w:t xml:space="preserve"> 493869 del 23 dicembre 2021</w:t>
      </w:r>
      <w:r w:rsidRPr="00C9631A">
        <w:rPr>
          <w:rFonts w:ascii="Arial" w:hAnsi="Arial" w:cs="Arial"/>
          <w:sz w:val="20"/>
          <w:szCs w:val="20"/>
        </w:rPr>
        <w:t xml:space="preserve">. </w:t>
      </w:r>
    </w:p>
    <w:p w14:paraId="0371B89A" w14:textId="6F25B124" w:rsidR="00CD38B7" w:rsidRDefault="00D069DC" w:rsidP="00D069DC">
      <w:pPr>
        <w:spacing w:after="120"/>
        <w:jc w:val="both"/>
        <w:rPr>
          <w:rFonts w:ascii="Arial" w:hAnsi="Arial" w:cs="Arial"/>
          <w:sz w:val="20"/>
          <w:szCs w:val="20"/>
        </w:rPr>
      </w:pPr>
      <w:r w:rsidRPr="00C9631A">
        <w:rPr>
          <w:rFonts w:ascii="Arial" w:hAnsi="Arial" w:cs="Arial"/>
          <w:sz w:val="20"/>
          <w:szCs w:val="20"/>
        </w:rPr>
        <w:t xml:space="preserve">La rilevazione del commercio con i paesi extra Ue </w:t>
      </w:r>
      <w:r>
        <w:rPr>
          <w:rFonts w:ascii="Arial" w:hAnsi="Arial" w:cs="Arial"/>
          <w:sz w:val="20"/>
          <w:szCs w:val="20"/>
        </w:rPr>
        <w:t xml:space="preserve">trova </w:t>
      </w:r>
      <w:r w:rsidRPr="00C9631A">
        <w:rPr>
          <w:rFonts w:ascii="Arial" w:hAnsi="Arial" w:cs="Arial"/>
          <w:sz w:val="20"/>
          <w:szCs w:val="20"/>
        </w:rPr>
        <w:t xml:space="preserve">applicazione in sede nazionale con opportuni provvedimenti emanati dall’Agenzia delle </w:t>
      </w:r>
      <w:r w:rsidR="008C1FF0">
        <w:rPr>
          <w:rFonts w:ascii="Arial" w:hAnsi="Arial" w:cs="Arial"/>
          <w:sz w:val="20"/>
          <w:szCs w:val="20"/>
        </w:rPr>
        <w:t>d</w:t>
      </w:r>
      <w:r w:rsidRPr="00C9631A">
        <w:rPr>
          <w:rFonts w:ascii="Arial" w:hAnsi="Arial" w:cs="Arial"/>
          <w:sz w:val="20"/>
          <w:szCs w:val="20"/>
        </w:rPr>
        <w:t>ogane</w:t>
      </w:r>
      <w:r>
        <w:rPr>
          <w:rFonts w:ascii="Arial" w:hAnsi="Arial" w:cs="Arial"/>
          <w:sz w:val="20"/>
          <w:szCs w:val="20"/>
        </w:rPr>
        <w:t>.</w:t>
      </w:r>
    </w:p>
    <w:p w14:paraId="124B2E3A" w14:textId="1D2B5B59" w:rsidR="00D069DC" w:rsidRDefault="00D069DC" w:rsidP="00D069DC">
      <w:pPr>
        <w:spacing w:after="120"/>
        <w:jc w:val="both"/>
        <w:rPr>
          <w:rFonts w:ascii="Arial" w:hAnsi="Arial" w:cs="Arial"/>
          <w:sz w:val="20"/>
          <w:szCs w:val="20"/>
        </w:rPr>
      </w:pPr>
    </w:p>
    <w:p w14:paraId="235C18E3" w14:textId="1B306FD0" w:rsidR="0014387A" w:rsidRDefault="0014387A" w:rsidP="00D069DC">
      <w:pPr>
        <w:spacing w:after="120"/>
        <w:jc w:val="both"/>
        <w:rPr>
          <w:rFonts w:ascii="Arial" w:hAnsi="Arial" w:cs="Arial"/>
          <w:sz w:val="20"/>
          <w:szCs w:val="20"/>
        </w:rPr>
      </w:pPr>
    </w:p>
    <w:p w14:paraId="2C3E4BAA" w14:textId="025247D9" w:rsidR="0014387A" w:rsidRDefault="0014387A" w:rsidP="00D069DC">
      <w:pPr>
        <w:spacing w:after="120"/>
        <w:jc w:val="both"/>
        <w:rPr>
          <w:rFonts w:ascii="Arial" w:hAnsi="Arial" w:cs="Arial"/>
          <w:sz w:val="20"/>
          <w:szCs w:val="20"/>
        </w:rPr>
      </w:pPr>
    </w:p>
    <w:p w14:paraId="299B0C74" w14:textId="35FE96AE" w:rsidR="0014387A" w:rsidRDefault="0014387A" w:rsidP="00D069DC">
      <w:pPr>
        <w:spacing w:after="120"/>
        <w:jc w:val="both"/>
        <w:rPr>
          <w:rFonts w:ascii="Arial" w:hAnsi="Arial" w:cs="Arial"/>
          <w:sz w:val="20"/>
          <w:szCs w:val="20"/>
        </w:rPr>
      </w:pPr>
    </w:p>
    <w:p w14:paraId="02E74F41" w14:textId="77777777" w:rsidR="0014387A" w:rsidRPr="00C9631A" w:rsidRDefault="0014387A" w:rsidP="00D069DC">
      <w:pPr>
        <w:spacing w:after="120"/>
        <w:jc w:val="both"/>
        <w:rPr>
          <w:rFonts w:ascii="Arial" w:hAnsi="Arial" w:cs="Arial"/>
          <w:sz w:val="20"/>
          <w:szCs w:val="20"/>
        </w:rPr>
      </w:pPr>
    </w:p>
    <w:p w14:paraId="6336F6C8" w14:textId="77777777" w:rsidR="00AF0A9F" w:rsidRPr="00C9631A" w:rsidRDefault="00AF0A9F" w:rsidP="00AF0A9F">
      <w:pPr>
        <w:spacing w:after="120"/>
        <w:jc w:val="both"/>
        <w:rPr>
          <w:rFonts w:ascii="Arial" w:hAnsi="Arial" w:cs="Arial"/>
          <w:b/>
          <w:sz w:val="20"/>
          <w:szCs w:val="20"/>
        </w:rPr>
      </w:pPr>
      <w:r w:rsidRPr="00C9631A">
        <w:rPr>
          <w:rFonts w:ascii="Arial" w:hAnsi="Arial" w:cs="Arial"/>
          <w:b/>
          <w:sz w:val="20"/>
          <w:szCs w:val="20"/>
        </w:rPr>
        <w:t xml:space="preserve">Fonti utilizzate e raccolta dei dati </w:t>
      </w:r>
    </w:p>
    <w:p w14:paraId="4EA63E6E" w14:textId="77777777" w:rsidR="00AF0A9F" w:rsidRPr="00FA0113" w:rsidRDefault="00AF0A9F" w:rsidP="00AF0A9F">
      <w:pPr>
        <w:spacing w:after="120"/>
        <w:jc w:val="both"/>
        <w:rPr>
          <w:rFonts w:ascii="Arial" w:hAnsi="Arial" w:cs="Arial"/>
          <w:sz w:val="16"/>
          <w:szCs w:val="16"/>
        </w:rPr>
      </w:pPr>
      <w:r w:rsidRPr="00C9631A">
        <w:rPr>
          <w:rFonts w:ascii="Arial" w:hAnsi="Arial" w:cs="Arial"/>
          <w:sz w:val="20"/>
          <w:szCs w:val="20"/>
        </w:rPr>
        <w:t xml:space="preserve">Per la produzione di statistiche sugli scambi di merci con i paesi Ue, le informazioni sono raccolte tramite i modelli Intrastat che riportano, in sezioni distinte, le dichiarazioni per acquisti e cessioni di beni e per prestazioni di servizi resi e ricevuti. </w:t>
      </w:r>
    </w:p>
    <w:p w14:paraId="5AB5F1C1" w14:textId="77777777" w:rsidR="00AF0A9F" w:rsidRPr="00A80498" w:rsidRDefault="00AF0A9F" w:rsidP="00AF0A9F">
      <w:pPr>
        <w:spacing w:after="120"/>
        <w:jc w:val="both"/>
        <w:rPr>
          <w:rFonts w:ascii="Arial" w:hAnsi="Arial" w:cs="Arial"/>
          <w:sz w:val="20"/>
          <w:szCs w:val="20"/>
        </w:rPr>
      </w:pPr>
      <w:r w:rsidRPr="00A80498">
        <w:rPr>
          <w:rFonts w:ascii="Arial" w:hAnsi="Arial" w:cs="Arial"/>
          <w:sz w:val="20"/>
          <w:szCs w:val="20"/>
        </w:rPr>
        <w:t>L’universo di riferimento è costituito dai soggetti economici identificati sulla base della partiva iva, che risultano aver effettuato almeno una transazione commerciale con i paesi Ue nel periodo considerato. Ai sensi della legge 27 febbraio 2017 n. 19 e della Determinazione del Direttore dell’Agenzia delle dogane e dei monopoli n. 493869 del 23 dicembre 2021, a partire dal 1° gennaio 2022 le soglie statistiche che determinano l’obbligatorietà di risposta alla rilevazione mensile Intrastat sono così definite:</w:t>
      </w:r>
    </w:p>
    <w:p w14:paraId="11085341" w14:textId="7B1D5665" w:rsidR="00AF0A9F" w:rsidRPr="00A80498" w:rsidRDefault="00AF0A9F" w:rsidP="00AF0A9F">
      <w:pPr>
        <w:spacing w:after="120"/>
        <w:jc w:val="both"/>
        <w:rPr>
          <w:rFonts w:ascii="Arial" w:hAnsi="Arial" w:cs="Arial"/>
          <w:sz w:val="20"/>
          <w:szCs w:val="20"/>
        </w:rPr>
      </w:pPr>
      <w:r w:rsidRPr="00A80498">
        <w:rPr>
          <w:rFonts w:ascii="Arial" w:hAnsi="Arial" w:cs="Arial"/>
          <w:sz w:val="20"/>
          <w:szCs w:val="20"/>
        </w:rPr>
        <w:t xml:space="preserve">a) cessioni di beni, per i soggetti che hanno realizzato, in almeno uno dei quattro trimestri precedenti, un ammontare totale trimestrale superiore ai 100.000 euro (tale soglia resta </w:t>
      </w:r>
      <w:r w:rsidR="00A80498" w:rsidRPr="00A80498">
        <w:rPr>
          <w:rFonts w:ascii="Arial" w:hAnsi="Arial" w:cs="Arial"/>
          <w:sz w:val="20"/>
          <w:szCs w:val="20"/>
        </w:rPr>
        <w:t>la stessa in vigore dal 1° gennaio 2018)</w:t>
      </w:r>
      <w:r w:rsidRPr="00A80498">
        <w:rPr>
          <w:rFonts w:ascii="Arial" w:hAnsi="Arial" w:cs="Arial"/>
          <w:sz w:val="20"/>
          <w:szCs w:val="20"/>
        </w:rPr>
        <w:t>;</w:t>
      </w:r>
    </w:p>
    <w:p w14:paraId="076EABCD" w14:textId="4E76FB6E" w:rsidR="00AF0A9F" w:rsidRPr="00C9631A" w:rsidRDefault="00AF0A9F" w:rsidP="00AF0A9F">
      <w:pPr>
        <w:spacing w:after="120"/>
        <w:jc w:val="both"/>
        <w:rPr>
          <w:rFonts w:ascii="Arial" w:hAnsi="Arial" w:cs="Arial"/>
          <w:sz w:val="20"/>
          <w:szCs w:val="20"/>
        </w:rPr>
      </w:pPr>
      <w:r w:rsidRPr="00A80498">
        <w:rPr>
          <w:rFonts w:ascii="Arial" w:hAnsi="Arial" w:cs="Arial"/>
          <w:sz w:val="20"/>
          <w:szCs w:val="20"/>
        </w:rPr>
        <w:t>b) acquisti di beni, per i soggetti che hanno realizzato, in almeno uno dei quattro trimestri precedenti, un ammontare totale trimestrale superiore ai 350.000 euro (da gennaio 2018 a dicembre 2021, la soglia era di 200.000 euro).</w:t>
      </w:r>
    </w:p>
    <w:p w14:paraId="3BC17A04" w14:textId="77777777" w:rsidR="00AF0A9F" w:rsidRPr="00C9631A" w:rsidRDefault="00AF0A9F" w:rsidP="00AF0A9F">
      <w:pPr>
        <w:spacing w:after="120"/>
        <w:jc w:val="both"/>
        <w:rPr>
          <w:rFonts w:ascii="Arial" w:hAnsi="Arial" w:cs="Arial"/>
          <w:sz w:val="20"/>
          <w:szCs w:val="20"/>
        </w:rPr>
      </w:pPr>
      <w:r w:rsidRPr="00C9631A">
        <w:rPr>
          <w:rFonts w:ascii="Arial" w:hAnsi="Arial" w:cs="Arial"/>
          <w:sz w:val="20"/>
          <w:szCs w:val="20"/>
        </w:rPr>
        <w:t>Le dichiarazioni Intrastat vengono trasmesse in via telematica all’Agenzia delle Dogane.</w:t>
      </w:r>
    </w:p>
    <w:p w14:paraId="0872BB2E" w14:textId="77777777" w:rsidR="00AF0A9F" w:rsidRPr="00C9631A" w:rsidRDefault="00AF0A9F" w:rsidP="00AF0A9F">
      <w:pPr>
        <w:spacing w:after="120"/>
        <w:jc w:val="both"/>
        <w:rPr>
          <w:rFonts w:ascii="Arial" w:hAnsi="Arial" w:cs="Arial"/>
          <w:sz w:val="20"/>
          <w:szCs w:val="20"/>
        </w:rPr>
      </w:pPr>
      <w:r w:rsidRPr="00C9631A">
        <w:rPr>
          <w:rFonts w:ascii="Arial" w:hAnsi="Arial" w:cs="Arial"/>
          <w:sz w:val="20"/>
          <w:szCs w:val="20"/>
        </w:rPr>
        <w:t>A partire dal 20</w:t>
      </w:r>
      <w:r>
        <w:rPr>
          <w:rFonts w:ascii="Arial" w:hAnsi="Arial" w:cs="Arial"/>
          <w:sz w:val="20"/>
          <w:szCs w:val="20"/>
        </w:rPr>
        <w:t>22</w:t>
      </w:r>
      <w:r w:rsidRPr="00C9631A">
        <w:rPr>
          <w:rFonts w:ascii="Arial" w:hAnsi="Arial" w:cs="Arial"/>
          <w:sz w:val="20"/>
          <w:szCs w:val="20"/>
        </w:rPr>
        <w:t>, i dati necessari alla compilazione delle statistiche sugli scambi di merci con i paesi dell’Ue sono forniti esclusivamente dagli operatori obbligati alle dichiarazioni mensili secondo le nuove soglie sopra riportate. I flussi di merci attivati da questi operatori coprono circa il 97% delle cessioni e il 9</w:t>
      </w:r>
      <w:r>
        <w:rPr>
          <w:rFonts w:ascii="Arial" w:hAnsi="Arial" w:cs="Arial"/>
          <w:sz w:val="20"/>
          <w:szCs w:val="20"/>
        </w:rPr>
        <w:t>1</w:t>
      </w:r>
      <w:r w:rsidRPr="00C9631A">
        <w:rPr>
          <w:rFonts w:ascii="Arial" w:hAnsi="Arial" w:cs="Arial"/>
          <w:sz w:val="20"/>
          <w:szCs w:val="20"/>
        </w:rPr>
        <w:t>% degli acquisti intracomunitari realizzando una consistente riduzione del carico informativo sugli operatori</w:t>
      </w:r>
      <w:r w:rsidRPr="00C9631A">
        <w:rPr>
          <w:rStyle w:val="Rimandonotaapidipagina"/>
          <w:rFonts w:ascii="Arial" w:hAnsi="Arial" w:cs="Arial"/>
          <w:sz w:val="20"/>
          <w:szCs w:val="20"/>
        </w:rPr>
        <w:footnoteReference w:id="1"/>
      </w:r>
      <w:r w:rsidRPr="00C9631A">
        <w:rPr>
          <w:rFonts w:ascii="Arial" w:hAnsi="Arial" w:cs="Arial"/>
          <w:sz w:val="20"/>
          <w:szCs w:val="20"/>
        </w:rPr>
        <w:t xml:space="preserve">. </w:t>
      </w:r>
    </w:p>
    <w:p w14:paraId="34839161" w14:textId="77777777" w:rsidR="00AF0A9F" w:rsidRPr="00C9631A" w:rsidRDefault="00AF0A9F" w:rsidP="00AF0A9F">
      <w:pPr>
        <w:spacing w:after="120"/>
        <w:jc w:val="both"/>
        <w:rPr>
          <w:rFonts w:ascii="Arial" w:hAnsi="Arial" w:cs="Arial"/>
          <w:sz w:val="20"/>
          <w:szCs w:val="20"/>
        </w:rPr>
      </w:pPr>
      <w:r w:rsidRPr="00C9631A">
        <w:rPr>
          <w:rFonts w:ascii="Arial" w:hAnsi="Arial" w:cs="Arial"/>
          <w:sz w:val="20"/>
          <w:szCs w:val="20"/>
        </w:rPr>
        <w:t xml:space="preserve">Al fine di realizzare una stima accurata e tempestiva che completi il quadro informativo rispetto all’universo degli operatori che realizzano scambi commerciali con i paesi dell’Ue è stato adottato un approccio di tipo register-based che provvede a stimare, attraverso opportune metodologie, la componente dei flussi attribuibile agli operatori non obbligati a fornire informazioni, considerando congiuntamente sia i domini nazionali che territoriali. In occasione della revisione annuale dei dati realizzata ogni anno a novembre, verranno considerate nei processi di imputazione e stima delle informazioni mancanti ulteriori informazioni presenti nel sistema dei registri e delle fonti fiscali e amministrative disponibili per migliorare ulteriormente la qualità e la copertura delle stime prodotte. </w:t>
      </w:r>
    </w:p>
    <w:p w14:paraId="366CFC86" w14:textId="77777777" w:rsidR="00AF0A9F" w:rsidRPr="00C9631A" w:rsidRDefault="00AF0A9F" w:rsidP="00AF0A9F">
      <w:pPr>
        <w:spacing w:after="120"/>
        <w:jc w:val="both"/>
        <w:rPr>
          <w:rFonts w:ascii="Arial" w:hAnsi="Arial" w:cs="Arial"/>
          <w:sz w:val="20"/>
          <w:szCs w:val="20"/>
        </w:rPr>
      </w:pPr>
      <w:r w:rsidRPr="00C9631A">
        <w:rPr>
          <w:rFonts w:ascii="Arial" w:hAnsi="Arial" w:cs="Arial"/>
          <w:sz w:val="20"/>
          <w:szCs w:val="20"/>
        </w:rPr>
        <w:t>La rilevazione con i paesi extra Ue è effettuata elaborando dati provenienti da una base dati di tipo fiscale-amministrativo (Documento Amministrativo Unico – DAU) coerente con le definizioni e le classificazioni di tipo statistico e ha periodicità mensile.</w:t>
      </w:r>
    </w:p>
    <w:p w14:paraId="0E2062B2" w14:textId="77777777" w:rsidR="00AF0A9F" w:rsidRDefault="00AF0A9F" w:rsidP="00AF0A9F">
      <w:pPr>
        <w:spacing w:after="120"/>
        <w:jc w:val="both"/>
        <w:rPr>
          <w:rFonts w:ascii="Arial" w:hAnsi="Arial" w:cs="Arial"/>
          <w:sz w:val="20"/>
          <w:szCs w:val="20"/>
        </w:rPr>
      </w:pPr>
      <w:r w:rsidRPr="00C9631A">
        <w:rPr>
          <w:rFonts w:ascii="Arial" w:hAnsi="Arial" w:cs="Arial"/>
          <w:sz w:val="20"/>
          <w:szCs w:val="20"/>
        </w:rPr>
        <w:t>Conformemente alla normativa comunitaria, dal 2000 le esportazioni e le importazioni al di sotto delle soglie di esclusione (operazioni commerciali di valore – a partire dal 2010 – inferiore a 1.000 euro) vengono inserite nelle statistiche del commercio estero con i paesi extra Ue mensilmente in forma aggregata.</w:t>
      </w:r>
    </w:p>
    <w:p w14:paraId="0B76FB1E" w14:textId="77777777" w:rsidR="00AF0A9F" w:rsidRPr="00C9631A" w:rsidRDefault="00AF0A9F" w:rsidP="00AF0A9F">
      <w:pPr>
        <w:spacing w:after="120"/>
        <w:jc w:val="both"/>
        <w:rPr>
          <w:rFonts w:ascii="Arial" w:hAnsi="Arial" w:cs="Arial"/>
          <w:sz w:val="20"/>
          <w:szCs w:val="20"/>
        </w:rPr>
      </w:pPr>
      <w:r>
        <w:rPr>
          <w:rFonts w:ascii="Arial" w:hAnsi="Arial" w:cs="Arial"/>
          <w:sz w:val="20"/>
          <w:szCs w:val="20"/>
        </w:rPr>
        <w:t>A partire dal mese di gennaio 2022, i</w:t>
      </w:r>
      <w:r w:rsidRPr="00C232B1">
        <w:rPr>
          <w:rFonts w:ascii="Arial" w:hAnsi="Arial" w:cs="Arial"/>
          <w:sz w:val="20"/>
          <w:szCs w:val="20"/>
        </w:rPr>
        <w:t xml:space="preserve">n applicazione delle disposizioni di cui al Regolamento di </w:t>
      </w:r>
      <w:r>
        <w:rPr>
          <w:rFonts w:ascii="Arial" w:hAnsi="Arial" w:cs="Arial"/>
          <w:sz w:val="20"/>
          <w:szCs w:val="20"/>
        </w:rPr>
        <w:t xml:space="preserve">esecuzione (UE) 2020/1197, non è richiesta la disaggregazione dei flussi di interscambio intracomunitario in termini di singoli prodotti </w:t>
      </w:r>
      <w:r w:rsidRPr="00C232B1">
        <w:rPr>
          <w:rFonts w:ascii="Arial" w:hAnsi="Arial" w:cs="Arial"/>
          <w:sz w:val="20"/>
          <w:szCs w:val="20"/>
        </w:rPr>
        <w:t>della nomenclatura co</w:t>
      </w:r>
      <w:r>
        <w:rPr>
          <w:rFonts w:ascii="Arial" w:hAnsi="Arial" w:cs="Arial"/>
          <w:sz w:val="20"/>
          <w:szCs w:val="20"/>
        </w:rPr>
        <w:t xml:space="preserve">mbinata </w:t>
      </w:r>
      <w:r w:rsidRPr="00C232B1">
        <w:rPr>
          <w:rFonts w:ascii="Arial" w:hAnsi="Arial" w:cs="Arial"/>
          <w:sz w:val="20"/>
          <w:szCs w:val="20"/>
        </w:rPr>
        <w:t xml:space="preserve">per le spedizioni di valore inferiore </w:t>
      </w:r>
      <w:r>
        <w:rPr>
          <w:rFonts w:ascii="Arial" w:hAnsi="Arial" w:cs="Arial"/>
          <w:sz w:val="20"/>
          <w:szCs w:val="20"/>
        </w:rPr>
        <w:t>a</w:t>
      </w:r>
      <w:r w:rsidRPr="00C232B1">
        <w:rPr>
          <w:rFonts w:ascii="Arial" w:hAnsi="Arial" w:cs="Arial"/>
          <w:sz w:val="20"/>
          <w:szCs w:val="20"/>
        </w:rPr>
        <w:t xml:space="preserve"> 1.000</w:t>
      </w:r>
      <w:r>
        <w:rPr>
          <w:rFonts w:ascii="Arial" w:hAnsi="Arial" w:cs="Arial"/>
          <w:sz w:val="20"/>
          <w:szCs w:val="20"/>
        </w:rPr>
        <w:t xml:space="preserve"> euro.</w:t>
      </w:r>
    </w:p>
    <w:p w14:paraId="36C94A52" w14:textId="77777777" w:rsidR="00AF0A9F" w:rsidRDefault="00AF0A9F" w:rsidP="00AF0A9F">
      <w:pPr>
        <w:suppressAutoHyphens/>
        <w:spacing w:after="120"/>
        <w:jc w:val="both"/>
        <w:rPr>
          <w:rFonts w:ascii="Arial" w:hAnsi="Arial" w:cs="Arial"/>
          <w:sz w:val="20"/>
          <w:szCs w:val="20"/>
        </w:rPr>
      </w:pPr>
      <w:r w:rsidRPr="00C9631A">
        <w:rPr>
          <w:rFonts w:ascii="Arial" w:hAnsi="Arial" w:cs="Arial"/>
          <w:sz w:val="20"/>
          <w:szCs w:val="20"/>
        </w:rPr>
        <w:t xml:space="preserve">A partire dal mese di settembre 2011 è stata implementata una nuova metodologia di produzione delle statistiche sugli scambi con l’estero di gas naturale allo stato gassoso e di energia elettrica, che si basa sull’impiego diretto di fonti informative alternative ai dati statistico-doganali solo per quanto riguarda la misurazione degli scambi complessivi in quantità, mentre per le altre variabili di analisi e classificazione richieste dai regolamenti statistici comunitari (dati in valore monetario e allocazione geografica dei flussi con l’estero per “paese statistico”) sono stati adottati opportuni criteri di stima. </w:t>
      </w:r>
    </w:p>
    <w:p w14:paraId="6E8C6711" w14:textId="2F7605F2" w:rsidR="00AF0A9F" w:rsidRPr="00C9631A" w:rsidRDefault="00AF0A9F" w:rsidP="00AF0A9F">
      <w:pPr>
        <w:suppressAutoHyphens/>
        <w:spacing w:after="120"/>
        <w:jc w:val="both"/>
        <w:rPr>
          <w:rFonts w:ascii="Arial" w:hAnsi="Arial" w:cs="Arial"/>
          <w:sz w:val="20"/>
          <w:szCs w:val="20"/>
        </w:rPr>
      </w:pPr>
      <w:r>
        <w:rPr>
          <w:rFonts w:ascii="Arial" w:hAnsi="Arial" w:cs="Arial"/>
          <w:sz w:val="20"/>
          <w:szCs w:val="20"/>
        </w:rPr>
        <w:t xml:space="preserve">Si segnala che, relativamente ai dati di importazione di gas naturale allo stato gassoso, la metodologia applicata nella procedura di stima, in conseguenza della forte volatilità dei prezzi registrati nel periodo luglio-dicembre 2021, ha prodotto una sottostima dei flussi in valore. I dati saranno rivisti e diffusi entro marzo 2022. Per maggiori dettagli, si rimanda alla </w:t>
      </w:r>
      <w:hyperlink r:id="rId38" w:history="1">
        <w:r w:rsidRPr="00EF5150">
          <w:rPr>
            <w:rStyle w:val="Collegamentoipertestuale"/>
            <w:rFonts w:ascii="Arial" w:hAnsi="Arial" w:cs="Arial"/>
            <w:sz w:val="20"/>
            <w:szCs w:val="20"/>
          </w:rPr>
          <w:t>Nota per la stampa</w:t>
        </w:r>
      </w:hyperlink>
      <w:r w:rsidR="00EF5150">
        <w:rPr>
          <w:rFonts w:ascii="Arial" w:hAnsi="Arial" w:cs="Arial"/>
          <w:sz w:val="20"/>
          <w:szCs w:val="20"/>
        </w:rPr>
        <w:t xml:space="preserve">, diffusa il 15 marzo 2022. </w:t>
      </w:r>
      <w:r>
        <w:rPr>
          <w:rFonts w:ascii="Arial" w:hAnsi="Arial" w:cs="Arial"/>
          <w:sz w:val="20"/>
          <w:szCs w:val="20"/>
        </w:rPr>
        <w:t xml:space="preserve"> </w:t>
      </w:r>
    </w:p>
    <w:p w14:paraId="18F5F496" w14:textId="77777777" w:rsidR="00CD38B7" w:rsidRPr="00FA0113" w:rsidRDefault="00CD38B7" w:rsidP="00CD38B7">
      <w:pPr>
        <w:suppressAutoHyphens/>
        <w:spacing w:after="120"/>
        <w:jc w:val="both"/>
        <w:rPr>
          <w:rFonts w:ascii="Arial" w:hAnsi="Arial" w:cs="Arial"/>
          <w:sz w:val="16"/>
          <w:szCs w:val="16"/>
        </w:rPr>
      </w:pPr>
    </w:p>
    <w:p w14:paraId="2EB4EBBF" w14:textId="77777777" w:rsidR="00CD38B7" w:rsidRPr="00C9631A" w:rsidRDefault="00CD38B7" w:rsidP="00CD38B7">
      <w:pPr>
        <w:spacing w:after="120"/>
        <w:jc w:val="both"/>
        <w:rPr>
          <w:rFonts w:ascii="Arial" w:hAnsi="Arial" w:cs="Arial"/>
          <w:b/>
          <w:sz w:val="20"/>
          <w:szCs w:val="20"/>
        </w:rPr>
      </w:pPr>
      <w:r w:rsidRPr="00C9631A">
        <w:rPr>
          <w:rFonts w:ascii="Arial" w:hAnsi="Arial" w:cs="Arial"/>
          <w:b/>
          <w:sz w:val="20"/>
          <w:szCs w:val="20"/>
        </w:rPr>
        <w:t>Classificazioni utilizzate</w:t>
      </w:r>
    </w:p>
    <w:p w14:paraId="6DC4BC46" w14:textId="05E2F368" w:rsidR="00CD38B7" w:rsidRPr="00C9631A" w:rsidRDefault="00CD38B7" w:rsidP="00CD38B7">
      <w:pPr>
        <w:spacing w:after="100"/>
        <w:jc w:val="both"/>
        <w:rPr>
          <w:rFonts w:ascii="Arial" w:hAnsi="Arial" w:cs="Arial"/>
          <w:sz w:val="20"/>
          <w:szCs w:val="20"/>
        </w:rPr>
      </w:pPr>
      <w:r w:rsidRPr="00C9631A">
        <w:rPr>
          <w:rFonts w:ascii="Arial" w:hAnsi="Arial" w:cs="Arial"/>
          <w:sz w:val="20"/>
          <w:szCs w:val="20"/>
        </w:rPr>
        <w:t>Le principali classificazioni utilizzate nella produzione delle statistiche del commercio con l’estero sono definite a partire dall</w:t>
      </w:r>
      <w:r w:rsidR="00E37A51">
        <w:rPr>
          <w:rFonts w:ascii="Arial" w:hAnsi="Arial" w:cs="Arial"/>
          <w:sz w:val="20"/>
          <w:szCs w:val="20"/>
        </w:rPr>
        <w:t>e</w:t>
      </w:r>
      <w:r w:rsidRPr="00C9631A">
        <w:rPr>
          <w:rFonts w:ascii="Arial" w:hAnsi="Arial" w:cs="Arial"/>
          <w:sz w:val="20"/>
          <w:szCs w:val="20"/>
        </w:rPr>
        <w:t xml:space="preserve"> informazioni elementari riguardanti la tipologia delle merci, il paese statistico e la provincia di provenienza o destinazione delle merci. </w:t>
      </w:r>
    </w:p>
    <w:p w14:paraId="2569936A" w14:textId="77777777" w:rsidR="00A80498" w:rsidRDefault="00A80498" w:rsidP="00CD38B7">
      <w:pPr>
        <w:spacing w:after="100"/>
        <w:jc w:val="both"/>
        <w:rPr>
          <w:rFonts w:ascii="Arial" w:hAnsi="Arial" w:cs="Arial"/>
          <w:sz w:val="20"/>
          <w:szCs w:val="20"/>
        </w:rPr>
      </w:pPr>
    </w:p>
    <w:p w14:paraId="3F325570" w14:textId="77777777" w:rsidR="00A80498" w:rsidRDefault="00A80498" w:rsidP="00CD38B7">
      <w:pPr>
        <w:spacing w:after="100"/>
        <w:jc w:val="both"/>
        <w:rPr>
          <w:rFonts w:ascii="Arial" w:hAnsi="Arial" w:cs="Arial"/>
          <w:sz w:val="20"/>
          <w:szCs w:val="20"/>
        </w:rPr>
      </w:pPr>
    </w:p>
    <w:p w14:paraId="2F77CAFB" w14:textId="6577C7A1" w:rsidR="00CD38B7" w:rsidRPr="00C9631A" w:rsidRDefault="00CD38B7" w:rsidP="00CD38B7">
      <w:pPr>
        <w:spacing w:after="100"/>
        <w:jc w:val="both"/>
        <w:rPr>
          <w:rFonts w:ascii="Arial" w:hAnsi="Arial" w:cs="Arial"/>
          <w:sz w:val="20"/>
          <w:szCs w:val="20"/>
        </w:rPr>
      </w:pPr>
      <w:r w:rsidRPr="00C9631A">
        <w:rPr>
          <w:rFonts w:ascii="Arial" w:hAnsi="Arial" w:cs="Arial"/>
          <w:sz w:val="20"/>
          <w:szCs w:val="20"/>
        </w:rPr>
        <w:t>Nel rispetto dei Regolamenti comunitari, gli scambi commerciali di beni tra paesi membri sono classificati secondo il paese di provenienza per gli acquisti e il paese di destinazione per le cessioni, mentre quelli con i paesi terzi sono classificati secondo il paese di origine per le importazioni e il paese di destinazione per le esportazioni.</w:t>
      </w:r>
    </w:p>
    <w:p w14:paraId="21B2DB46" w14:textId="77777777" w:rsidR="00CD38B7" w:rsidRPr="00C9631A" w:rsidRDefault="00CD38B7" w:rsidP="00CD38B7">
      <w:pPr>
        <w:suppressAutoHyphens/>
        <w:spacing w:after="100"/>
        <w:jc w:val="both"/>
        <w:rPr>
          <w:rFonts w:ascii="Arial" w:hAnsi="Arial" w:cs="Arial"/>
          <w:sz w:val="20"/>
          <w:szCs w:val="20"/>
        </w:rPr>
      </w:pPr>
      <w:r w:rsidRPr="00C9631A">
        <w:rPr>
          <w:rFonts w:ascii="Arial" w:hAnsi="Arial" w:cs="Arial"/>
          <w:sz w:val="20"/>
          <w:szCs w:val="20"/>
        </w:rPr>
        <w:t>La classificazione utilizzata per definire le aree geografiche e le aree geoeconomiche di appartenenza dei paesi è la Geonomenclatura dei paesi e territori per le statistiche del commercio estero dell’Unione e del commercio tra i suoi Stati membri, stabilita da Eurostat.</w:t>
      </w:r>
    </w:p>
    <w:p w14:paraId="4B34C94E" w14:textId="0E3F0027" w:rsidR="00CD38B7" w:rsidRDefault="00CD38B7" w:rsidP="00CD38B7">
      <w:pPr>
        <w:spacing w:after="120"/>
        <w:jc w:val="both"/>
        <w:rPr>
          <w:rFonts w:ascii="Arial" w:hAnsi="Arial" w:cs="Arial"/>
          <w:sz w:val="20"/>
          <w:szCs w:val="20"/>
        </w:rPr>
      </w:pPr>
      <w:r w:rsidRPr="00C9631A">
        <w:rPr>
          <w:rFonts w:ascii="Arial" w:hAnsi="Arial" w:cs="Arial"/>
          <w:sz w:val="20"/>
          <w:szCs w:val="20"/>
        </w:rPr>
        <w:t xml:space="preserve">La classificazione di base utilizzata per la rilevazione di informazioni statistiche sugli scambi di merci è la Nomenclatura Combinata (NC), definita dall’Unione europea e annualmente aggiornata. </w:t>
      </w:r>
    </w:p>
    <w:p w14:paraId="431B8ECD"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A partire da gennaio 2009 i raggruppamenti di merci dell’interscambio commerciale sono definiti sulla base della classificazione delle attività economiche Ateco 2007 opportunamente adattata alle statistiche sul commercio estero. L’Ateco 2007, infatti, costituisce la versione nazionale della nomenclatura europea Nace rev. 2, pubblicata sull’Official Journal il 2 dicembre 2006 (Regolamento (CE) n. 1893/2006 del PE e del Consiglio del 20/12/2006), con la quale coincide fino alla quarta cifra.</w:t>
      </w:r>
    </w:p>
    <w:p w14:paraId="134223AB" w14:textId="754EC769"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Ai fini di fornire le informazioni a un livello di dettaglio idoneo ad analizzare l’interscambio commerciale italiano, i dati sono rilasciati secondo un’opportuna disaggregazione intermedia delle sezioni.</w:t>
      </w:r>
    </w:p>
    <w:p w14:paraId="6B5F1EC0"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Nel corso dell’anno 2003, l’Istat ha modificato, per i dati di commercio estero così come per tutti gli indicatori congiunturali dell’industria, la classificazione delle aggregazioni per destinazione economica dei prodotti “Raggruppamenti Principali di Industrie (RPI)”, definiti dal Regolamento della Commissione n.586/2001 (G.U. delle Comunità europee del 27/03/2001). A seguito dell'entrata in vigore della Nace Rev. 2 tale Regolamento è stato modificato dal Regolamento (CE) n. 656/2007 del 14/06/2007.</w:t>
      </w:r>
    </w:p>
    <w:p w14:paraId="3B2B9E77"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I Raggruppamenti Principali di Industrie (RPI) sono:</w:t>
      </w:r>
    </w:p>
    <w:p w14:paraId="136B18AB" w14:textId="77777777" w:rsidR="00CD38B7" w:rsidRPr="00C9631A" w:rsidRDefault="00CD38B7" w:rsidP="00CD38B7">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durevoli;</w:t>
      </w:r>
    </w:p>
    <w:p w14:paraId="0E9E1F02" w14:textId="77777777" w:rsidR="00CD38B7" w:rsidRPr="00C9631A" w:rsidRDefault="00CD38B7" w:rsidP="00CD38B7">
      <w:pPr>
        <w:numPr>
          <w:ilvl w:val="0"/>
          <w:numId w:val="32"/>
        </w:numPr>
        <w:spacing w:after="120"/>
        <w:ind w:left="426"/>
        <w:jc w:val="both"/>
        <w:rPr>
          <w:rFonts w:ascii="Arial" w:hAnsi="Arial" w:cs="Arial"/>
          <w:sz w:val="20"/>
          <w:szCs w:val="20"/>
        </w:rPr>
      </w:pPr>
      <w:r w:rsidRPr="00C9631A">
        <w:rPr>
          <w:rFonts w:ascii="Arial" w:hAnsi="Arial" w:cs="Arial"/>
          <w:sz w:val="20"/>
          <w:szCs w:val="20"/>
        </w:rPr>
        <w:t>Beni di consumo non durevoli;</w:t>
      </w:r>
    </w:p>
    <w:p w14:paraId="63183CC2" w14:textId="77777777" w:rsidR="00CD38B7" w:rsidRPr="00C9631A" w:rsidRDefault="00CD38B7" w:rsidP="00CD38B7">
      <w:pPr>
        <w:numPr>
          <w:ilvl w:val="0"/>
          <w:numId w:val="32"/>
        </w:numPr>
        <w:spacing w:after="120"/>
        <w:ind w:left="426"/>
        <w:jc w:val="both"/>
        <w:rPr>
          <w:rFonts w:ascii="Arial" w:hAnsi="Arial" w:cs="Arial"/>
          <w:sz w:val="20"/>
          <w:szCs w:val="20"/>
        </w:rPr>
      </w:pPr>
      <w:r w:rsidRPr="00C9631A">
        <w:rPr>
          <w:rFonts w:ascii="Arial" w:hAnsi="Arial" w:cs="Arial"/>
          <w:sz w:val="20"/>
          <w:szCs w:val="20"/>
        </w:rPr>
        <w:t>Beni strumentali;</w:t>
      </w:r>
    </w:p>
    <w:p w14:paraId="33DFBEB0" w14:textId="77777777" w:rsidR="00CD38B7" w:rsidRPr="00C9631A" w:rsidRDefault="00CD38B7" w:rsidP="00CD38B7">
      <w:pPr>
        <w:numPr>
          <w:ilvl w:val="0"/>
          <w:numId w:val="32"/>
        </w:numPr>
        <w:spacing w:after="120"/>
        <w:ind w:left="426"/>
        <w:jc w:val="both"/>
        <w:rPr>
          <w:rFonts w:ascii="Arial" w:hAnsi="Arial" w:cs="Arial"/>
          <w:sz w:val="20"/>
          <w:szCs w:val="20"/>
        </w:rPr>
      </w:pPr>
      <w:r w:rsidRPr="00C9631A">
        <w:rPr>
          <w:rFonts w:ascii="Arial" w:hAnsi="Arial" w:cs="Arial"/>
          <w:sz w:val="20"/>
          <w:szCs w:val="20"/>
        </w:rPr>
        <w:t>Prodotti intermedi;</w:t>
      </w:r>
    </w:p>
    <w:p w14:paraId="29A3221B" w14:textId="77777777" w:rsidR="00CD38B7" w:rsidRPr="00C9631A" w:rsidRDefault="00CD38B7" w:rsidP="00CD38B7">
      <w:pPr>
        <w:numPr>
          <w:ilvl w:val="0"/>
          <w:numId w:val="32"/>
        </w:numPr>
        <w:spacing w:after="120"/>
        <w:ind w:left="426"/>
        <w:jc w:val="both"/>
        <w:rPr>
          <w:rFonts w:ascii="Arial" w:hAnsi="Arial" w:cs="Arial"/>
          <w:sz w:val="20"/>
          <w:szCs w:val="20"/>
        </w:rPr>
      </w:pPr>
      <w:r w:rsidRPr="00C9631A">
        <w:rPr>
          <w:rFonts w:ascii="Arial" w:hAnsi="Arial" w:cs="Arial"/>
          <w:sz w:val="20"/>
          <w:szCs w:val="20"/>
        </w:rPr>
        <w:t>Energia.</w:t>
      </w:r>
    </w:p>
    <w:p w14:paraId="72603A2D"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Al pari dell’Ateco 2007</w:t>
      </w:r>
      <w:r w:rsidRPr="00C9631A">
        <w:rPr>
          <w:rStyle w:val="Rimandonotaapidipagina"/>
          <w:rFonts w:ascii="Arial" w:hAnsi="Arial" w:cs="Arial"/>
          <w:sz w:val="20"/>
          <w:szCs w:val="20"/>
        </w:rPr>
        <w:footnoteReference w:id="2"/>
      </w:r>
      <w:r w:rsidRPr="00C9631A">
        <w:rPr>
          <w:rFonts w:ascii="Arial" w:hAnsi="Arial" w:cs="Arial"/>
          <w:sz w:val="20"/>
          <w:szCs w:val="20"/>
        </w:rPr>
        <w:t>, anche la classificazione RPI è stata adattata alle statistiche sul commercio con l’estero.</w:t>
      </w:r>
    </w:p>
    <w:p w14:paraId="70A4BE6A" w14:textId="77777777" w:rsidR="00CD38B7" w:rsidRPr="00C9631A" w:rsidRDefault="00CD38B7" w:rsidP="00CD38B7">
      <w:pPr>
        <w:spacing w:after="120"/>
        <w:jc w:val="both"/>
        <w:rPr>
          <w:rFonts w:ascii="Arial" w:hAnsi="Arial" w:cs="Arial"/>
          <w:sz w:val="20"/>
          <w:szCs w:val="20"/>
        </w:rPr>
      </w:pPr>
    </w:p>
    <w:p w14:paraId="7B29E243" w14:textId="77777777" w:rsidR="00CD38B7" w:rsidRPr="00C9631A" w:rsidRDefault="00CD38B7" w:rsidP="00CD38B7">
      <w:pPr>
        <w:spacing w:after="120"/>
        <w:jc w:val="both"/>
        <w:rPr>
          <w:rFonts w:ascii="Arial" w:hAnsi="Arial" w:cs="Arial"/>
          <w:b/>
          <w:sz w:val="20"/>
          <w:szCs w:val="20"/>
        </w:rPr>
      </w:pPr>
      <w:r w:rsidRPr="00C9631A">
        <w:rPr>
          <w:rFonts w:ascii="Arial" w:hAnsi="Arial" w:cs="Arial"/>
          <w:b/>
          <w:sz w:val="20"/>
          <w:szCs w:val="20"/>
        </w:rPr>
        <w:t>Strumenti di elaborazione dei dati</w:t>
      </w:r>
    </w:p>
    <w:p w14:paraId="10DA2AFD"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Insieme ai dati grezzi, vengono pubblicati anche i dati depurati della componente stagionale e dagli effetti di calendario. Tali dati sono ottenuti attraverso la procedura TRAMO-SEATS per Linux (versione di febbraio 2010).</w:t>
      </w:r>
    </w:p>
    <w:p w14:paraId="1CAFEF20" w14:textId="77777777" w:rsidR="00CD38B7" w:rsidRPr="00C9631A" w:rsidRDefault="00CD38B7" w:rsidP="00CD3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sz w:val="20"/>
          <w:szCs w:val="20"/>
        </w:rPr>
      </w:pPr>
      <w:r w:rsidRPr="00C9631A">
        <w:rPr>
          <w:rFonts w:ascii="Arial" w:hAnsi="Arial" w:cs="Arial"/>
          <w:sz w:val="20"/>
          <w:szCs w:val="20"/>
        </w:rPr>
        <w:t>A partire dai dati mensili del 2012, sono state introdotte alcune sostanziali innovazioni di processo e prodotto nelle procedure di destagionalizzazione, finalizzate a migliorare l’accuratezza delle stime prodotte e a fornire agli utenti un più ampio dettaglio degli indicatori statistici per l’analisi congiunturale del commercio con l’estero, rendendo disponibili nuove serie destagionalizzate a livello di raggruppamenti principali di industrie.</w:t>
      </w:r>
    </w:p>
    <w:p w14:paraId="24754F7B" w14:textId="77777777" w:rsidR="00CD38B7" w:rsidRDefault="00CD38B7" w:rsidP="00CD38B7">
      <w:pPr>
        <w:spacing w:after="120"/>
        <w:jc w:val="both"/>
        <w:rPr>
          <w:rFonts w:ascii="Arial" w:hAnsi="Arial" w:cs="Arial"/>
          <w:sz w:val="20"/>
          <w:szCs w:val="20"/>
        </w:rPr>
      </w:pPr>
      <w:r w:rsidRPr="00C9631A">
        <w:rPr>
          <w:rFonts w:ascii="Arial" w:hAnsi="Arial" w:cs="Arial"/>
          <w:sz w:val="20"/>
          <w:szCs w:val="20"/>
        </w:rPr>
        <w:t>I dati destagionalizzati sono soggetti a revisione ogni mese. I modelli utilizzati vengono verificati in occasione delle revisioni dei dati grezzi. Le specifiche utilizzate dall'Istat nell'ambito della procedura TRAMO-SEATS sono disponibili per gli utenti che ne facciano richiesta per proprie finalità di analisi.</w:t>
      </w:r>
    </w:p>
    <w:p w14:paraId="4354BB1D" w14:textId="77777777" w:rsidR="00CD38B7" w:rsidRPr="00C9631A" w:rsidRDefault="00CD38B7" w:rsidP="00CD38B7">
      <w:pPr>
        <w:spacing w:after="120"/>
        <w:jc w:val="both"/>
        <w:rPr>
          <w:rFonts w:ascii="Arial" w:hAnsi="Arial" w:cs="Arial"/>
          <w:sz w:val="20"/>
          <w:szCs w:val="20"/>
        </w:rPr>
      </w:pPr>
    </w:p>
    <w:p w14:paraId="249B2F03" w14:textId="77777777" w:rsidR="00CD38B7" w:rsidRPr="00C9631A" w:rsidRDefault="00CD38B7" w:rsidP="00CD38B7">
      <w:pPr>
        <w:spacing w:after="120"/>
        <w:jc w:val="both"/>
        <w:rPr>
          <w:rFonts w:ascii="Arial" w:hAnsi="Arial" w:cs="Arial"/>
          <w:b/>
          <w:sz w:val="20"/>
          <w:szCs w:val="20"/>
        </w:rPr>
      </w:pPr>
      <w:r w:rsidRPr="00C9631A">
        <w:rPr>
          <w:rFonts w:ascii="Arial" w:hAnsi="Arial" w:cs="Arial"/>
          <w:b/>
          <w:sz w:val="20"/>
          <w:szCs w:val="20"/>
        </w:rPr>
        <w:t>Output</w:t>
      </w:r>
    </w:p>
    <w:p w14:paraId="70675A02"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 xml:space="preserve">I dati diffusi mensilmente riguardano i valori monetari, gli indici e le variazioni tendenziali e congiunturali relativi alle variabili che descrivono i flussi commerciali con l’estero. </w:t>
      </w:r>
    </w:p>
    <w:p w14:paraId="47F4E959"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 xml:space="preserve">I valori monetari a prezzi correnti si riferiscono alle importazioni ed esportazioni di merci rilevate o stimate in termini di valore statistico (Cif, Fob). </w:t>
      </w:r>
    </w:p>
    <w:p w14:paraId="1F2EEA31" w14:textId="77777777" w:rsidR="00A80498" w:rsidRDefault="00CD38B7" w:rsidP="00CD38B7">
      <w:pPr>
        <w:spacing w:after="120"/>
        <w:jc w:val="both"/>
        <w:rPr>
          <w:rFonts w:ascii="Arial" w:hAnsi="Arial" w:cs="Arial"/>
          <w:sz w:val="20"/>
          <w:szCs w:val="20"/>
        </w:rPr>
      </w:pPr>
      <w:r w:rsidRPr="00C9631A">
        <w:rPr>
          <w:rFonts w:ascii="Arial" w:hAnsi="Arial" w:cs="Arial"/>
          <w:sz w:val="20"/>
          <w:szCs w:val="20"/>
        </w:rPr>
        <w:t xml:space="preserve">La produzione di indici del commercio estero prevede la produzione e diffusione di indici dei valori medi unitari e dei volumi dei prodotti esportati e importati, secondo un break-down articolato per gruppi di prodotto della classificazione </w:t>
      </w:r>
    </w:p>
    <w:p w14:paraId="6780B5BB" w14:textId="77777777" w:rsidR="00A80498" w:rsidRDefault="00A80498" w:rsidP="00CD38B7">
      <w:pPr>
        <w:spacing w:after="120"/>
        <w:jc w:val="both"/>
        <w:rPr>
          <w:rFonts w:ascii="Arial" w:hAnsi="Arial" w:cs="Arial"/>
          <w:sz w:val="20"/>
          <w:szCs w:val="20"/>
        </w:rPr>
      </w:pPr>
    </w:p>
    <w:p w14:paraId="77B59306" w14:textId="77777777" w:rsidR="00A80498" w:rsidRDefault="00A80498" w:rsidP="00CD38B7">
      <w:pPr>
        <w:spacing w:after="120"/>
        <w:jc w:val="both"/>
        <w:rPr>
          <w:rFonts w:ascii="Arial" w:hAnsi="Arial" w:cs="Arial"/>
          <w:sz w:val="20"/>
          <w:szCs w:val="20"/>
        </w:rPr>
      </w:pPr>
    </w:p>
    <w:p w14:paraId="23B655BF" w14:textId="3D9D8664" w:rsidR="00CD38B7" w:rsidRDefault="00CD38B7" w:rsidP="00CD38B7">
      <w:pPr>
        <w:spacing w:after="120"/>
        <w:jc w:val="both"/>
        <w:rPr>
          <w:rFonts w:ascii="Arial" w:hAnsi="Arial" w:cs="Arial"/>
          <w:sz w:val="20"/>
          <w:szCs w:val="20"/>
        </w:rPr>
      </w:pPr>
      <w:r w:rsidRPr="00C9631A">
        <w:rPr>
          <w:rFonts w:ascii="Arial" w:hAnsi="Arial" w:cs="Arial"/>
          <w:sz w:val="20"/>
          <w:szCs w:val="20"/>
        </w:rPr>
        <w:t>Ateco 2007 e per specifiche aree geografiche e/o geoeconomiche, nonché per raggruppamenti principali di industrie (RPI). I singoli indici mensili dei valori medi unitari relativi ai diversi gruppi di prodotti e con riferimento alle aree geografiche o geoeconomiche di provenienza o destinazione delle merci sono ottenuti utilizzando la formula di Fisher in cui l’anno base è rappresentato dall’anno immediatamente precedente (indici a “base mobile”). L’aggiornamento a cadenza annuale del sistema di ponderazione consente di calcolare le variazioni dei valori medi unitari seguendo più da vicino l’evoluzione in composizione del mix di prodotti movimentati. Tuttavia, poiché gli indici a base mobile di anni diversi</w:t>
      </w:r>
      <w:r>
        <w:rPr>
          <w:rFonts w:ascii="Arial" w:hAnsi="Arial" w:cs="Arial"/>
          <w:sz w:val="20"/>
          <w:szCs w:val="20"/>
        </w:rPr>
        <w:t xml:space="preserve"> </w:t>
      </w:r>
      <w:r w:rsidRPr="00C9631A">
        <w:rPr>
          <w:rFonts w:ascii="Arial" w:hAnsi="Arial" w:cs="Arial"/>
          <w:sz w:val="20"/>
          <w:szCs w:val="20"/>
        </w:rPr>
        <w:t>non</w:t>
      </w:r>
      <w:r>
        <w:rPr>
          <w:rFonts w:ascii="Arial" w:hAnsi="Arial" w:cs="Arial"/>
          <w:sz w:val="20"/>
          <w:szCs w:val="20"/>
        </w:rPr>
        <w:t xml:space="preserve"> </w:t>
      </w:r>
      <w:r w:rsidRPr="00C9631A">
        <w:rPr>
          <w:rFonts w:ascii="Arial" w:hAnsi="Arial" w:cs="Arial"/>
          <w:sz w:val="20"/>
          <w:szCs w:val="20"/>
        </w:rPr>
        <w:t>sono direttamente</w:t>
      </w:r>
      <w:r>
        <w:rPr>
          <w:rFonts w:ascii="Arial" w:hAnsi="Arial" w:cs="Arial"/>
          <w:sz w:val="20"/>
          <w:szCs w:val="20"/>
        </w:rPr>
        <w:t xml:space="preserve"> </w:t>
      </w:r>
      <w:r w:rsidRPr="00C9631A">
        <w:rPr>
          <w:rFonts w:ascii="Arial" w:hAnsi="Arial" w:cs="Arial"/>
          <w:sz w:val="20"/>
          <w:szCs w:val="20"/>
        </w:rPr>
        <w:t>confrontabili tra loro, per consentire l’analisi economica su</w:t>
      </w:r>
      <w:r>
        <w:rPr>
          <w:rFonts w:ascii="Arial" w:hAnsi="Arial" w:cs="Arial"/>
          <w:sz w:val="20"/>
          <w:szCs w:val="20"/>
        </w:rPr>
        <w:t xml:space="preserve"> </w:t>
      </w:r>
      <w:r w:rsidRPr="00C9631A">
        <w:rPr>
          <w:rFonts w:ascii="Arial" w:hAnsi="Arial" w:cs="Arial"/>
          <w:sz w:val="20"/>
          <w:szCs w:val="20"/>
        </w:rPr>
        <w:t xml:space="preserve">orizzonti temporali superiori ai dodici mesi, le serie storiche previste dal piano di diffusione sono ricondotte a uno stesso anno di riferimento, aggiornato ogni 5 anni in linea con le indicazioni fornite a livello internazionale per le statistiche congiunturali. </w:t>
      </w:r>
    </w:p>
    <w:p w14:paraId="25043703" w14:textId="68E21AAD" w:rsidR="00CD38B7" w:rsidRPr="00E07DF0" w:rsidRDefault="00CD38B7" w:rsidP="00CD38B7">
      <w:pPr>
        <w:spacing w:after="120"/>
        <w:jc w:val="both"/>
        <w:rPr>
          <w:rFonts w:ascii="Arial" w:hAnsi="Arial" w:cs="Arial"/>
          <w:sz w:val="20"/>
          <w:szCs w:val="20"/>
        </w:rPr>
      </w:pPr>
      <w:r w:rsidRPr="00C9631A">
        <w:rPr>
          <w:rFonts w:ascii="Arial" w:hAnsi="Arial" w:cs="Arial"/>
          <w:sz w:val="20"/>
          <w:szCs w:val="20"/>
        </w:rPr>
        <w:t xml:space="preserve">A partire dai dati di gennaio 2018, l’anno di riferimento è il 2015, assunto come “base” attraverso opportuni coefficienti di raccordo che legano tra loro gli indici riferiti alle diverse basi annuali. La metodologia adottata prevede il calcolo degli indici elementari a livello merceologico di nomenclatura combinata, l’individuazione e il trattamento di eventuali errori di misura e l’aggregazione degli indici elementari mediante medie troncate (Istat, “Nota informativa” del 25/02/2008). Gli indici dei valori medi unitari e gli indici di valore vengono calcolati in modo diretto, mentre gli indici dei volumi sono ottenuti dal rapporto tra gli indici di valore e i corrispondenti indici del valore medio unitario, in modo da assicurare la relazione di complementarietà tra i tre indici. Il piano di diffusione dispone la pubblicazione dei soli indici dei valori medi unitari e dei volumi. Gli indici annuali e trimestrali dei valori medi unitari sono calcolati come media aritmetica dei corrispondenti indici mensili, che non includono le dichiarazioni trimestrali e annuali relative all’indagine Intrastat. Al contrario, gli indici dei volumi vengono calcolati utilizzando indici del valore riferiti al totale delle transazioni, in modo da consentire una più precisa scomposizione delle variazioni dei valori in volume e valori </w:t>
      </w:r>
      <w:r w:rsidRPr="00E07DF0">
        <w:rPr>
          <w:rFonts w:ascii="Arial" w:hAnsi="Arial" w:cs="Arial"/>
          <w:sz w:val="20"/>
          <w:szCs w:val="20"/>
        </w:rPr>
        <w:t>medi unitari.</w:t>
      </w:r>
    </w:p>
    <w:p w14:paraId="2DBF3187" w14:textId="77777777" w:rsidR="00CD38B7" w:rsidRPr="00C9631A" w:rsidRDefault="00CD38B7" w:rsidP="00CD38B7">
      <w:pPr>
        <w:spacing w:after="60"/>
        <w:jc w:val="both"/>
        <w:rPr>
          <w:rFonts w:ascii="Arial" w:hAnsi="Arial" w:cs="Arial"/>
          <w:sz w:val="20"/>
          <w:szCs w:val="20"/>
        </w:rPr>
      </w:pPr>
    </w:p>
    <w:p w14:paraId="1ADBCDCE" w14:textId="77777777" w:rsidR="00CD38B7" w:rsidRPr="00C9631A" w:rsidRDefault="00CD38B7" w:rsidP="00CD38B7">
      <w:pPr>
        <w:spacing w:after="120"/>
        <w:jc w:val="both"/>
        <w:rPr>
          <w:rFonts w:ascii="Arial" w:hAnsi="Arial" w:cs="Arial"/>
          <w:b/>
          <w:sz w:val="20"/>
          <w:szCs w:val="20"/>
        </w:rPr>
      </w:pPr>
      <w:r w:rsidRPr="00C9631A">
        <w:rPr>
          <w:rFonts w:ascii="Arial" w:hAnsi="Arial" w:cs="Arial"/>
          <w:b/>
          <w:sz w:val="20"/>
          <w:szCs w:val="20"/>
        </w:rPr>
        <w:t>Riservatezza</w:t>
      </w:r>
    </w:p>
    <w:p w14:paraId="7D730F6E"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A partire dall'anno 2000, l'Istat ha definito nuove procedure per il trattamento e la diffusione dei dati personali relativi agli scambi di merci con l'estero e ai soggetti importatori ed esportatori, compatibili con l'attuale quadro normativo nazionale (legge 675/96, D.lgs.322/89, 281/99 e 196/03).</w:t>
      </w:r>
    </w:p>
    <w:p w14:paraId="4223E69F"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In particolare, le nuove procedure consentono di ridurre fortemente il rischio di identificazione, indiretta e accidentale, di dati confidenziali e nel contempo di limitare la perdita di informazione fornita agli utenti esterni.</w:t>
      </w:r>
    </w:p>
    <w:p w14:paraId="76533EBF" w14:textId="77777777" w:rsidR="00CD38B7" w:rsidRPr="00C9631A" w:rsidRDefault="00CD38B7" w:rsidP="00CD38B7">
      <w:pPr>
        <w:spacing w:after="120"/>
        <w:jc w:val="both"/>
        <w:rPr>
          <w:rFonts w:ascii="Arial" w:hAnsi="Arial" w:cs="Arial"/>
          <w:sz w:val="20"/>
          <w:szCs w:val="20"/>
        </w:rPr>
      </w:pPr>
      <w:r w:rsidRPr="00C9631A">
        <w:rPr>
          <w:rFonts w:ascii="Arial" w:hAnsi="Arial" w:cs="Arial"/>
          <w:sz w:val="20"/>
          <w:szCs w:val="20"/>
        </w:rPr>
        <w:t>Per quanto riguarda le statistiche relative alle merci, l'Istat, oltre a tutelare le informazioni riservate secondo il principio della riservatezza passiva, ha definito un piano per la diffusione delle statistiche del commercio con l'estero. Tale piano disciplina le possibilità di incrocio tra variabili in funzione di particolari livelli di dettaglio merceologico, geografico o territoriale riducendo entro soglie ragionevoli il rischio di identificazione dei soggetti indirettamente interessati.</w:t>
      </w:r>
    </w:p>
    <w:p w14:paraId="729B0F2F" w14:textId="77777777" w:rsidR="00CD38B7" w:rsidRPr="00C9631A" w:rsidRDefault="00CD38B7" w:rsidP="00CD38B7">
      <w:pPr>
        <w:spacing w:after="120"/>
        <w:jc w:val="both"/>
        <w:rPr>
          <w:rStyle w:val="Collegamentoipertestuale"/>
          <w:rFonts w:ascii="Arial" w:hAnsi="Arial" w:cs="Arial"/>
          <w:sz w:val="20"/>
          <w:szCs w:val="20"/>
        </w:rPr>
      </w:pPr>
      <w:r w:rsidRPr="00C9631A">
        <w:rPr>
          <w:rFonts w:ascii="Arial" w:hAnsi="Arial" w:cs="Arial"/>
          <w:sz w:val="20"/>
          <w:szCs w:val="20"/>
        </w:rPr>
        <w:t xml:space="preserve">Ulteriori informazioni sulla tutela della riservatezza sono disponibili al seguente link </w:t>
      </w:r>
      <w:hyperlink r:id="rId39" w:history="1">
        <w:r w:rsidRPr="00C9631A">
          <w:rPr>
            <w:rStyle w:val="Collegamentoipertestuale"/>
            <w:rFonts w:ascii="Arial" w:hAnsi="Arial" w:cs="Arial"/>
            <w:sz w:val="20"/>
            <w:szCs w:val="20"/>
          </w:rPr>
          <w:t>https://www.coeweb.istat.it</w:t>
        </w:r>
      </w:hyperlink>
    </w:p>
    <w:p w14:paraId="41A26A32" w14:textId="77777777" w:rsidR="00CD38B7" w:rsidRPr="00CC6703" w:rsidRDefault="00CD38B7" w:rsidP="00CD38B7">
      <w:pPr>
        <w:spacing w:after="120"/>
        <w:jc w:val="both"/>
        <w:rPr>
          <w:rFonts w:ascii="Arial" w:hAnsi="Arial" w:cs="Arial"/>
          <w:sz w:val="16"/>
          <w:szCs w:val="16"/>
        </w:rPr>
      </w:pPr>
    </w:p>
    <w:p w14:paraId="0ED0DE34" w14:textId="77777777" w:rsidR="00CD38B7" w:rsidRPr="00B0387D" w:rsidRDefault="00CD38B7" w:rsidP="00CD38B7">
      <w:pPr>
        <w:spacing w:after="120"/>
        <w:jc w:val="both"/>
        <w:rPr>
          <w:rFonts w:ascii="Arial" w:hAnsi="Arial" w:cs="Arial"/>
          <w:b/>
          <w:sz w:val="20"/>
          <w:szCs w:val="20"/>
        </w:rPr>
      </w:pPr>
      <w:r w:rsidRPr="00B0387D">
        <w:rPr>
          <w:rFonts w:ascii="Arial" w:hAnsi="Arial" w:cs="Arial"/>
          <w:b/>
          <w:sz w:val="20"/>
          <w:szCs w:val="20"/>
        </w:rPr>
        <w:t>L’emergenza sanitaria Covid-19 e la rilevazione Intrastat</w:t>
      </w:r>
    </w:p>
    <w:p w14:paraId="7DE922CA" w14:textId="77777777" w:rsidR="00B65DDE" w:rsidRDefault="00A10573" w:rsidP="00B65DDE">
      <w:pPr>
        <w:spacing w:after="120"/>
        <w:jc w:val="both"/>
        <w:rPr>
          <w:rFonts w:ascii="Arial" w:hAnsi="Arial" w:cs="Arial"/>
          <w:sz w:val="20"/>
          <w:szCs w:val="20"/>
        </w:rPr>
      </w:pPr>
      <w:r>
        <w:rPr>
          <w:rFonts w:ascii="Arial" w:hAnsi="Arial" w:cs="Arial"/>
          <w:sz w:val="20"/>
          <w:szCs w:val="20"/>
        </w:rPr>
        <w:t>Dal mese di giugno</w:t>
      </w:r>
      <w:r w:rsidR="00DF3B4B">
        <w:rPr>
          <w:rFonts w:ascii="Arial" w:hAnsi="Arial" w:cs="Arial"/>
          <w:sz w:val="20"/>
          <w:szCs w:val="20"/>
        </w:rPr>
        <w:t xml:space="preserve"> 2020</w:t>
      </w:r>
      <w:r w:rsidR="00D337BD" w:rsidRPr="00111E5D">
        <w:rPr>
          <w:rFonts w:ascii="Arial" w:hAnsi="Arial" w:cs="Arial"/>
          <w:sz w:val="20"/>
          <w:szCs w:val="20"/>
        </w:rPr>
        <w:t>, l</w:t>
      </w:r>
      <w:r w:rsidR="00B65DDE" w:rsidRPr="00111E5D">
        <w:rPr>
          <w:rFonts w:ascii="Arial" w:hAnsi="Arial" w:cs="Arial"/>
          <w:sz w:val="20"/>
          <w:szCs w:val="20"/>
        </w:rPr>
        <w:t xml:space="preserve">a rilevazione Intrastat non </w:t>
      </w:r>
      <w:r w:rsidR="00D337BD" w:rsidRPr="00111E5D">
        <w:rPr>
          <w:rFonts w:ascii="Arial" w:hAnsi="Arial" w:cs="Arial"/>
          <w:sz w:val="20"/>
          <w:szCs w:val="20"/>
        </w:rPr>
        <w:t>registra più particolari criticità</w:t>
      </w:r>
      <w:r w:rsidR="00B65DDE" w:rsidRPr="00111E5D">
        <w:rPr>
          <w:rFonts w:ascii="Arial" w:hAnsi="Arial" w:cs="Arial"/>
          <w:sz w:val="20"/>
          <w:szCs w:val="20"/>
        </w:rPr>
        <w:t>. Scaduto</w:t>
      </w:r>
      <w:r w:rsidR="001C0AA2">
        <w:rPr>
          <w:rFonts w:ascii="Arial" w:hAnsi="Arial" w:cs="Arial"/>
          <w:sz w:val="20"/>
          <w:szCs w:val="20"/>
        </w:rPr>
        <w:t xml:space="preserve"> infatti</w:t>
      </w:r>
      <w:r w:rsidR="00B65DDE" w:rsidRPr="00111E5D">
        <w:rPr>
          <w:rFonts w:ascii="Arial" w:hAnsi="Arial" w:cs="Arial"/>
          <w:sz w:val="20"/>
          <w:szCs w:val="20"/>
        </w:rPr>
        <w:t>, il 30 giugno, il periodo di sospensione dei termini di trasmissione de</w:t>
      </w:r>
      <w:r w:rsidR="0021649E" w:rsidRPr="00111E5D">
        <w:rPr>
          <w:rFonts w:ascii="Arial" w:hAnsi="Arial" w:cs="Arial"/>
          <w:sz w:val="20"/>
          <w:szCs w:val="20"/>
        </w:rPr>
        <w:t>i dati</w:t>
      </w:r>
      <w:r w:rsidR="00B65DDE" w:rsidRPr="00111E5D">
        <w:rPr>
          <w:rFonts w:ascii="Arial" w:hAnsi="Arial" w:cs="Arial"/>
          <w:sz w:val="20"/>
          <w:szCs w:val="20"/>
        </w:rPr>
        <w:t>, previsto dal Decreto Legge 17 marzo 2020, n.18 (Decreto “Cura Italia”), il numero delle dichiarazioni</w:t>
      </w:r>
      <w:r w:rsidR="0021649E" w:rsidRPr="00111E5D">
        <w:rPr>
          <w:rFonts w:ascii="Arial" w:hAnsi="Arial" w:cs="Arial"/>
          <w:sz w:val="20"/>
          <w:szCs w:val="20"/>
        </w:rPr>
        <w:t xml:space="preserve"> Intrastat</w:t>
      </w:r>
      <w:r w:rsidR="00B65DDE" w:rsidRPr="00111E5D">
        <w:rPr>
          <w:rFonts w:ascii="Arial" w:hAnsi="Arial" w:cs="Arial"/>
          <w:sz w:val="20"/>
          <w:szCs w:val="20"/>
        </w:rPr>
        <w:t xml:space="preserve"> trasmesse</w:t>
      </w:r>
      <w:r w:rsidR="00D337BD" w:rsidRPr="00111E5D">
        <w:rPr>
          <w:rFonts w:ascii="Arial" w:hAnsi="Arial" w:cs="Arial"/>
          <w:sz w:val="20"/>
          <w:szCs w:val="20"/>
        </w:rPr>
        <w:t xml:space="preserve"> </w:t>
      </w:r>
      <w:r w:rsidR="0021649E" w:rsidRPr="00111E5D">
        <w:rPr>
          <w:rFonts w:ascii="Arial" w:hAnsi="Arial" w:cs="Arial"/>
          <w:sz w:val="20"/>
          <w:szCs w:val="20"/>
        </w:rPr>
        <w:t>– sia per le cessioni sia per gli acquisti –</w:t>
      </w:r>
      <w:r w:rsidR="00FB6C45" w:rsidRPr="00111E5D">
        <w:rPr>
          <w:rFonts w:ascii="Arial" w:hAnsi="Arial" w:cs="Arial"/>
          <w:sz w:val="20"/>
          <w:szCs w:val="20"/>
        </w:rPr>
        <w:t xml:space="preserve"> </w:t>
      </w:r>
      <w:r w:rsidR="00B65DDE" w:rsidRPr="00111E5D">
        <w:rPr>
          <w:rFonts w:ascii="Arial" w:hAnsi="Arial" w:cs="Arial"/>
          <w:sz w:val="20"/>
          <w:szCs w:val="20"/>
        </w:rPr>
        <w:t xml:space="preserve">è </w:t>
      </w:r>
      <w:r w:rsidR="00D337BD" w:rsidRPr="00111E5D">
        <w:rPr>
          <w:rFonts w:ascii="Arial" w:hAnsi="Arial" w:cs="Arial"/>
          <w:sz w:val="20"/>
          <w:szCs w:val="20"/>
        </w:rPr>
        <w:t xml:space="preserve">tornato </w:t>
      </w:r>
      <w:r w:rsidR="00B65DDE" w:rsidRPr="00111E5D">
        <w:rPr>
          <w:rFonts w:ascii="Arial" w:hAnsi="Arial" w:cs="Arial"/>
          <w:sz w:val="20"/>
          <w:szCs w:val="20"/>
        </w:rPr>
        <w:t xml:space="preserve">in linea con quello </w:t>
      </w:r>
      <w:r w:rsidR="0021649E" w:rsidRPr="00111E5D">
        <w:rPr>
          <w:rFonts w:ascii="Arial" w:hAnsi="Arial" w:cs="Arial"/>
          <w:sz w:val="20"/>
          <w:szCs w:val="20"/>
        </w:rPr>
        <w:t>dei mesi precedenti all</w:t>
      </w:r>
      <w:r w:rsidR="00871763">
        <w:rPr>
          <w:rFonts w:ascii="Arial" w:hAnsi="Arial" w:cs="Arial"/>
          <w:sz w:val="20"/>
          <w:szCs w:val="20"/>
        </w:rPr>
        <w:t>a prima fase dell</w:t>
      </w:r>
      <w:r w:rsidR="0021649E" w:rsidRPr="00111E5D">
        <w:rPr>
          <w:rFonts w:ascii="Arial" w:hAnsi="Arial" w:cs="Arial"/>
          <w:sz w:val="20"/>
          <w:szCs w:val="20"/>
        </w:rPr>
        <w:t>’emergenza Covid-19</w:t>
      </w:r>
      <w:r w:rsidR="00B65DDE" w:rsidRPr="00111E5D">
        <w:rPr>
          <w:rFonts w:ascii="Arial" w:hAnsi="Arial" w:cs="Arial"/>
          <w:sz w:val="20"/>
          <w:szCs w:val="20"/>
        </w:rPr>
        <w:t>.</w:t>
      </w:r>
    </w:p>
    <w:p w14:paraId="73E89E89" w14:textId="77777777" w:rsidR="00662CEB" w:rsidRDefault="001A54BF" w:rsidP="00CD38B7">
      <w:pPr>
        <w:spacing w:after="120"/>
        <w:jc w:val="both"/>
        <w:rPr>
          <w:rFonts w:ascii="Arial" w:hAnsi="Arial" w:cs="Arial"/>
          <w:sz w:val="20"/>
          <w:szCs w:val="20"/>
        </w:rPr>
      </w:pPr>
      <w:r>
        <w:rPr>
          <w:rFonts w:ascii="Arial" w:hAnsi="Arial" w:cs="Arial"/>
          <w:sz w:val="20"/>
          <w:szCs w:val="20"/>
        </w:rPr>
        <w:t>P</w:t>
      </w:r>
      <w:r w:rsidR="00CD38B7" w:rsidRPr="002D542F">
        <w:rPr>
          <w:rFonts w:ascii="Arial" w:hAnsi="Arial" w:cs="Arial"/>
          <w:sz w:val="20"/>
          <w:szCs w:val="20"/>
        </w:rPr>
        <w:t xml:space="preserve">er quanto riguarda la destagionalizzazione dei dati grezzi, </w:t>
      </w:r>
      <w:r w:rsidR="00CD38B7">
        <w:rPr>
          <w:rFonts w:ascii="Arial" w:hAnsi="Arial" w:cs="Arial"/>
          <w:sz w:val="20"/>
          <w:szCs w:val="20"/>
        </w:rPr>
        <w:t>essa è stata effettuata coerentemente alle linee guida metodologiche indicate da Eurostat</w:t>
      </w:r>
      <w:r w:rsidR="00662CEB">
        <w:rPr>
          <w:rFonts w:ascii="Arial" w:hAnsi="Arial" w:cs="Arial"/>
          <w:sz w:val="20"/>
          <w:szCs w:val="20"/>
        </w:rPr>
        <w:t xml:space="preserve">, </w:t>
      </w:r>
      <w:r w:rsidR="00CD38B7">
        <w:rPr>
          <w:rFonts w:ascii="Arial" w:hAnsi="Arial" w:cs="Arial"/>
          <w:sz w:val="20"/>
          <w:szCs w:val="20"/>
        </w:rPr>
        <w:t xml:space="preserve">disponibili alla pagina web </w:t>
      </w:r>
      <w:hyperlink r:id="rId40" w:history="1">
        <w:r w:rsidR="00CD38B7" w:rsidRPr="00A94B30">
          <w:rPr>
            <w:rStyle w:val="Collegamentoipertestuale"/>
            <w:rFonts w:ascii="Arial" w:hAnsi="Arial" w:cs="Arial"/>
            <w:sz w:val="20"/>
            <w:szCs w:val="20"/>
          </w:rPr>
          <w:t>Covid-19: Support for statisticians</w:t>
        </w:r>
      </w:hyperlink>
      <w:r w:rsidR="00662CEB">
        <w:rPr>
          <w:rFonts w:ascii="Arial" w:hAnsi="Arial" w:cs="Arial"/>
          <w:sz w:val="20"/>
          <w:szCs w:val="20"/>
        </w:rPr>
        <w:t>).</w:t>
      </w:r>
    </w:p>
    <w:p w14:paraId="04590783" w14:textId="6EB7E5CE" w:rsidR="00C21B33" w:rsidRPr="00632A22" w:rsidRDefault="00C21B33" w:rsidP="00282B90">
      <w:pPr>
        <w:spacing w:after="120"/>
        <w:jc w:val="both"/>
        <w:rPr>
          <w:rFonts w:ascii="Arial" w:hAnsi="Arial" w:cs="Arial"/>
          <w:sz w:val="20"/>
          <w:szCs w:val="20"/>
        </w:rPr>
      </w:pPr>
      <w:r w:rsidRPr="00C21B33">
        <w:rPr>
          <w:rFonts w:ascii="Arial" w:hAnsi="Arial" w:cs="Arial"/>
          <w:sz w:val="20"/>
          <w:szCs w:val="20"/>
        </w:rPr>
        <w:t xml:space="preserve">Pertanto, nelle serie storiche si è tenuto conto – a partire da marzo 2020 - dell’ampiezza inusuale delle variazioni dei flussi commerciali intra ed extra comunitari inserendo nei modelli statistici di destagionalizzazione, ove statisticamente significativi, </w:t>
      </w:r>
      <w:r w:rsidRPr="00A80498">
        <w:rPr>
          <w:rFonts w:ascii="Arial" w:hAnsi="Arial" w:cs="Arial"/>
          <w:sz w:val="20"/>
          <w:szCs w:val="20"/>
        </w:rPr>
        <w:t>regressori aggiuntivi</w:t>
      </w:r>
      <w:r w:rsidR="00A80498" w:rsidRPr="00A80498">
        <w:rPr>
          <w:rFonts w:ascii="Arial" w:hAnsi="Arial" w:cs="Arial"/>
          <w:sz w:val="20"/>
          <w:szCs w:val="20"/>
        </w:rPr>
        <w:t>. Non appena le informazioni disponibili lo consentiranno, si procederà alla revisione dei modelli</w:t>
      </w:r>
      <w:r w:rsidRPr="00A80498">
        <w:rPr>
          <w:rFonts w:ascii="Arial" w:hAnsi="Arial" w:cs="Arial"/>
          <w:sz w:val="20"/>
          <w:szCs w:val="20"/>
        </w:rPr>
        <w:t>.</w:t>
      </w:r>
    </w:p>
    <w:p w14:paraId="0C5EAD21" w14:textId="77777777" w:rsidR="00282B90" w:rsidRPr="007817A4" w:rsidRDefault="00282B90" w:rsidP="007D20CA">
      <w:pPr>
        <w:spacing w:after="120"/>
        <w:jc w:val="both"/>
        <w:rPr>
          <w:rFonts w:ascii="Arial" w:hAnsi="Arial" w:cs="Arial"/>
          <w:sz w:val="20"/>
          <w:szCs w:val="20"/>
        </w:rPr>
      </w:pPr>
    </w:p>
    <w:p w14:paraId="7D45BC2C" w14:textId="4B1C555F" w:rsidR="00FC1DC1" w:rsidRDefault="009A483A" w:rsidP="00FC1DC1">
      <w:pPr>
        <w:spacing w:after="120"/>
        <w:jc w:val="both"/>
        <w:rPr>
          <w:rFonts w:ascii="Arial" w:hAnsi="Arial" w:cs="Arial"/>
          <w:b/>
          <w:sz w:val="20"/>
          <w:szCs w:val="20"/>
        </w:rPr>
      </w:pPr>
      <w:r>
        <w:rPr>
          <w:rFonts w:ascii="Arial" w:hAnsi="Arial" w:cs="Arial"/>
          <w:b/>
          <w:sz w:val="20"/>
          <w:szCs w:val="20"/>
        </w:rPr>
        <w:t>Le</w:t>
      </w:r>
      <w:r w:rsidR="007446E5">
        <w:rPr>
          <w:rFonts w:ascii="Arial" w:hAnsi="Arial" w:cs="Arial"/>
          <w:b/>
          <w:sz w:val="20"/>
          <w:szCs w:val="20"/>
        </w:rPr>
        <w:t xml:space="preserve"> novità d</w:t>
      </w:r>
      <w:r w:rsidR="005A72C3">
        <w:rPr>
          <w:rFonts w:ascii="Arial" w:hAnsi="Arial" w:cs="Arial"/>
          <w:b/>
          <w:sz w:val="20"/>
          <w:szCs w:val="20"/>
        </w:rPr>
        <w:t xml:space="preserve">el sistema Intrastat e </w:t>
      </w:r>
      <w:r w:rsidR="00FE3231">
        <w:rPr>
          <w:rFonts w:ascii="Arial" w:hAnsi="Arial" w:cs="Arial"/>
          <w:b/>
          <w:sz w:val="20"/>
          <w:szCs w:val="20"/>
        </w:rPr>
        <w:t xml:space="preserve">le </w:t>
      </w:r>
      <w:r w:rsidR="007C68A8">
        <w:rPr>
          <w:rFonts w:ascii="Arial" w:hAnsi="Arial" w:cs="Arial"/>
          <w:b/>
          <w:sz w:val="20"/>
          <w:szCs w:val="20"/>
        </w:rPr>
        <w:t>c</w:t>
      </w:r>
      <w:r w:rsidR="00FC1DC1" w:rsidRPr="001D441E">
        <w:rPr>
          <w:rFonts w:ascii="Arial" w:hAnsi="Arial" w:cs="Arial"/>
          <w:b/>
          <w:sz w:val="20"/>
          <w:szCs w:val="20"/>
        </w:rPr>
        <w:t xml:space="preserve">riticità riscontrate nella raccolta </w:t>
      </w:r>
      <w:r w:rsidR="007446E5">
        <w:rPr>
          <w:rFonts w:ascii="Arial" w:hAnsi="Arial" w:cs="Arial"/>
          <w:b/>
          <w:sz w:val="20"/>
          <w:szCs w:val="20"/>
        </w:rPr>
        <w:t xml:space="preserve">dei </w:t>
      </w:r>
      <w:r w:rsidR="00FC1DC1" w:rsidRPr="001D441E">
        <w:rPr>
          <w:rFonts w:ascii="Arial" w:hAnsi="Arial" w:cs="Arial"/>
          <w:b/>
          <w:sz w:val="20"/>
          <w:szCs w:val="20"/>
        </w:rPr>
        <w:t>dati di gennaio 2022</w:t>
      </w:r>
    </w:p>
    <w:p w14:paraId="5C2440FB" w14:textId="52C3BD9D" w:rsidR="005A72C3" w:rsidRPr="005A72C3" w:rsidRDefault="00217CBB" w:rsidP="005A72C3">
      <w:pPr>
        <w:spacing w:after="120"/>
        <w:jc w:val="both"/>
        <w:rPr>
          <w:rFonts w:asciiTheme="minorHAnsi" w:hAnsiTheme="minorHAnsi"/>
          <w:sz w:val="22"/>
          <w:szCs w:val="22"/>
          <w:lang w:eastAsia="en-US"/>
        </w:rPr>
      </w:pPr>
      <w:r>
        <w:rPr>
          <w:rFonts w:ascii="Arial" w:hAnsi="Arial" w:cs="Arial"/>
          <w:sz w:val="20"/>
          <w:szCs w:val="20"/>
        </w:rPr>
        <w:t xml:space="preserve">Con </w:t>
      </w:r>
      <w:r w:rsidRPr="00615A28">
        <w:rPr>
          <w:rFonts w:ascii="Arial" w:hAnsi="Arial" w:cs="Arial"/>
          <w:sz w:val="20"/>
          <w:szCs w:val="20"/>
        </w:rPr>
        <w:t>Determinazione del Direttore dell’Agenzia delle dogane e dei monopoli n.</w:t>
      </w:r>
      <w:r w:rsidR="00BB5FEF">
        <w:rPr>
          <w:rFonts w:ascii="Arial" w:hAnsi="Arial" w:cs="Arial"/>
          <w:sz w:val="20"/>
          <w:szCs w:val="20"/>
        </w:rPr>
        <w:t xml:space="preserve"> </w:t>
      </w:r>
      <w:r w:rsidRPr="00615A28">
        <w:rPr>
          <w:rFonts w:ascii="Arial" w:hAnsi="Arial" w:cs="Arial"/>
          <w:sz w:val="20"/>
          <w:szCs w:val="20"/>
        </w:rPr>
        <w:t>493869 del 23 dicembre 2021</w:t>
      </w:r>
      <w:r>
        <w:rPr>
          <w:rFonts w:ascii="Arial" w:hAnsi="Arial" w:cs="Arial"/>
          <w:sz w:val="20"/>
          <w:szCs w:val="20"/>
        </w:rPr>
        <w:t xml:space="preserve">, a partire dai dati di gennaio 2022, sono state introdotte importanti novità nel </w:t>
      </w:r>
      <w:r w:rsidR="005A72C3" w:rsidRPr="005A72C3">
        <w:rPr>
          <w:rFonts w:ascii="Arial" w:hAnsi="Arial" w:cs="Arial"/>
          <w:sz w:val="20"/>
          <w:szCs w:val="20"/>
        </w:rPr>
        <w:t>sistema Intrastat nel rispetto della recente normativa statistica comunitaria (</w:t>
      </w:r>
      <w:r w:rsidR="005A72C3" w:rsidRPr="00D61DDB">
        <w:rPr>
          <w:rFonts w:ascii="Arial" w:hAnsi="Arial" w:cs="Arial"/>
          <w:sz w:val="20"/>
          <w:szCs w:val="20"/>
        </w:rPr>
        <w:t xml:space="preserve">Regolamento (UE) 2019/2152 </w:t>
      </w:r>
      <w:r w:rsidR="005A72C3">
        <w:rPr>
          <w:rFonts w:ascii="Arial" w:hAnsi="Arial" w:cs="Arial"/>
          <w:sz w:val="20"/>
          <w:szCs w:val="20"/>
        </w:rPr>
        <w:t xml:space="preserve">e il relativo </w:t>
      </w:r>
      <w:r w:rsidR="005A72C3" w:rsidRPr="00D61DDB">
        <w:rPr>
          <w:rFonts w:ascii="Arial" w:hAnsi="Arial" w:cs="Arial"/>
          <w:sz w:val="20"/>
          <w:szCs w:val="20"/>
        </w:rPr>
        <w:t>Regolamento di esecuzione (UE) 2020/1197</w:t>
      </w:r>
      <w:r w:rsidR="005A72C3">
        <w:rPr>
          <w:rFonts w:ascii="Arial" w:hAnsi="Arial" w:cs="Arial"/>
          <w:sz w:val="20"/>
          <w:szCs w:val="20"/>
        </w:rPr>
        <w:t>)</w:t>
      </w:r>
      <w:r w:rsidR="005A72C3" w:rsidRPr="005A72C3">
        <w:rPr>
          <w:rFonts w:ascii="Arial" w:hAnsi="Arial" w:cs="Arial"/>
          <w:sz w:val="20"/>
          <w:szCs w:val="20"/>
        </w:rPr>
        <w:t xml:space="preserve"> e nell’ottica della semplificazione e riduzione del carico statistico sugli operatori economici.</w:t>
      </w:r>
    </w:p>
    <w:p w14:paraId="1745C08F" w14:textId="77777777" w:rsidR="005A72C3" w:rsidRDefault="005A72C3" w:rsidP="005A72C3">
      <w:pPr>
        <w:spacing w:after="120"/>
        <w:jc w:val="both"/>
        <w:rPr>
          <w:rFonts w:ascii="Arial" w:hAnsi="Arial" w:cs="Arial"/>
          <w:sz w:val="20"/>
          <w:szCs w:val="20"/>
        </w:rPr>
      </w:pPr>
    </w:p>
    <w:p w14:paraId="555BB782" w14:textId="23D071F6" w:rsidR="005A72C3" w:rsidRPr="005A72C3" w:rsidRDefault="005A72C3" w:rsidP="005A72C3">
      <w:pPr>
        <w:spacing w:after="120"/>
        <w:jc w:val="both"/>
        <w:rPr>
          <w:rFonts w:ascii="Arial" w:hAnsi="Arial" w:cs="Arial"/>
          <w:sz w:val="20"/>
          <w:szCs w:val="20"/>
        </w:rPr>
      </w:pPr>
      <w:r w:rsidRPr="005A72C3">
        <w:rPr>
          <w:rFonts w:ascii="Arial" w:hAnsi="Arial" w:cs="Arial"/>
          <w:sz w:val="20"/>
          <w:szCs w:val="20"/>
        </w:rPr>
        <w:t xml:space="preserve">Il Regolamento </w:t>
      </w:r>
      <w:r w:rsidR="00557B80">
        <w:rPr>
          <w:rFonts w:ascii="Arial" w:hAnsi="Arial" w:cs="Arial"/>
          <w:sz w:val="20"/>
          <w:szCs w:val="20"/>
        </w:rPr>
        <w:t>(</w:t>
      </w:r>
      <w:r w:rsidRPr="005A72C3">
        <w:rPr>
          <w:rFonts w:ascii="Arial" w:hAnsi="Arial" w:cs="Arial"/>
          <w:sz w:val="20"/>
          <w:szCs w:val="20"/>
        </w:rPr>
        <w:t>UE</w:t>
      </w:r>
      <w:r w:rsidR="00557B80">
        <w:rPr>
          <w:rFonts w:ascii="Arial" w:hAnsi="Arial" w:cs="Arial"/>
          <w:sz w:val="20"/>
          <w:szCs w:val="20"/>
        </w:rPr>
        <w:t>)</w:t>
      </w:r>
      <w:r w:rsidRPr="005A72C3">
        <w:rPr>
          <w:rFonts w:ascii="Arial" w:hAnsi="Arial" w:cs="Arial"/>
          <w:sz w:val="20"/>
          <w:szCs w:val="20"/>
        </w:rPr>
        <w:t xml:space="preserve"> 2019/2152 introduce l’obbligo dello scambio di microdati relativi alle cessioni (indicate come esportazioni intracomunitarie nel nuovo Regolamento) tra gli Istituti nazionali di statistica dei Paesi membri a decorrere dal mese di gennaio 2022.</w:t>
      </w:r>
    </w:p>
    <w:p w14:paraId="3A9BCAAC" w14:textId="699DFFE1" w:rsidR="005A72C3" w:rsidRPr="005A72C3" w:rsidRDefault="005A72C3" w:rsidP="005A72C3">
      <w:pPr>
        <w:spacing w:after="120"/>
        <w:jc w:val="both"/>
        <w:rPr>
          <w:rFonts w:ascii="Arial" w:hAnsi="Arial" w:cs="Arial"/>
          <w:sz w:val="20"/>
          <w:szCs w:val="20"/>
        </w:rPr>
      </w:pPr>
      <w:r w:rsidRPr="005A72C3">
        <w:rPr>
          <w:rFonts w:ascii="Arial" w:hAnsi="Arial" w:cs="Arial"/>
          <w:sz w:val="20"/>
          <w:szCs w:val="20"/>
        </w:rPr>
        <w:t>Il sistema di scambio dei microdati – basato sul principio che i dati non devono essere raccolti più di una volta (“once only”) – costituisce un approccio innovativo per la compilazione delle statistiche di commercio intracomunitario, progettato in ambito europeo con la finalità di ridurre l’onere statistico del sistema Intrastat e di fornire ai Paesi membri una fonte aggiuntiva e dettagliata per la compilazione delle statistiche sugli acquisti intracomunitari.</w:t>
      </w:r>
    </w:p>
    <w:p w14:paraId="575541A7" w14:textId="0B1F67A6" w:rsidR="00217CBB" w:rsidRDefault="005A72C3" w:rsidP="00217CBB">
      <w:pPr>
        <w:spacing w:after="120"/>
        <w:jc w:val="both"/>
        <w:rPr>
          <w:rFonts w:ascii="Arial" w:hAnsi="Arial" w:cs="Arial"/>
          <w:sz w:val="20"/>
          <w:szCs w:val="20"/>
        </w:rPr>
      </w:pPr>
      <w:r w:rsidRPr="005A72C3">
        <w:rPr>
          <w:rFonts w:ascii="Arial" w:hAnsi="Arial" w:cs="Arial"/>
          <w:sz w:val="20"/>
          <w:szCs w:val="20"/>
        </w:rPr>
        <w:t xml:space="preserve">Per attuare </w:t>
      </w:r>
      <w:r w:rsidR="00557B80">
        <w:rPr>
          <w:rFonts w:ascii="Arial" w:hAnsi="Arial" w:cs="Arial"/>
          <w:sz w:val="20"/>
          <w:szCs w:val="20"/>
        </w:rPr>
        <w:t xml:space="preserve">questo </w:t>
      </w:r>
      <w:r w:rsidRPr="005A72C3">
        <w:rPr>
          <w:rFonts w:ascii="Arial" w:hAnsi="Arial" w:cs="Arial"/>
          <w:sz w:val="20"/>
          <w:szCs w:val="20"/>
        </w:rPr>
        <w:t xml:space="preserve">nuovo approccio e consentire a tutti gli Istituti nazionali di statistica dei Paesi Ue di utilizzare i microdati sulle cessioni </w:t>
      </w:r>
      <w:r w:rsidR="00557B80">
        <w:rPr>
          <w:rFonts w:ascii="Arial" w:hAnsi="Arial" w:cs="Arial"/>
          <w:sz w:val="20"/>
          <w:szCs w:val="20"/>
        </w:rPr>
        <w:t>de</w:t>
      </w:r>
      <w:r w:rsidRPr="005A72C3">
        <w:rPr>
          <w:rFonts w:ascii="Arial" w:hAnsi="Arial" w:cs="Arial"/>
          <w:sz w:val="20"/>
          <w:szCs w:val="20"/>
        </w:rPr>
        <w:t>gli altri Paesi partner</w:t>
      </w:r>
      <w:r w:rsidR="00557B80">
        <w:rPr>
          <w:rFonts w:ascii="Arial" w:hAnsi="Arial" w:cs="Arial"/>
          <w:sz w:val="20"/>
          <w:szCs w:val="20"/>
        </w:rPr>
        <w:t xml:space="preserve"> – </w:t>
      </w:r>
      <w:r w:rsidRPr="005A72C3">
        <w:rPr>
          <w:rFonts w:ascii="Arial" w:hAnsi="Arial" w:cs="Arial"/>
          <w:sz w:val="20"/>
          <w:szCs w:val="20"/>
        </w:rPr>
        <w:t>in sostituzione totale o parziale dei dati raccolti a livello nazionale</w:t>
      </w:r>
      <w:r w:rsidR="00557B80">
        <w:rPr>
          <w:rFonts w:ascii="Arial" w:hAnsi="Arial" w:cs="Arial"/>
          <w:sz w:val="20"/>
          <w:szCs w:val="20"/>
        </w:rPr>
        <w:t xml:space="preserve"> –</w:t>
      </w:r>
      <w:r w:rsidRPr="005A72C3">
        <w:rPr>
          <w:rFonts w:ascii="Arial" w:hAnsi="Arial" w:cs="Arial"/>
          <w:sz w:val="20"/>
          <w:szCs w:val="20"/>
        </w:rPr>
        <w:t>,</w:t>
      </w:r>
      <w:r w:rsidRPr="00656343">
        <w:rPr>
          <w:rFonts w:ascii="Arial" w:hAnsi="Arial" w:cs="Arial"/>
          <w:sz w:val="20"/>
          <w:szCs w:val="20"/>
        </w:rPr>
        <w:t xml:space="preserve"> a decorrere dai dati di gennaio 2022 è stata richiesta </w:t>
      </w:r>
      <w:r w:rsidR="00656343" w:rsidRPr="00656343">
        <w:rPr>
          <w:rFonts w:ascii="Arial" w:hAnsi="Arial" w:cs="Arial"/>
          <w:sz w:val="20"/>
          <w:szCs w:val="20"/>
        </w:rPr>
        <w:t xml:space="preserve">la compilazione di </w:t>
      </w:r>
      <w:r w:rsidRPr="00656343">
        <w:rPr>
          <w:rFonts w:ascii="Arial" w:hAnsi="Arial" w:cs="Arial"/>
          <w:sz w:val="20"/>
          <w:szCs w:val="20"/>
        </w:rPr>
        <w:t xml:space="preserve">una </w:t>
      </w:r>
      <w:r w:rsidR="00557B80">
        <w:rPr>
          <w:rFonts w:ascii="Arial" w:hAnsi="Arial" w:cs="Arial"/>
          <w:sz w:val="20"/>
          <w:szCs w:val="20"/>
        </w:rPr>
        <w:t xml:space="preserve">nuova </w:t>
      </w:r>
      <w:r w:rsidRPr="00656343">
        <w:rPr>
          <w:rFonts w:ascii="Arial" w:hAnsi="Arial" w:cs="Arial"/>
          <w:sz w:val="20"/>
          <w:szCs w:val="20"/>
        </w:rPr>
        <w:t>variabile nei modelli Intrastat relativi alle cessioni</w:t>
      </w:r>
      <w:r w:rsidR="00557B80">
        <w:rPr>
          <w:rFonts w:ascii="Arial" w:hAnsi="Arial" w:cs="Arial"/>
          <w:sz w:val="20"/>
          <w:szCs w:val="20"/>
        </w:rPr>
        <w:t xml:space="preserve"> (</w:t>
      </w:r>
      <w:r w:rsidR="00656343" w:rsidRPr="00656343">
        <w:rPr>
          <w:rFonts w:ascii="Arial" w:hAnsi="Arial" w:cs="Arial"/>
          <w:sz w:val="20"/>
          <w:szCs w:val="20"/>
        </w:rPr>
        <w:t>la</w:t>
      </w:r>
      <w:r w:rsidRPr="00656343">
        <w:rPr>
          <w:rFonts w:ascii="Arial" w:hAnsi="Arial" w:cs="Arial"/>
          <w:sz w:val="20"/>
          <w:szCs w:val="20"/>
        </w:rPr>
        <w:t xml:space="preserve"> </w:t>
      </w:r>
      <w:r w:rsidR="00656343" w:rsidRPr="00656343">
        <w:rPr>
          <w:rFonts w:ascii="Arial" w:hAnsi="Arial" w:cs="Arial"/>
          <w:sz w:val="20"/>
          <w:szCs w:val="20"/>
        </w:rPr>
        <w:t>variabile “Paese di origine” delle merci, definito come il paese in cui il bene è stato sottoposto all’ultima trasformazione o lavorazione sostanziale</w:t>
      </w:r>
      <w:r w:rsidR="00557B80">
        <w:rPr>
          <w:rFonts w:ascii="Arial" w:hAnsi="Arial" w:cs="Arial"/>
          <w:sz w:val="20"/>
          <w:szCs w:val="20"/>
        </w:rPr>
        <w:t xml:space="preserve"> - </w:t>
      </w:r>
      <w:r w:rsidRPr="00656343">
        <w:rPr>
          <w:rFonts w:ascii="Arial" w:hAnsi="Arial" w:cs="Arial"/>
          <w:sz w:val="20"/>
          <w:szCs w:val="20"/>
        </w:rPr>
        <w:t xml:space="preserve">Regolamento </w:t>
      </w:r>
      <w:r w:rsidR="00557B80">
        <w:rPr>
          <w:rFonts w:ascii="Arial" w:hAnsi="Arial" w:cs="Arial"/>
          <w:sz w:val="20"/>
          <w:szCs w:val="20"/>
        </w:rPr>
        <w:t>(</w:t>
      </w:r>
      <w:r w:rsidRPr="00656343">
        <w:rPr>
          <w:rFonts w:ascii="Arial" w:hAnsi="Arial" w:cs="Arial"/>
          <w:sz w:val="20"/>
          <w:szCs w:val="20"/>
        </w:rPr>
        <w:t>UE</w:t>
      </w:r>
      <w:r w:rsidR="00557B80">
        <w:rPr>
          <w:rFonts w:ascii="Arial" w:hAnsi="Arial" w:cs="Arial"/>
          <w:sz w:val="20"/>
          <w:szCs w:val="20"/>
        </w:rPr>
        <w:t>)</w:t>
      </w:r>
      <w:r w:rsidRPr="00656343">
        <w:rPr>
          <w:rFonts w:ascii="Arial" w:hAnsi="Arial" w:cs="Arial"/>
          <w:sz w:val="20"/>
          <w:szCs w:val="20"/>
        </w:rPr>
        <w:t xml:space="preserve"> 2020/1197, sez. 12 par.</w:t>
      </w:r>
      <w:r w:rsidR="00656343" w:rsidRPr="00656343">
        <w:rPr>
          <w:rFonts w:ascii="Arial" w:hAnsi="Arial" w:cs="Arial"/>
          <w:sz w:val="20"/>
          <w:szCs w:val="20"/>
        </w:rPr>
        <w:t xml:space="preserve"> </w:t>
      </w:r>
      <w:r w:rsidRPr="00656343">
        <w:rPr>
          <w:rFonts w:ascii="Arial" w:hAnsi="Arial" w:cs="Arial"/>
          <w:sz w:val="20"/>
          <w:szCs w:val="20"/>
        </w:rPr>
        <w:t>3</w:t>
      </w:r>
      <w:r w:rsidR="00656343" w:rsidRPr="00656343">
        <w:rPr>
          <w:rFonts w:ascii="Arial" w:hAnsi="Arial" w:cs="Arial"/>
          <w:sz w:val="20"/>
          <w:szCs w:val="20"/>
        </w:rPr>
        <w:t xml:space="preserve">). </w:t>
      </w:r>
      <w:r w:rsidR="00A90453" w:rsidRPr="00656343">
        <w:rPr>
          <w:rFonts w:ascii="Arial" w:hAnsi="Arial" w:cs="Arial"/>
          <w:sz w:val="20"/>
          <w:szCs w:val="20"/>
        </w:rPr>
        <w:t>È</w:t>
      </w:r>
      <w:r w:rsidR="00656343" w:rsidRPr="00656343">
        <w:rPr>
          <w:rFonts w:ascii="Arial" w:hAnsi="Arial" w:cs="Arial"/>
          <w:sz w:val="20"/>
          <w:szCs w:val="20"/>
        </w:rPr>
        <w:t xml:space="preserve"> stata inoltre adottata una </w:t>
      </w:r>
      <w:r w:rsidRPr="00656343">
        <w:rPr>
          <w:rFonts w:ascii="Arial" w:hAnsi="Arial" w:cs="Arial"/>
          <w:sz w:val="20"/>
          <w:szCs w:val="20"/>
        </w:rPr>
        <w:t>codifica</w:t>
      </w:r>
      <w:r w:rsidR="009A16C4">
        <w:rPr>
          <w:rFonts w:ascii="Arial" w:hAnsi="Arial" w:cs="Arial"/>
          <w:sz w:val="20"/>
          <w:szCs w:val="20"/>
        </w:rPr>
        <w:t xml:space="preserve"> più dettagliata</w:t>
      </w:r>
      <w:r w:rsidRPr="00656343">
        <w:rPr>
          <w:rFonts w:ascii="Arial" w:hAnsi="Arial" w:cs="Arial"/>
          <w:sz w:val="20"/>
          <w:szCs w:val="20"/>
        </w:rPr>
        <w:t xml:space="preserve"> per la variabile “Natura della transazione”. </w:t>
      </w:r>
    </w:p>
    <w:p w14:paraId="10317733" w14:textId="77777777" w:rsidR="00217CBB" w:rsidRDefault="00656343" w:rsidP="00217CBB">
      <w:pPr>
        <w:spacing w:after="120"/>
        <w:jc w:val="both"/>
        <w:rPr>
          <w:rFonts w:ascii="Arial" w:hAnsi="Arial" w:cs="Arial"/>
          <w:sz w:val="20"/>
          <w:szCs w:val="20"/>
        </w:rPr>
      </w:pPr>
      <w:r>
        <w:rPr>
          <w:rFonts w:ascii="Arial" w:hAnsi="Arial" w:cs="Arial"/>
          <w:sz w:val="20"/>
          <w:szCs w:val="20"/>
        </w:rPr>
        <w:t xml:space="preserve">Allo stesso tempo sono state introdotte numerose semplificazioni, </w:t>
      </w:r>
      <w:r w:rsidR="00FE3231">
        <w:rPr>
          <w:rFonts w:ascii="Arial" w:hAnsi="Arial" w:cs="Arial"/>
          <w:sz w:val="20"/>
          <w:szCs w:val="20"/>
        </w:rPr>
        <w:t xml:space="preserve">tra queste </w:t>
      </w:r>
      <w:r>
        <w:rPr>
          <w:rFonts w:ascii="Arial" w:hAnsi="Arial" w:cs="Arial"/>
          <w:sz w:val="20"/>
          <w:szCs w:val="20"/>
        </w:rPr>
        <w:t xml:space="preserve">l’innalzamento della soglia statistica che determina </w:t>
      </w:r>
      <w:r w:rsidR="005A72C3" w:rsidRPr="00656343">
        <w:rPr>
          <w:rFonts w:ascii="Arial" w:hAnsi="Arial" w:cs="Arial"/>
          <w:sz w:val="20"/>
          <w:szCs w:val="20"/>
        </w:rPr>
        <w:t xml:space="preserve">l’obbligatorietà di compilazione mensile </w:t>
      </w:r>
      <w:r w:rsidRPr="00656343">
        <w:rPr>
          <w:rFonts w:ascii="Arial" w:hAnsi="Arial" w:cs="Arial"/>
          <w:sz w:val="20"/>
          <w:szCs w:val="20"/>
        </w:rPr>
        <w:t xml:space="preserve">dei modelli Intrastat relativi agli acquisti </w:t>
      </w:r>
      <w:r w:rsidR="005A72C3" w:rsidRPr="00656343">
        <w:rPr>
          <w:rFonts w:ascii="Arial" w:hAnsi="Arial" w:cs="Arial"/>
          <w:sz w:val="20"/>
          <w:szCs w:val="20"/>
        </w:rPr>
        <w:t xml:space="preserve">(da 200.000 a 350.000 euro). </w:t>
      </w:r>
    </w:p>
    <w:p w14:paraId="3ED8A2E6" w14:textId="04D785BB" w:rsidR="00217CBB" w:rsidRPr="00483363" w:rsidRDefault="00557B80" w:rsidP="00217CBB">
      <w:pPr>
        <w:spacing w:after="120"/>
        <w:jc w:val="both"/>
        <w:rPr>
          <w:rFonts w:ascii="Arial" w:hAnsi="Arial" w:cs="Arial"/>
          <w:sz w:val="20"/>
          <w:szCs w:val="20"/>
        </w:rPr>
      </w:pPr>
      <w:r>
        <w:rPr>
          <w:rFonts w:ascii="Arial" w:hAnsi="Arial" w:cs="Arial"/>
          <w:sz w:val="20"/>
          <w:szCs w:val="20"/>
        </w:rPr>
        <w:t>Infine nei</w:t>
      </w:r>
      <w:r w:rsidR="006E0E92" w:rsidRPr="00483363">
        <w:rPr>
          <w:rFonts w:ascii="Arial" w:hAnsi="Arial" w:cs="Arial"/>
          <w:sz w:val="20"/>
          <w:szCs w:val="20"/>
        </w:rPr>
        <w:t xml:space="preserve"> modelli Intrastat</w:t>
      </w:r>
      <w:r>
        <w:rPr>
          <w:rFonts w:ascii="Arial" w:hAnsi="Arial" w:cs="Arial"/>
          <w:sz w:val="20"/>
          <w:szCs w:val="20"/>
        </w:rPr>
        <w:t xml:space="preserve"> per </w:t>
      </w:r>
      <w:r w:rsidR="006E0E92" w:rsidRPr="00483363">
        <w:rPr>
          <w:rFonts w:ascii="Arial" w:hAnsi="Arial" w:cs="Arial"/>
          <w:sz w:val="20"/>
          <w:szCs w:val="20"/>
        </w:rPr>
        <w:t xml:space="preserve">le </w:t>
      </w:r>
      <w:r w:rsidR="00483363">
        <w:rPr>
          <w:rFonts w:ascii="Arial" w:hAnsi="Arial" w:cs="Arial"/>
          <w:sz w:val="20"/>
          <w:szCs w:val="20"/>
        </w:rPr>
        <w:t>cessioni</w:t>
      </w:r>
      <w:r>
        <w:rPr>
          <w:rFonts w:ascii="Arial" w:hAnsi="Arial" w:cs="Arial"/>
          <w:sz w:val="20"/>
          <w:szCs w:val="20"/>
        </w:rPr>
        <w:t xml:space="preserve"> è stata inserita</w:t>
      </w:r>
      <w:r w:rsidR="00483363" w:rsidRPr="00483363">
        <w:rPr>
          <w:rFonts w:ascii="Arial" w:hAnsi="Arial" w:cs="Arial"/>
          <w:sz w:val="20"/>
          <w:szCs w:val="20"/>
        </w:rPr>
        <w:t xml:space="preserve"> una nuova sezione </w:t>
      </w:r>
      <w:r>
        <w:rPr>
          <w:rFonts w:ascii="Arial" w:hAnsi="Arial" w:cs="Arial"/>
          <w:sz w:val="20"/>
          <w:szCs w:val="20"/>
        </w:rPr>
        <w:t>relativa all</w:t>
      </w:r>
      <w:r w:rsidR="00483363">
        <w:rPr>
          <w:rFonts w:ascii="Arial" w:hAnsi="Arial" w:cs="Arial"/>
          <w:sz w:val="20"/>
          <w:szCs w:val="20"/>
        </w:rPr>
        <w:t xml:space="preserve">e cessioni in regime </w:t>
      </w:r>
      <w:r w:rsidR="00A90453">
        <w:rPr>
          <w:rFonts w:ascii="Arial" w:hAnsi="Arial" w:cs="Arial"/>
          <w:sz w:val="20"/>
          <w:szCs w:val="20"/>
        </w:rPr>
        <w:t>cosiddetto</w:t>
      </w:r>
      <w:r w:rsidR="00483363">
        <w:rPr>
          <w:rFonts w:ascii="Arial" w:hAnsi="Arial" w:cs="Arial"/>
          <w:sz w:val="20"/>
          <w:szCs w:val="20"/>
        </w:rPr>
        <w:t xml:space="preserve"> di “call-off stock”</w:t>
      </w:r>
      <w:r w:rsidR="00217CBB">
        <w:rPr>
          <w:rFonts w:ascii="Arial" w:hAnsi="Arial" w:cs="Arial"/>
          <w:sz w:val="20"/>
          <w:szCs w:val="20"/>
        </w:rPr>
        <w:t xml:space="preserve"> (</w:t>
      </w:r>
      <w:r w:rsidR="00217CBB" w:rsidRPr="00217CBB">
        <w:rPr>
          <w:rFonts w:ascii="Arial" w:hAnsi="Arial" w:cs="Arial"/>
          <w:sz w:val="20"/>
          <w:szCs w:val="20"/>
        </w:rPr>
        <w:t>Decreto legislativo 5 novembre 2021, n. 192</w:t>
      </w:r>
      <w:r w:rsidR="00217CBB">
        <w:rPr>
          <w:rFonts w:ascii="Arial" w:hAnsi="Arial" w:cs="Arial"/>
          <w:sz w:val="20"/>
          <w:szCs w:val="20"/>
        </w:rPr>
        <w:t>).</w:t>
      </w:r>
    </w:p>
    <w:p w14:paraId="7750DFFD" w14:textId="7BDCC0BF" w:rsidR="00FC1DC1" w:rsidRPr="00615A28" w:rsidRDefault="00D246B3" w:rsidP="00483363">
      <w:pPr>
        <w:spacing w:after="120" w:line="259" w:lineRule="auto"/>
        <w:jc w:val="both"/>
        <w:rPr>
          <w:rFonts w:ascii="Arial" w:hAnsi="Arial" w:cs="Arial"/>
          <w:sz w:val="20"/>
          <w:szCs w:val="20"/>
        </w:rPr>
      </w:pPr>
      <w:r>
        <w:rPr>
          <w:rFonts w:ascii="Arial" w:hAnsi="Arial" w:cs="Arial"/>
          <w:sz w:val="20"/>
          <w:szCs w:val="20"/>
        </w:rPr>
        <w:t xml:space="preserve">Le </w:t>
      </w:r>
      <w:r w:rsidR="00483363" w:rsidRPr="00217CBB">
        <w:rPr>
          <w:rFonts w:ascii="Arial" w:hAnsi="Arial" w:cs="Arial"/>
          <w:sz w:val="20"/>
          <w:szCs w:val="20"/>
        </w:rPr>
        <w:t xml:space="preserve">diverse modifiche introdotte </w:t>
      </w:r>
      <w:r>
        <w:rPr>
          <w:rFonts w:ascii="Arial" w:hAnsi="Arial" w:cs="Arial"/>
          <w:sz w:val="20"/>
          <w:szCs w:val="20"/>
        </w:rPr>
        <w:t xml:space="preserve">nei modelli </w:t>
      </w:r>
      <w:r w:rsidR="00483363" w:rsidRPr="00217CBB">
        <w:rPr>
          <w:rFonts w:ascii="Arial" w:hAnsi="Arial" w:cs="Arial"/>
          <w:sz w:val="20"/>
          <w:szCs w:val="20"/>
        </w:rPr>
        <w:t xml:space="preserve">e </w:t>
      </w:r>
      <w:r>
        <w:rPr>
          <w:rFonts w:ascii="Arial" w:hAnsi="Arial" w:cs="Arial"/>
          <w:sz w:val="20"/>
          <w:szCs w:val="20"/>
        </w:rPr>
        <w:t>le</w:t>
      </w:r>
      <w:r w:rsidR="00483363" w:rsidRPr="00217CBB">
        <w:rPr>
          <w:rFonts w:ascii="Arial" w:hAnsi="Arial" w:cs="Arial"/>
          <w:sz w:val="20"/>
          <w:szCs w:val="20"/>
        </w:rPr>
        <w:t xml:space="preserve"> </w:t>
      </w:r>
      <w:r w:rsidR="00FC1DC1" w:rsidRPr="00615A28">
        <w:rPr>
          <w:rFonts w:ascii="Arial" w:hAnsi="Arial" w:cs="Arial"/>
          <w:sz w:val="20"/>
          <w:szCs w:val="20"/>
        </w:rPr>
        <w:t xml:space="preserve">difficoltà tecniche riscontrate </w:t>
      </w:r>
      <w:r w:rsidR="00483363">
        <w:rPr>
          <w:rFonts w:ascii="Arial" w:hAnsi="Arial" w:cs="Arial"/>
          <w:sz w:val="20"/>
          <w:szCs w:val="20"/>
        </w:rPr>
        <w:t xml:space="preserve">nella </w:t>
      </w:r>
      <w:r>
        <w:rPr>
          <w:rFonts w:ascii="Arial" w:hAnsi="Arial" w:cs="Arial"/>
          <w:sz w:val="20"/>
          <w:szCs w:val="20"/>
        </w:rPr>
        <w:t xml:space="preserve">loro </w:t>
      </w:r>
      <w:r w:rsidR="00FC1DC1" w:rsidRPr="00615A28">
        <w:rPr>
          <w:rFonts w:ascii="Arial" w:hAnsi="Arial" w:cs="Arial"/>
          <w:sz w:val="20"/>
          <w:szCs w:val="20"/>
        </w:rPr>
        <w:t>trasmissione telematica</w:t>
      </w:r>
      <w:r>
        <w:rPr>
          <w:rFonts w:ascii="Arial" w:hAnsi="Arial" w:cs="Arial"/>
          <w:sz w:val="20"/>
          <w:szCs w:val="20"/>
        </w:rPr>
        <w:t xml:space="preserve"> – malgrado il differimento della scadenza </w:t>
      </w:r>
      <w:r w:rsidR="00557B80">
        <w:rPr>
          <w:rFonts w:ascii="Arial" w:hAnsi="Arial" w:cs="Arial"/>
          <w:sz w:val="20"/>
          <w:szCs w:val="20"/>
        </w:rPr>
        <w:t>di invio</w:t>
      </w:r>
      <w:r>
        <w:rPr>
          <w:rFonts w:ascii="Arial" w:hAnsi="Arial" w:cs="Arial"/>
          <w:sz w:val="20"/>
          <w:szCs w:val="20"/>
        </w:rPr>
        <w:t xml:space="preserve"> dal </w:t>
      </w:r>
      <w:r w:rsidR="004C0532" w:rsidRPr="00615A28">
        <w:rPr>
          <w:rFonts w:ascii="Arial" w:hAnsi="Arial" w:cs="Arial"/>
          <w:sz w:val="20"/>
          <w:szCs w:val="20"/>
        </w:rPr>
        <w:t>25 febbraio</w:t>
      </w:r>
      <w:r>
        <w:rPr>
          <w:rFonts w:ascii="Arial" w:hAnsi="Arial" w:cs="Arial"/>
          <w:sz w:val="20"/>
          <w:szCs w:val="20"/>
        </w:rPr>
        <w:t xml:space="preserve"> al </w:t>
      </w:r>
      <w:r w:rsidR="00FC1DC1" w:rsidRPr="00615A28">
        <w:rPr>
          <w:rFonts w:ascii="Arial" w:hAnsi="Arial" w:cs="Arial"/>
          <w:sz w:val="20"/>
          <w:szCs w:val="20"/>
        </w:rPr>
        <w:t xml:space="preserve">7 marzo </w:t>
      </w:r>
      <w:r>
        <w:rPr>
          <w:rFonts w:ascii="Arial" w:hAnsi="Arial" w:cs="Arial"/>
          <w:sz w:val="20"/>
          <w:szCs w:val="20"/>
        </w:rPr>
        <w:t>(</w:t>
      </w:r>
      <w:r w:rsidR="00FC1DC1" w:rsidRPr="00615A28">
        <w:rPr>
          <w:rFonts w:ascii="Arial" w:hAnsi="Arial" w:cs="Arial"/>
          <w:sz w:val="20"/>
          <w:szCs w:val="20"/>
        </w:rPr>
        <w:t>Determinazione</w:t>
      </w:r>
      <w:r w:rsidR="008C7C2F" w:rsidRPr="00615A28">
        <w:rPr>
          <w:rFonts w:ascii="Arial" w:hAnsi="Arial" w:cs="Arial"/>
          <w:sz w:val="20"/>
          <w:szCs w:val="20"/>
        </w:rPr>
        <w:t xml:space="preserve"> dell’Agenzia delle dogane</w:t>
      </w:r>
      <w:r w:rsidR="00FC1DC1" w:rsidRPr="00615A28">
        <w:rPr>
          <w:rFonts w:ascii="Arial" w:hAnsi="Arial" w:cs="Arial"/>
          <w:sz w:val="20"/>
          <w:szCs w:val="20"/>
        </w:rPr>
        <w:t xml:space="preserve"> n. 98794 </w:t>
      </w:r>
      <w:r w:rsidR="004C1697" w:rsidRPr="00615A28">
        <w:rPr>
          <w:rFonts w:ascii="Arial" w:hAnsi="Arial" w:cs="Arial"/>
          <w:sz w:val="20"/>
          <w:szCs w:val="20"/>
        </w:rPr>
        <w:t>del</w:t>
      </w:r>
      <w:r w:rsidR="004C0532" w:rsidRPr="00615A28">
        <w:rPr>
          <w:rFonts w:ascii="Arial" w:hAnsi="Arial" w:cs="Arial"/>
          <w:sz w:val="20"/>
          <w:szCs w:val="20"/>
        </w:rPr>
        <w:t xml:space="preserve"> </w:t>
      </w:r>
      <w:r w:rsidR="00D642B4" w:rsidRPr="00615A28">
        <w:rPr>
          <w:rFonts w:ascii="Arial" w:hAnsi="Arial" w:cs="Arial"/>
          <w:sz w:val="20"/>
          <w:szCs w:val="20"/>
        </w:rPr>
        <w:t>2</w:t>
      </w:r>
      <w:r w:rsidR="004C0532" w:rsidRPr="00615A28">
        <w:rPr>
          <w:rFonts w:ascii="Arial" w:hAnsi="Arial" w:cs="Arial"/>
          <w:sz w:val="20"/>
          <w:szCs w:val="20"/>
        </w:rPr>
        <w:t xml:space="preserve"> marzo</w:t>
      </w:r>
      <w:r w:rsidR="004C1697" w:rsidRPr="00615A28">
        <w:rPr>
          <w:rFonts w:ascii="Arial" w:hAnsi="Arial" w:cs="Arial"/>
          <w:sz w:val="20"/>
          <w:szCs w:val="20"/>
        </w:rPr>
        <w:t xml:space="preserve"> 2022</w:t>
      </w:r>
      <w:r>
        <w:rPr>
          <w:rFonts w:ascii="Arial" w:hAnsi="Arial" w:cs="Arial"/>
          <w:sz w:val="20"/>
          <w:szCs w:val="20"/>
        </w:rPr>
        <w:t>) – hanno avuto un impatto sulla rilevazione dei dati di gennaio</w:t>
      </w:r>
      <w:r w:rsidR="00557B80">
        <w:rPr>
          <w:rFonts w:ascii="Arial" w:hAnsi="Arial" w:cs="Arial"/>
          <w:sz w:val="20"/>
          <w:szCs w:val="20"/>
        </w:rPr>
        <w:t xml:space="preserve"> 2022</w:t>
      </w:r>
      <w:r>
        <w:rPr>
          <w:rFonts w:ascii="Arial" w:hAnsi="Arial" w:cs="Arial"/>
          <w:sz w:val="20"/>
          <w:szCs w:val="20"/>
        </w:rPr>
        <w:t xml:space="preserve"> con una pa</w:t>
      </w:r>
      <w:r w:rsidR="00506F6D">
        <w:rPr>
          <w:rFonts w:ascii="Arial" w:hAnsi="Arial" w:cs="Arial"/>
          <w:sz w:val="20"/>
          <w:szCs w:val="20"/>
        </w:rPr>
        <w:t>rziale riduzione del flusso delle dichiarazioni</w:t>
      </w:r>
      <w:r>
        <w:rPr>
          <w:rFonts w:ascii="Arial" w:hAnsi="Arial" w:cs="Arial"/>
          <w:sz w:val="20"/>
          <w:szCs w:val="20"/>
        </w:rPr>
        <w:t xml:space="preserve"> Intrastat</w:t>
      </w:r>
      <w:r w:rsidR="004C1697" w:rsidRPr="00615A28">
        <w:rPr>
          <w:rFonts w:ascii="Arial" w:hAnsi="Arial" w:cs="Arial"/>
          <w:sz w:val="20"/>
          <w:szCs w:val="20"/>
        </w:rPr>
        <w:t>.</w:t>
      </w:r>
    </w:p>
    <w:p w14:paraId="74ADDE6C" w14:textId="770BBFB3" w:rsidR="00FC1DC1" w:rsidRDefault="00FC1DC1" w:rsidP="008A091D">
      <w:pPr>
        <w:spacing w:after="120"/>
        <w:jc w:val="both"/>
        <w:rPr>
          <w:rFonts w:ascii="Arial" w:hAnsi="Arial" w:cs="Arial"/>
          <w:sz w:val="20"/>
          <w:szCs w:val="20"/>
        </w:rPr>
      </w:pPr>
      <w:r w:rsidRPr="00615A28">
        <w:rPr>
          <w:rFonts w:ascii="Arial" w:hAnsi="Arial" w:cs="Arial"/>
          <w:sz w:val="20"/>
          <w:szCs w:val="20"/>
        </w:rPr>
        <w:t xml:space="preserve">Il tasso di mancata risposta registrato è risultato pari </w:t>
      </w:r>
      <w:r w:rsidR="004C0532" w:rsidRPr="00615A28">
        <w:rPr>
          <w:rFonts w:ascii="Arial" w:hAnsi="Arial" w:cs="Arial"/>
          <w:sz w:val="20"/>
          <w:szCs w:val="20"/>
        </w:rPr>
        <w:t>a</w:t>
      </w:r>
      <w:r w:rsidRPr="00615A28">
        <w:rPr>
          <w:rFonts w:ascii="Arial" w:hAnsi="Arial" w:cs="Arial"/>
          <w:sz w:val="20"/>
          <w:szCs w:val="20"/>
        </w:rPr>
        <w:t xml:space="preserve">l 9,3% dei soggetti obbligati alla compilazione per </w:t>
      </w:r>
      <w:r w:rsidR="008A091D">
        <w:rPr>
          <w:rFonts w:ascii="Arial" w:hAnsi="Arial" w:cs="Arial"/>
          <w:sz w:val="20"/>
          <w:szCs w:val="20"/>
        </w:rPr>
        <w:t>gli acquisti</w:t>
      </w:r>
      <w:r w:rsidRPr="00615A28">
        <w:rPr>
          <w:rFonts w:ascii="Arial" w:hAnsi="Arial" w:cs="Arial"/>
          <w:sz w:val="20"/>
          <w:szCs w:val="20"/>
        </w:rPr>
        <w:t xml:space="preserve"> e al 5,5%</w:t>
      </w:r>
      <w:r w:rsidR="004C0532" w:rsidRPr="00615A28">
        <w:rPr>
          <w:rFonts w:ascii="Arial" w:hAnsi="Arial" w:cs="Arial"/>
          <w:sz w:val="20"/>
          <w:szCs w:val="20"/>
        </w:rPr>
        <w:t xml:space="preserve"> dei soggetti obbligati alla compilazione</w:t>
      </w:r>
      <w:r w:rsidRPr="00615A28">
        <w:rPr>
          <w:rFonts w:ascii="Arial" w:hAnsi="Arial" w:cs="Arial"/>
          <w:sz w:val="20"/>
          <w:szCs w:val="20"/>
        </w:rPr>
        <w:t xml:space="preserve"> per le </w:t>
      </w:r>
      <w:r w:rsidR="008A091D">
        <w:rPr>
          <w:rFonts w:ascii="Arial" w:hAnsi="Arial" w:cs="Arial"/>
          <w:sz w:val="20"/>
          <w:szCs w:val="20"/>
        </w:rPr>
        <w:t>cessioni</w:t>
      </w:r>
      <w:r w:rsidRPr="00615A28">
        <w:rPr>
          <w:rFonts w:ascii="Arial" w:hAnsi="Arial" w:cs="Arial"/>
          <w:sz w:val="20"/>
          <w:szCs w:val="20"/>
        </w:rPr>
        <w:t xml:space="preserve">. </w:t>
      </w:r>
      <w:r w:rsidR="00D642B4" w:rsidRPr="00615A28">
        <w:rPr>
          <w:rFonts w:ascii="Arial" w:hAnsi="Arial" w:cs="Arial"/>
          <w:sz w:val="20"/>
          <w:szCs w:val="20"/>
        </w:rPr>
        <w:t xml:space="preserve">Le stime per le mancate risposte dei flussi intracomunitari in valore ammontano al 7,6% per </w:t>
      </w:r>
      <w:r w:rsidR="008A091D">
        <w:rPr>
          <w:rFonts w:ascii="Arial" w:hAnsi="Arial" w:cs="Arial"/>
          <w:sz w:val="20"/>
          <w:szCs w:val="20"/>
        </w:rPr>
        <w:t>gli acquisti</w:t>
      </w:r>
      <w:r w:rsidR="00D642B4" w:rsidRPr="00615A28">
        <w:rPr>
          <w:rFonts w:ascii="Arial" w:hAnsi="Arial" w:cs="Arial"/>
          <w:sz w:val="20"/>
          <w:szCs w:val="20"/>
        </w:rPr>
        <w:t xml:space="preserve"> e al 6,5% per le </w:t>
      </w:r>
      <w:r w:rsidR="008A091D">
        <w:rPr>
          <w:rFonts w:ascii="Arial" w:hAnsi="Arial" w:cs="Arial"/>
          <w:sz w:val="20"/>
          <w:szCs w:val="20"/>
        </w:rPr>
        <w:t>cessioni</w:t>
      </w:r>
      <w:r w:rsidR="00D642B4" w:rsidRPr="00615A28">
        <w:rPr>
          <w:rFonts w:ascii="Arial" w:hAnsi="Arial" w:cs="Arial"/>
          <w:sz w:val="20"/>
          <w:szCs w:val="20"/>
        </w:rPr>
        <w:t>.</w:t>
      </w:r>
      <w:r w:rsidR="008A091D">
        <w:rPr>
          <w:rFonts w:ascii="Arial" w:hAnsi="Arial" w:cs="Arial"/>
          <w:sz w:val="20"/>
          <w:szCs w:val="20"/>
        </w:rPr>
        <w:t xml:space="preserve"> </w:t>
      </w:r>
      <w:r w:rsidR="007446E5">
        <w:rPr>
          <w:rFonts w:ascii="Arial" w:hAnsi="Arial" w:cs="Arial"/>
          <w:sz w:val="20"/>
          <w:szCs w:val="20"/>
        </w:rPr>
        <w:t>Le stime s</w:t>
      </w:r>
      <w:r w:rsidR="008A091D">
        <w:rPr>
          <w:rFonts w:ascii="Arial" w:hAnsi="Arial" w:cs="Arial"/>
          <w:sz w:val="20"/>
          <w:szCs w:val="20"/>
        </w:rPr>
        <w:t xml:space="preserve">ono state effettuate utilizzando </w:t>
      </w:r>
      <w:r w:rsidR="004C1697" w:rsidRPr="00615A28">
        <w:rPr>
          <w:rFonts w:ascii="Arial" w:hAnsi="Arial" w:cs="Arial"/>
          <w:sz w:val="20"/>
          <w:szCs w:val="20"/>
        </w:rPr>
        <w:t xml:space="preserve">la base dati </w:t>
      </w:r>
      <w:r w:rsidR="00A57837" w:rsidRPr="00615A28">
        <w:rPr>
          <w:rFonts w:ascii="Arial" w:hAnsi="Arial" w:cs="Arial"/>
          <w:sz w:val="20"/>
          <w:szCs w:val="20"/>
        </w:rPr>
        <w:t xml:space="preserve">fiscale </w:t>
      </w:r>
      <w:r w:rsidR="004C1697" w:rsidRPr="00615A28">
        <w:rPr>
          <w:rFonts w:ascii="Arial" w:hAnsi="Arial" w:cs="Arial"/>
          <w:sz w:val="20"/>
          <w:szCs w:val="20"/>
        </w:rPr>
        <w:t xml:space="preserve">VIES </w:t>
      </w:r>
      <w:r w:rsidR="00A57837" w:rsidRPr="00615A28">
        <w:rPr>
          <w:rFonts w:ascii="Arial" w:hAnsi="Arial" w:cs="Arial"/>
          <w:sz w:val="20"/>
          <w:szCs w:val="20"/>
        </w:rPr>
        <w:t>(VAT Information Exchange System)</w:t>
      </w:r>
      <w:r w:rsidR="00A57837" w:rsidRPr="00615A28">
        <w:rPr>
          <w:rStyle w:val="Rimandonotaapidipagina"/>
          <w:rFonts w:ascii="Arial" w:hAnsi="Arial" w:cs="Arial"/>
          <w:sz w:val="20"/>
          <w:szCs w:val="20"/>
        </w:rPr>
        <w:footnoteReference w:id="3"/>
      </w:r>
      <w:r w:rsidR="007446E5">
        <w:rPr>
          <w:rFonts w:ascii="Arial" w:hAnsi="Arial" w:cs="Arial"/>
          <w:sz w:val="20"/>
          <w:szCs w:val="20"/>
        </w:rPr>
        <w:t>,</w:t>
      </w:r>
      <w:r w:rsidR="008A091D">
        <w:rPr>
          <w:rFonts w:ascii="Arial" w:hAnsi="Arial" w:cs="Arial"/>
          <w:sz w:val="20"/>
          <w:szCs w:val="20"/>
        </w:rPr>
        <w:t xml:space="preserve"> per gli acquisti</w:t>
      </w:r>
      <w:r w:rsidR="007446E5">
        <w:rPr>
          <w:rFonts w:ascii="Arial" w:hAnsi="Arial" w:cs="Arial"/>
          <w:sz w:val="20"/>
          <w:szCs w:val="20"/>
        </w:rPr>
        <w:t>,</w:t>
      </w:r>
      <w:r w:rsidR="00A57837" w:rsidRPr="00615A28">
        <w:rPr>
          <w:rFonts w:ascii="Arial" w:hAnsi="Arial" w:cs="Arial"/>
          <w:sz w:val="20"/>
          <w:szCs w:val="20"/>
        </w:rPr>
        <w:t xml:space="preserve"> e i dati desunti dall’Indagine mensile su</w:t>
      </w:r>
      <w:r w:rsidR="009A16C4">
        <w:rPr>
          <w:rFonts w:ascii="Arial" w:hAnsi="Arial" w:cs="Arial"/>
          <w:sz w:val="20"/>
          <w:szCs w:val="20"/>
        </w:rPr>
        <w:t>l</w:t>
      </w:r>
      <w:r w:rsidR="00A57837" w:rsidRPr="00615A28">
        <w:rPr>
          <w:rFonts w:ascii="Arial" w:hAnsi="Arial" w:cs="Arial"/>
          <w:sz w:val="20"/>
          <w:szCs w:val="20"/>
        </w:rPr>
        <w:t xml:space="preserve"> Fatturato dell’industria, per le </w:t>
      </w:r>
      <w:r w:rsidR="008A091D">
        <w:rPr>
          <w:rFonts w:ascii="Arial" w:hAnsi="Arial" w:cs="Arial"/>
          <w:sz w:val="20"/>
          <w:szCs w:val="20"/>
        </w:rPr>
        <w:t>cessioni</w:t>
      </w:r>
      <w:r w:rsidR="00615A28" w:rsidRPr="00615A28">
        <w:rPr>
          <w:rFonts w:ascii="Arial" w:hAnsi="Arial" w:cs="Arial"/>
          <w:sz w:val="20"/>
          <w:szCs w:val="20"/>
        </w:rPr>
        <w:t>.</w:t>
      </w:r>
    </w:p>
    <w:p w14:paraId="233359C1" w14:textId="77777777" w:rsidR="00E46649" w:rsidRPr="005E2261" w:rsidRDefault="00E46649" w:rsidP="00CD38B7">
      <w:pPr>
        <w:pStyle w:val="Titolo8"/>
        <w:spacing w:before="0" w:after="120"/>
        <w:rPr>
          <w:rFonts w:ascii="Arial" w:hAnsi="Arial" w:cs="Arial"/>
          <w:b/>
          <w:i w:val="0"/>
          <w:color w:val="E42618"/>
          <w:sz w:val="18"/>
          <w:szCs w:val="18"/>
        </w:rPr>
      </w:pPr>
    </w:p>
    <w:p w14:paraId="04071603" w14:textId="77777777" w:rsidR="00CD38B7" w:rsidRPr="00C9631A" w:rsidRDefault="00CD38B7" w:rsidP="00CD38B7">
      <w:pPr>
        <w:pStyle w:val="Titolo8"/>
        <w:spacing w:before="0" w:after="120"/>
        <w:rPr>
          <w:rFonts w:ascii="Arial" w:hAnsi="Arial" w:cs="Arial"/>
          <w:b/>
          <w:i w:val="0"/>
          <w:color w:val="E42618"/>
          <w:sz w:val="22"/>
          <w:szCs w:val="20"/>
        </w:rPr>
      </w:pPr>
      <w:r w:rsidRPr="00C9631A">
        <w:rPr>
          <w:rFonts w:ascii="Arial" w:hAnsi="Arial" w:cs="Arial"/>
          <w:b/>
          <w:i w:val="0"/>
          <w:color w:val="E42618"/>
          <w:sz w:val="22"/>
          <w:szCs w:val="20"/>
        </w:rPr>
        <w:t>Prezzi all’importazione</w:t>
      </w:r>
    </w:p>
    <w:p w14:paraId="6D73E10E" w14:textId="77777777" w:rsidR="006F6BD9" w:rsidRDefault="006F6BD9" w:rsidP="006F6BD9">
      <w:pPr>
        <w:spacing w:after="100"/>
        <w:jc w:val="both"/>
        <w:rPr>
          <w:rFonts w:ascii="Arial" w:hAnsi="Arial" w:cs="Arial"/>
          <w:b/>
          <w:bCs/>
          <w:sz w:val="20"/>
          <w:szCs w:val="20"/>
        </w:rPr>
      </w:pPr>
      <w:r w:rsidRPr="00BE3D84">
        <w:rPr>
          <w:rFonts w:ascii="Arial" w:hAnsi="Arial" w:cs="Arial"/>
          <w:b/>
          <w:bCs/>
          <w:sz w:val="20"/>
          <w:szCs w:val="20"/>
        </w:rPr>
        <w:t>Obiettivi conoscitivi e quadro normativo di riferimento</w:t>
      </w:r>
    </w:p>
    <w:p w14:paraId="118DB76C" w14:textId="77777777" w:rsidR="006F6BD9" w:rsidRDefault="006F6BD9" w:rsidP="006F6BD9">
      <w:pPr>
        <w:spacing w:after="100"/>
        <w:jc w:val="both"/>
        <w:rPr>
          <w:rFonts w:ascii="Arial" w:hAnsi="Arial" w:cs="Arial"/>
          <w:bCs/>
          <w:sz w:val="20"/>
          <w:szCs w:val="20"/>
        </w:rPr>
      </w:pPr>
      <w:r w:rsidRPr="0038751B">
        <w:rPr>
          <w:rFonts w:ascii="Arial" w:hAnsi="Arial" w:cs="Arial"/>
          <w:bCs/>
          <w:sz w:val="20"/>
          <w:szCs w:val="20"/>
        </w:rPr>
        <w:t>Gli indici dei prezzi all’importazione misurano la variazione nel tempo dei prezzi di un paniere rappresentativo dei principali prodotti importati, dall’area euro e dall’area non euro, da imprese dell’industria e dei servizi.</w:t>
      </w:r>
    </w:p>
    <w:p w14:paraId="04C25BEA" w14:textId="5236D4D5" w:rsidR="006F6BD9" w:rsidRDefault="006F6BD9" w:rsidP="006F6BD9">
      <w:pPr>
        <w:spacing w:after="100"/>
        <w:jc w:val="both"/>
        <w:rPr>
          <w:rFonts w:ascii="Arial" w:hAnsi="Arial" w:cs="Arial"/>
          <w:bCs/>
          <w:sz w:val="20"/>
          <w:szCs w:val="20"/>
        </w:rPr>
      </w:pPr>
      <w:r w:rsidRPr="00113EDF">
        <w:rPr>
          <w:rFonts w:ascii="Arial" w:hAnsi="Arial" w:cs="Arial"/>
          <w:b/>
          <w:sz w:val="20"/>
          <w:szCs w:val="20"/>
        </w:rPr>
        <w:t>A partire dai dati riferiti a gennaio 2022</w:t>
      </w:r>
      <w:r>
        <w:rPr>
          <w:rFonts w:ascii="Arial" w:hAnsi="Arial" w:cs="Arial"/>
          <w:sz w:val="20"/>
          <w:szCs w:val="20"/>
        </w:rPr>
        <w:t xml:space="preserve">, </w:t>
      </w:r>
      <w:r w:rsidRPr="00113EDF">
        <w:rPr>
          <w:rFonts w:ascii="Arial" w:hAnsi="Arial" w:cs="Arial"/>
          <w:bCs/>
          <w:sz w:val="20"/>
          <w:szCs w:val="20"/>
        </w:rPr>
        <w:t>gli indici dei prezzi all’importazione sono calcolati con il metodo del con</w:t>
      </w:r>
      <w:r w:rsidR="00A90453">
        <w:rPr>
          <w:rFonts w:ascii="Arial" w:hAnsi="Arial" w:cs="Arial"/>
          <w:bCs/>
          <w:sz w:val="20"/>
          <w:szCs w:val="20"/>
        </w:rPr>
        <w:t>ca</w:t>
      </w:r>
      <w:r w:rsidRPr="00113EDF">
        <w:rPr>
          <w:rFonts w:ascii="Arial" w:hAnsi="Arial" w:cs="Arial"/>
          <w:bCs/>
          <w:sz w:val="20"/>
          <w:szCs w:val="20"/>
        </w:rPr>
        <w:t>tenamento annuale, utilizzando il mese di dicembre 2021 come base di calcolo; l’anno 2015 resta la base di riferimento.</w:t>
      </w:r>
    </w:p>
    <w:p w14:paraId="2F4CE3E5" w14:textId="77777777" w:rsidR="006F6BD9" w:rsidRPr="00BE3D84" w:rsidRDefault="006F6BD9" w:rsidP="006F6BD9">
      <w:pPr>
        <w:spacing w:after="100"/>
        <w:jc w:val="both"/>
        <w:rPr>
          <w:rFonts w:ascii="Arial" w:hAnsi="Arial" w:cs="Arial"/>
          <w:bCs/>
          <w:sz w:val="20"/>
          <w:szCs w:val="20"/>
        </w:rPr>
      </w:pPr>
      <w:r w:rsidRPr="00BE3D84">
        <w:rPr>
          <w:rFonts w:ascii="Arial" w:hAnsi="Arial" w:cs="Arial"/>
          <w:bCs/>
          <w:sz w:val="20"/>
          <w:szCs w:val="20"/>
        </w:rPr>
        <w:t>Dal 1° gennaio 2021 ha effetto il Regolamento (UE) 2019/2152 del Parlamento europeo e del Consiglio del 27 novembre 2019 (con successivo Regolamento di esecuzione (UE) 2020/1197 della Commissione europea del 30 luglio 2020) che sostituisce il Regolamento (CE) 1165/1998 del Consiglio europeo (successivamente emendato dal Regolamento (CE) 1158/2005) e stabilisce il livello di dettaglio, la metodologia e la cadenza con cui gli indicatori congiunturali devono essere prodotti e trasmessi a Eurostat.</w:t>
      </w:r>
    </w:p>
    <w:p w14:paraId="33CF9166" w14:textId="77777777" w:rsidR="006F6BD9" w:rsidRDefault="006F6BD9" w:rsidP="006F6BD9">
      <w:pPr>
        <w:spacing w:after="100"/>
        <w:jc w:val="both"/>
        <w:rPr>
          <w:rFonts w:ascii="Arial" w:hAnsi="Arial" w:cs="Arial"/>
          <w:sz w:val="20"/>
          <w:szCs w:val="20"/>
        </w:rPr>
      </w:pPr>
      <w:r w:rsidRPr="00BE3D84">
        <w:rPr>
          <w:rFonts w:ascii="Arial" w:hAnsi="Arial" w:cs="Arial"/>
          <w:bCs/>
          <w:sz w:val="20"/>
          <w:szCs w:val="20"/>
        </w:rPr>
        <w:t>La rilevazione dei prezzi all’importazione è prevista dal Programma Statistico Nazionale in vigore, consultabile sul sito internet dell'Istat all'indirizzo</w:t>
      </w:r>
      <w:r w:rsidRPr="00380EB6">
        <w:rPr>
          <w:rFonts w:ascii="Arial" w:hAnsi="Arial" w:cs="Arial"/>
        </w:rPr>
        <w:t xml:space="preserve"> </w:t>
      </w:r>
      <w:hyperlink r:id="rId41" w:history="1">
        <w:r w:rsidRPr="00BE3D84">
          <w:rPr>
            <w:rStyle w:val="Collegamentoipertestuale"/>
            <w:rFonts w:ascii="Arial" w:hAnsi="Arial" w:cs="Arial"/>
            <w:sz w:val="20"/>
            <w:szCs w:val="20"/>
          </w:rPr>
          <w:t>https://www.istat.it/it/istituto-nazionale-di-statistica/organizzazione/normativa</w:t>
        </w:r>
      </w:hyperlink>
      <w:r w:rsidRPr="00BE3D84">
        <w:rPr>
          <w:rFonts w:ascii="Arial" w:hAnsi="Arial" w:cs="Arial"/>
          <w:sz w:val="20"/>
          <w:szCs w:val="20"/>
        </w:rPr>
        <w:t>.</w:t>
      </w:r>
    </w:p>
    <w:p w14:paraId="67B527CD" w14:textId="770343E3" w:rsidR="006F6BD9" w:rsidRDefault="006F6BD9" w:rsidP="00CD38B7">
      <w:pPr>
        <w:spacing w:after="120"/>
        <w:jc w:val="both"/>
        <w:rPr>
          <w:rFonts w:ascii="Arial" w:hAnsi="Arial" w:cs="Arial"/>
          <w:b/>
          <w:bCs/>
          <w:sz w:val="20"/>
          <w:szCs w:val="20"/>
        </w:rPr>
      </w:pPr>
    </w:p>
    <w:p w14:paraId="5350549F" w14:textId="59D2A5CE" w:rsidR="0020128C" w:rsidRDefault="0020128C" w:rsidP="00CD38B7">
      <w:pPr>
        <w:spacing w:after="120"/>
        <w:jc w:val="both"/>
        <w:rPr>
          <w:rFonts w:ascii="Arial" w:hAnsi="Arial" w:cs="Arial"/>
          <w:b/>
          <w:bCs/>
          <w:sz w:val="20"/>
          <w:szCs w:val="20"/>
        </w:rPr>
      </w:pPr>
    </w:p>
    <w:p w14:paraId="012FBB70" w14:textId="77777777" w:rsidR="009A16C4" w:rsidRDefault="009A16C4" w:rsidP="00CD38B7">
      <w:pPr>
        <w:spacing w:after="120"/>
        <w:jc w:val="both"/>
        <w:rPr>
          <w:rFonts w:ascii="Arial" w:hAnsi="Arial" w:cs="Arial"/>
          <w:b/>
          <w:bCs/>
          <w:sz w:val="20"/>
          <w:szCs w:val="20"/>
        </w:rPr>
      </w:pPr>
    </w:p>
    <w:p w14:paraId="659C1644" w14:textId="77777777" w:rsidR="0020128C" w:rsidRDefault="0020128C" w:rsidP="006F6BD9">
      <w:pPr>
        <w:spacing w:after="120"/>
        <w:jc w:val="both"/>
        <w:rPr>
          <w:rFonts w:ascii="Arial" w:hAnsi="Arial" w:cs="Arial"/>
          <w:b/>
          <w:bCs/>
          <w:sz w:val="20"/>
          <w:szCs w:val="20"/>
        </w:rPr>
      </w:pPr>
    </w:p>
    <w:p w14:paraId="02D9BCFB" w14:textId="420F722E" w:rsidR="006F6BD9" w:rsidRPr="00C9631A" w:rsidRDefault="006F6BD9" w:rsidP="006F6BD9">
      <w:pPr>
        <w:spacing w:after="120"/>
        <w:jc w:val="both"/>
        <w:rPr>
          <w:rFonts w:ascii="Arial" w:hAnsi="Arial" w:cs="Arial"/>
          <w:b/>
          <w:bCs/>
          <w:sz w:val="20"/>
          <w:szCs w:val="20"/>
        </w:rPr>
      </w:pPr>
      <w:r>
        <w:rPr>
          <w:rFonts w:ascii="Arial" w:hAnsi="Arial" w:cs="Arial"/>
          <w:b/>
          <w:bCs/>
          <w:sz w:val="20"/>
          <w:szCs w:val="20"/>
        </w:rPr>
        <w:t>Fonte dei dati, c</w:t>
      </w:r>
      <w:r w:rsidRPr="00C9631A">
        <w:rPr>
          <w:rFonts w:ascii="Arial" w:hAnsi="Arial" w:cs="Arial"/>
          <w:b/>
          <w:bCs/>
          <w:sz w:val="20"/>
          <w:szCs w:val="20"/>
        </w:rPr>
        <w:t>ampo di osservazione, unità di analisi e di rilevazione</w:t>
      </w:r>
    </w:p>
    <w:p w14:paraId="7633A8B8" w14:textId="77777777" w:rsidR="006F6BD9" w:rsidRPr="00BE3D84" w:rsidRDefault="006F6BD9" w:rsidP="006F6BD9">
      <w:pPr>
        <w:spacing w:after="120"/>
        <w:jc w:val="both"/>
        <w:rPr>
          <w:rFonts w:ascii="Arial" w:hAnsi="Arial" w:cs="Arial"/>
          <w:sz w:val="20"/>
          <w:szCs w:val="20"/>
        </w:rPr>
      </w:pPr>
      <w:r w:rsidRPr="00A54830">
        <w:rPr>
          <w:rFonts w:ascii="Arial" w:hAnsi="Arial" w:cs="Arial"/>
          <w:sz w:val="20"/>
          <w:szCs w:val="20"/>
        </w:rPr>
        <w:t>Il sistema degli indici dei prezzi all’importazione è elaborato a partire dai dati raccolti mediante una rilevazione statistica campionaria, con periodicità mensile.</w:t>
      </w:r>
    </w:p>
    <w:p w14:paraId="36DC9C40" w14:textId="77777777" w:rsidR="006F6BD9" w:rsidRPr="00C9631A" w:rsidRDefault="006F6BD9" w:rsidP="006F6BD9">
      <w:pPr>
        <w:spacing w:after="100"/>
        <w:jc w:val="both"/>
        <w:rPr>
          <w:rFonts w:ascii="Arial" w:hAnsi="Arial" w:cs="Arial"/>
          <w:bCs/>
          <w:sz w:val="20"/>
          <w:szCs w:val="20"/>
        </w:rPr>
      </w:pPr>
      <w:r w:rsidRPr="00C9631A">
        <w:rPr>
          <w:rFonts w:ascii="Arial" w:hAnsi="Arial" w:cs="Arial"/>
          <w:bCs/>
          <w:sz w:val="20"/>
          <w:szCs w:val="20"/>
        </w:rPr>
        <w:t xml:space="preserve">Dal punto di vista dimensionale, l’indagine è basata su un campione </w:t>
      </w:r>
      <w:r>
        <w:rPr>
          <w:rFonts w:ascii="Arial" w:hAnsi="Arial" w:cs="Arial"/>
          <w:bCs/>
          <w:sz w:val="20"/>
          <w:szCs w:val="20"/>
        </w:rPr>
        <w:t>di</w:t>
      </w:r>
      <w:r w:rsidRPr="00C9631A">
        <w:rPr>
          <w:rFonts w:ascii="Arial" w:hAnsi="Arial" w:cs="Arial"/>
          <w:bCs/>
          <w:sz w:val="20"/>
          <w:szCs w:val="20"/>
        </w:rPr>
        <w:t xml:space="preserve"> 1.</w:t>
      </w:r>
      <w:r>
        <w:rPr>
          <w:rFonts w:ascii="Arial" w:hAnsi="Arial" w:cs="Arial"/>
          <w:bCs/>
          <w:sz w:val="20"/>
          <w:szCs w:val="20"/>
        </w:rPr>
        <w:t>241</w:t>
      </w:r>
      <w:r w:rsidRPr="00C9631A">
        <w:rPr>
          <w:rFonts w:ascii="Arial" w:hAnsi="Arial" w:cs="Arial"/>
          <w:bCs/>
          <w:sz w:val="20"/>
          <w:szCs w:val="20"/>
        </w:rPr>
        <w:t xml:space="preserve"> prodotti rilevati presso una lista di </w:t>
      </w:r>
      <w:r>
        <w:rPr>
          <w:rFonts w:ascii="Arial" w:hAnsi="Arial" w:cs="Arial"/>
          <w:bCs/>
          <w:sz w:val="20"/>
          <w:szCs w:val="20"/>
        </w:rPr>
        <w:t>3</w:t>
      </w:r>
      <w:r w:rsidRPr="00C9631A">
        <w:rPr>
          <w:rFonts w:ascii="Arial" w:hAnsi="Arial" w:cs="Arial"/>
          <w:bCs/>
          <w:sz w:val="20"/>
          <w:szCs w:val="20"/>
        </w:rPr>
        <w:t>.</w:t>
      </w:r>
      <w:r>
        <w:rPr>
          <w:rFonts w:ascii="Arial" w:hAnsi="Arial" w:cs="Arial"/>
          <w:bCs/>
          <w:sz w:val="20"/>
          <w:szCs w:val="20"/>
        </w:rPr>
        <w:t>652</w:t>
      </w:r>
      <w:r w:rsidRPr="00C9631A">
        <w:rPr>
          <w:rFonts w:ascii="Arial" w:hAnsi="Arial" w:cs="Arial"/>
          <w:bCs/>
          <w:sz w:val="20"/>
          <w:szCs w:val="20"/>
        </w:rPr>
        <w:t xml:space="preserve"> imprese che forniscono mensilmente </w:t>
      </w:r>
      <w:r>
        <w:rPr>
          <w:rFonts w:ascii="Arial" w:hAnsi="Arial" w:cs="Arial"/>
          <w:bCs/>
          <w:sz w:val="20"/>
          <w:szCs w:val="20"/>
        </w:rPr>
        <w:t>10.164</w:t>
      </w:r>
      <w:r w:rsidRPr="00C9631A">
        <w:rPr>
          <w:rFonts w:ascii="Arial" w:hAnsi="Arial" w:cs="Arial"/>
          <w:bCs/>
          <w:sz w:val="20"/>
          <w:szCs w:val="20"/>
        </w:rPr>
        <w:t xml:space="preserve"> quotazioni di prezzo.</w:t>
      </w:r>
    </w:p>
    <w:p w14:paraId="486301F7" w14:textId="77777777" w:rsidR="006F6BD9" w:rsidRPr="00C9631A" w:rsidRDefault="006F6BD9" w:rsidP="006F6BD9">
      <w:pPr>
        <w:spacing w:after="120"/>
        <w:jc w:val="both"/>
        <w:rPr>
          <w:rFonts w:ascii="Arial" w:hAnsi="Arial" w:cs="Arial"/>
          <w:sz w:val="20"/>
          <w:szCs w:val="20"/>
        </w:rPr>
      </w:pPr>
      <w:r w:rsidRPr="00C9631A">
        <w:rPr>
          <w:rFonts w:ascii="Arial" w:hAnsi="Arial" w:cs="Arial"/>
          <w:sz w:val="20"/>
          <w:szCs w:val="20"/>
        </w:rPr>
        <w:t>Il campo di osservazione della rilevazione riguarda:</w:t>
      </w:r>
    </w:p>
    <w:p w14:paraId="194F3BD9" w14:textId="77777777" w:rsidR="006F6BD9" w:rsidRPr="00C9631A" w:rsidRDefault="006F6BD9" w:rsidP="006F6BD9">
      <w:pPr>
        <w:numPr>
          <w:ilvl w:val="0"/>
          <w:numId w:val="31"/>
        </w:numPr>
        <w:spacing w:after="120"/>
        <w:ind w:left="426"/>
        <w:jc w:val="both"/>
        <w:rPr>
          <w:rFonts w:ascii="Arial" w:hAnsi="Arial" w:cs="Arial"/>
          <w:sz w:val="20"/>
          <w:szCs w:val="20"/>
        </w:rPr>
      </w:pPr>
      <w:r w:rsidRPr="00C9631A">
        <w:rPr>
          <w:rFonts w:ascii="Arial" w:hAnsi="Arial" w:cs="Arial"/>
          <w:sz w:val="20"/>
          <w:szCs w:val="20"/>
        </w:rPr>
        <w:t>prodotti inclusi nelle sezioni da B a D della classificazione CPA;</w:t>
      </w:r>
    </w:p>
    <w:p w14:paraId="0FB7A284" w14:textId="77777777" w:rsidR="006F6BD9" w:rsidRPr="00C9631A" w:rsidRDefault="006F6BD9" w:rsidP="006F6BD9">
      <w:pPr>
        <w:numPr>
          <w:ilvl w:val="0"/>
          <w:numId w:val="31"/>
        </w:numPr>
        <w:spacing w:after="120"/>
        <w:ind w:left="426"/>
        <w:jc w:val="both"/>
        <w:rPr>
          <w:rFonts w:ascii="Arial" w:hAnsi="Arial" w:cs="Arial"/>
          <w:sz w:val="20"/>
          <w:szCs w:val="20"/>
        </w:rPr>
      </w:pPr>
      <w:r w:rsidRPr="00C9631A">
        <w:rPr>
          <w:rFonts w:ascii="Arial" w:hAnsi="Arial" w:cs="Arial"/>
          <w:sz w:val="20"/>
          <w:szCs w:val="20"/>
        </w:rPr>
        <w:t>imprese con attività economica prevalente nelle sezioni B, C, D, E, G della classificazione Ateco 2007.</w:t>
      </w:r>
    </w:p>
    <w:p w14:paraId="12E25BA7" w14:textId="77777777" w:rsidR="006F6BD9" w:rsidRPr="00C9631A" w:rsidRDefault="006F6BD9" w:rsidP="006F6BD9">
      <w:pPr>
        <w:spacing w:after="120"/>
        <w:ind w:left="426"/>
        <w:jc w:val="both"/>
        <w:rPr>
          <w:rFonts w:ascii="Arial" w:hAnsi="Arial" w:cs="Arial"/>
          <w:sz w:val="20"/>
          <w:szCs w:val="20"/>
        </w:rPr>
      </w:pPr>
      <w:r w:rsidRPr="00C9631A">
        <w:rPr>
          <w:rFonts w:ascii="Arial" w:hAnsi="Arial" w:cs="Arial"/>
          <w:sz w:val="20"/>
          <w:szCs w:val="20"/>
        </w:rPr>
        <w:t xml:space="preserve">L’unità di analisi è il prodotto, ovvero la </w:t>
      </w:r>
      <w:r w:rsidRPr="00E660CB">
        <w:rPr>
          <w:rFonts w:ascii="Arial" w:hAnsi="Arial" w:cs="Arial"/>
          <w:sz w:val="20"/>
          <w:szCs w:val="20"/>
        </w:rPr>
        <w:t>tipologia di prodotto</w:t>
      </w:r>
      <w:r w:rsidRPr="00C9631A">
        <w:rPr>
          <w:rFonts w:ascii="Arial" w:hAnsi="Arial" w:cs="Arial"/>
          <w:sz w:val="20"/>
          <w:szCs w:val="20"/>
        </w:rPr>
        <w:t xml:space="preserve"> (materia prima, semilavorato e prodotto finito) acquistata sul mercato estero e destinata al reimpiego nel processo di produzione (nel caso di un’impresa industriale) oppure alla vendita sul territorio nazionale o estero (nel caso di un’impresa commerciale).</w:t>
      </w:r>
    </w:p>
    <w:p w14:paraId="10E2C3E7" w14:textId="77777777" w:rsidR="006F6BD9" w:rsidRPr="00C9631A" w:rsidRDefault="006F6BD9" w:rsidP="006F6BD9">
      <w:pPr>
        <w:spacing w:after="120"/>
        <w:ind w:left="426"/>
        <w:jc w:val="both"/>
        <w:rPr>
          <w:rFonts w:ascii="Arial" w:hAnsi="Arial" w:cs="Arial"/>
          <w:sz w:val="20"/>
          <w:szCs w:val="20"/>
        </w:rPr>
      </w:pPr>
      <w:r w:rsidRPr="00C9631A">
        <w:rPr>
          <w:rFonts w:ascii="Arial" w:hAnsi="Arial" w:cs="Arial"/>
          <w:sz w:val="20"/>
          <w:szCs w:val="20"/>
        </w:rPr>
        <w:t>L’unità di rilevazione – impresa – deve essere localizzata sul territorio nazionale; nel caso di impresa industriale, la localizzazione è riferita agli stabilimenti di produzione: l’impresa acquista sul mercato estero materie prime, semilavorati e prodotti finiti che reimpiega nel proprio processo di produzione. Se l’impresa è commerciale, acquista sul mercato estero materie prime, semilavorati e prodotti finiti al fine di rivenderli sul mercato nazionale o estero.</w:t>
      </w:r>
    </w:p>
    <w:p w14:paraId="66822B2A" w14:textId="77777777" w:rsidR="006F6BD9" w:rsidRPr="000D4A0C" w:rsidRDefault="006F6BD9" w:rsidP="006F6BD9">
      <w:pPr>
        <w:spacing w:after="120"/>
        <w:jc w:val="both"/>
        <w:rPr>
          <w:rFonts w:ascii="Arial" w:hAnsi="Arial" w:cs="Arial"/>
          <w:sz w:val="20"/>
          <w:szCs w:val="20"/>
        </w:rPr>
      </w:pPr>
      <w:r w:rsidRPr="000D4A0C">
        <w:rPr>
          <w:rFonts w:ascii="Arial" w:hAnsi="Arial" w:cs="Arial"/>
          <w:sz w:val="20"/>
          <w:szCs w:val="20"/>
        </w:rPr>
        <w:t>Il regime del commercio considerato è quello del regime del commercio speciale, sono pertanto incluse le importazioni normali nonché le importazioni in regime di perfezionamento attivo e dopo perfezionamento passivo, quando l’unità rispondente acquisisce la proprietà dei beni; sono escluse dal campo di osservazione:</w:t>
      </w:r>
    </w:p>
    <w:p w14:paraId="2ABED794" w14:textId="77777777" w:rsidR="006F6BD9" w:rsidRDefault="006F6BD9" w:rsidP="006F6BD9">
      <w:pPr>
        <w:numPr>
          <w:ilvl w:val="0"/>
          <w:numId w:val="39"/>
        </w:numPr>
        <w:spacing w:after="120"/>
        <w:ind w:left="425" w:hanging="425"/>
        <w:jc w:val="both"/>
        <w:rPr>
          <w:rFonts w:ascii="Arial" w:hAnsi="Arial" w:cs="Arial"/>
          <w:sz w:val="20"/>
          <w:szCs w:val="20"/>
        </w:rPr>
      </w:pPr>
      <w:r w:rsidRPr="000D4A0C">
        <w:rPr>
          <w:rFonts w:ascii="Arial" w:hAnsi="Arial" w:cs="Arial"/>
          <w:sz w:val="20"/>
          <w:szCs w:val="20"/>
        </w:rPr>
        <w:t>le importazioni delle famiglie, delle amministrazioni pubbliche e delle istituzioni senza scopo di lucro;</w:t>
      </w:r>
    </w:p>
    <w:p w14:paraId="76612320" w14:textId="77777777" w:rsidR="006F6BD9" w:rsidRDefault="006F6BD9" w:rsidP="006F6BD9">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l’importazione a fini di riparazione;</w:t>
      </w:r>
    </w:p>
    <w:p w14:paraId="078D8514" w14:textId="77777777" w:rsidR="006F6BD9" w:rsidRPr="002A34BD" w:rsidRDefault="006F6BD9" w:rsidP="006F6BD9">
      <w:pPr>
        <w:numPr>
          <w:ilvl w:val="0"/>
          <w:numId w:val="39"/>
        </w:numPr>
        <w:spacing w:after="120"/>
        <w:ind w:left="425" w:hanging="425"/>
        <w:jc w:val="both"/>
        <w:rPr>
          <w:rFonts w:ascii="Arial" w:hAnsi="Arial" w:cs="Arial"/>
          <w:sz w:val="20"/>
          <w:szCs w:val="20"/>
        </w:rPr>
      </w:pPr>
      <w:r w:rsidRPr="002A34BD">
        <w:rPr>
          <w:rFonts w:ascii="Arial" w:hAnsi="Arial" w:cs="Arial"/>
          <w:sz w:val="20"/>
          <w:szCs w:val="20"/>
        </w:rPr>
        <w:t>tutti i servizi correlati ai prodotti.</w:t>
      </w:r>
    </w:p>
    <w:p w14:paraId="39D097A8" w14:textId="77777777" w:rsidR="00251428" w:rsidRPr="00C9631A" w:rsidRDefault="00251428" w:rsidP="000D4A0C">
      <w:pPr>
        <w:spacing w:after="120"/>
        <w:ind w:left="426"/>
        <w:jc w:val="both"/>
        <w:rPr>
          <w:rFonts w:ascii="Arial" w:hAnsi="Arial" w:cs="Arial"/>
          <w:sz w:val="20"/>
          <w:szCs w:val="20"/>
        </w:rPr>
      </w:pPr>
    </w:p>
    <w:p w14:paraId="59C60BBF" w14:textId="77777777" w:rsidR="006F6BD9" w:rsidRPr="00C9631A" w:rsidRDefault="006F6BD9" w:rsidP="006F6BD9">
      <w:pPr>
        <w:spacing w:after="120"/>
        <w:jc w:val="both"/>
        <w:rPr>
          <w:rFonts w:ascii="Arial" w:hAnsi="Arial" w:cs="Arial"/>
          <w:b/>
          <w:sz w:val="20"/>
          <w:szCs w:val="20"/>
        </w:rPr>
      </w:pPr>
      <w:r w:rsidRPr="00C9631A">
        <w:rPr>
          <w:rFonts w:ascii="Arial" w:hAnsi="Arial" w:cs="Arial"/>
          <w:b/>
          <w:sz w:val="20"/>
          <w:szCs w:val="20"/>
        </w:rPr>
        <w:t>Disegno di campionamento</w:t>
      </w:r>
    </w:p>
    <w:p w14:paraId="1DBD71C9" w14:textId="77777777" w:rsidR="006F6BD9" w:rsidRPr="00C9631A" w:rsidRDefault="006F6BD9" w:rsidP="006F6BD9">
      <w:pPr>
        <w:spacing w:after="120"/>
        <w:jc w:val="both"/>
        <w:rPr>
          <w:rFonts w:ascii="Arial" w:hAnsi="Arial" w:cs="Arial"/>
          <w:sz w:val="20"/>
          <w:szCs w:val="20"/>
        </w:rPr>
      </w:pPr>
      <w:r w:rsidRPr="00C9631A">
        <w:rPr>
          <w:rFonts w:ascii="Arial" w:hAnsi="Arial" w:cs="Arial"/>
          <w:sz w:val="20"/>
          <w:szCs w:val="20"/>
        </w:rPr>
        <w:t>La rilevazione mensile dei prezzi dei prodotti importati dall</w:t>
      </w:r>
      <w:r>
        <w:rPr>
          <w:rFonts w:ascii="Arial" w:hAnsi="Arial" w:cs="Arial"/>
          <w:sz w:val="20"/>
          <w:szCs w:val="20"/>
        </w:rPr>
        <w:t xml:space="preserve">e </w:t>
      </w:r>
      <w:r w:rsidRPr="00C9631A">
        <w:rPr>
          <w:rFonts w:ascii="Arial" w:hAnsi="Arial" w:cs="Arial"/>
          <w:sz w:val="20"/>
          <w:szCs w:val="20"/>
        </w:rPr>
        <w:t>impres</w:t>
      </w:r>
      <w:r>
        <w:rPr>
          <w:rFonts w:ascii="Arial" w:hAnsi="Arial" w:cs="Arial"/>
          <w:sz w:val="20"/>
          <w:szCs w:val="20"/>
        </w:rPr>
        <w:t xml:space="preserve">e </w:t>
      </w:r>
      <w:r w:rsidRPr="00C9631A">
        <w:rPr>
          <w:rFonts w:ascii="Arial" w:hAnsi="Arial" w:cs="Arial"/>
          <w:sz w:val="20"/>
          <w:szCs w:val="20"/>
        </w:rPr>
        <w:t xml:space="preserve">si effettua </w:t>
      </w:r>
      <w:r>
        <w:rPr>
          <w:rFonts w:ascii="Arial" w:hAnsi="Arial" w:cs="Arial"/>
          <w:sz w:val="20"/>
          <w:szCs w:val="20"/>
        </w:rPr>
        <w:t xml:space="preserve">– con riferimento alle due aree, euro e non euro – </w:t>
      </w:r>
      <w:r w:rsidRPr="00C9631A">
        <w:rPr>
          <w:rFonts w:ascii="Arial" w:hAnsi="Arial" w:cs="Arial"/>
          <w:sz w:val="20"/>
          <w:szCs w:val="20"/>
        </w:rPr>
        <w:t xml:space="preserve">sulla base di un disegno di campionamento nel quale si definiscono, relativamente </w:t>
      </w:r>
      <w:r>
        <w:rPr>
          <w:rFonts w:ascii="Arial" w:hAnsi="Arial" w:cs="Arial"/>
          <w:sz w:val="20"/>
          <w:szCs w:val="20"/>
        </w:rPr>
        <w:t>alla base di calcolo</w:t>
      </w:r>
      <w:r w:rsidRPr="00C9631A">
        <w:rPr>
          <w:rFonts w:ascii="Arial" w:hAnsi="Arial" w:cs="Arial"/>
          <w:sz w:val="20"/>
          <w:szCs w:val="20"/>
        </w:rPr>
        <w:t xml:space="preserve">, la composizione del paniere dei prodotti e la lista delle unità di rilevazione. </w:t>
      </w:r>
    </w:p>
    <w:p w14:paraId="07C2E5DE" w14:textId="77777777" w:rsidR="006F6BD9" w:rsidRPr="00C9631A" w:rsidRDefault="006F6BD9" w:rsidP="006F6BD9">
      <w:pPr>
        <w:spacing w:after="120"/>
        <w:jc w:val="both"/>
        <w:rPr>
          <w:rFonts w:ascii="Arial" w:hAnsi="Arial" w:cs="Arial"/>
          <w:sz w:val="20"/>
          <w:szCs w:val="20"/>
        </w:rPr>
      </w:pPr>
      <w:r w:rsidRPr="00C9631A">
        <w:rPr>
          <w:rFonts w:ascii="Arial" w:hAnsi="Arial" w:cs="Arial"/>
          <w:sz w:val="20"/>
          <w:szCs w:val="20"/>
        </w:rPr>
        <w:t>Il paniere dei prodotti è costituito da un campione rappresentativo dei principali beni acquistati dalle imprese sul mercato estero e destinati al reimpiego nel processo di produzione (nel caso di un’impresa industriale) oppure alla vendita sul territorio nazionale o estero (nel caso di un’impresa commerciale). La selezione dei prodotti si effettua utilizzando, come informazione principale, quella proveniente dalle statistiche del commercio con l’estero (valore annuale delle importazioni a livello di merce, codificata secondo la Nomenclatura Combinata).</w:t>
      </w:r>
    </w:p>
    <w:p w14:paraId="292060BF" w14:textId="07B733E5" w:rsidR="006F6BD9" w:rsidRDefault="006F6BD9" w:rsidP="006F6BD9">
      <w:pPr>
        <w:spacing w:after="120"/>
        <w:jc w:val="both"/>
        <w:rPr>
          <w:rFonts w:ascii="Arial" w:hAnsi="Arial" w:cs="Arial"/>
          <w:sz w:val="20"/>
          <w:szCs w:val="20"/>
        </w:rPr>
      </w:pPr>
      <w:r w:rsidRPr="00C9631A">
        <w:rPr>
          <w:rFonts w:ascii="Arial" w:hAnsi="Arial" w:cs="Arial"/>
          <w:sz w:val="20"/>
          <w:szCs w:val="20"/>
        </w:rPr>
        <w:t>La lista delle unità di rilevazione è determinata integrando le informazioni sull’interscambio commerciale con quelle contenute nell’Archivio Statistico delle Imprese Attive (Asia) dell’Istat (relativamente all’identificativo dell’impresa e all’attività econo</w:t>
      </w:r>
      <w:r>
        <w:rPr>
          <w:rFonts w:ascii="Arial" w:hAnsi="Arial" w:cs="Arial"/>
          <w:sz w:val="20"/>
          <w:szCs w:val="20"/>
        </w:rPr>
        <w:t>mica prevalente della medesima)</w:t>
      </w:r>
      <w:r w:rsidRPr="00C9631A">
        <w:rPr>
          <w:rFonts w:ascii="Arial" w:hAnsi="Arial" w:cs="Arial"/>
          <w:sz w:val="20"/>
          <w:szCs w:val="20"/>
        </w:rPr>
        <w:t xml:space="preserve"> e nell’Anagrafe Tributaria (relativamente alla corrispondenza operatore economico/partita Iva – impresa/codice fiscale). Attraverso tale link si collegano le unità di analisi (i prodotti importati) alle unità di rilevazione (le imprese importatrici).</w:t>
      </w:r>
    </w:p>
    <w:p w14:paraId="5A2C58A0" w14:textId="1669D93F" w:rsidR="006F6BD9" w:rsidRDefault="006F6BD9" w:rsidP="006F6BD9">
      <w:pPr>
        <w:spacing w:after="120"/>
        <w:jc w:val="both"/>
        <w:rPr>
          <w:rFonts w:ascii="Arial" w:hAnsi="Arial" w:cs="Arial"/>
          <w:sz w:val="20"/>
          <w:szCs w:val="20"/>
        </w:rPr>
      </w:pPr>
      <w:r>
        <w:rPr>
          <w:rFonts w:ascii="Arial" w:hAnsi="Arial" w:cs="Arial"/>
          <w:sz w:val="20"/>
          <w:szCs w:val="20"/>
        </w:rPr>
        <w:t>Nel Prospetto B viene sintetizzata la composizione imprese/prodotti/prezzi della base di calcolo dicembre 2021, con riferimento alle tre variabili elaborate.</w:t>
      </w:r>
    </w:p>
    <w:p w14:paraId="402FDDBE" w14:textId="77777777" w:rsidR="006F6BD9" w:rsidRDefault="006F6BD9" w:rsidP="006F6BD9">
      <w:pPr>
        <w:jc w:val="both"/>
        <w:rPr>
          <w:rFonts w:ascii="Arial Narrow" w:hAnsi="Arial Narrow" w:cs="Arial"/>
          <w:color w:val="7F7F7F"/>
          <w:sz w:val="20"/>
          <w:szCs w:val="20"/>
        </w:rPr>
      </w:pPr>
      <w:r w:rsidRPr="00861AAF">
        <w:rPr>
          <w:rFonts w:ascii="Arial Narrow" w:hAnsi="Arial Narrow" w:cs="Arial"/>
          <w:b/>
          <w:color w:val="E42618"/>
          <w:sz w:val="22"/>
          <w:szCs w:val="22"/>
        </w:rPr>
        <w:t xml:space="preserve">PROSPETTO </w:t>
      </w:r>
      <w:r>
        <w:rPr>
          <w:rFonts w:ascii="Arial Narrow" w:hAnsi="Arial Narrow" w:cs="Arial"/>
          <w:b/>
          <w:color w:val="E42618"/>
          <w:sz w:val="22"/>
          <w:szCs w:val="22"/>
        </w:rPr>
        <w:t>B</w:t>
      </w:r>
      <w:r w:rsidRPr="00861AAF">
        <w:rPr>
          <w:rFonts w:ascii="Arial Narrow" w:hAnsi="Arial Narrow" w:cs="Arial"/>
          <w:b/>
          <w:color w:val="E42618"/>
          <w:sz w:val="22"/>
          <w:szCs w:val="22"/>
        </w:rPr>
        <w:t>.</w:t>
      </w:r>
      <w:r w:rsidRPr="00861AAF">
        <w:rPr>
          <w:rFonts w:ascii="Arial Narrow" w:hAnsi="Arial Narrow" w:cs="Arial"/>
          <w:b/>
          <w:color w:val="7F7F7F"/>
          <w:sz w:val="22"/>
          <w:szCs w:val="22"/>
        </w:rPr>
        <w:t xml:space="preserve"> PREZZI ALL</w:t>
      </w:r>
      <w:r>
        <w:rPr>
          <w:rFonts w:ascii="Arial Narrow" w:hAnsi="Arial Narrow" w:cs="Arial"/>
          <w:b/>
          <w:color w:val="7F7F7F"/>
          <w:sz w:val="22"/>
          <w:szCs w:val="22"/>
        </w:rPr>
        <w:t xml:space="preserve">’IMPORTAZIONE. </w:t>
      </w:r>
      <w:r w:rsidRPr="00832200">
        <w:rPr>
          <w:rFonts w:ascii="Arial Narrow" w:hAnsi="Arial Narrow" w:cs="Arial"/>
          <w:b/>
          <w:color w:val="7F7F7F"/>
          <w:sz w:val="22"/>
          <w:szCs w:val="22"/>
        </w:rPr>
        <w:t>N</w:t>
      </w:r>
      <w:r>
        <w:rPr>
          <w:rFonts w:ascii="Arial Narrow" w:hAnsi="Arial Narrow" w:cs="Arial"/>
          <w:b/>
          <w:color w:val="7F7F7F"/>
          <w:sz w:val="22"/>
          <w:szCs w:val="22"/>
        </w:rPr>
        <w:t>U</w:t>
      </w:r>
      <w:r w:rsidRPr="00832200">
        <w:rPr>
          <w:rFonts w:ascii="Arial Narrow" w:hAnsi="Arial Narrow" w:cs="Arial"/>
          <w:b/>
          <w:color w:val="7F7F7F"/>
          <w:sz w:val="22"/>
          <w:szCs w:val="22"/>
        </w:rPr>
        <w:t>MEROSITÀ DEL CAMPIONE DEI PRODOTTI, IMPRESE E PREZZI</w:t>
      </w:r>
    </w:p>
    <w:p w14:paraId="075A8CF5" w14:textId="77777777" w:rsidR="006F6BD9" w:rsidRPr="001F0B80" w:rsidRDefault="006F6BD9" w:rsidP="006F6BD9">
      <w:pPr>
        <w:jc w:val="both"/>
        <w:rPr>
          <w:rFonts w:ascii="Arial Narrow" w:hAnsi="Arial Narrow" w:cs="Arial"/>
          <w:color w:val="7F7F7F"/>
          <w:sz w:val="20"/>
          <w:szCs w:val="20"/>
        </w:rPr>
      </w:pPr>
      <w:r w:rsidRPr="001F0B80">
        <w:rPr>
          <w:rFonts w:ascii="Arial Narrow" w:hAnsi="Arial Narrow" w:cs="Arial"/>
          <w:color w:val="7F7F7F"/>
          <w:sz w:val="20"/>
          <w:szCs w:val="20"/>
        </w:rPr>
        <w:t>Base di calcolo Dicembre 2021</w:t>
      </w:r>
    </w:p>
    <w:tbl>
      <w:tblPr>
        <w:tblW w:w="10147" w:type="dxa"/>
        <w:tblCellMar>
          <w:left w:w="70" w:type="dxa"/>
          <w:right w:w="454" w:type="dxa"/>
        </w:tblCellMar>
        <w:tblLook w:val="04A0" w:firstRow="1" w:lastRow="0" w:firstColumn="1" w:lastColumn="0" w:noHBand="0" w:noVBand="1"/>
      </w:tblPr>
      <w:tblGrid>
        <w:gridCol w:w="2551"/>
        <w:gridCol w:w="2494"/>
        <w:gridCol w:w="2551"/>
        <w:gridCol w:w="2551"/>
      </w:tblGrid>
      <w:tr w:rsidR="006F6BD9" w:rsidRPr="00861AAF" w14:paraId="7C6C8A38" w14:textId="77777777" w:rsidTr="004E784E">
        <w:trPr>
          <w:trHeight w:val="340"/>
        </w:trPr>
        <w:tc>
          <w:tcPr>
            <w:tcW w:w="2551" w:type="dxa"/>
            <w:tcBorders>
              <w:top w:val="single" w:sz="8" w:space="0" w:color="333333"/>
              <w:left w:val="nil"/>
              <w:bottom w:val="single" w:sz="8" w:space="0" w:color="333333"/>
              <w:right w:val="nil"/>
            </w:tcBorders>
            <w:shd w:val="clear" w:color="auto" w:fill="auto"/>
            <w:vAlign w:val="center"/>
            <w:hideMark/>
          </w:tcPr>
          <w:p w14:paraId="37DE38B2" w14:textId="77777777" w:rsidR="006F6BD9" w:rsidRPr="00861AAF" w:rsidRDefault="006F6BD9" w:rsidP="004E784E">
            <w:pPr>
              <w:rPr>
                <w:rFonts w:ascii="Arial Narrow" w:hAnsi="Arial Narrow" w:cs="Arial"/>
                <w:b/>
                <w:bCs/>
                <w:color w:val="000000"/>
                <w:sz w:val="18"/>
                <w:szCs w:val="18"/>
              </w:rPr>
            </w:pPr>
            <w:r w:rsidRPr="00861AAF">
              <w:rPr>
                <w:rFonts w:ascii="Arial Narrow" w:hAnsi="Arial Narrow" w:cs="Arial"/>
                <w:b/>
                <w:bCs/>
                <w:color w:val="000000"/>
                <w:sz w:val="18"/>
                <w:szCs w:val="18"/>
              </w:rPr>
              <w:t>UNITÀ</w:t>
            </w:r>
          </w:p>
        </w:tc>
        <w:tc>
          <w:tcPr>
            <w:tcW w:w="2494" w:type="dxa"/>
            <w:tcBorders>
              <w:top w:val="single" w:sz="8" w:space="0" w:color="333333"/>
              <w:left w:val="nil"/>
              <w:bottom w:val="single" w:sz="4" w:space="0" w:color="auto"/>
              <w:right w:val="nil"/>
            </w:tcBorders>
            <w:shd w:val="clear" w:color="000000" w:fill="E6E6E6"/>
            <w:vAlign w:val="center"/>
            <w:hideMark/>
          </w:tcPr>
          <w:p w14:paraId="6331C626" w14:textId="77777777" w:rsidR="006F6BD9" w:rsidRPr="00861AAF" w:rsidRDefault="006F6BD9" w:rsidP="004E784E">
            <w:pPr>
              <w:jc w:val="right"/>
              <w:rPr>
                <w:rFonts w:ascii="Arial Narrow" w:hAnsi="Arial Narrow" w:cs="Arial"/>
                <w:b/>
                <w:bCs/>
                <w:color w:val="000000"/>
                <w:sz w:val="18"/>
                <w:szCs w:val="18"/>
              </w:rPr>
            </w:pPr>
            <w:r w:rsidRPr="00861AAF">
              <w:rPr>
                <w:rFonts w:ascii="Arial Narrow" w:hAnsi="Arial Narrow" w:cs="Arial"/>
                <w:b/>
                <w:bCs/>
                <w:color w:val="000000"/>
                <w:sz w:val="18"/>
                <w:szCs w:val="18"/>
              </w:rPr>
              <w:t>Totale</w:t>
            </w:r>
          </w:p>
        </w:tc>
        <w:tc>
          <w:tcPr>
            <w:tcW w:w="2551" w:type="dxa"/>
            <w:tcBorders>
              <w:top w:val="single" w:sz="8" w:space="0" w:color="333333"/>
              <w:left w:val="nil"/>
              <w:bottom w:val="single" w:sz="4" w:space="0" w:color="auto"/>
              <w:right w:val="nil"/>
            </w:tcBorders>
            <w:shd w:val="clear" w:color="auto" w:fill="auto"/>
            <w:vAlign w:val="center"/>
            <w:hideMark/>
          </w:tcPr>
          <w:p w14:paraId="078B9692" w14:textId="77777777" w:rsidR="006F6BD9" w:rsidRPr="00861AAF" w:rsidRDefault="006F6BD9" w:rsidP="004E784E">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euro</w:t>
            </w:r>
          </w:p>
        </w:tc>
        <w:tc>
          <w:tcPr>
            <w:tcW w:w="2551" w:type="dxa"/>
            <w:tcBorders>
              <w:top w:val="single" w:sz="8" w:space="0" w:color="333333"/>
              <w:left w:val="nil"/>
              <w:bottom w:val="single" w:sz="4" w:space="0" w:color="auto"/>
              <w:right w:val="nil"/>
            </w:tcBorders>
            <w:shd w:val="clear" w:color="000000" w:fill="E6E6E6"/>
            <w:vAlign w:val="center"/>
            <w:hideMark/>
          </w:tcPr>
          <w:p w14:paraId="111C0EB2" w14:textId="77777777" w:rsidR="006F6BD9" w:rsidRPr="00861AAF" w:rsidRDefault="006F6BD9" w:rsidP="004E784E">
            <w:pPr>
              <w:jc w:val="right"/>
              <w:rPr>
                <w:rFonts w:ascii="Arial Narrow" w:hAnsi="Arial Narrow" w:cs="Arial"/>
                <w:b/>
                <w:bCs/>
                <w:color w:val="000000"/>
                <w:sz w:val="18"/>
                <w:szCs w:val="18"/>
              </w:rPr>
            </w:pPr>
            <w:r>
              <w:rPr>
                <w:rFonts w:ascii="Arial Narrow" w:hAnsi="Arial Narrow" w:cs="Arial"/>
                <w:b/>
                <w:bCs/>
                <w:color w:val="000000"/>
                <w:sz w:val="18"/>
                <w:szCs w:val="18"/>
              </w:rPr>
              <w:t>A</w:t>
            </w:r>
            <w:r w:rsidRPr="00861AAF">
              <w:rPr>
                <w:rFonts w:ascii="Arial Narrow" w:hAnsi="Arial Narrow" w:cs="Arial"/>
                <w:b/>
                <w:bCs/>
                <w:color w:val="000000"/>
                <w:sz w:val="18"/>
                <w:szCs w:val="18"/>
              </w:rPr>
              <w:t>rea non euro</w:t>
            </w:r>
          </w:p>
        </w:tc>
      </w:tr>
      <w:tr w:rsidR="006F6BD9" w:rsidRPr="00861AAF" w14:paraId="64ECD98E" w14:textId="77777777" w:rsidTr="004E784E">
        <w:trPr>
          <w:trHeight w:val="255"/>
        </w:trPr>
        <w:tc>
          <w:tcPr>
            <w:tcW w:w="2551" w:type="dxa"/>
            <w:tcBorders>
              <w:top w:val="nil"/>
              <w:left w:val="nil"/>
              <w:bottom w:val="single" w:sz="8" w:space="0" w:color="333333"/>
              <w:right w:val="nil"/>
            </w:tcBorders>
            <w:shd w:val="clear" w:color="auto" w:fill="auto"/>
            <w:vAlign w:val="center"/>
            <w:hideMark/>
          </w:tcPr>
          <w:p w14:paraId="6AFF7217" w14:textId="77777777" w:rsidR="006F6BD9" w:rsidRPr="00861AAF" w:rsidRDefault="006F6BD9" w:rsidP="004E784E">
            <w:pPr>
              <w:rPr>
                <w:rFonts w:ascii="Arial Narrow" w:hAnsi="Arial Narrow" w:cs="Arial"/>
                <w:color w:val="000000"/>
                <w:sz w:val="18"/>
                <w:szCs w:val="18"/>
              </w:rPr>
            </w:pPr>
            <w:r w:rsidRPr="00861AAF">
              <w:rPr>
                <w:rFonts w:ascii="Arial Narrow" w:hAnsi="Arial Narrow" w:cs="Arial"/>
                <w:color w:val="000000"/>
                <w:sz w:val="18"/>
                <w:szCs w:val="18"/>
              </w:rPr>
              <w:t>Prodotti</w:t>
            </w:r>
          </w:p>
        </w:tc>
        <w:tc>
          <w:tcPr>
            <w:tcW w:w="2494" w:type="dxa"/>
            <w:tcBorders>
              <w:top w:val="single" w:sz="4" w:space="0" w:color="auto"/>
              <w:left w:val="nil"/>
              <w:bottom w:val="single" w:sz="8" w:space="0" w:color="333333"/>
              <w:right w:val="nil"/>
            </w:tcBorders>
            <w:shd w:val="clear" w:color="auto" w:fill="D9D9D9"/>
            <w:vAlign w:val="center"/>
          </w:tcPr>
          <w:p w14:paraId="64C8BDFC" w14:textId="77777777" w:rsidR="006F6BD9" w:rsidRPr="001F0B80" w:rsidRDefault="006F6BD9" w:rsidP="004E784E">
            <w:pPr>
              <w:jc w:val="right"/>
              <w:rPr>
                <w:rFonts w:ascii="Arial Narrow" w:hAnsi="Arial Narrow"/>
                <w:color w:val="000000"/>
                <w:sz w:val="18"/>
                <w:szCs w:val="18"/>
              </w:rPr>
            </w:pPr>
            <w:r w:rsidRPr="00861AAF">
              <w:rPr>
                <w:rFonts w:ascii="Arial Narrow" w:hAnsi="Arial Narrow"/>
                <w:color w:val="000000"/>
                <w:sz w:val="18"/>
                <w:szCs w:val="18"/>
              </w:rPr>
              <w:t>1.</w:t>
            </w:r>
            <w:r>
              <w:rPr>
                <w:rFonts w:ascii="Arial Narrow" w:hAnsi="Arial Narrow"/>
                <w:color w:val="000000"/>
                <w:sz w:val="18"/>
                <w:szCs w:val="18"/>
              </w:rPr>
              <w:t>241</w:t>
            </w:r>
          </w:p>
        </w:tc>
        <w:tc>
          <w:tcPr>
            <w:tcW w:w="2551" w:type="dxa"/>
            <w:tcBorders>
              <w:top w:val="single" w:sz="4" w:space="0" w:color="auto"/>
              <w:left w:val="nil"/>
              <w:bottom w:val="single" w:sz="8" w:space="0" w:color="333333"/>
              <w:right w:val="nil"/>
            </w:tcBorders>
            <w:shd w:val="clear" w:color="auto" w:fill="auto"/>
            <w:vAlign w:val="center"/>
          </w:tcPr>
          <w:p w14:paraId="042D6077" w14:textId="77777777" w:rsidR="006F6BD9" w:rsidRPr="001F0B80" w:rsidRDefault="006F6BD9" w:rsidP="004E784E">
            <w:pPr>
              <w:jc w:val="right"/>
              <w:rPr>
                <w:rFonts w:ascii="Arial Narrow" w:hAnsi="Arial Narrow"/>
                <w:color w:val="000000"/>
                <w:sz w:val="18"/>
                <w:szCs w:val="18"/>
              </w:rPr>
            </w:pPr>
            <w:r>
              <w:rPr>
                <w:rFonts w:ascii="Arial Narrow" w:hAnsi="Arial Narrow"/>
                <w:color w:val="000000"/>
                <w:sz w:val="18"/>
                <w:szCs w:val="18"/>
              </w:rPr>
              <w:t>963</w:t>
            </w:r>
          </w:p>
        </w:tc>
        <w:tc>
          <w:tcPr>
            <w:tcW w:w="2551" w:type="dxa"/>
            <w:tcBorders>
              <w:top w:val="single" w:sz="4" w:space="0" w:color="auto"/>
              <w:left w:val="nil"/>
              <w:bottom w:val="single" w:sz="8" w:space="0" w:color="333333"/>
              <w:right w:val="nil"/>
            </w:tcBorders>
            <w:shd w:val="clear" w:color="auto" w:fill="D9D9D9"/>
            <w:vAlign w:val="center"/>
          </w:tcPr>
          <w:p w14:paraId="5BDA68A1" w14:textId="77777777" w:rsidR="006F6BD9" w:rsidRPr="001F0B80" w:rsidRDefault="006F6BD9" w:rsidP="004E784E">
            <w:pPr>
              <w:jc w:val="right"/>
              <w:rPr>
                <w:rFonts w:ascii="Arial Narrow" w:hAnsi="Arial Narrow"/>
                <w:color w:val="000000"/>
                <w:sz w:val="18"/>
                <w:szCs w:val="18"/>
              </w:rPr>
            </w:pPr>
            <w:r>
              <w:rPr>
                <w:rFonts w:ascii="Arial Narrow" w:hAnsi="Arial Narrow"/>
                <w:color w:val="000000"/>
                <w:sz w:val="18"/>
                <w:szCs w:val="18"/>
              </w:rPr>
              <w:t>800</w:t>
            </w:r>
          </w:p>
        </w:tc>
      </w:tr>
      <w:tr w:rsidR="006F6BD9" w:rsidRPr="00861AAF" w14:paraId="2E74FBA9" w14:textId="77777777" w:rsidTr="004E784E">
        <w:trPr>
          <w:trHeight w:val="255"/>
        </w:trPr>
        <w:tc>
          <w:tcPr>
            <w:tcW w:w="2551" w:type="dxa"/>
            <w:tcBorders>
              <w:top w:val="nil"/>
              <w:left w:val="nil"/>
              <w:bottom w:val="single" w:sz="8" w:space="0" w:color="333333"/>
              <w:right w:val="nil"/>
            </w:tcBorders>
            <w:shd w:val="clear" w:color="auto" w:fill="auto"/>
            <w:vAlign w:val="center"/>
            <w:hideMark/>
          </w:tcPr>
          <w:p w14:paraId="6D62FA18" w14:textId="77777777" w:rsidR="006F6BD9" w:rsidRPr="00861AAF" w:rsidRDefault="006F6BD9" w:rsidP="004E784E">
            <w:pPr>
              <w:rPr>
                <w:rFonts w:ascii="Arial Narrow" w:hAnsi="Arial Narrow" w:cs="Arial"/>
                <w:color w:val="000000"/>
                <w:sz w:val="18"/>
                <w:szCs w:val="18"/>
              </w:rPr>
            </w:pPr>
            <w:r w:rsidRPr="00861AAF">
              <w:rPr>
                <w:rFonts w:ascii="Arial Narrow" w:hAnsi="Arial Narrow" w:cs="Arial"/>
                <w:color w:val="000000"/>
                <w:sz w:val="18"/>
                <w:szCs w:val="18"/>
              </w:rPr>
              <w:t>Imprese</w:t>
            </w:r>
          </w:p>
        </w:tc>
        <w:tc>
          <w:tcPr>
            <w:tcW w:w="2494" w:type="dxa"/>
            <w:tcBorders>
              <w:top w:val="nil"/>
              <w:left w:val="nil"/>
              <w:bottom w:val="single" w:sz="8" w:space="0" w:color="333333"/>
              <w:right w:val="nil"/>
            </w:tcBorders>
            <w:shd w:val="clear" w:color="auto" w:fill="D9D9D9"/>
            <w:vAlign w:val="center"/>
          </w:tcPr>
          <w:p w14:paraId="09215EF0" w14:textId="77777777" w:rsidR="006F6BD9" w:rsidRPr="00861AAF" w:rsidRDefault="006F6BD9" w:rsidP="004E784E">
            <w:pPr>
              <w:jc w:val="right"/>
              <w:rPr>
                <w:rFonts w:ascii="Arial Narrow" w:hAnsi="Arial Narrow" w:cs="Arial"/>
                <w:color w:val="000000"/>
                <w:sz w:val="18"/>
                <w:szCs w:val="18"/>
              </w:rPr>
            </w:pPr>
            <w:r>
              <w:rPr>
                <w:rFonts w:ascii="Arial Narrow" w:hAnsi="Arial Narrow"/>
                <w:color w:val="000000"/>
                <w:sz w:val="18"/>
                <w:szCs w:val="18"/>
              </w:rPr>
              <w:t>3</w:t>
            </w:r>
            <w:r w:rsidRPr="00861AAF">
              <w:rPr>
                <w:rFonts w:ascii="Arial Narrow" w:hAnsi="Arial Narrow"/>
                <w:color w:val="000000"/>
                <w:sz w:val="18"/>
                <w:szCs w:val="18"/>
              </w:rPr>
              <w:t>.</w:t>
            </w:r>
            <w:r>
              <w:rPr>
                <w:rFonts w:ascii="Arial Narrow" w:hAnsi="Arial Narrow"/>
                <w:color w:val="000000"/>
                <w:sz w:val="18"/>
                <w:szCs w:val="18"/>
              </w:rPr>
              <w:t>652</w:t>
            </w:r>
          </w:p>
        </w:tc>
        <w:tc>
          <w:tcPr>
            <w:tcW w:w="2551" w:type="dxa"/>
            <w:tcBorders>
              <w:top w:val="nil"/>
              <w:left w:val="nil"/>
              <w:bottom w:val="single" w:sz="8" w:space="0" w:color="333333"/>
              <w:right w:val="nil"/>
            </w:tcBorders>
            <w:shd w:val="clear" w:color="auto" w:fill="auto"/>
            <w:vAlign w:val="center"/>
          </w:tcPr>
          <w:p w14:paraId="6043C62C" w14:textId="77777777" w:rsidR="006F6BD9" w:rsidRPr="00861AAF" w:rsidRDefault="006F6BD9" w:rsidP="004E784E">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196</w:t>
            </w:r>
          </w:p>
        </w:tc>
        <w:tc>
          <w:tcPr>
            <w:tcW w:w="2551" w:type="dxa"/>
            <w:tcBorders>
              <w:top w:val="nil"/>
              <w:left w:val="nil"/>
              <w:bottom w:val="single" w:sz="8" w:space="0" w:color="333333"/>
              <w:right w:val="nil"/>
            </w:tcBorders>
            <w:shd w:val="clear" w:color="auto" w:fill="D9D9D9"/>
            <w:vAlign w:val="center"/>
          </w:tcPr>
          <w:p w14:paraId="23166D8A" w14:textId="77777777" w:rsidR="006F6BD9" w:rsidRPr="00861AAF" w:rsidRDefault="006F6BD9" w:rsidP="004E784E">
            <w:pPr>
              <w:jc w:val="right"/>
              <w:rPr>
                <w:rFonts w:ascii="Arial Narrow" w:hAnsi="Arial Narrow" w:cs="Arial"/>
                <w:color w:val="000000"/>
                <w:sz w:val="18"/>
                <w:szCs w:val="18"/>
              </w:rPr>
            </w:pPr>
            <w:r>
              <w:rPr>
                <w:rFonts w:ascii="Arial Narrow" w:hAnsi="Arial Narrow"/>
                <w:color w:val="000000"/>
                <w:sz w:val="18"/>
                <w:szCs w:val="18"/>
              </w:rPr>
              <w:t>2</w:t>
            </w:r>
            <w:r w:rsidRPr="00861AAF">
              <w:rPr>
                <w:rFonts w:ascii="Arial Narrow" w:hAnsi="Arial Narrow"/>
                <w:color w:val="000000"/>
                <w:sz w:val="18"/>
                <w:szCs w:val="18"/>
              </w:rPr>
              <w:t>.</w:t>
            </w:r>
            <w:r>
              <w:rPr>
                <w:rFonts w:ascii="Arial Narrow" w:hAnsi="Arial Narrow"/>
                <w:color w:val="000000"/>
                <w:sz w:val="18"/>
                <w:szCs w:val="18"/>
              </w:rPr>
              <w:t>087</w:t>
            </w:r>
          </w:p>
        </w:tc>
      </w:tr>
      <w:tr w:rsidR="006F6BD9" w:rsidRPr="00861AAF" w14:paraId="2F52301E" w14:textId="77777777" w:rsidTr="004E784E">
        <w:trPr>
          <w:trHeight w:val="255"/>
        </w:trPr>
        <w:tc>
          <w:tcPr>
            <w:tcW w:w="2551" w:type="dxa"/>
            <w:tcBorders>
              <w:top w:val="nil"/>
              <w:left w:val="nil"/>
              <w:bottom w:val="single" w:sz="8" w:space="0" w:color="333333"/>
              <w:right w:val="nil"/>
            </w:tcBorders>
            <w:shd w:val="clear" w:color="auto" w:fill="auto"/>
            <w:vAlign w:val="center"/>
            <w:hideMark/>
          </w:tcPr>
          <w:p w14:paraId="58E74288" w14:textId="77777777" w:rsidR="006F6BD9" w:rsidRPr="00861AAF" w:rsidRDefault="006F6BD9" w:rsidP="004E784E">
            <w:pPr>
              <w:rPr>
                <w:rFonts w:ascii="Arial Narrow" w:hAnsi="Arial Narrow" w:cs="Arial"/>
                <w:color w:val="000000"/>
                <w:sz w:val="18"/>
                <w:szCs w:val="18"/>
              </w:rPr>
            </w:pPr>
            <w:r w:rsidRPr="00861AAF">
              <w:rPr>
                <w:rFonts w:ascii="Arial Narrow" w:hAnsi="Arial Narrow" w:cs="Arial"/>
                <w:color w:val="000000"/>
                <w:sz w:val="18"/>
                <w:szCs w:val="18"/>
              </w:rPr>
              <w:t>Prezzi</w:t>
            </w:r>
          </w:p>
        </w:tc>
        <w:tc>
          <w:tcPr>
            <w:tcW w:w="2494" w:type="dxa"/>
            <w:tcBorders>
              <w:top w:val="nil"/>
              <w:left w:val="nil"/>
              <w:bottom w:val="single" w:sz="8" w:space="0" w:color="333333"/>
              <w:right w:val="nil"/>
            </w:tcBorders>
            <w:shd w:val="clear" w:color="auto" w:fill="D9D9D9"/>
            <w:vAlign w:val="center"/>
          </w:tcPr>
          <w:p w14:paraId="3AF047D4" w14:textId="77777777" w:rsidR="006F6BD9" w:rsidRPr="00861AAF" w:rsidRDefault="006F6BD9" w:rsidP="004E784E">
            <w:pPr>
              <w:jc w:val="right"/>
              <w:rPr>
                <w:rFonts w:ascii="Arial Narrow" w:hAnsi="Arial Narrow" w:cs="Arial"/>
                <w:color w:val="000000"/>
                <w:sz w:val="18"/>
                <w:szCs w:val="18"/>
              </w:rPr>
            </w:pPr>
            <w:r>
              <w:rPr>
                <w:rFonts w:ascii="Arial Narrow" w:hAnsi="Arial Narrow"/>
                <w:color w:val="000000"/>
                <w:sz w:val="18"/>
                <w:szCs w:val="18"/>
              </w:rPr>
              <w:t>10</w:t>
            </w:r>
            <w:r w:rsidRPr="00861AAF">
              <w:rPr>
                <w:rFonts w:ascii="Arial Narrow" w:hAnsi="Arial Narrow"/>
                <w:color w:val="000000"/>
                <w:sz w:val="18"/>
                <w:szCs w:val="18"/>
              </w:rPr>
              <w:t>.1</w:t>
            </w:r>
            <w:r>
              <w:rPr>
                <w:rFonts w:ascii="Arial Narrow" w:hAnsi="Arial Narrow"/>
                <w:color w:val="000000"/>
                <w:sz w:val="18"/>
                <w:szCs w:val="18"/>
              </w:rPr>
              <w:t>64</w:t>
            </w:r>
          </w:p>
        </w:tc>
        <w:tc>
          <w:tcPr>
            <w:tcW w:w="2551" w:type="dxa"/>
            <w:tcBorders>
              <w:top w:val="nil"/>
              <w:left w:val="nil"/>
              <w:bottom w:val="single" w:sz="8" w:space="0" w:color="333333"/>
              <w:right w:val="nil"/>
            </w:tcBorders>
            <w:shd w:val="clear" w:color="auto" w:fill="auto"/>
            <w:vAlign w:val="center"/>
          </w:tcPr>
          <w:p w14:paraId="2F00637D" w14:textId="77777777" w:rsidR="006F6BD9" w:rsidRPr="00861AAF" w:rsidRDefault="006F6BD9" w:rsidP="004E784E">
            <w:pPr>
              <w:jc w:val="right"/>
              <w:rPr>
                <w:rFonts w:ascii="Arial Narrow" w:hAnsi="Arial Narrow" w:cs="Arial"/>
                <w:color w:val="000000"/>
                <w:sz w:val="18"/>
                <w:szCs w:val="18"/>
              </w:rPr>
            </w:pPr>
            <w:r>
              <w:rPr>
                <w:rFonts w:ascii="Arial Narrow" w:hAnsi="Arial Narrow"/>
                <w:color w:val="000000"/>
                <w:sz w:val="18"/>
                <w:szCs w:val="18"/>
              </w:rPr>
              <w:t>5</w:t>
            </w:r>
            <w:r w:rsidRPr="00861AAF">
              <w:rPr>
                <w:rFonts w:ascii="Arial Narrow" w:hAnsi="Arial Narrow"/>
                <w:color w:val="000000"/>
                <w:sz w:val="18"/>
                <w:szCs w:val="18"/>
              </w:rPr>
              <w:t>.</w:t>
            </w:r>
            <w:r>
              <w:rPr>
                <w:rFonts w:ascii="Arial Narrow" w:hAnsi="Arial Narrow"/>
                <w:color w:val="000000"/>
                <w:sz w:val="18"/>
                <w:szCs w:val="18"/>
              </w:rPr>
              <w:t>465</w:t>
            </w:r>
          </w:p>
        </w:tc>
        <w:tc>
          <w:tcPr>
            <w:tcW w:w="2551" w:type="dxa"/>
            <w:tcBorders>
              <w:top w:val="nil"/>
              <w:left w:val="nil"/>
              <w:bottom w:val="single" w:sz="8" w:space="0" w:color="333333"/>
              <w:right w:val="nil"/>
            </w:tcBorders>
            <w:shd w:val="clear" w:color="auto" w:fill="D9D9D9"/>
            <w:vAlign w:val="center"/>
          </w:tcPr>
          <w:p w14:paraId="3CF57339" w14:textId="77777777" w:rsidR="006F6BD9" w:rsidRPr="00861AAF" w:rsidRDefault="006F6BD9" w:rsidP="004E784E">
            <w:pPr>
              <w:jc w:val="right"/>
              <w:rPr>
                <w:rFonts w:ascii="Arial Narrow" w:hAnsi="Arial Narrow" w:cs="Arial"/>
                <w:color w:val="000000"/>
                <w:sz w:val="18"/>
                <w:szCs w:val="18"/>
              </w:rPr>
            </w:pPr>
            <w:r w:rsidRPr="00861AAF">
              <w:rPr>
                <w:rFonts w:ascii="Arial Narrow" w:hAnsi="Arial Narrow"/>
                <w:color w:val="000000"/>
                <w:sz w:val="18"/>
                <w:szCs w:val="18"/>
              </w:rPr>
              <w:t>4.</w:t>
            </w:r>
            <w:r>
              <w:rPr>
                <w:rFonts w:ascii="Arial Narrow" w:hAnsi="Arial Narrow"/>
                <w:color w:val="000000"/>
                <w:sz w:val="18"/>
                <w:szCs w:val="18"/>
              </w:rPr>
              <w:t>699</w:t>
            </w:r>
          </w:p>
        </w:tc>
      </w:tr>
    </w:tbl>
    <w:p w14:paraId="071551DE" w14:textId="0445092E" w:rsidR="0020128C" w:rsidRDefault="0020128C" w:rsidP="006F6BD9">
      <w:pPr>
        <w:spacing w:before="120" w:after="120"/>
        <w:jc w:val="both"/>
        <w:rPr>
          <w:rFonts w:ascii="Arial" w:hAnsi="Arial" w:cs="Arial"/>
          <w:b/>
          <w:sz w:val="22"/>
          <w:szCs w:val="22"/>
        </w:rPr>
      </w:pPr>
    </w:p>
    <w:p w14:paraId="677DD5EB" w14:textId="068164CE" w:rsidR="009F4E0C" w:rsidRDefault="009F4E0C" w:rsidP="006F6BD9">
      <w:pPr>
        <w:spacing w:before="120" w:after="120"/>
        <w:jc w:val="both"/>
        <w:rPr>
          <w:rFonts w:ascii="Arial" w:hAnsi="Arial" w:cs="Arial"/>
          <w:b/>
          <w:sz w:val="22"/>
          <w:szCs w:val="22"/>
        </w:rPr>
      </w:pPr>
    </w:p>
    <w:p w14:paraId="2D04F779" w14:textId="631796D6" w:rsidR="009F4E0C" w:rsidRDefault="009F4E0C" w:rsidP="006F6BD9">
      <w:pPr>
        <w:spacing w:before="120" w:after="120"/>
        <w:jc w:val="both"/>
        <w:rPr>
          <w:rFonts w:ascii="Arial" w:hAnsi="Arial" w:cs="Arial"/>
          <w:b/>
          <w:sz w:val="22"/>
          <w:szCs w:val="22"/>
        </w:rPr>
      </w:pPr>
    </w:p>
    <w:p w14:paraId="1B02877B" w14:textId="77777777" w:rsidR="009F4E0C" w:rsidRPr="00861AAF" w:rsidRDefault="009F4E0C" w:rsidP="006F6BD9">
      <w:pPr>
        <w:spacing w:before="120" w:after="120"/>
        <w:jc w:val="both"/>
        <w:rPr>
          <w:rFonts w:ascii="Arial" w:hAnsi="Arial" w:cs="Arial"/>
          <w:b/>
          <w:sz w:val="22"/>
          <w:szCs w:val="22"/>
        </w:rPr>
      </w:pPr>
    </w:p>
    <w:p w14:paraId="24DF43C0" w14:textId="77777777" w:rsidR="006F6BD9" w:rsidRPr="00C9631A" w:rsidRDefault="006F6BD9" w:rsidP="006F6BD9">
      <w:pPr>
        <w:spacing w:after="120"/>
        <w:jc w:val="both"/>
        <w:rPr>
          <w:rFonts w:ascii="Arial" w:hAnsi="Arial" w:cs="Arial"/>
          <w:b/>
          <w:bCs/>
          <w:sz w:val="20"/>
          <w:szCs w:val="20"/>
        </w:rPr>
      </w:pPr>
      <w:r w:rsidRPr="00C9631A">
        <w:rPr>
          <w:rFonts w:ascii="Arial" w:hAnsi="Arial" w:cs="Arial"/>
          <w:b/>
          <w:bCs/>
          <w:sz w:val="20"/>
          <w:szCs w:val="20"/>
        </w:rPr>
        <w:t>Raccolta e controllo di qualità dei dati</w:t>
      </w:r>
    </w:p>
    <w:p w14:paraId="2436E1D6" w14:textId="77777777" w:rsidR="006F6BD9" w:rsidRDefault="006F6BD9" w:rsidP="006F6BD9">
      <w:pPr>
        <w:spacing w:after="120"/>
        <w:jc w:val="both"/>
        <w:rPr>
          <w:rFonts w:ascii="Arial" w:hAnsi="Arial" w:cs="Arial"/>
          <w:bCs/>
          <w:sz w:val="20"/>
          <w:szCs w:val="20"/>
        </w:rPr>
      </w:pPr>
      <w:r w:rsidRPr="00C9631A">
        <w:rPr>
          <w:rFonts w:ascii="Arial" w:hAnsi="Arial" w:cs="Arial"/>
          <w:bCs/>
          <w:sz w:val="20"/>
          <w:szCs w:val="20"/>
        </w:rPr>
        <w:t xml:space="preserve">La raccolta delle informazioni statistiche avviene mediante auto-compilazione del questionario elettronico disponibile all’interno del Portale statistico delle imprese, il sistema introdotto dall'Istat per la semplificazione degli adempimenti statistici delle imprese coinvolte nelle rilevazioni economiche. </w:t>
      </w:r>
    </w:p>
    <w:p w14:paraId="68829459" w14:textId="77777777" w:rsidR="006F6BD9" w:rsidRDefault="006F6BD9" w:rsidP="006F6BD9">
      <w:pPr>
        <w:pStyle w:val="Testocorrente"/>
        <w:keepNext w:val="0"/>
        <w:tabs>
          <w:tab w:val="left" w:pos="0"/>
        </w:tabs>
        <w:spacing w:after="120"/>
        <w:rPr>
          <w:rFonts w:ascii="Arial" w:hAnsi="Arial" w:cs="Arial"/>
          <w:b w:val="0"/>
          <w:i w:val="0"/>
          <w:sz w:val="20"/>
          <w:lang w:val="it-IT"/>
        </w:rPr>
      </w:pPr>
      <w:r w:rsidRPr="00DB2D37">
        <w:rPr>
          <w:rFonts w:ascii="Arial" w:hAnsi="Arial" w:cs="Arial"/>
          <w:b w:val="0"/>
          <w:i w:val="0"/>
          <w:sz w:val="20"/>
          <w:lang w:val="it-IT"/>
        </w:rPr>
        <w:t>Dall’edizione 2022, l’indagine si avvale della nuova piattaforma informatica integrata (nuovo questionario, nuovo software gestionale e nuovo data base), denominata SINTESI, già in uso per la rilevazione dei prezzi alla produzione dei servizi.</w:t>
      </w:r>
    </w:p>
    <w:p w14:paraId="748210B7" w14:textId="77777777" w:rsidR="006F6BD9" w:rsidRDefault="006F6BD9" w:rsidP="006F6BD9">
      <w:pPr>
        <w:spacing w:after="120"/>
        <w:jc w:val="both"/>
        <w:rPr>
          <w:rFonts w:ascii="Arial" w:hAnsi="Arial" w:cs="Arial"/>
          <w:bCs/>
          <w:sz w:val="20"/>
          <w:szCs w:val="20"/>
        </w:rPr>
      </w:pPr>
      <w:r w:rsidRPr="00C9631A">
        <w:rPr>
          <w:rFonts w:ascii="Arial" w:hAnsi="Arial" w:cs="Arial"/>
          <w:bCs/>
          <w:sz w:val="20"/>
          <w:szCs w:val="20"/>
        </w:rPr>
        <w:t xml:space="preserve">La modalità di compilazione per via telematica favorisce la tempestività della rilevazione dei dati e la qualità delle informazioni raccolte, poiché prevede un programma di </w:t>
      </w:r>
      <w:r w:rsidRPr="00C9631A">
        <w:rPr>
          <w:rFonts w:ascii="Arial" w:hAnsi="Arial" w:cs="Arial"/>
          <w:bCs/>
          <w:i/>
          <w:sz w:val="20"/>
          <w:szCs w:val="20"/>
        </w:rPr>
        <w:t>check</w:t>
      </w:r>
      <w:r w:rsidRPr="00C9631A">
        <w:rPr>
          <w:rFonts w:ascii="Arial" w:hAnsi="Arial" w:cs="Arial"/>
          <w:bCs/>
          <w:sz w:val="20"/>
          <w:szCs w:val="20"/>
        </w:rPr>
        <w:t xml:space="preserve"> automatico che segnala direttamente al rispondente eventuali risposte incompatibili, errori di coerenza, incongruenze e omissioni, che possono essere risolti nel corso della stessa compilazione.</w:t>
      </w:r>
    </w:p>
    <w:p w14:paraId="3CC83C62" w14:textId="77777777" w:rsidR="006F6BD9" w:rsidRPr="00C9631A" w:rsidRDefault="006F6BD9" w:rsidP="006F6BD9">
      <w:pPr>
        <w:spacing w:after="120"/>
        <w:jc w:val="both"/>
        <w:rPr>
          <w:rFonts w:ascii="Arial" w:hAnsi="Arial" w:cs="Arial"/>
          <w:bCs/>
          <w:sz w:val="20"/>
          <w:szCs w:val="20"/>
        </w:rPr>
      </w:pPr>
      <w:r w:rsidRPr="00C9631A">
        <w:rPr>
          <w:rFonts w:ascii="Arial" w:hAnsi="Arial" w:cs="Arial"/>
          <w:bCs/>
          <w:sz w:val="20"/>
          <w:szCs w:val="20"/>
        </w:rPr>
        <w:t xml:space="preserve">I dati possono essere inviati dal </w:t>
      </w:r>
      <w:r>
        <w:rPr>
          <w:rFonts w:ascii="Arial" w:hAnsi="Arial" w:cs="Arial"/>
          <w:bCs/>
          <w:sz w:val="20"/>
          <w:szCs w:val="20"/>
        </w:rPr>
        <w:t>primo</w:t>
      </w:r>
      <w:r w:rsidRPr="00C9631A">
        <w:rPr>
          <w:rFonts w:ascii="Arial" w:hAnsi="Arial" w:cs="Arial"/>
          <w:bCs/>
          <w:sz w:val="20"/>
          <w:szCs w:val="20"/>
        </w:rPr>
        <w:t xml:space="preserve"> giorno dopo la fine del mese di riferimento</w:t>
      </w:r>
      <w:r>
        <w:rPr>
          <w:rFonts w:ascii="Arial" w:hAnsi="Arial" w:cs="Arial"/>
          <w:bCs/>
          <w:sz w:val="20"/>
          <w:szCs w:val="20"/>
        </w:rPr>
        <w:t xml:space="preserve"> e</w:t>
      </w:r>
      <w:r w:rsidRPr="00C9631A">
        <w:rPr>
          <w:rFonts w:ascii="Arial" w:hAnsi="Arial" w:cs="Arial"/>
          <w:bCs/>
          <w:sz w:val="20"/>
          <w:szCs w:val="20"/>
        </w:rPr>
        <w:t xml:space="preserve"> la trasmissione </w:t>
      </w:r>
      <w:r>
        <w:rPr>
          <w:rFonts w:ascii="Arial" w:hAnsi="Arial" w:cs="Arial"/>
          <w:bCs/>
          <w:sz w:val="20"/>
          <w:szCs w:val="20"/>
        </w:rPr>
        <w:t>deve essere  effettuta</w:t>
      </w:r>
      <w:r w:rsidRPr="00EE3D7B">
        <w:rPr>
          <w:rFonts w:ascii="Arial" w:hAnsi="Arial" w:cs="Arial"/>
          <w:bCs/>
          <w:sz w:val="20"/>
          <w:szCs w:val="20"/>
        </w:rPr>
        <w:t xml:space="preserve"> entro le date di</w:t>
      </w:r>
      <w:r>
        <w:rPr>
          <w:rFonts w:ascii="Arial" w:hAnsi="Arial" w:cs="Arial"/>
          <w:bCs/>
          <w:sz w:val="20"/>
          <w:szCs w:val="20"/>
        </w:rPr>
        <w:t xml:space="preserve"> indicate nella lettera informativa</w:t>
      </w:r>
      <w:r w:rsidRPr="00EE3D7B">
        <w:rPr>
          <w:rFonts w:ascii="Arial" w:hAnsi="Arial" w:cs="Arial"/>
          <w:bCs/>
          <w:sz w:val="20"/>
          <w:szCs w:val="20"/>
        </w:rPr>
        <w:t xml:space="preserve"> </w:t>
      </w:r>
      <w:r w:rsidRPr="00C9631A">
        <w:rPr>
          <w:rFonts w:ascii="Arial" w:hAnsi="Arial" w:cs="Arial"/>
          <w:bCs/>
          <w:sz w:val="20"/>
          <w:szCs w:val="20"/>
        </w:rPr>
        <w:t>al fine di poter rispettare le scadenze dei regolamenti europei</w:t>
      </w:r>
      <w:r>
        <w:rPr>
          <w:rFonts w:ascii="Arial" w:hAnsi="Arial" w:cs="Arial"/>
          <w:bCs/>
          <w:sz w:val="20"/>
          <w:szCs w:val="20"/>
        </w:rPr>
        <w:t>.</w:t>
      </w:r>
      <w:r w:rsidRPr="00C9631A">
        <w:rPr>
          <w:rFonts w:ascii="Arial" w:hAnsi="Arial" w:cs="Arial"/>
          <w:bCs/>
          <w:sz w:val="20"/>
          <w:szCs w:val="20"/>
        </w:rPr>
        <w:t xml:space="preserve"> </w:t>
      </w:r>
      <w:r>
        <w:rPr>
          <w:rFonts w:ascii="Arial" w:hAnsi="Arial" w:cs="Arial"/>
          <w:bCs/>
          <w:sz w:val="20"/>
          <w:szCs w:val="20"/>
        </w:rPr>
        <w:t>S</w:t>
      </w:r>
      <w:r w:rsidRPr="00C9631A">
        <w:rPr>
          <w:rFonts w:ascii="Arial" w:hAnsi="Arial" w:cs="Arial"/>
          <w:bCs/>
          <w:sz w:val="20"/>
          <w:szCs w:val="20"/>
        </w:rPr>
        <w:t>uccessivamente sono previste operazioni di sollecito e contatto delle unità non rispondenti al fine di aumentare la copertura delle stime provvisorie e definitive.</w:t>
      </w:r>
    </w:p>
    <w:p w14:paraId="68C157D6" w14:textId="77777777" w:rsidR="006F6BD9" w:rsidRPr="00C9631A" w:rsidRDefault="006F6BD9" w:rsidP="006F6BD9">
      <w:pPr>
        <w:spacing w:after="120"/>
        <w:jc w:val="both"/>
        <w:rPr>
          <w:rFonts w:ascii="Arial" w:hAnsi="Arial" w:cs="Arial"/>
          <w:bCs/>
          <w:sz w:val="20"/>
          <w:szCs w:val="20"/>
        </w:rPr>
      </w:pPr>
      <w:r w:rsidRPr="00C9631A">
        <w:rPr>
          <w:rFonts w:ascii="Arial" w:hAnsi="Arial" w:cs="Arial"/>
          <w:bCs/>
          <w:sz w:val="20"/>
          <w:szCs w:val="20"/>
        </w:rPr>
        <w:t xml:space="preserve">Il questionario è di tipo chiuso, riporta prestampato l’elenco dei prodotti sottoposti a osservazione; l’impresa, coerentemente con la denominazione del prodotto assegnato, individua le </w:t>
      </w:r>
      <w:r w:rsidRPr="00C9631A">
        <w:rPr>
          <w:rFonts w:ascii="Arial" w:hAnsi="Arial" w:cs="Arial"/>
          <w:bCs/>
          <w:i/>
          <w:sz w:val="20"/>
          <w:szCs w:val="20"/>
        </w:rPr>
        <w:t>tipologie di prodotto</w:t>
      </w:r>
      <w:r w:rsidRPr="00C9631A">
        <w:rPr>
          <w:rFonts w:ascii="Arial" w:hAnsi="Arial" w:cs="Arial"/>
          <w:bCs/>
          <w:sz w:val="20"/>
          <w:szCs w:val="20"/>
        </w:rPr>
        <w:t xml:space="preserve"> maggiormente rappresentative delle importazioni dell’impresa per le quali sia possibile determinare regolarmente un prezzo di </w:t>
      </w:r>
      <w:r>
        <w:rPr>
          <w:rFonts w:ascii="Arial" w:hAnsi="Arial" w:cs="Arial"/>
          <w:bCs/>
          <w:sz w:val="20"/>
          <w:szCs w:val="20"/>
        </w:rPr>
        <w:t>a</w:t>
      </w:r>
      <w:r w:rsidRPr="00C9631A">
        <w:rPr>
          <w:rFonts w:ascii="Arial" w:hAnsi="Arial" w:cs="Arial"/>
          <w:bCs/>
          <w:sz w:val="20"/>
          <w:szCs w:val="20"/>
        </w:rPr>
        <w:t xml:space="preserve">cquisto nel tempo. </w:t>
      </w:r>
    </w:p>
    <w:p w14:paraId="5C539D95" w14:textId="77777777" w:rsidR="006F6BD9" w:rsidRPr="00C9631A" w:rsidRDefault="006F6BD9" w:rsidP="006F6BD9">
      <w:pPr>
        <w:spacing w:after="120"/>
        <w:jc w:val="both"/>
        <w:rPr>
          <w:rFonts w:ascii="Arial" w:hAnsi="Arial" w:cs="Arial"/>
          <w:bCs/>
          <w:sz w:val="20"/>
          <w:szCs w:val="20"/>
        </w:rPr>
      </w:pPr>
      <w:r w:rsidRPr="00C9631A">
        <w:rPr>
          <w:rFonts w:ascii="Arial" w:hAnsi="Arial" w:cs="Arial"/>
          <w:bCs/>
          <w:sz w:val="20"/>
          <w:szCs w:val="20"/>
        </w:rPr>
        <w:t xml:space="preserve">La variabile rilevata è il prezzo all’importazione ovvero un prezzo di acquisto di un prodotto ceduto da un operatore non residente da parte di un’impresa residente in Italia. </w:t>
      </w:r>
      <w:r w:rsidRPr="00C9631A">
        <w:rPr>
          <w:rFonts w:ascii="Arial" w:hAnsi="Arial" w:cs="Arial"/>
          <w:sz w:val="20"/>
          <w:szCs w:val="20"/>
        </w:rPr>
        <w:t xml:space="preserve">Si tratta di un prezzo di mercato o di transazione reale, cioè un prezzo che si riferisce a un acquisto effettivamente realizzato. I prezzi sono rilevati in euro secondo la clausola </w:t>
      </w:r>
      <w:r w:rsidRPr="00C9631A">
        <w:rPr>
          <w:rFonts w:ascii="Arial" w:hAnsi="Arial" w:cs="Arial"/>
          <w:iCs/>
          <w:sz w:val="20"/>
          <w:szCs w:val="20"/>
        </w:rPr>
        <w:t xml:space="preserve">Cif </w:t>
      </w:r>
      <w:r w:rsidRPr="00C9631A">
        <w:rPr>
          <w:rFonts w:ascii="Arial" w:hAnsi="Arial" w:cs="Arial"/>
          <w:sz w:val="20"/>
          <w:szCs w:val="20"/>
        </w:rPr>
        <w:t xml:space="preserve">(costo, assicurazione e nolo) alla frontiera nazionale; sono al netto dell'Iva e di ogni altro onere a carico dell'acquirente. </w:t>
      </w:r>
    </w:p>
    <w:p w14:paraId="0ED14C1A" w14:textId="77777777" w:rsidR="006F6BD9" w:rsidRPr="00C9631A" w:rsidRDefault="006F6BD9" w:rsidP="006F6BD9">
      <w:pPr>
        <w:spacing w:after="120"/>
        <w:jc w:val="both"/>
        <w:rPr>
          <w:rFonts w:ascii="Arial" w:hAnsi="Arial" w:cs="Arial"/>
          <w:sz w:val="20"/>
          <w:szCs w:val="20"/>
        </w:rPr>
      </w:pPr>
      <w:r w:rsidRPr="00C9631A">
        <w:rPr>
          <w:rFonts w:ascii="Arial" w:hAnsi="Arial" w:cs="Arial"/>
          <w:sz w:val="20"/>
          <w:szCs w:val="20"/>
        </w:rPr>
        <w:t xml:space="preserve">L’importazione è il </w:t>
      </w:r>
      <w:r w:rsidRPr="00C9631A">
        <w:rPr>
          <w:rFonts w:ascii="Arial" w:hAnsi="Arial" w:cs="Arial"/>
          <w:iCs/>
          <w:sz w:val="20"/>
          <w:szCs w:val="20"/>
        </w:rPr>
        <w:t>valore della merce acquistata all’estero dalle imprese industriali e commerciali, valutato Cif e riferito ai soli regimi definitivi (cioè al netto delle importazioni temporanee e delle reimportazioni), distinto per area di importazione euro/non euro.</w:t>
      </w:r>
    </w:p>
    <w:p w14:paraId="0E61354D" w14:textId="77777777" w:rsidR="006F6BD9" w:rsidRPr="00C9631A" w:rsidRDefault="006F6BD9" w:rsidP="006F6BD9">
      <w:pPr>
        <w:spacing w:after="120"/>
        <w:jc w:val="both"/>
        <w:rPr>
          <w:rFonts w:ascii="Arial" w:hAnsi="Arial" w:cs="Arial"/>
          <w:bCs/>
          <w:sz w:val="20"/>
          <w:szCs w:val="20"/>
        </w:rPr>
      </w:pPr>
      <w:r w:rsidRPr="00C9631A">
        <w:rPr>
          <w:rFonts w:ascii="Arial" w:hAnsi="Arial" w:cs="Arial"/>
          <w:bCs/>
          <w:sz w:val="20"/>
          <w:szCs w:val="20"/>
        </w:rPr>
        <w:t>I dati raccolti sono sottoposti a un processo di controllo e correzione con integrazione delle mancate risposte. In particolare, si verifica la compatibilità dei valori con l’informazione richiesta (prezzo all’importazione), la coerenza intertemporale dei dati, la presenza di valori anomali; la validazione dei dati può richiedere il ritorno sul rispondente al fine di sanare i problemi rilevati. I dati mancanti sono stimati utilizzando l’ultima informazione disponibile validata.</w:t>
      </w:r>
    </w:p>
    <w:p w14:paraId="424672C3" w14:textId="77777777" w:rsidR="006F6BD9" w:rsidRDefault="006F6BD9" w:rsidP="006F6BD9">
      <w:pPr>
        <w:spacing w:after="120"/>
        <w:jc w:val="both"/>
        <w:rPr>
          <w:rFonts w:ascii="Arial" w:hAnsi="Arial" w:cs="Arial"/>
          <w:bCs/>
          <w:sz w:val="20"/>
          <w:szCs w:val="20"/>
        </w:rPr>
      </w:pPr>
      <w:r w:rsidRPr="00C9631A">
        <w:rPr>
          <w:rFonts w:ascii="Arial" w:hAnsi="Arial" w:cs="Arial"/>
          <w:bCs/>
          <w:sz w:val="20"/>
          <w:szCs w:val="20"/>
        </w:rPr>
        <w:t>I dati raccolti mensilmente sono elaborati sotto forma di numeri indici di prezzo e sono diffusi in forma aggregata.</w:t>
      </w:r>
    </w:p>
    <w:p w14:paraId="55E0D3A1" w14:textId="77777777" w:rsidR="00214291" w:rsidRDefault="00214291" w:rsidP="00214291">
      <w:pPr>
        <w:spacing w:after="120"/>
        <w:jc w:val="both"/>
        <w:rPr>
          <w:rFonts w:ascii="Arial" w:hAnsi="Arial" w:cs="Arial"/>
          <w:b/>
          <w:sz w:val="20"/>
          <w:szCs w:val="20"/>
        </w:rPr>
      </w:pPr>
    </w:p>
    <w:p w14:paraId="7E810890" w14:textId="64DB8DEE" w:rsidR="00214291" w:rsidRDefault="00214291" w:rsidP="00214291">
      <w:pPr>
        <w:spacing w:after="120"/>
        <w:jc w:val="both"/>
        <w:rPr>
          <w:rFonts w:ascii="Arial" w:hAnsi="Arial" w:cs="Arial"/>
          <w:b/>
          <w:sz w:val="20"/>
          <w:szCs w:val="20"/>
        </w:rPr>
      </w:pPr>
      <w:r>
        <w:rPr>
          <w:rFonts w:ascii="Arial" w:hAnsi="Arial" w:cs="Arial"/>
          <w:b/>
          <w:sz w:val="20"/>
          <w:szCs w:val="20"/>
        </w:rPr>
        <w:t xml:space="preserve">Metodologia di calcolo del sistema </w:t>
      </w:r>
      <w:r w:rsidRPr="00C9631A">
        <w:rPr>
          <w:rFonts w:ascii="Arial" w:hAnsi="Arial" w:cs="Arial"/>
          <w:b/>
          <w:sz w:val="20"/>
          <w:szCs w:val="20"/>
        </w:rPr>
        <w:t>degli indici</w:t>
      </w:r>
    </w:p>
    <w:p w14:paraId="37327E04" w14:textId="77777777" w:rsidR="00214291" w:rsidRDefault="00214291" w:rsidP="00214291">
      <w:pPr>
        <w:spacing w:after="120"/>
        <w:jc w:val="both"/>
        <w:rPr>
          <w:rFonts w:ascii="Arial" w:hAnsi="Arial" w:cs="Arial"/>
          <w:sz w:val="20"/>
          <w:szCs w:val="20"/>
        </w:rPr>
      </w:pPr>
      <w:r>
        <w:rPr>
          <w:rFonts w:ascii="Arial" w:hAnsi="Arial" w:cs="Arial"/>
          <w:sz w:val="20"/>
          <w:szCs w:val="20"/>
        </w:rPr>
        <w:t>D</w:t>
      </w:r>
      <w:r w:rsidRPr="00994100">
        <w:rPr>
          <w:rFonts w:ascii="Arial" w:hAnsi="Arial" w:cs="Arial"/>
          <w:sz w:val="20"/>
          <w:szCs w:val="20"/>
        </w:rPr>
        <w:t>a marzo 2022, con la diffusione dei dati riferiti a gennaio</w:t>
      </w:r>
      <w:r>
        <w:rPr>
          <w:rFonts w:ascii="Arial" w:hAnsi="Arial" w:cs="Arial"/>
          <w:sz w:val="20"/>
          <w:szCs w:val="20"/>
        </w:rPr>
        <w:t xml:space="preserve"> 2022</w:t>
      </w:r>
      <w:r w:rsidRPr="00994100">
        <w:rPr>
          <w:rFonts w:ascii="Arial" w:hAnsi="Arial" w:cs="Arial"/>
          <w:sz w:val="20"/>
          <w:szCs w:val="20"/>
        </w:rPr>
        <w:t xml:space="preserve">, gli indici dei prezzi </w:t>
      </w:r>
      <w:r w:rsidRPr="00C9631A">
        <w:rPr>
          <w:rFonts w:ascii="Arial" w:hAnsi="Arial" w:cs="Arial"/>
          <w:sz w:val="20"/>
          <w:szCs w:val="20"/>
        </w:rPr>
        <w:t>all’importazione</w:t>
      </w:r>
      <w:r w:rsidRPr="00994100">
        <w:rPr>
          <w:rFonts w:ascii="Arial" w:hAnsi="Arial" w:cs="Arial"/>
          <w:sz w:val="20"/>
          <w:szCs w:val="20"/>
        </w:rPr>
        <w:t xml:space="preserve"> </w:t>
      </w:r>
      <w:r>
        <w:rPr>
          <w:rFonts w:ascii="Arial" w:hAnsi="Arial" w:cs="Arial"/>
          <w:sz w:val="20"/>
          <w:szCs w:val="20"/>
        </w:rPr>
        <w:t>sono calcolati con il metodo del concatenamento annuale su base mensile; s</w:t>
      </w:r>
      <w:r w:rsidRPr="00994100">
        <w:rPr>
          <w:rFonts w:ascii="Arial" w:hAnsi="Arial" w:cs="Arial"/>
          <w:sz w:val="20"/>
          <w:szCs w:val="20"/>
        </w:rPr>
        <w:t xml:space="preserve">ono </w:t>
      </w:r>
      <w:r>
        <w:rPr>
          <w:rFonts w:ascii="Arial" w:hAnsi="Arial" w:cs="Arial"/>
          <w:sz w:val="20"/>
          <w:szCs w:val="20"/>
        </w:rPr>
        <w:t xml:space="preserve">pertanto </w:t>
      </w:r>
      <w:r w:rsidRPr="00994100">
        <w:rPr>
          <w:rFonts w:ascii="Arial" w:hAnsi="Arial" w:cs="Arial"/>
          <w:sz w:val="20"/>
          <w:szCs w:val="20"/>
        </w:rPr>
        <w:t>elaborati in base di calcolo dicembre 2021</w:t>
      </w:r>
      <w:r>
        <w:rPr>
          <w:rFonts w:ascii="Arial" w:hAnsi="Arial" w:cs="Arial"/>
          <w:sz w:val="20"/>
          <w:szCs w:val="20"/>
        </w:rPr>
        <w:t>. La base di riferimento resta l’anno</w:t>
      </w:r>
      <w:r w:rsidRPr="00994100">
        <w:rPr>
          <w:rFonts w:ascii="Arial" w:hAnsi="Arial" w:cs="Arial"/>
          <w:sz w:val="20"/>
          <w:szCs w:val="20"/>
        </w:rPr>
        <w:t xml:space="preserve"> 2015.</w:t>
      </w:r>
    </w:p>
    <w:p w14:paraId="2719231D" w14:textId="77777777" w:rsidR="00214291" w:rsidRPr="00994100" w:rsidRDefault="00214291" w:rsidP="00214291">
      <w:pPr>
        <w:spacing w:after="120"/>
        <w:jc w:val="both"/>
        <w:rPr>
          <w:rFonts w:ascii="Arial" w:hAnsi="Arial" w:cs="Arial"/>
          <w:sz w:val="20"/>
          <w:szCs w:val="20"/>
        </w:rPr>
      </w:pPr>
      <w:r>
        <w:rPr>
          <w:rFonts w:ascii="Arial" w:hAnsi="Arial" w:cs="Arial"/>
          <w:sz w:val="20"/>
          <w:szCs w:val="20"/>
        </w:rPr>
        <w:t>Il sistema degli indici dei prezzi all’importazione è costituito da due variabili rilevate – riferite all’Area euro e all’Area non euro – e da una variabile di sintesi – totale (Area euro più Area non euro).</w:t>
      </w:r>
    </w:p>
    <w:p w14:paraId="0A64EA34" w14:textId="27D953EE" w:rsidR="00214291" w:rsidRPr="00942E72" w:rsidRDefault="00214291" w:rsidP="00214291">
      <w:pPr>
        <w:spacing w:after="120"/>
        <w:jc w:val="both"/>
        <w:rPr>
          <w:rFonts w:ascii="Arial" w:hAnsi="Arial" w:cs="Arial"/>
          <w:sz w:val="20"/>
          <w:szCs w:val="20"/>
        </w:rPr>
      </w:pPr>
      <w:r w:rsidRPr="00994100">
        <w:rPr>
          <w:rFonts w:ascii="Arial" w:hAnsi="Arial" w:cs="Arial"/>
          <w:sz w:val="20"/>
          <w:szCs w:val="20"/>
        </w:rPr>
        <w:t xml:space="preserve">Le variabili rilevate si calcolano prima longitudinalmente (o per colonna: indici in base di calcolo) quindi per riga (indici in base di riferimento). La procedura di calcolo è articolata in tre livelli: nel primo si definiscono i prezzi relativi (rapporti tra i prezzi correnti e quelli base Dicembre 2021). Nel secondo, si aggregano in media geometrica semplice i prezzi relativi associati ai prodotti. Nel terzo si aggregano in media aritmetica ponderata gli indici dei sotto-aggregati, dai </w:t>
      </w:r>
      <w:r w:rsidRPr="00942E72">
        <w:rPr>
          <w:rFonts w:ascii="Arial" w:hAnsi="Arial" w:cs="Arial"/>
          <w:sz w:val="20"/>
          <w:szCs w:val="20"/>
        </w:rPr>
        <w:t xml:space="preserve">prodotti all’indice generale (formula tipo Laspeyres concatenato). </w:t>
      </w:r>
    </w:p>
    <w:p w14:paraId="5C79781F" w14:textId="77777777" w:rsidR="00214291" w:rsidRPr="00994100" w:rsidRDefault="00214291" w:rsidP="00214291">
      <w:pPr>
        <w:spacing w:after="120"/>
        <w:jc w:val="both"/>
        <w:rPr>
          <w:rFonts w:ascii="Arial" w:hAnsi="Arial" w:cs="Arial"/>
          <w:sz w:val="20"/>
          <w:szCs w:val="20"/>
        </w:rPr>
      </w:pPr>
      <w:r w:rsidRPr="00942E72">
        <w:rPr>
          <w:rFonts w:ascii="Arial" w:hAnsi="Arial" w:cs="Arial"/>
          <w:sz w:val="20"/>
          <w:szCs w:val="20"/>
        </w:rPr>
        <w:t>Gli indici in base di riferimento dell</w:t>
      </w:r>
      <w:r>
        <w:rPr>
          <w:rFonts w:ascii="Arial" w:hAnsi="Arial" w:cs="Arial"/>
          <w:sz w:val="20"/>
          <w:szCs w:val="20"/>
        </w:rPr>
        <w:t>a variabile di sintesi</w:t>
      </w:r>
      <w:r w:rsidRPr="00942E72">
        <w:rPr>
          <w:rFonts w:ascii="Arial" w:hAnsi="Arial" w:cs="Arial"/>
          <w:sz w:val="20"/>
          <w:szCs w:val="20"/>
        </w:rPr>
        <w:t xml:space="preserve"> si definiscono a partire dalla media aritmetica ponderata degli indici in base di calcolo delle variabili rilevate, utilizzando – per ciascun aggregato – un coefficiente di ponderazione derivato dai pesi assoluti. Ottenuto l’indice in base di calcolo, quello in base di riferimento si deriva con la formula di concatenamento. Gli indici sono concatenati a partire dagli aggregati a 4 cifre Ateco 2007.</w:t>
      </w:r>
    </w:p>
    <w:p w14:paraId="108E7B9A" w14:textId="6E7369B2" w:rsidR="00CD38B7" w:rsidRDefault="00CD38B7" w:rsidP="00CD38B7">
      <w:pPr>
        <w:spacing w:after="120"/>
        <w:jc w:val="both"/>
        <w:rPr>
          <w:rFonts w:ascii="Arial" w:hAnsi="Arial" w:cs="Arial"/>
          <w:color w:val="000000"/>
          <w:sz w:val="20"/>
          <w:szCs w:val="20"/>
        </w:rPr>
      </w:pPr>
    </w:p>
    <w:p w14:paraId="5CAABEFC" w14:textId="2A8A7E10" w:rsidR="009F4E0C" w:rsidRDefault="009F4E0C" w:rsidP="00CD38B7">
      <w:pPr>
        <w:spacing w:after="120"/>
        <w:jc w:val="both"/>
        <w:rPr>
          <w:rFonts w:ascii="Arial" w:hAnsi="Arial" w:cs="Arial"/>
          <w:color w:val="000000"/>
          <w:sz w:val="20"/>
          <w:szCs w:val="20"/>
        </w:rPr>
      </w:pPr>
    </w:p>
    <w:p w14:paraId="1E12F2C6" w14:textId="1F1D8950" w:rsidR="009F4E0C" w:rsidRDefault="009F4E0C" w:rsidP="00CD38B7">
      <w:pPr>
        <w:spacing w:after="120"/>
        <w:jc w:val="both"/>
        <w:rPr>
          <w:rFonts w:ascii="Arial" w:hAnsi="Arial" w:cs="Arial"/>
          <w:color w:val="000000"/>
          <w:sz w:val="20"/>
          <w:szCs w:val="20"/>
        </w:rPr>
      </w:pPr>
    </w:p>
    <w:p w14:paraId="4B298C3E" w14:textId="50BA82DB" w:rsidR="009F4E0C" w:rsidRDefault="009F4E0C" w:rsidP="00CD38B7">
      <w:pPr>
        <w:spacing w:after="120"/>
        <w:jc w:val="both"/>
        <w:rPr>
          <w:rFonts w:ascii="Arial" w:hAnsi="Arial" w:cs="Arial"/>
          <w:color w:val="000000"/>
          <w:sz w:val="20"/>
          <w:szCs w:val="20"/>
        </w:rPr>
      </w:pPr>
    </w:p>
    <w:p w14:paraId="1C9300A5" w14:textId="77777777" w:rsidR="00214291" w:rsidRPr="00C9631A" w:rsidRDefault="00214291" w:rsidP="00214291">
      <w:pPr>
        <w:spacing w:after="120"/>
        <w:jc w:val="both"/>
        <w:rPr>
          <w:rFonts w:ascii="Arial" w:hAnsi="Arial" w:cs="Arial"/>
          <w:b/>
          <w:sz w:val="20"/>
          <w:szCs w:val="20"/>
        </w:rPr>
      </w:pPr>
      <w:r w:rsidRPr="00C9631A">
        <w:rPr>
          <w:rFonts w:ascii="Arial" w:hAnsi="Arial" w:cs="Arial"/>
          <w:b/>
          <w:sz w:val="20"/>
          <w:szCs w:val="20"/>
        </w:rPr>
        <w:t>Struttura di ponderazione</w:t>
      </w:r>
    </w:p>
    <w:p w14:paraId="4E8C7403" w14:textId="77777777" w:rsidR="00214291" w:rsidRPr="00C9631A" w:rsidRDefault="00214291" w:rsidP="00214291">
      <w:pPr>
        <w:spacing w:after="120"/>
        <w:jc w:val="both"/>
        <w:rPr>
          <w:rFonts w:ascii="Arial" w:hAnsi="Arial" w:cs="Arial"/>
          <w:sz w:val="20"/>
          <w:szCs w:val="20"/>
        </w:rPr>
      </w:pPr>
      <w:r w:rsidRPr="00C9631A">
        <w:rPr>
          <w:rFonts w:ascii="Arial" w:hAnsi="Arial" w:cs="Arial"/>
          <w:sz w:val="20"/>
          <w:szCs w:val="20"/>
        </w:rPr>
        <w:t>I sistemi di ponderazione degli indici dei prezzi dei prodotti industriali importati dalle imprese (Area euro e Area non euro) sono determinati utilizzando le informazioni desumibili dalle statistiche del commercio con l’estero.</w:t>
      </w:r>
    </w:p>
    <w:p w14:paraId="7D4B6829" w14:textId="77777777" w:rsidR="00214291" w:rsidRPr="00C9631A" w:rsidRDefault="00214291" w:rsidP="00214291">
      <w:pPr>
        <w:spacing w:after="120"/>
        <w:jc w:val="both"/>
        <w:rPr>
          <w:rFonts w:ascii="Arial" w:hAnsi="Arial" w:cs="Arial"/>
          <w:sz w:val="20"/>
          <w:szCs w:val="20"/>
        </w:rPr>
      </w:pPr>
      <w:r w:rsidRPr="00C9631A">
        <w:rPr>
          <w:rFonts w:ascii="Arial" w:hAnsi="Arial" w:cs="Arial"/>
          <w:sz w:val="20"/>
          <w:szCs w:val="20"/>
        </w:rPr>
        <w:t>La variabile utilizzata per la costruzione del sistema di ponderazione (a partire dalle voci di prodotto sino al totale dell’industria) è il valore annuale delle importazioni di prodotti industriali realizzato nell’anno 201</w:t>
      </w:r>
      <w:r>
        <w:rPr>
          <w:rFonts w:ascii="Arial" w:hAnsi="Arial" w:cs="Arial"/>
          <w:sz w:val="20"/>
          <w:szCs w:val="20"/>
        </w:rPr>
        <w:t>9</w:t>
      </w:r>
      <w:r w:rsidRPr="00C9631A">
        <w:rPr>
          <w:rFonts w:ascii="Arial" w:hAnsi="Arial" w:cs="Arial"/>
          <w:sz w:val="20"/>
          <w:szCs w:val="20"/>
        </w:rPr>
        <w:t xml:space="preserve"> nell’Area euro e nell’Area non euro, misurato dalle rilevazioni del commercio con l’estero a livello di merce (ovvero 8 cifre della Nomenclatura Combinata espressa secondo la classificazione CPA) per area di importazione (euro e non euro). </w:t>
      </w:r>
      <w:r>
        <w:rPr>
          <w:rFonts w:ascii="Arial" w:hAnsi="Arial" w:cs="Arial"/>
          <w:sz w:val="20"/>
          <w:szCs w:val="20"/>
        </w:rPr>
        <w:t>I valori 2019 sono stati attualizzati al mese di dicembre 2021.</w:t>
      </w:r>
    </w:p>
    <w:p w14:paraId="50E7DB43" w14:textId="77777777" w:rsidR="00214291" w:rsidRPr="00C9631A" w:rsidRDefault="00214291" w:rsidP="00214291">
      <w:pPr>
        <w:spacing w:after="120"/>
        <w:jc w:val="both"/>
        <w:rPr>
          <w:rFonts w:ascii="Arial" w:hAnsi="Arial" w:cs="Arial"/>
          <w:sz w:val="20"/>
          <w:szCs w:val="20"/>
        </w:rPr>
      </w:pPr>
      <w:r w:rsidRPr="00C9631A">
        <w:rPr>
          <w:rFonts w:ascii="Arial" w:hAnsi="Arial" w:cs="Arial"/>
          <w:sz w:val="20"/>
          <w:szCs w:val="20"/>
        </w:rPr>
        <w:t>I valori riferiti alle statistiche del commercio con l’estero - espressi inizialmente secondo i codici della Nomenclatura Combinata - sono riportati alla codifica della classificazione ProdCom (nelle prime 4 cifre derivata dalla Ateco 2007) mediante le tavole di corrispondenza messe a punto da Eurostat.</w:t>
      </w:r>
    </w:p>
    <w:p w14:paraId="69D3889B" w14:textId="77777777" w:rsidR="00214291" w:rsidRPr="00C9631A" w:rsidRDefault="00214291" w:rsidP="00214291">
      <w:pPr>
        <w:spacing w:after="120"/>
        <w:jc w:val="both"/>
        <w:rPr>
          <w:rFonts w:ascii="Arial" w:hAnsi="Arial" w:cs="Arial"/>
          <w:sz w:val="20"/>
          <w:szCs w:val="20"/>
        </w:rPr>
      </w:pPr>
      <w:r w:rsidRPr="00C9631A">
        <w:rPr>
          <w:rFonts w:ascii="Arial" w:hAnsi="Arial" w:cs="Arial"/>
          <w:sz w:val="20"/>
          <w:szCs w:val="20"/>
        </w:rPr>
        <w:t>Per l’indice all’importazione totale (sintesi delle due aree), la struttura di ponderazione è definita per ciascun livello di aggregazione settoriale sulla base dei pesi relativi delle due aree.</w:t>
      </w:r>
    </w:p>
    <w:p w14:paraId="732C9865" w14:textId="77777777" w:rsidR="00214291" w:rsidRPr="00C9631A" w:rsidRDefault="00214291" w:rsidP="00214291">
      <w:pPr>
        <w:spacing w:after="120"/>
        <w:jc w:val="both"/>
        <w:rPr>
          <w:rFonts w:ascii="Arial" w:hAnsi="Arial" w:cs="Arial"/>
          <w:sz w:val="20"/>
          <w:szCs w:val="20"/>
        </w:rPr>
      </w:pPr>
      <w:r w:rsidRPr="00C9631A">
        <w:rPr>
          <w:rFonts w:ascii="Arial" w:hAnsi="Arial" w:cs="Arial"/>
          <w:sz w:val="20"/>
          <w:szCs w:val="20"/>
        </w:rPr>
        <w:t>I prodotti inclusi nel campione hanno pesi rappresentativi anche dei prodotti simili non selezionati e i loro indici sono espressi secondo la classificazione Ateco 2007.</w:t>
      </w:r>
    </w:p>
    <w:p w14:paraId="3B5249F7" w14:textId="77777777" w:rsidR="00CD38B7" w:rsidRDefault="00CD38B7" w:rsidP="00CD38B7">
      <w:pPr>
        <w:spacing w:after="120"/>
        <w:jc w:val="both"/>
        <w:rPr>
          <w:rFonts w:ascii="Arial" w:hAnsi="Arial" w:cs="Arial"/>
          <w:b/>
          <w:bCs/>
          <w:sz w:val="20"/>
          <w:szCs w:val="20"/>
        </w:rPr>
      </w:pPr>
    </w:p>
    <w:p w14:paraId="4CD57A52" w14:textId="77777777" w:rsidR="00214291" w:rsidRPr="00C9631A" w:rsidRDefault="00214291" w:rsidP="00214291">
      <w:pPr>
        <w:spacing w:after="120"/>
        <w:jc w:val="both"/>
        <w:rPr>
          <w:rFonts w:ascii="Arial" w:hAnsi="Arial" w:cs="Arial"/>
          <w:b/>
          <w:bCs/>
          <w:sz w:val="20"/>
          <w:szCs w:val="20"/>
        </w:rPr>
      </w:pPr>
      <w:r w:rsidRPr="00C9631A">
        <w:rPr>
          <w:rFonts w:ascii="Arial" w:hAnsi="Arial" w:cs="Arial"/>
          <w:b/>
          <w:bCs/>
          <w:sz w:val="20"/>
          <w:szCs w:val="20"/>
        </w:rPr>
        <w:t>Riservatezza</w:t>
      </w:r>
    </w:p>
    <w:p w14:paraId="34C27BA0" w14:textId="77777777" w:rsidR="00214291" w:rsidRPr="00C9631A" w:rsidRDefault="00214291" w:rsidP="00214291">
      <w:pPr>
        <w:spacing w:after="120"/>
        <w:jc w:val="both"/>
        <w:rPr>
          <w:rFonts w:ascii="Arial" w:hAnsi="Arial" w:cs="Arial"/>
          <w:bCs/>
          <w:sz w:val="20"/>
          <w:szCs w:val="20"/>
        </w:rPr>
      </w:pPr>
      <w:r w:rsidRPr="00C9631A">
        <w:rPr>
          <w:rFonts w:ascii="Arial" w:hAnsi="Arial" w:cs="Arial"/>
          <w:bCs/>
          <w:sz w:val="20"/>
          <w:szCs w:val="20"/>
        </w:rPr>
        <w:t xml:space="preserve">I dati raccolti nell’ambito </w:t>
      </w:r>
      <w:r w:rsidRPr="00E660CB">
        <w:rPr>
          <w:rFonts w:ascii="Arial" w:hAnsi="Arial" w:cs="Arial"/>
          <w:bCs/>
          <w:sz w:val="20"/>
          <w:szCs w:val="20"/>
        </w:rPr>
        <w:t>della Rilevazione dei prezzi all’importazione</w:t>
      </w:r>
      <w:r w:rsidRPr="00C9631A">
        <w:rPr>
          <w:rFonts w:ascii="Arial" w:hAnsi="Arial" w:cs="Arial"/>
          <w:bCs/>
          <w:sz w:val="20"/>
          <w:szCs w:val="20"/>
        </w:rPr>
        <w:t xml:space="preserve"> sono tutelati dal segreto statistico (art. 9 d.lgs. n. 322/89) e sottoposti alla normativa relativa alla protezione e al trattamento dei dati personali (d.lgs. 30 giugno 2003, n. 196).</w:t>
      </w:r>
    </w:p>
    <w:p w14:paraId="79FD4AC2" w14:textId="77777777" w:rsidR="009A483A" w:rsidRDefault="009A483A" w:rsidP="00214291">
      <w:pPr>
        <w:spacing w:after="120"/>
        <w:jc w:val="both"/>
        <w:rPr>
          <w:rFonts w:ascii="Arial" w:hAnsi="Arial" w:cs="Arial"/>
          <w:b/>
          <w:bCs/>
          <w:sz w:val="21"/>
          <w:szCs w:val="21"/>
        </w:rPr>
      </w:pPr>
    </w:p>
    <w:p w14:paraId="317ADC8A" w14:textId="3F1DEC41" w:rsidR="00214291" w:rsidRPr="001971DE" w:rsidRDefault="00214291" w:rsidP="00214291">
      <w:pPr>
        <w:spacing w:after="120"/>
        <w:jc w:val="both"/>
        <w:rPr>
          <w:rFonts w:ascii="Arial" w:hAnsi="Arial" w:cs="Arial"/>
          <w:b/>
          <w:bCs/>
          <w:sz w:val="21"/>
          <w:szCs w:val="21"/>
        </w:rPr>
      </w:pPr>
      <w:r w:rsidRPr="001971DE">
        <w:rPr>
          <w:rFonts w:ascii="Arial" w:hAnsi="Arial" w:cs="Arial"/>
          <w:b/>
          <w:bCs/>
          <w:sz w:val="21"/>
          <w:szCs w:val="21"/>
        </w:rPr>
        <w:t>Commercio estero e prezzi all’import: la diffusione dei dati</w:t>
      </w:r>
    </w:p>
    <w:p w14:paraId="516B5FF7" w14:textId="77777777" w:rsidR="00214291" w:rsidRPr="00C9631A" w:rsidRDefault="00214291" w:rsidP="00214291">
      <w:pPr>
        <w:spacing w:after="120"/>
        <w:jc w:val="both"/>
        <w:rPr>
          <w:rFonts w:ascii="Arial" w:hAnsi="Arial" w:cs="Arial"/>
          <w:b/>
          <w:sz w:val="20"/>
          <w:szCs w:val="20"/>
        </w:rPr>
      </w:pPr>
      <w:r w:rsidRPr="00C9631A">
        <w:rPr>
          <w:rFonts w:ascii="Arial" w:hAnsi="Arial" w:cs="Arial"/>
          <w:b/>
          <w:sz w:val="20"/>
          <w:szCs w:val="20"/>
        </w:rPr>
        <w:t>Tempestività del rilascio e revisione dei dati</w:t>
      </w:r>
    </w:p>
    <w:p w14:paraId="1F4D6BA9" w14:textId="77777777" w:rsidR="00214291" w:rsidRPr="00C9631A" w:rsidRDefault="00214291" w:rsidP="00214291">
      <w:pPr>
        <w:spacing w:after="120"/>
        <w:jc w:val="both"/>
        <w:rPr>
          <w:rFonts w:ascii="Arial" w:hAnsi="Arial" w:cs="Arial"/>
          <w:bCs/>
          <w:sz w:val="20"/>
          <w:szCs w:val="20"/>
        </w:rPr>
      </w:pPr>
      <w:r w:rsidRPr="00C9631A">
        <w:rPr>
          <w:rFonts w:ascii="Arial" w:hAnsi="Arial" w:cs="Arial"/>
          <w:sz w:val="20"/>
          <w:szCs w:val="20"/>
        </w:rPr>
        <w:t>I dati sono pubblicati a 45 giorni dal mese di riferimento.</w:t>
      </w:r>
      <w:r w:rsidRPr="00C9631A">
        <w:rPr>
          <w:rFonts w:ascii="Arial" w:hAnsi="Arial" w:cs="Arial"/>
          <w:bCs/>
          <w:sz w:val="20"/>
          <w:szCs w:val="20"/>
        </w:rPr>
        <w:t xml:space="preserve"> Il </w:t>
      </w:r>
      <w:hyperlink r:id="rId42" w:history="1">
        <w:r w:rsidRPr="00E660CB">
          <w:rPr>
            <w:rStyle w:val="Collegamentoipertestuale"/>
            <w:rFonts w:ascii="Arial" w:hAnsi="Arial" w:cs="Arial"/>
            <w:bCs/>
            <w:sz w:val="20"/>
            <w:szCs w:val="20"/>
          </w:rPr>
          <w:t>calendario della diffusione</w:t>
        </w:r>
      </w:hyperlink>
      <w:r w:rsidRPr="00C9631A">
        <w:rPr>
          <w:rFonts w:ascii="Arial" w:hAnsi="Arial" w:cs="Arial"/>
          <w:bCs/>
          <w:sz w:val="20"/>
          <w:szCs w:val="20"/>
        </w:rPr>
        <w:t xml:space="preserve"> è definito annualmente e pubblicato sul sito web dell’Istituto</w:t>
      </w:r>
      <w:r>
        <w:rPr>
          <w:rFonts w:ascii="Arial" w:hAnsi="Arial" w:cs="Arial"/>
          <w:bCs/>
          <w:sz w:val="20"/>
          <w:szCs w:val="20"/>
        </w:rPr>
        <w:t>.</w:t>
      </w:r>
    </w:p>
    <w:p w14:paraId="7827FF91" w14:textId="77777777" w:rsidR="00214291" w:rsidRPr="00C9631A" w:rsidRDefault="00214291" w:rsidP="00214291">
      <w:pPr>
        <w:spacing w:after="120"/>
        <w:jc w:val="both"/>
        <w:rPr>
          <w:rFonts w:ascii="Arial" w:hAnsi="Arial" w:cs="Arial"/>
          <w:sz w:val="20"/>
          <w:szCs w:val="20"/>
        </w:rPr>
      </w:pPr>
      <w:r w:rsidRPr="00C9631A">
        <w:rPr>
          <w:rFonts w:ascii="Arial" w:hAnsi="Arial" w:cs="Arial"/>
          <w:sz w:val="20"/>
          <w:szCs w:val="20"/>
        </w:rPr>
        <w:t xml:space="preserve">Al momento della prima pubblicazione, i dati di commercio estero sono di natura provvisoria e sono soggetti a una prima revisione nel mese successivo, al fine di incorporare ulteriori informazioni che si rendono disponibili successivamente alla loro diffusione, per essere definitivamente consolidati nel mese di novembre dell’anno seguente. </w:t>
      </w:r>
    </w:p>
    <w:p w14:paraId="31846153" w14:textId="77777777" w:rsidR="00214291" w:rsidRPr="00C9631A" w:rsidRDefault="00214291" w:rsidP="00214291">
      <w:pPr>
        <w:spacing w:after="120"/>
        <w:jc w:val="both"/>
        <w:rPr>
          <w:rFonts w:ascii="Arial" w:hAnsi="Arial" w:cs="Arial"/>
          <w:sz w:val="20"/>
          <w:szCs w:val="20"/>
        </w:rPr>
      </w:pPr>
      <w:r w:rsidRPr="00C9631A">
        <w:rPr>
          <w:rFonts w:ascii="Arial" w:hAnsi="Arial" w:cs="Arial"/>
          <w:bCs/>
          <w:sz w:val="20"/>
          <w:szCs w:val="20"/>
        </w:rPr>
        <w:t>I dati definitivi dei prezzi all’import vengono invece diffusi dopo 75 giorni</w:t>
      </w:r>
      <w:r>
        <w:rPr>
          <w:rFonts w:ascii="Arial" w:hAnsi="Arial" w:cs="Arial"/>
          <w:bCs/>
          <w:sz w:val="20"/>
          <w:szCs w:val="20"/>
        </w:rPr>
        <w:t xml:space="preserve">, nel rispetto delle </w:t>
      </w:r>
      <w:r w:rsidRPr="00C9631A">
        <w:rPr>
          <w:rFonts w:ascii="Arial" w:hAnsi="Arial" w:cs="Arial"/>
          <w:bCs/>
          <w:sz w:val="20"/>
          <w:szCs w:val="20"/>
        </w:rPr>
        <w:t xml:space="preserve">condizioni richieste da Eurostat. </w:t>
      </w:r>
    </w:p>
    <w:p w14:paraId="3E968C89" w14:textId="77777777" w:rsidR="00214291" w:rsidRPr="00C9631A" w:rsidRDefault="00214291" w:rsidP="00214291">
      <w:pPr>
        <w:spacing w:after="120"/>
        <w:jc w:val="both"/>
        <w:rPr>
          <w:rFonts w:ascii="Arial" w:hAnsi="Arial" w:cs="Arial"/>
          <w:sz w:val="20"/>
          <w:szCs w:val="20"/>
        </w:rPr>
      </w:pPr>
      <w:r w:rsidRPr="00C9631A">
        <w:rPr>
          <w:rFonts w:ascii="Arial" w:hAnsi="Arial" w:cs="Arial"/>
          <w:sz w:val="20"/>
          <w:szCs w:val="20"/>
        </w:rPr>
        <w:t xml:space="preserve">Per ulteriori informazioni relative alle revisioni degli indicatori congiunturali, consultare la </w:t>
      </w:r>
      <w:hyperlink r:id="rId43" w:history="1">
        <w:r w:rsidRPr="00C9631A">
          <w:rPr>
            <w:rStyle w:val="Collegamentoipertestuale"/>
            <w:rFonts w:ascii="Arial" w:hAnsi="Arial" w:cs="Arial"/>
            <w:sz w:val="20"/>
            <w:szCs w:val="20"/>
          </w:rPr>
          <w:t>sezione dedicata</w:t>
        </w:r>
      </w:hyperlink>
      <w:r w:rsidRPr="00C9631A">
        <w:rPr>
          <w:rFonts w:ascii="Arial" w:hAnsi="Arial" w:cs="Arial"/>
          <w:sz w:val="20"/>
          <w:szCs w:val="20"/>
        </w:rPr>
        <w:t xml:space="preserve">. Fare riferimento, in particolare, alla </w:t>
      </w:r>
      <w:hyperlink r:id="rId44" w:history="1">
        <w:r w:rsidRPr="00C9631A">
          <w:rPr>
            <w:rStyle w:val="Collegamentoipertestuale"/>
            <w:rFonts w:ascii="Arial" w:hAnsi="Arial" w:cs="Arial"/>
            <w:sz w:val="20"/>
            <w:szCs w:val="20"/>
          </w:rPr>
          <w:t>scheda</w:t>
        </w:r>
      </w:hyperlink>
      <w:r w:rsidRPr="00C9631A">
        <w:rPr>
          <w:rFonts w:ascii="Arial" w:hAnsi="Arial" w:cs="Arial"/>
          <w:sz w:val="20"/>
          <w:szCs w:val="20"/>
        </w:rPr>
        <w:t xml:space="preserve"> relativa alle politiche di revisione degli indicatori del commercio con l’estero e prezzi all’import.</w:t>
      </w:r>
    </w:p>
    <w:p w14:paraId="298AAC37" w14:textId="77777777" w:rsidR="00214291" w:rsidRDefault="00214291" w:rsidP="00214291">
      <w:pPr>
        <w:spacing w:after="120"/>
        <w:jc w:val="both"/>
        <w:rPr>
          <w:rFonts w:ascii="Arial" w:hAnsi="Arial" w:cs="Arial"/>
          <w:b/>
          <w:sz w:val="20"/>
          <w:szCs w:val="20"/>
        </w:rPr>
      </w:pPr>
    </w:p>
    <w:p w14:paraId="47FD7D91" w14:textId="77777777" w:rsidR="00214291" w:rsidRPr="00C9631A" w:rsidRDefault="00214291" w:rsidP="00214291">
      <w:pPr>
        <w:spacing w:after="120"/>
        <w:jc w:val="both"/>
        <w:rPr>
          <w:rFonts w:ascii="Arial" w:hAnsi="Arial" w:cs="Arial"/>
          <w:b/>
          <w:sz w:val="20"/>
          <w:szCs w:val="20"/>
        </w:rPr>
      </w:pPr>
      <w:r w:rsidRPr="00C9631A">
        <w:rPr>
          <w:rFonts w:ascii="Arial" w:hAnsi="Arial" w:cs="Arial"/>
          <w:b/>
          <w:sz w:val="20"/>
          <w:szCs w:val="20"/>
        </w:rPr>
        <w:t>I canali di diffusione dei dati statistici</w:t>
      </w:r>
    </w:p>
    <w:p w14:paraId="62C6F75E" w14:textId="77777777" w:rsidR="00214291" w:rsidRPr="00C9631A" w:rsidRDefault="00214291" w:rsidP="00214291">
      <w:pPr>
        <w:spacing w:after="120"/>
        <w:jc w:val="both"/>
        <w:rPr>
          <w:rFonts w:ascii="Arial" w:hAnsi="Arial" w:cs="Arial"/>
          <w:bCs/>
          <w:sz w:val="20"/>
          <w:szCs w:val="20"/>
        </w:rPr>
      </w:pPr>
      <w:r w:rsidRPr="00C9631A">
        <w:rPr>
          <w:rFonts w:ascii="Arial" w:hAnsi="Arial" w:cs="Arial"/>
          <w:bCs/>
          <w:sz w:val="20"/>
          <w:szCs w:val="20"/>
        </w:rPr>
        <w:t>I dati sono diffusi simultaneamente a tutte le parti interessate mediante il comunicato stampa mensile - la Statistica Flash “Commercio con l’estero e prezzi all’import dei prodotti industriali” – pubblicato sul sito web dell’Istituto:</w:t>
      </w:r>
    </w:p>
    <w:p w14:paraId="060CCD3C" w14:textId="77777777" w:rsidR="00214291" w:rsidRPr="00C9631A" w:rsidRDefault="001537CE" w:rsidP="00214291">
      <w:pPr>
        <w:pStyle w:val="Paragrafoelenco"/>
        <w:numPr>
          <w:ilvl w:val="0"/>
          <w:numId w:val="34"/>
        </w:numPr>
        <w:tabs>
          <w:tab w:val="clear" w:pos="426"/>
        </w:tabs>
        <w:ind w:left="426"/>
        <w:rPr>
          <w:rFonts w:ascii="Arial" w:hAnsi="Arial" w:cs="Arial"/>
          <w:sz w:val="20"/>
          <w:szCs w:val="20"/>
        </w:rPr>
      </w:pPr>
      <w:hyperlink r:id="rId45" w:history="1">
        <w:r w:rsidR="00214291" w:rsidRPr="00C9631A">
          <w:rPr>
            <w:rStyle w:val="Collegamentoipertestuale"/>
            <w:rFonts w:ascii="Arial" w:hAnsi="Arial" w:cs="Arial"/>
            <w:sz w:val="20"/>
            <w:szCs w:val="20"/>
          </w:rPr>
          <w:t>Commercio estero e prezzi all’import</w:t>
        </w:r>
      </w:hyperlink>
    </w:p>
    <w:p w14:paraId="342A227B" w14:textId="77777777" w:rsidR="00214291" w:rsidRPr="00C9631A" w:rsidRDefault="00214291" w:rsidP="00214291">
      <w:pPr>
        <w:spacing w:after="120"/>
        <w:jc w:val="both"/>
        <w:rPr>
          <w:rFonts w:ascii="Arial" w:hAnsi="Arial" w:cs="Arial"/>
          <w:bCs/>
          <w:sz w:val="20"/>
          <w:szCs w:val="20"/>
        </w:rPr>
      </w:pPr>
      <w:r w:rsidRPr="00C9631A">
        <w:rPr>
          <w:rFonts w:ascii="Arial" w:hAnsi="Arial" w:cs="Arial"/>
          <w:bCs/>
          <w:sz w:val="20"/>
          <w:szCs w:val="20"/>
        </w:rPr>
        <w:t>Le serie storiche aggiornate sono pubblicate in allegato al comunicato stampa.</w:t>
      </w:r>
    </w:p>
    <w:p w14:paraId="4F799E8D" w14:textId="77777777" w:rsidR="00214291" w:rsidRPr="00C9631A" w:rsidRDefault="00214291" w:rsidP="00214291">
      <w:pPr>
        <w:jc w:val="both"/>
        <w:rPr>
          <w:rFonts w:ascii="Arial" w:hAnsi="Arial" w:cs="Arial"/>
          <w:sz w:val="20"/>
          <w:szCs w:val="20"/>
        </w:rPr>
      </w:pPr>
      <w:r w:rsidRPr="00C9631A">
        <w:rPr>
          <w:rFonts w:ascii="Arial" w:hAnsi="Arial" w:cs="Arial"/>
          <w:sz w:val="20"/>
          <w:szCs w:val="20"/>
        </w:rPr>
        <w:t>Ulteriori comunicati stampa sul commercio estero:</w:t>
      </w:r>
    </w:p>
    <w:p w14:paraId="07C46736" w14:textId="77777777" w:rsidR="00214291" w:rsidRPr="00C9631A" w:rsidRDefault="001537CE" w:rsidP="00214291">
      <w:pPr>
        <w:pStyle w:val="Paragrafoelenco"/>
        <w:numPr>
          <w:ilvl w:val="0"/>
          <w:numId w:val="34"/>
        </w:numPr>
        <w:tabs>
          <w:tab w:val="clear" w:pos="426"/>
        </w:tabs>
        <w:spacing w:before="120"/>
        <w:ind w:left="425" w:hanging="357"/>
        <w:rPr>
          <w:rFonts w:ascii="Arial" w:hAnsi="Arial" w:cs="Arial"/>
          <w:sz w:val="20"/>
          <w:szCs w:val="20"/>
        </w:rPr>
      </w:pPr>
      <w:hyperlink r:id="rId46" w:history="1">
        <w:r w:rsidR="00214291" w:rsidRPr="00C9631A">
          <w:rPr>
            <w:rStyle w:val="Collegamentoipertestuale"/>
            <w:rFonts w:ascii="Arial" w:hAnsi="Arial" w:cs="Arial"/>
            <w:sz w:val="20"/>
            <w:szCs w:val="20"/>
          </w:rPr>
          <w:t>Commercio estero con i paesi extra UE</w:t>
        </w:r>
      </w:hyperlink>
    </w:p>
    <w:p w14:paraId="14B829E2" w14:textId="77777777" w:rsidR="00214291" w:rsidRPr="00C9631A" w:rsidRDefault="001537CE" w:rsidP="00214291">
      <w:pPr>
        <w:pStyle w:val="Paragrafoelenco"/>
        <w:numPr>
          <w:ilvl w:val="0"/>
          <w:numId w:val="34"/>
        </w:numPr>
        <w:tabs>
          <w:tab w:val="clear" w:pos="426"/>
        </w:tabs>
        <w:spacing w:before="240"/>
        <w:ind w:left="426"/>
        <w:rPr>
          <w:rFonts w:ascii="Arial" w:hAnsi="Arial" w:cs="Arial"/>
          <w:sz w:val="20"/>
          <w:szCs w:val="20"/>
        </w:rPr>
      </w:pPr>
      <w:hyperlink r:id="rId47" w:history="1">
        <w:r w:rsidR="00214291" w:rsidRPr="00C9631A">
          <w:rPr>
            <w:rStyle w:val="Collegamentoipertestuale"/>
            <w:rFonts w:ascii="Arial" w:hAnsi="Arial" w:cs="Arial"/>
            <w:sz w:val="20"/>
            <w:szCs w:val="20"/>
          </w:rPr>
          <w:t>Le esportazioni delle regioni italiane</w:t>
        </w:r>
      </w:hyperlink>
    </w:p>
    <w:p w14:paraId="782B7D78" w14:textId="77777777" w:rsidR="00214291" w:rsidRPr="00C9631A" w:rsidRDefault="00214291" w:rsidP="00214291">
      <w:pPr>
        <w:spacing w:after="120"/>
        <w:jc w:val="both"/>
        <w:rPr>
          <w:rFonts w:ascii="Arial" w:hAnsi="Arial" w:cs="Arial"/>
          <w:bCs/>
          <w:sz w:val="20"/>
          <w:szCs w:val="20"/>
        </w:rPr>
      </w:pPr>
      <w:r>
        <w:rPr>
          <w:rFonts w:ascii="Arial" w:hAnsi="Arial" w:cs="Arial"/>
          <w:bCs/>
          <w:sz w:val="20"/>
          <w:szCs w:val="20"/>
        </w:rPr>
        <w:t>I</w:t>
      </w:r>
      <w:r w:rsidRPr="00C9631A">
        <w:rPr>
          <w:rFonts w:ascii="Arial" w:hAnsi="Arial" w:cs="Arial"/>
          <w:bCs/>
          <w:sz w:val="20"/>
          <w:szCs w:val="20"/>
        </w:rPr>
        <w:t xml:space="preserve"> dati sono trasmessi mensilmente ad Eurostat e consultabili all’indirizzo </w:t>
      </w:r>
      <w:hyperlink r:id="rId48" w:history="1">
        <w:r w:rsidRPr="00C9631A">
          <w:rPr>
            <w:rFonts w:ascii="Arial" w:hAnsi="Arial" w:cs="Arial"/>
            <w:bCs/>
            <w:color w:val="0000FF"/>
            <w:sz w:val="20"/>
            <w:szCs w:val="20"/>
            <w:u w:val="single"/>
          </w:rPr>
          <w:t>http://ec.europa.eu/eurostat/data/database</w:t>
        </w:r>
      </w:hyperlink>
      <w:r w:rsidRPr="00C9631A">
        <w:rPr>
          <w:rFonts w:ascii="Arial" w:hAnsi="Arial" w:cs="Arial"/>
          <w:bCs/>
          <w:sz w:val="20"/>
          <w:szCs w:val="20"/>
        </w:rPr>
        <w:t xml:space="preserve"> (Tema </w:t>
      </w:r>
      <w:r w:rsidRPr="00C9631A">
        <w:rPr>
          <w:rFonts w:ascii="Arial" w:hAnsi="Arial" w:cs="Arial"/>
          <w:bCs/>
          <w:i/>
          <w:sz w:val="20"/>
          <w:szCs w:val="20"/>
        </w:rPr>
        <w:t>Industry, trade and services</w:t>
      </w:r>
      <w:r w:rsidRPr="00C9631A">
        <w:rPr>
          <w:rFonts w:ascii="Arial" w:hAnsi="Arial" w:cs="Arial"/>
          <w:bCs/>
          <w:sz w:val="20"/>
          <w:szCs w:val="20"/>
        </w:rPr>
        <w:t xml:space="preserve">, argomento </w:t>
      </w:r>
      <w:r w:rsidRPr="00C9631A">
        <w:rPr>
          <w:rFonts w:ascii="Arial" w:hAnsi="Arial" w:cs="Arial"/>
          <w:bCs/>
          <w:i/>
          <w:sz w:val="20"/>
          <w:szCs w:val="20"/>
        </w:rPr>
        <w:t>Short-term business statistics (sts)</w:t>
      </w:r>
      <w:r w:rsidRPr="00C9631A">
        <w:rPr>
          <w:rFonts w:ascii="Arial" w:hAnsi="Arial" w:cs="Arial"/>
          <w:bCs/>
          <w:sz w:val="20"/>
          <w:szCs w:val="20"/>
        </w:rPr>
        <w:t>).</w:t>
      </w:r>
    </w:p>
    <w:p w14:paraId="5E3EE660" w14:textId="77777777" w:rsidR="0020128C" w:rsidRDefault="0020128C" w:rsidP="00214291">
      <w:pPr>
        <w:spacing w:after="120"/>
        <w:jc w:val="both"/>
        <w:rPr>
          <w:rFonts w:ascii="Arial" w:hAnsi="Arial" w:cs="Arial"/>
          <w:sz w:val="20"/>
          <w:szCs w:val="20"/>
        </w:rPr>
      </w:pPr>
    </w:p>
    <w:p w14:paraId="62AB9604" w14:textId="77777777" w:rsidR="0020128C" w:rsidRDefault="0020128C" w:rsidP="00214291">
      <w:pPr>
        <w:spacing w:after="120"/>
        <w:jc w:val="both"/>
        <w:rPr>
          <w:rFonts w:ascii="Arial" w:hAnsi="Arial" w:cs="Arial"/>
          <w:sz w:val="20"/>
          <w:szCs w:val="20"/>
        </w:rPr>
      </w:pPr>
    </w:p>
    <w:p w14:paraId="6A500876" w14:textId="77777777" w:rsidR="0020128C" w:rsidRDefault="0020128C" w:rsidP="00214291">
      <w:pPr>
        <w:spacing w:after="120"/>
        <w:jc w:val="both"/>
        <w:rPr>
          <w:rFonts w:ascii="Arial" w:hAnsi="Arial" w:cs="Arial"/>
          <w:sz w:val="20"/>
          <w:szCs w:val="20"/>
        </w:rPr>
      </w:pPr>
    </w:p>
    <w:p w14:paraId="3779518A" w14:textId="248A579E" w:rsidR="00214291" w:rsidRPr="00C9631A" w:rsidRDefault="00214291" w:rsidP="00214291">
      <w:pPr>
        <w:spacing w:after="120"/>
        <w:jc w:val="both"/>
        <w:rPr>
          <w:rFonts w:ascii="Arial" w:hAnsi="Arial" w:cs="Arial"/>
          <w:sz w:val="20"/>
          <w:szCs w:val="20"/>
        </w:rPr>
      </w:pPr>
      <w:r w:rsidRPr="00C9631A">
        <w:rPr>
          <w:rFonts w:ascii="Arial" w:hAnsi="Arial" w:cs="Arial"/>
          <w:sz w:val="20"/>
          <w:szCs w:val="20"/>
        </w:rPr>
        <w:t>I dati di commercio estero sono disponibili su Coeweb, il datawarehouse completamente dedicato alle statistiche del commercio con l'estero, nel mese successivo all’uscita del comunicato. La banca dati fornisce, con cadenza mensile, un ricco patrimonio informativo sui flussi commerciali dell'Italia con il resto del mondo e contiene informazioni e serie storiche a partire dal 1991.</w:t>
      </w:r>
    </w:p>
    <w:p w14:paraId="4439F92B" w14:textId="5E5BE94E" w:rsidR="00214291" w:rsidRPr="00C9631A" w:rsidRDefault="00214291" w:rsidP="00214291">
      <w:pPr>
        <w:spacing w:after="120"/>
        <w:jc w:val="both"/>
        <w:rPr>
          <w:rFonts w:ascii="Arial" w:hAnsi="Arial" w:cs="Arial"/>
          <w:sz w:val="20"/>
          <w:szCs w:val="20"/>
        </w:rPr>
      </w:pPr>
      <w:r w:rsidRPr="00C9631A">
        <w:rPr>
          <w:rFonts w:ascii="Arial" w:hAnsi="Arial" w:cs="Arial"/>
          <w:sz w:val="20"/>
          <w:szCs w:val="20"/>
        </w:rPr>
        <w:t>Le serie aggiornate degli indici dei prezzi all’importazione sono pubblicate, in concomitanza con la diffusione del comunicato stampa, sul datawarehouse dell’Istituto (I.</w:t>
      </w:r>
      <w:r w:rsidR="008C67F0">
        <w:rPr>
          <w:rFonts w:ascii="Arial" w:hAnsi="Arial" w:cs="Arial"/>
          <w:sz w:val="20"/>
          <w:szCs w:val="20"/>
        </w:rPr>
        <w:t>S</w:t>
      </w:r>
      <w:r w:rsidRPr="00C9631A">
        <w:rPr>
          <w:rFonts w:ascii="Arial" w:hAnsi="Arial" w:cs="Arial"/>
          <w:sz w:val="20"/>
          <w:szCs w:val="20"/>
        </w:rPr>
        <w:t>tat) all’interno del tema Prezzi - Prezzi all'importazione.</w:t>
      </w:r>
    </w:p>
    <w:p w14:paraId="7F18BEE2" w14:textId="77777777" w:rsidR="00214291" w:rsidRPr="00C9631A" w:rsidRDefault="00214291" w:rsidP="00214291">
      <w:pPr>
        <w:spacing w:after="120"/>
        <w:jc w:val="both"/>
        <w:rPr>
          <w:rFonts w:ascii="Arial" w:hAnsi="Arial" w:cs="Arial"/>
          <w:sz w:val="20"/>
          <w:szCs w:val="20"/>
        </w:rPr>
      </w:pPr>
    </w:p>
    <w:p w14:paraId="735FE341" w14:textId="77777777" w:rsidR="00214291" w:rsidRPr="00C9631A" w:rsidRDefault="00214291" w:rsidP="00214291">
      <w:pPr>
        <w:spacing w:after="120"/>
        <w:jc w:val="both"/>
        <w:rPr>
          <w:rFonts w:ascii="Arial" w:hAnsi="Arial" w:cs="Arial"/>
          <w:b/>
          <w:bCs/>
          <w:sz w:val="20"/>
          <w:szCs w:val="20"/>
        </w:rPr>
      </w:pPr>
      <w:r w:rsidRPr="00C9631A">
        <w:rPr>
          <w:rFonts w:ascii="Arial" w:hAnsi="Arial" w:cs="Arial"/>
          <w:b/>
          <w:bCs/>
          <w:sz w:val="20"/>
          <w:szCs w:val="20"/>
        </w:rPr>
        <w:t>Approfondimenti</w:t>
      </w:r>
    </w:p>
    <w:p w14:paraId="409E17E5" w14:textId="77777777" w:rsidR="00214291" w:rsidRPr="00C9631A" w:rsidRDefault="001537CE" w:rsidP="00214291">
      <w:pPr>
        <w:numPr>
          <w:ilvl w:val="0"/>
          <w:numId w:val="36"/>
        </w:numPr>
        <w:spacing w:after="120"/>
        <w:ind w:left="284" w:hanging="284"/>
        <w:jc w:val="both"/>
        <w:rPr>
          <w:rFonts w:ascii="Arial" w:hAnsi="Arial" w:cs="Arial"/>
          <w:sz w:val="20"/>
          <w:szCs w:val="20"/>
        </w:rPr>
      </w:pPr>
      <w:hyperlink r:id="rId49" w:history="1">
        <w:r w:rsidR="00214291" w:rsidRPr="00C9631A">
          <w:rPr>
            <w:rStyle w:val="Collegamentoipertestuale"/>
            <w:rFonts w:ascii="Arial" w:hAnsi="Arial" w:cs="Arial"/>
            <w:sz w:val="20"/>
            <w:szCs w:val="20"/>
          </w:rPr>
          <w:t>Nota Informativa</w:t>
        </w:r>
      </w:hyperlink>
      <w:r w:rsidR="00214291" w:rsidRPr="00C9631A">
        <w:rPr>
          <w:rFonts w:ascii="Arial" w:hAnsi="Arial" w:cs="Arial"/>
          <w:sz w:val="20"/>
          <w:szCs w:val="20"/>
        </w:rPr>
        <w:t xml:space="preserve"> sulle caratteristiche dei nuovi indici del commercio con l’estero del 25/02/2008.</w:t>
      </w:r>
    </w:p>
    <w:p w14:paraId="0C077999" w14:textId="77777777" w:rsidR="00214291" w:rsidRPr="00C9631A" w:rsidRDefault="001537CE" w:rsidP="00214291">
      <w:pPr>
        <w:numPr>
          <w:ilvl w:val="0"/>
          <w:numId w:val="36"/>
        </w:numPr>
        <w:spacing w:after="120"/>
        <w:ind w:left="284" w:hanging="284"/>
        <w:jc w:val="both"/>
        <w:rPr>
          <w:rFonts w:ascii="Arial" w:hAnsi="Arial" w:cs="Arial"/>
          <w:sz w:val="20"/>
          <w:szCs w:val="20"/>
        </w:rPr>
      </w:pPr>
      <w:hyperlink r:id="rId50" w:history="1">
        <w:r w:rsidR="00214291" w:rsidRPr="00C9631A">
          <w:rPr>
            <w:rStyle w:val="Collegamentoipertestuale"/>
            <w:rFonts w:ascii="Arial" w:hAnsi="Arial" w:cs="Arial"/>
            <w:sz w:val="20"/>
            <w:szCs w:val="20"/>
          </w:rPr>
          <w:t>Nota informativa</w:t>
        </w:r>
      </w:hyperlink>
      <w:r w:rsidR="00214291" w:rsidRPr="00C9631A">
        <w:rPr>
          <w:rFonts w:ascii="Arial" w:hAnsi="Arial" w:cs="Arial"/>
          <w:sz w:val="20"/>
          <w:szCs w:val="20"/>
        </w:rPr>
        <w:t xml:space="preserve"> sul nuovo sistema di produzione delle statistiche sugli scambi con l’estero di gas naturale ed energia elettrica del 15/11/2011.</w:t>
      </w:r>
    </w:p>
    <w:p w14:paraId="15D0880D" w14:textId="77777777" w:rsidR="00214291" w:rsidRPr="00C9631A" w:rsidRDefault="001537CE" w:rsidP="00214291">
      <w:pPr>
        <w:numPr>
          <w:ilvl w:val="0"/>
          <w:numId w:val="36"/>
        </w:numPr>
        <w:spacing w:after="120"/>
        <w:ind w:left="284" w:hanging="284"/>
        <w:jc w:val="both"/>
        <w:rPr>
          <w:rFonts w:ascii="Arial" w:hAnsi="Arial" w:cs="Arial"/>
          <w:sz w:val="20"/>
          <w:szCs w:val="20"/>
        </w:rPr>
      </w:pPr>
      <w:hyperlink r:id="rId51" w:history="1">
        <w:r w:rsidR="00214291" w:rsidRPr="00C9631A">
          <w:rPr>
            <w:rStyle w:val="Collegamentoipertestuale"/>
            <w:rFonts w:ascii="Arial" w:hAnsi="Arial" w:cs="Arial"/>
            <w:sz w:val="20"/>
            <w:szCs w:val="20"/>
          </w:rPr>
          <w:t>Nota informativa</w:t>
        </w:r>
      </w:hyperlink>
      <w:r w:rsidR="00214291" w:rsidRPr="00C9631A">
        <w:rPr>
          <w:rFonts w:ascii="Arial" w:hAnsi="Arial" w:cs="Arial"/>
          <w:sz w:val="20"/>
          <w:szCs w:val="20"/>
        </w:rPr>
        <w:t xml:space="preserve"> sull’avvio della rilevazione</w:t>
      </w:r>
      <w:r w:rsidR="00214291">
        <w:rPr>
          <w:rFonts w:ascii="Arial" w:hAnsi="Arial" w:cs="Arial"/>
          <w:sz w:val="20"/>
          <w:szCs w:val="20"/>
        </w:rPr>
        <w:t xml:space="preserve"> dei prezzi all’import,</w:t>
      </w:r>
      <w:r w:rsidR="00214291" w:rsidRPr="00C9631A">
        <w:rPr>
          <w:rFonts w:ascii="Arial" w:hAnsi="Arial" w:cs="Arial"/>
          <w:sz w:val="20"/>
          <w:szCs w:val="20"/>
        </w:rPr>
        <w:t xml:space="preserve"> del 24/02/2014. </w:t>
      </w:r>
    </w:p>
    <w:p w14:paraId="7C00074D" w14:textId="77777777" w:rsidR="00214291" w:rsidRPr="00C9631A" w:rsidRDefault="001537CE" w:rsidP="00214291">
      <w:pPr>
        <w:numPr>
          <w:ilvl w:val="0"/>
          <w:numId w:val="36"/>
        </w:numPr>
        <w:spacing w:after="120"/>
        <w:ind w:left="284" w:hanging="284"/>
        <w:jc w:val="both"/>
        <w:rPr>
          <w:rFonts w:ascii="Arial" w:hAnsi="Arial" w:cs="Arial"/>
          <w:b/>
          <w:sz w:val="20"/>
          <w:szCs w:val="20"/>
        </w:rPr>
      </w:pPr>
      <w:hyperlink r:id="rId52" w:history="1">
        <w:r w:rsidR="00214291" w:rsidRPr="008A6D09">
          <w:rPr>
            <w:rStyle w:val="Collegamentoipertestuale"/>
            <w:rFonts w:ascii="Arial" w:hAnsi="Arial" w:cs="Arial"/>
            <w:sz w:val="20"/>
            <w:szCs w:val="20"/>
          </w:rPr>
          <w:t>Nota informativa</w:t>
        </w:r>
      </w:hyperlink>
      <w:r w:rsidR="00214291" w:rsidRPr="00C9631A">
        <w:rPr>
          <w:rFonts w:ascii="Arial" w:hAnsi="Arial" w:cs="Arial"/>
          <w:sz w:val="20"/>
          <w:szCs w:val="20"/>
        </w:rPr>
        <w:t xml:space="preserve"> sulla ricostruzione delle serie storiche </w:t>
      </w:r>
      <w:r w:rsidR="00214291">
        <w:rPr>
          <w:rFonts w:ascii="Arial" w:hAnsi="Arial" w:cs="Arial"/>
          <w:sz w:val="20"/>
          <w:szCs w:val="20"/>
        </w:rPr>
        <w:t xml:space="preserve">degli indici dei prezzi all’import </w:t>
      </w:r>
      <w:r w:rsidR="00214291" w:rsidRPr="00C9631A">
        <w:rPr>
          <w:rFonts w:ascii="Arial" w:hAnsi="Arial" w:cs="Arial"/>
          <w:sz w:val="20"/>
          <w:szCs w:val="20"/>
        </w:rPr>
        <w:t>per il periodo 2005 – 2009, del 16/10/2015.</w:t>
      </w:r>
    </w:p>
    <w:p w14:paraId="28251819" w14:textId="77777777" w:rsidR="00214291" w:rsidRPr="00222CB7" w:rsidRDefault="001537CE" w:rsidP="00214291">
      <w:pPr>
        <w:numPr>
          <w:ilvl w:val="0"/>
          <w:numId w:val="36"/>
        </w:numPr>
        <w:spacing w:after="120"/>
        <w:ind w:left="284" w:hanging="284"/>
        <w:jc w:val="both"/>
        <w:rPr>
          <w:rFonts w:ascii="Arial" w:hAnsi="Arial" w:cs="Arial"/>
          <w:sz w:val="20"/>
          <w:szCs w:val="20"/>
        </w:rPr>
      </w:pPr>
      <w:hyperlink r:id="rId53" w:history="1">
        <w:r w:rsidR="00214291" w:rsidRPr="00222CB7">
          <w:rPr>
            <w:rStyle w:val="Collegamentoipertestuale"/>
            <w:rFonts w:ascii="Arial" w:hAnsi="Arial" w:cs="Arial"/>
            <w:sz w:val="20"/>
            <w:szCs w:val="20"/>
          </w:rPr>
          <w:t>Nota informativa</w:t>
        </w:r>
      </w:hyperlink>
      <w:r w:rsidR="00214291" w:rsidRPr="00222CB7">
        <w:rPr>
          <w:rFonts w:ascii="Arial" w:hAnsi="Arial" w:cs="Arial"/>
          <w:sz w:val="20"/>
          <w:szCs w:val="20"/>
        </w:rPr>
        <w:t xml:space="preserve"> sulla nuova base 2015</w:t>
      </w:r>
      <w:r w:rsidR="00214291">
        <w:rPr>
          <w:rFonts w:ascii="Arial" w:hAnsi="Arial" w:cs="Arial"/>
          <w:sz w:val="20"/>
          <w:szCs w:val="20"/>
        </w:rPr>
        <w:t xml:space="preserve"> degli indici dei prezzi all’import</w:t>
      </w:r>
      <w:r w:rsidR="00214291" w:rsidRPr="00222CB7">
        <w:rPr>
          <w:rFonts w:ascii="Arial" w:hAnsi="Arial" w:cs="Arial"/>
          <w:sz w:val="20"/>
          <w:szCs w:val="20"/>
        </w:rPr>
        <w:t>, del 17/05/2018.</w:t>
      </w:r>
    </w:p>
    <w:p w14:paraId="321A4C20" w14:textId="77777777" w:rsidR="00214291" w:rsidRDefault="001537CE" w:rsidP="00214291">
      <w:pPr>
        <w:numPr>
          <w:ilvl w:val="0"/>
          <w:numId w:val="36"/>
        </w:numPr>
        <w:spacing w:after="120"/>
        <w:ind w:left="284" w:hanging="284"/>
        <w:jc w:val="both"/>
        <w:rPr>
          <w:rFonts w:ascii="Arial" w:hAnsi="Arial" w:cs="Arial"/>
          <w:sz w:val="20"/>
          <w:szCs w:val="20"/>
        </w:rPr>
      </w:pPr>
      <w:hyperlink r:id="rId54" w:history="1">
        <w:r w:rsidR="00214291" w:rsidRPr="00DD73E1">
          <w:rPr>
            <w:rStyle w:val="Collegamentoipertestuale"/>
            <w:rFonts w:ascii="Arial" w:hAnsi="Arial" w:cs="Arial"/>
            <w:sz w:val="20"/>
            <w:szCs w:val="20"/>
          </w:rPr>
          <w:t>Nota informativa</w:t>
        </w:r>
      </w:hyperlink>
      <w:r w:rsidR="00214291" w:rsidRPr="00DD73E1">
        <w:rPr>
          <w:rFonts w:ascii="Arial" w:hAnsi="Arial" w:cs="Arial"/>
          <w:sz w:val="20"/>
          <w:szCs w:val="20"/>
        </w:rPr>
        <w:t xml:space="preserve"> sulla revisione dei dati di commercio estero per il periodo 2019, gennaio-maggio 2020.</w:t>
      </w:r>
    </w:p>
    <w:p w14:paraId="35E747AF" w14:textId="5F421D17" w:rsidR="00214291" w:rsidRDefault="00214291" w:rsidP="00214291">
      <w:pPr>
        <w:spacing w:after="120"/>
        <w:ind w:left="284"/>
        <w:jc w:val="both"/>
        <w:rPr>
          <w:rFonts w:ascii="Arial" w:hAnsi="Arial" w:cs="Arial"/>
          <w:sz w:val="20"/>
          <w:szCs w:val="20"/>
        </w:rPr>
      </w:pPr>
    </w:p>
    <w:p w14:paraId="0662E48F" w14:textId="5705BFCC" w:rsidR="009A483A" w:rsidRDefault="009A483A" w:rsidP="00214291">
      <w:pPr>
        <w:spacing w:after="120"/>
        <w:ind w:left="284"/>
        <w:jc w:val="both"/>
        <w:rPr>
          <w:rFonts w:ascii="Arial" w:hAnsi="Arial" w:cs="Arial"/>
          <w:sz w:val="20"/>
          <w:szCs w:val="20"/>
        </w:rPr>
      </w:pPr>
    </w:p>
    <w:p w14:paraId="129BD40C" w14:textId="711C6325" w:rsidR="009A483A" w:rsidRDefault="009A483A" w:rsidP="00214291">
      <w:pPr>
        <w:spacing w:after="120"/>
        <w:ind w:left="284"/>
        <w:jc w:val="both"/>
        <w:rPr>
          <w:rFonts w:ascii="Arial" w:hAnsi="Arial" w:cs="Arial"/>
          <w:sz w:val="20"/>
          <w:szCs w:val="20"/>
        </w:rPr>
      </w:pPr>
    </w:p>
    <w:p w14:paraId="69146D36" w14:textId="29B096A0" w:rsidR="0020128C" w:rsidRDefault="0020128C" w:rsidP="00214291">
      <w:pPr>
        <w:spacing w:after="120"/>
        <w:ind w:left="284"/>
        <w:jc w:val="both"/>
        <w:rPr>
          <w:rFonts w:ascii="Arial" w:hAnsi="Arial" w:cs="Arial"/>
          <w:sz w:val="20"/>
          <w:szCs w:val="20"/>
        </w:rPr>
      </w:pPr>
    </w:p>
    <w:p w14:paraId="768F3CD5" w14:textId="1835BC35" w:rsidR="0020128C" w:rsidRDefault="0020128C" w:rsidP="00214291">
      <w:pPr>
        <w:spacing w:after="120"/>
        <w:ind w:left="284"/>
        <w:jc w:val="both"/>
        <w:rPr>
          <w:rFonts w:ascii="Arial" w:hAnsi="Arial" w:cs="Arial"/>
          <w:sz w:val="20"/>
          <w:szCs w:val="20"/>
        </w:rPr>
      </w:pPr>
    </w:p>
    <w:p w14:paraId="6081F60C" w14:textId="782EABA0" w:rsidR="0020128C" w:rsidRDefault="0020128C" w:rsidP="00214291">
      <w:pPr>
        <w:spacing w:after="120"/>
        <w:ind w:left="284"/>
        <w:jc w:val="both"/>
        <w:rPr>
          <w:rFonts w:ascii="Arial" w:hAnsi="Arial" w:cs="Arial"/>
          <w:sz w:val="20"/>
          <w:szCs w:val="20"/>
        </w:rPr>
      </w:pPr>
    </w:p>
    <w:p w14:paraId="317B00FA" w14:textId="77777777" w:rsidR="0020128C" w:rsidRDefault="0020128C" w:rsidP="00214291">
      <w:pPr>
        <w:spacing w:after="120"/>
        <w:ind w:left="284"/>
        <w:jc w:val="both"/>
        <w:rPr>
          <w:rFonts w:ascii="Arial" w:hAnsi="Arial" w:cs="Arial"/>
          <w:sz w:val="20"/>
          <w:szCs w:val="20"/>
        </w:rPr>
      </w:pPr>
    </w:p>
    <w:p w14:paraId="70563160" w14:textId="77777777" w:rsidR="009A483A" w:rsidRDefault="009A483A" w:rsidP="00214291">
      <w:pPr>
        <w:spacing w:after="120"/>
        <w:ind w:left="284"/>
        <w:jc w:val="both"/>
        <w:rPr>
          <w:rFonts w:ascii="Arial" w:hAnsi="Arial" w:cs="Arial"/>
          <w:sz w:val="20"/>
          <w:szCs w:val="20"/>
        </w:rPr>
      </w:pPr>
    </w:p>
    <w:p w14:paraId="013FD680" w14:textId="77777777" w:rsidR="00CD38B7" w:rsidRPr="002300D8" w:rsidRDefault="00CD38B7" w:rsidP="00E46649">
      <w:pPr>
        <w:pStyle w:val="NormaleWeb"/>
        <w:spacing w:before="360" w:beforeAutospacing="0" w:after="120" w:afterAutospacing="0"/>
        <w:rPr>
          <w:rFonts w:ascii="Arial" w:hAnsi="Arial" w:cs="Arial"/>
          <w:color w:val="CD242F"/>
          <w:sz w:val="36"/>
          <w:szCs w:val="36"/>
        </w:rPr>
      </w:pPr>
      <w:r w:rsidRPr="002300D8">
        <w:rPr>
          <w:rFonts w:ascii="Arial" w:hAnsi="Arial" w:cs="Arial"/>
          <w:bCs/>
          <w:color w:val="CD242F"/>
          <w:sz w:val="36"/>
          <w:szCs w:val="36"/>
        </w:rPr>
        <w:t>Per chiarimenti tecnici e metodologici</w:t>
      </w:r>
    </w:p>
    <w:tbl>
      <w:tblPr>
        <w:tblW w:w="9814" w:type="dxa"/>
        <w:tblBorders>
          <w:top w:val="dotted" w:sz="4" w:space="0" w:color="808080"/>
        </w:tblBorders>
        <w:tblLook w:val="04A0" w:firstRow="1" w:lastRow="0" w:firstColumn="1" w:lastColumn="0" w:noHBand="0" w:noVBand="1"/>
      </w:tblPr>
      <w:tblGrid>
        <w:gridCol w:w="2835"/>
        <w:gridCol w:w="6979"/>
      </w:tblGrid>
      <w:tr w:rsidR="00CD38B7" w:rsidRPr="00E655EB" w14:paraId="7638F7C7" w14:textId="77777777" w:rsidTr="000D3585">
        <w:trPr>
          <w:trHeight w:val="166"/>
        </w:trPr>
        <w:tc>
          <w:tcPr>
            <w:tcW w:w="9814" w:type="dxa"/>
            <w:gridSpan w:val="2"/>
            <w:shd w:val="clear" w:color="auto" w:fill="auto"/>
            <w:tcMar>
              <w:top w:w="170" w:type="dxa"/>
              <w:left w:w="0" w:type="dxa"/>
              <w:right w:w="0" w:type="dxa"/>
            </w:tcMar>
          </w:tcPr>
          <w:p w14:paraId="091498DC" w14:textId="77777777" w:rsidR="00CD38B7" w:rsidRPr="00E30D50" w:rsidRDefault="00CD38B7" w:rsidP="000D3585">
            <w:pPr>
              <w:pStyle w:val="NormaleWeb"/>
              <w:rPr>
                <w:rFonts w:ascii="Arial" w:hAnsi="Arial" w:cs="Arial"/>
                <w:b/>
              </w:rPr>
            </w:pPr>
            <w:r w:rsidRPr="00E30D50">
              <w:rPr>
                <w:rFonts w:ascii="Arial" w:hAnsi="Arial" w:cs="Arial"/>
                <w:b/>
                <w:bCs/>
              </w:rPr>
              <w:t>Commercio con l’estero</w:t>
            </w:r>
          </w:p>
        </w:tc>
      </w:tr>
      <w:tr w:rsidR="00CD38B7" w:rsidRPr="00E655EB" w14:paraId="3BAA4B5D" w14:textId="77777777" w:rsidTr="000D3585">
        <w:trPr>
          <w:trHeight w:val="1134"/>
        </w:trPr>
        <w:tc>
          <w:tcPr>
            <w:tcW w:w="2835" w:type="dxa"/>
            <w:shd w:val="clear" w:color="auto" w:fill="auto"/>
            <w:tcMar>
              <w:top w:w="170" w:type="dxa"/>
              <w:left w:w="0" w:type="dxa"/>
              <w:right w:w="0" w:type="dxa"/>
            </w:tcMar>
          </w:tcPr>
          <w:p w14:paraId="02867A0E" w14:textId="77777777" w:rsidR="00CD38B7" w:rsidRPr="00E655EB" w:rsidRDefault="00CD38B7" w:rsidP="000D3585">
            <w:pPr>
              <w:pStyle w:val="NormaleWeb"/>
              <w:spacing w:beforeAutospacing="0" w:after="120" w:afterAutospacing="0"/>
              <w:rPr>
                <w:rFonts w:ascii="Arial" w:hAnsi="Arial" w:cs="Arial"/>
                <w:b/>
                <w:bCs/>
                <w:color w:val="CD242F"/>
                <w:sz w:val="22"/>
                <w:szCs w:val="22"/>
              </w:rPr>
            </w:pPr>
            <w:r>
              <w:rPr>
                <w:rFonts w:ascii="Arial" w:hAnsi="Arial" w:cs="Arial"/>
                <w:b/>
                <w:bCs/>
                <w:color w:val="CD242F"/>
                <w:sz w:val="22"/>
                <w:szCs w:val="22"/>
              </w:rPr>
              <w:t>Maria Serena Causo</w:t>
            </w:r>
          </w:p>
          <w:p w14:paraId="7C052467" w14:textId="77777777" w:rsidR="00CD38B7" w:rsidRPr="00E655EB" w:rsidRDefault="00CD38B7" w:rsidP="000D3585">
            <w:pPr>
              <w:pStyle w:val="NormaleWeb"/>
              <w:spacing w:beforeAutospacing="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 </w:t>
            </w:r>
            <w:r w:rsidRPr="00E655EB">
              <w:rPr>
                <w:rFonts w:ascii="Arial" w:hAnsi="Arial" w:cs="Arial"/>
                <w:color w:val="000000"/>
              </w:rPr>
              <w:t>06 4673.</w:t>
            </w:r>
            <w:r>
              <w:rPr>
                <w:rFonts w:ascii="Arial" w:hAnsi="Arial" w:cs="Arial"/>
                <w:color w:val="000000"/>
              </w:rPr>
              <w:t>6651</w:t>
            </w:r>
          </w:p>
          <w:p w14:paraId="6C5281E6" w14:textId="77777777" w:rsidR="00CD38B7" w:rsidRPr="00E655EB" w:rsidRDefault="001537CE" w:rsidP="000D3585">
            <w:pPr>
              <w:pStyle w:val="NormaleWeb"/>
              <w:spacing w:beforeAutospacing="0" w:after="120" w:afterAutospacing="0"/>
              <w:rPr>
                <w:rFonts w:ascii="Arial" w:hAnsi="Arial" w:cs="Arial"/>
                <w:color w:val="000000"/>
              </w:rPr>
            </w:pPr>
            <w:hyperlink r:id="rId55" w:history="1">
              <w:r w:rsidR="00CD38B7" w:rsidRPr="003E2D10">
                <w:rPr>
                  <w:rStyle w:val="Collegamentoipertestuale"/>
                  <w:rFonts w:ascii="Arial" w:hAnsi="Arial" w:cs="Arial"/>
                </w:rPr>
                <w:t>causo@istat.it</w:t>
              </w:r>
            </w:hyperlink>
          </w:p>
        </w:tc>
        <w:tc>
          <w:tcPr>
            <w:tcW w:w="6979" w:type="dxa"/>
            <w:shd w:val="clear" w:color="auto" w:fill="auto"/>
            <w:tcMar>
              <w:top w:w="170" w:type="dxa"/>
              <w:left w:w="0" w:type="dxa"/>
              <w:right w:w="0" w:type="dxa"/>
            </w:tcMar>
          </w:tcPr>
          <w:p w14:paraId="344E367D" w14:textId="77777777" w:rsidR="00CD38B7" w:rsidRPr="00E655EB" w:rsidRDefault="00CD38B7" w:rsidP="000D3585">
            <w:pPr>
              <w:pStyle w:val="NormaleWeb"/>
              <w:spacing w:beforeAutospacing="0" w:after="120" w:afterAutospacing="0"/>
              <w:rPr>
                <w:rFonts w:ascii="Arial" w:hAnsi="Arial" w:cs="Arial"/>
                <w:color w:val="CD242F"/>
              </w:rPr>
            </w:pPr>
            <w:r>
              <w:rPr>
                <w:rFonts w:ascii="Arial" w:hAnsi="Arial" w:cs="Arial"/>
                <w:b/>
                <w:bCs/>
                <w:color w:val="CD242F"/>
                <w:sz w:val="22"/>
                <w:szCs w:val="22"/>
              </w:rPr>
              <w:t>Adele Vendetti</w:t>
            </w:r>
          </w:p>
          <w:p w14:paraId="378D1C79" w14:textId="77777777" w:rsidR="00CD38B7" w:rsidRPr="00E655EB" w:rsidRDefault="00CD38B7" w:rsidP="000D3585">
            <w:pPr>
              <w:pStyle w:val="NormaleWeb"/>
              <w:spacing w:beforeAutospacing="0" w:after="120" w:afterAutospacing="0"/>
              <w:rPr>
                <w:rFonts w:ascii="Arial" w:hAnsi="Arial" w:cs="Arial"/>
                <w:color w:val="000000"/>
              </w:rPr>
            </w:pPr>
            <w:r w:rsidRPr="00E655EB">
              <w:rPr>
                <w:rFonts w:ascii="Arial" w:hAnsi="Arial" w:cs="Arial"/>
                <w:color w:val="000000"/>
              </w:rPr>
              <w:t>tel.</w:t>
            </w:r>
            <w:r>
              <w:rPr>
                <w:rFonts w:ascii="Arial" w:hAnsi="Arial" w:cs="Arial"/>
                <w:color w:val="000000"/>
              </w:rPr>
              <w:t xml:space="preserve"> +39</w:t>
            </w:r>
            <w:r w:rsidRPr="00E655EB">
              <w:rPr>
                <w:rFonts w:ascii="Arial" w:hAnsi="Arial" w:cs="Arial"/>
                <w:color w:val="000000"/>
              </w:rPr>
              <w:t xml:space="preserve"> 06 4673.</w:t>
            </w:r>
            <w:r>
              <w:rPr>
                <w:rFonts w:ascii="Arial" w:hAnsi="Arial" w:cs="Arial"/>
                <w:color w:val="000000"/>
              </w:rPr>
              <w:t>6342</w:t>
            </w:r>
            <w:r w:rsidRPr="00E655EB">
              <w:rPr>
                <w:rFonts w:ascii="Arial" w:hAnsi="Arial" w:cs="Arial"/>
                <w:color w:val="000000"/>
              </w:rPr>
              <w:br/>
            </w:r>
            <w:hyperlink r:id="rId56" w:history="1">
              <w:r w:rsidRPr="003E2D10">
                <w:rPr>
                  <w:rStyle w:val="Collegamentoipertestuale"/>
                  <w:rFonts w:ascii="Arial" w:hAnsi="Arial" w:cs="Arial"/>
                </w:rPr>
                <w:t>vendetti@istat.it</w:t>
              </w:r>
            </w:hyperlink>
          </w:p>
          <w:p w14:paraId="3B8A173D" w14:textId="77777777" w:rsidR="00CD38B7" w:rsidRPr="00E655EB" w:rsidRDefault="00CD38B7" w:rsidP="000D3585">
            <w:pPr>
              <w:pStyle w:val="NormaleWeb"/>
              <w:rPr>
                <w:rFonts w:ascii="Arial" w:hAnsi="Arial" w:cs="Arial"/>
                <w:color w:val="000000"/>
              </w:rPr>
            </w:pPr>
          </w:p>
        </w:tc>
      </w:tr>
      <w:tr w:rsidR="00CD38B7" w:rsidRPr="00E655EB" w14:paraId="733A25C5" w14:textId="77777777" w:rsidTr="000D3585">
        <w:trPr>
          <w:trHeight w:val="294"/>
        </w:trPr>
        <w:tc>
          <w:tcPr>
            <w:tcW w:w="9814" w:type="dxa"/>
            <w:gridSpan w:val="2"/>
            <w:shd w:val="clear" w:color="auto" w:fill="auto"/>
            <w:tcMar>
              <w:top w:w="170" w:type="dxa"/>
              <w:left w:w="0" w:type="dxa"/>
              <w:right w:w="0" w:type="dxa"/>
            </w:tcMar>
          </w:tcPr>
          <w:p w14:paraId="0F19FE36" w14:textId="77777777" w:rsidR="00CD38B7" w:rsidRPr="00E30D50" w:rsidRDefault="00CD38B7" w:rsidP="000D3585">
            <w:pPr>
              <w:pStyle w:val="NormaleWeb"/>
              <w:rPr>
                <w:rFonts w:ascii="Arial" w:hAnsi="Arial" w:cs="Arial"/>
                <w:b/>
                <w:bCs/>
                <w:sz w:val="22"/>
                <w:szCs w:val="22"/>
              </w:rPr>
            </w:pPr>
            <w:r w:rsidRPr="00E30D50">
              <w:rPr>
                <w:rFonts w:ascii="Arial" w:hAnsi="Arial" w:cs="Arial"/>
                <w:b/>
                <w:bCs/>
              </w:rPr>
              <w:t>Prezzi all’import</w:t>
            </w:r>
          </w:p>
        </w:tc>
      </w:tr>
      <w:tr w:rsidR="00CD38B7" w14:paraId="1AACFC95" w14:textId="77777777" w:rsidTr="000D3585">
        <w:trPr>
          <w:trHeight w:val="1134"/>
        </w:trPr>
        <w:tc>
          <w:tcPr>
            <w:tcW w:w="2835" w:type="dxa"/>
            <w:tcBorders>
              <w:top w:val="dotted" w:sz="4" w:space="0" w:color="808080"/>
              <w:left w:val="nil"/>
              <w:bottom w:val="nil"/>
              <w:right w:val="nil"/>
            </w:tcBorders>
            <w:tcMar>
              <w:top w:w="170" w:type="dxa"/>
              <w:left w:w="0" w:type="dxa"/>
              <w:bottom w:w="0" w:type="dxa"/>
              <w:right w:w="0" w:type="dxa"/>
            </w:tcMar>
            <w:hideMark/>
          </w:tcPr>
          <w:p w14:paraId="18C7F3B3" w14:textId="77777777" w:rsidR="00CD38B7" w:rsidRDefault="00CD38B7" w:rsidP="000D3585">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Emiliano Sibio</w:t>
            </w:r>
          </w:p>
          <w:p w14:paraId="49DCDAB1" w14:textId="77777777" w:rsidR="00CD38B7" w:rsidRDefault="00CD38B7" w:rsidP="000D3585">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4673.6028</w:t>
            </w:r>
          </w:p>
          <w:p w14:paraId="38BE88C6" w14:textId="77777777" w:rsidR="00CD38B7" w:rsidRDefault="001537CE" w:rsidP="000D3585">
            <w:pPr>
              <w:pStyle w:val="NormaleWeb"/>
              <w:spacing w:beforeAutospacing="0" w:afterAutospacing="0" w:line="276" w:lineRule="auto"/>
              <w:rPr>
                <w:rFonts w:ascii="Arial" w:hAnsi="Arial" w:cs="Arial"/>
                <w:b/>
                <w:bCs/>
                <w:color w:val="CD242F"/>
                <w:sz w:val="22"/>
                <w:szCs w:val="22"/>
                <w:lang w:eastAsia="en-US"/>
              </w:rPr>
            </w:pPr>
            <w:hyperlink r:id="rId57" w:history="1">
              <w:r w:rsidR="00CD38B7">
                <w:rPr>
                  <w:rStyle w:val="Collegamentoipertestuale"/>
                  <w:rFonts w:ascii="Arial" w:hAnsi="Arial" w:cs="Arial"/>
                  <w:lang w:eastAsia="en-US"/>
                </w:rPr>
                <w:t>sibio@istat.it</w:t>
              </w:r>
            </w:hyperlink>
          </w:p>
        </w:tc>
        <w:tc>
          <w:tcPr>
            <w:tcW w:w="6979" w:type="dxa"/>
            <w:tcBorders>
              <w:top w:val="dotted" w:sz="4" w:space="0" w:color="808080"/>
              <w:left w:val="nil"/>
              <w:bottom w:val="nil"/>
              <w:right w:val="nil"/>
            </w:tcBorders>
            <w:tcMar>
              <w:top w:w="170" w:type="dxa"/>
              <w:left w:w="0" w:type="dxa"/>
              <w:bottom w:w="0" w:type="dxa"/>
              <w:right w:w="0" w:type="dxa"/>
            </w:tcMar>
            <w:hideMark/>
          </w:tcPr>
          <w:p w14:paraId="0091F0EB" w14:textId="77777777" w:rsidR="00CD38B7" w:rsidRDefault="00CD38B7" w:rsidP="000D3585">
            <w:pPr>
              <w:pStyle w:val="NormaleWeb"/>
              <w:spacing w:beforeAutospacing="0" w:afterAutospacing="0" w:line="276" w:lineRule="auto"/>
              <w:rPr>
                <w:rFonts w:ascii="Arial" w:hAnsi="Arial" w:cs="Arial"/>
                <w:b/>
                <w:bCs/>
                <w:color w:val="CD242F"/>
                <w:sz w:val="22"/>
                <w:szCs w:val="22"/>
                <w:lang w:eastAsia="en-US"/>
              </w:rPr>
            </w:pPr>
            <w:r>
              <w:rPr>
                <w:rFonts w:ascii="Arial" w:hAnsi="Arial" w:cs="Arial"/>
                <w:b/>
                <w:bCs/>
                <w:color w:val="CD242F"/>
                <w:sz w:val="22"/>
                <w:szCs w:val="22"/>
                <w:lang w:eastAsia="en-US"/>
              </w:rPr>
              <w:t>Lorenzo D’Orazio</w:t>
            </w:r>
          </w:p>
          <w:p w14:paraId="79D42ACE" w14:textId="77777777" w:rsidR="00CD38B7" w:rsidRDefault="00CD38B7" w:rsidP="000D3585">
            <w:pPr>
              <w:pStyle w:val="NormaleWeb"/>
              <w:spacing w:beforeAutospacing="0" w:afterAutospacing="0" w:line="276" w:lineRule="auto"/>
              <w:rPr>
                <w:rFonts w:ascii="Arial" w:hAnsi="Arial" w:cs="Arial"/>
                <w:color w:val="000000"/>
                <w:lang w:eastAsia="en-US"/>
              </w:rPr>
            </w:pPr>
            <w:r>
              <w:rPr>
                <w:rFonts w:ascii="Arial" w:hAnsi="Arial" w:cs="Arial"/>
                <w:color w:val="000000"/>
                <w:lang w:eastAsia="en-US"/>
              </w:rPr>
              <w:t>tel. +39 06 4673.6281</w:t>
            </w:r>
          </w:p>
          <w:p w14:paraId="5B7B0CF5" w14:textId="77777777" w:rsidR="00CD38B7" w:rsidRDefault="001537CE" w:rsidP="000D3585">
            <w:pPr>
              <w:pStyle w:val="NormaleWeb"/>
              <w:spacing w:beforeAutospacing="0" w:afterAutospacing="0" w:line="276" w:lineRule="auto"/>
              <w:rPr>
                <w:rFonts w:ascii="Arial" w:hAnsi="Arial" w:cs="Arial"/>
                <w:b/>
                <w:bCs/>
                <w:color w:val="CD242F"/>
                <w:sz w:val="22"/>
                <w:szCs w:val="22"/>
                <w:lang w:eastAsia="en-US"/>
              </w:rPr>
            </w:pPr>
            <w:hyperlink r:id="rId58" w:history="1">
              <w:r w:rsidR="00CD38B7" w:rsidRPr="00B86CCC">
                <w:rPr>
                  <w:rStyle w:val="Collegamentoipertestuale"/>
                  <w:rFonts w:ascii="Arial" w:hAnsi="Arial" w:cs="Arial"/>
                  <w:lang w:eastAsia="en-US"/>
                </w:rPr>
                <w:t>lodorazi@istat.it</w:t>
              </w:r>
            </w:hyperlink>
          </w:p>
        </w:tc>
      </w:tr>
    </w:tbl>
    <w:p w14:paraId="796290FB" w14:textId="77777777" w:rsidR="00CD38B7" w:rsidRDefault="00CD38B7" w:rsidP="00CD38B7">
      <w:pPr>
        <w:pStyle w:val="Default"/>
        <w:spacing w:after="120"/>
        <w:jc w:val="both"/>
        <w:rPr>
          <w:rFonts w:ascii="Arial" w:hAnsi="Arial" w:cs="Arial"/>
          <w:sz w:val="20"/>
          <w:szCs w:val="20"/>
        </w:rPr>
      </w:pPr>
    </w:p>
    <w:p w14:paraId="5560D782" w14:textId="3FD1A47F" w:rsidR="00E63EE8" w:rsidRPr="00C9631A" w:rsidRDefault="00E63EE8" w:rsidP="00CD38B7">
      <w:pPr>
        <w:spacing w:after="120"/>
        <w:rPr>
          <w:rFonts w:ascii="Arial" w:hAnsi="Arial" w:cs="Arial"/>
          <w:sz w:val="20"/>
          <w:szCs w:val="20"/>
        </w:rPr>
      </w:pPr>
    </w:p>
    <w:sectPr w:rsidR="00E63EE8" w:rsidRPr="00C9631A" w:rsidSect="00B81D29">
      <w:headerReference w:type="default" r:id="rId59"/>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B45DB" w14:textId="77777777" w:rsidR="001537CE" w:rsidRDefault="001537CE">
      <w:r>
        <w:separator/>
      </w:r>
    </w:p>
  </w:endnote>
  <w:endnote w:type="continuationSeparator" w:id="0">
    <w:p w14:paraId="3D7C3A50" w14:textId="77777777" w:rsidR="001537CE" w:rsidRDefault="00153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D454E" w14:textId="7F76B3FC" w:rsidR="008C67F0" w:rsidRPr="002548DD" w:rsidRDefault="008C67F0" w:rsidP="002548DD">
    <w:pPr>
      <w:pStyle w:val="Pidipagina"/>
      <w:ind w:left="1560"/>
      <w:rPr>
        <w:rFonts w:ascii="Calibri" w:hAnsi="Calibri"/>
      </w:rPr>
    </w:pPr>
    <w:r w:rsidRPr="00AA5409">
      <w:rPr>
        <w:rFonts w:ascii="Calibri" w:hAnsi="Calibri"/>
        <w:b/>
        <w:noProof/>
        <w:color w:val="E42618"/>
        <w:szCs w:val="28"/>
      </w:rPr>
      <w:drawing>
        <wp:anchor distT="0" distB="0" distL="114300" distR="114300" simplePos="0" relativeHeight="251656192" behindDoc="0" locked="0" layoutInCell="1" allowOverlap="1" wp14:anchorId="75D3DE23" wp14:editId="3DC2B47C">
          <wp:simplePos x="0" y="0"/>
          <wp:positionH relativeFrom="column">
            <wp:posOffset>13335</wp:posOffset>
          </wp:positionH>
          <wp:positionV relativeFrom="paragraph">
            <wp:posOffset>-50800</wp:posOffset>
          </wp:positionV>
          <wp:extent cx="943610" cy="390525"/>
          <wp:effectExtent l="0" t="0" r="0" b="0"/>
          <wp:wrapNone/>
          <wp:docPr id="59"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anchor>
      </w:drawing>
    </w:r>
    <w:r w:rsidRPr="00AA5409">
      <w:rPr>
        <w:rStyle w:val="Numeropagina"/>
        <w:rFonts w:ascii="Calibri" w:hAnsi="Calibri"/>
        <w:b/>
        <w:color w:val="E42618"/>
        <w:szCs w:val="28"/>
      </w:rPr>
      <w:t>|</w:t>
    </w:r>
    <w:r>
      <w:rPr>
        <w:rStyle w:val="Numeropagina"/>
        <w:rFonts w:ascii="Calibri" w:hAnsi="Calibri"/>
        <w:color w:val="E31C18"/>
        <w:sz w:val="28"/>
        <w:szCs w:val="28"/>
      </w:rPr>
      <w:t xml:space="preserve"> </w:t>
    </w:r>
    <w:r w:rsidRPr="00AA5409">
      <w:rPr>
        <w:rFonts w:ascii="Calibri" w:hAnsi="Calibri" w:cs="Arial"/>
        <w:color w:val="5F5F5F"/>
      </w:rPr>
      <w:fldChar w:fldCharType="begin"/>
    </w:r>
    <w:r w:rsidRPr="00AA5409">
      <w:rPr>
        <w:rFonts w:ascii="Calibri" w:hAnsi="Calibri" w:cs="Arial"/>
        <w:color w:val="5F5F5F"/>
      </w:rPr>
      <w:instrText>PAGE   \* MERGEFORMAT</w:instrText>
    </w:r>
    <w:r w:rsidRPr="00AA5409">
      <w:rPr>
        <w:rFonts w:ascii="Calibri" w:hAnsi="Calibri" w:cs="Arial"/>
        <w:color w:val="5F5F5F"/>
      </w:rPr>
      <w:fldChar w:fldCharType="separate"/>
    </w:r>
    <w:r w:rsidR="00526A99">
      <w:rPr>
        <w:rFonts w:ascii="Calibri" w:hAnsi="Calibri" w:cs="Arial"/>
        <w:noProof/>
        <w:color w:val="5F5F5F"/>
      </w:rPr>
      <w:t>20</w:t>
    </w:r>
    <w:r w:rsidRPr="00AA5409">
      <w:rPr>
        <w:rFonts w:ascii="Calibri" w:hAnsi="Calibri" w:cs="Arial"/>
        <w:color w:val="5F5F5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BE0BB" w14:textId="77777777" w:rsidR="001537CE" w:rsidRDefault="001537CE">
      <w:r>
        <w:separator/>
      </w:r>
    </w:p>
  </w:footnote>
  <w:footnote w:type="continuationSeparator" w:id="0">
    <w:p w14:paraId="5BE8752E" w14:textId="77777777" w:rsidR="001537CE" w:rsidRDefault="001537CE">
      <w:r>
        <w:continuationSeparator/>
      </w:r>
    </w:p>
  </w:footnote>
  <w:footnote w:id="1">
    <w:p w14:paraId="1B5AE7B8" w14:textId="0076A895" w:rsidR="008C67F0" w:rsidRPr="00E74CD4" w:rsidRDefault="008C67F0" w:rsidP="00AF0A9F">
      <w:pPr>
        <w:pStyle w:val="Testonotaapidipagina"/>
        <w:jc w:val="both"/>
        <w:rPr>
          <w:rFonts w:ascii="Arial Narrow" w:hAnsi="Arial Narrow"/>
          <w:sz w:val="15"/>
          <w:szCs w:val="15"/>
        </w:rPr>
      </w:pPr>
      <w:r w:rsidRPr="00AF0A9F">
        <w:rPr>
          <w:rFonts w:ascii="Arial Narrow" w:hAnsi="Arial Narrow" w:cs="Arial"/>
          <w:sz w:val="15"/>
          <w:szCs w:val="15"/>
          <w:vertAlign w:val="superscript"/>
        </w:rPr>
        <w:footnoteRef/>
      </w:r>
      <w:r w:rsidRPr="00E74CD4">
        <w:rPr>
          <w:rFonts w:ascii="Arial Narrow" w:hAnsi="Arial Narrow" w:cs="Arial"/>
          <w:sz w:val="15"/>
          <w:szCs w:val="15"/>
        </w:rPr>
        <w:t xml:space="preserve"> I</w:t>
      </w:r>
      <w:r>
        <w:rPr>
          <w:rFonts w:ascii="Arial Narrow" w:hAnsi="Arial Narrow" w:cs="Arial"/>
          <w:sz w:val="15"/>
          <w:szCs w:val="15"/>
        </w:rPr>
        <w:t>n conseguenza dell’innalzamento della soglia di esenzione introdotto a partire da gennaio 2022, il</w:t>
      </w:r>
      <w:r w:rsidRPr="00E74CD4">
        <w:rPr>
          <w:rFonts w:ascii="Arial Narrow" w:hAnsi="Arial Narrow" w:cs="Arial"/>
          <w:sz w:val="15"/>
          <w:szCs w:val="15"/>
        </w:rPr>
        <w:t xml:space="preserve"> numero degli operatori tenuti a presentare il modello mensile Intrastat per gli acquisti </w:t>
      </w:r>
      <w:r>
        <w:rPr>
          <w:rFonts w:ascii="Arial Narrow" w:hAnsi="Arial Narrow" w:cs="Arial"/>
          <w:sz w:val="15"/>
          <w:szCs w:val="15"/>
        </w:rPr>
        <w:t>passa a</w:t>
      </w:r>
      <w:r w:rsidRPr="00E74CD4">
        <w:rPr>
          <w:rFonts w:ascii="Arial Narrow" w:hAnsi="Arial Narrow" w:cs="Arial"/>
          <w:sz w:val="15"/>
          <w:szCs w:val="15"/>
        </w:rPr>
        <w:t xml:space="preserve"> </w:t>
      </w:r>
      <w:r>
        <w:rPr>
          <w:rFonts w:ascii="Arial Narrow" w:hAnsi="Arial Narrow" w:cs="Arial"/>
          <w:sz w:val="15"/>
          <w:szCs w:val="15"/>
        </w:rPr>
        <w:t xml:space="preserve">14.000 </w:t>
      </w:r>
      <w:r w:rsidRPr="00E74CD4">
        <w:rPr>
          <w:rFonts w:ascii="Arial Narrow" w:hAnsi="Arial Narrow" w:cs="Arial"/>
          <w:sz w:val="15"/>
          <w:szCs w:val="15"/>
        </w:rPr>
        <w:t xml:space="preserve">rispetto ai </w:t>
      </w:r>
      <w:r>
        <w:rPr>
          <w:rFonts w:ascii="Arial Narrow" w:hAnsi="Arial Narrow" w:cs="Arial"/>
          <w:sz w:val="15"/>
          <w:szCs w:val="15"/>
        </w:rPr>
        <w:t>18.</w:t>
      </w:r>
      <w:r w:rsidRPr="00D42794">
        <w:rPr>
          <w:rFonts w:ascii="Arial Narrow" w:hAnsi="Arial Narrow" w:cs="Arial"/>
          <w:sz w:val="15"/>
          <w:szCs w:val="15"/>
        </w:rPr>
        <w:t xml:space="preserve">000 </w:t>
      </w:r>
      <w:r>
        <w:rPr>
          <w:rFonts w:ascii="Arial Narrow" w:hAnsi="Arial Narrow" w:cs="Arial"/>
          <w:sz w:val="15"/>
          <w:szCs w:val="15"/>
        </w:rPr>
        <w:t xml:space="preserve"> soggetti obbligati del 2021</w:t>
      </w:r>
      <w:r w:rsidRPr="00E74CD4">
        <w:rPr>
          <w:rFonts w:ascii="Arial Narrow" w:hAnsi="Arial Narrow" w:cs="Arial"/>
          <w:sz w:val="15"/>
          <w:szCs w:val="15"/>
        </w:rPr>
        <w:t>.</w:t>
      </w:r>
      <w:r w:rsidRPr="00E74CD4">
        <w:rPr>
          <w:rFonts w:ascii="Arial Narrow" w:hAnsi="Arial Narrow"/>
          <w:sz w:val="15"/>
          <w:szCs w:val="15"/>
        </w:rPr>
        <w:t xml:space="preserve"> </w:t>
      </w:r>
    </w:p>
  </w:footnote>
  <w:footnote w:id="2">
    <w:p w14:paraId="10EBF40E" w14:textId="77777777" w:rsidR="008C67F0" w:rsidRPr="00E74CD4" w:rsidRDefault="008C67F0" w:rsidP="00CD38B7">
      <w:pPr>
        <w:pStyle w:val="Testonotaapidipagina"/>
        <w:jc w:val="both"/>
        <w:rPr>
          <w:rFonts w:ascii="Arial Narrow" w:hAnsi="Arial Narrow" w:cs="Arial"/>
          <w:sz w:val="15"/>
          <w:szCs w:val="15"/>
        </w:rPr>
      </w:pPr>
      <w:r w:rsidRPr="00E74CD4">
        <w:rPr>
          <w:rStyle w:val="Rimandonotaapidipagina"/>
          <w:rFonts w:ascii="Arial Narrow" w:hAnsi="Arial Narrow"/>
          <w:sz w:val="15"/>
          <w:szCs w:val="15"/>
        </w:rPr>
        <w:footnoteRef/>
      </w:r>
      <w:r w:rsidRPr="00E74CD4">
        <w:rPr>
          <w:rFonts w:ascii="Arial Narrow" w:hAnsi="Arial Narrow"/>
          <w:sz w:val="15"/>
          <w:szCs w:val="15"/>
        </w:rPr>
        <w:t xml:space="preserve"> </w:t>
      </w:r>
      <w:r w:rsidRPr="00E74CD4">
        <w:rPr>
          <w:rFonts w:ascii="Arial Narrow" w:hAnsi="Arial Narrow" w:cs="Arial"/>
          <w:sz w:val="15"/>
          <w:szCs w:val="15"/>
        </w:rPr>
        <w:t>Le serie storiche dei valori di importazioni ed esportazioni per RPI sono state ricostruite e possono, quindi, differire da quelle precedentemente pubblicate.</w:t>
      </w:r>
    </w:p>
  </w:footnote>
  <w:footnote w:id="3">
    <w:p w14:paraId="4ECC4E11" w14:textId="77777777" w:rsidR="008C67F0" w:rsidRPr="002D542F" w:rsidRDefault="008C67F0" w:rsidP="00A57837">
      <w:pPr>
        <w:pStyle w:val="Testonotaapidipagina"/>
        <w:jc w:val="both"/>
        <w:rPr>
          <w:rFonts w:ascii="Arial Narrow" w:hAnsi="Arial Narrow" w:cs="Arial"/>
          <w:sz w:val="15"/>
          <w:szCs w:val="15"/>
        </w:rPr>
      </w:pPr>
      <w:r w:rsidRPr="002D542F">
        <w:rPr>
          <w:rFonts w:ascii="Arial Narrow" w:hAnsi="Arial Narrow" w:cs="Arial"/>
          <w:sz w:val="15"/>
          <w:szCs w:val="15"/>
          <w:vertAlign w:val="superscript"/>
        </w:rPr>
        <w:footnoteRef/>
      </w:r>
      <w:r w:rsidRPr="002D542F">
        <w:t xml:space="preserve"> </w:t>
      </w:r>
      <w:r w:rsidRPr="002D542F">
        <w:rPr>
          <w:rFonts w:ascii="Arial Narrow" w:hAnsi="Arial Narrow" w:cs="Arial"/>
          <w:sz w:val="15"/>
          <w:szCs w:val="15"/>
        </w:rPr>
        <w:t>Il VIES è un sistema di scambio tra le amministrazioni fiscali dei paesi dell’Unione europea di informazioni relative alle transazioni commerciali intracomunitarie e ai soggetti passivi Iva che le pongono in essere. Istituito con l’introduzione del mercato unico nel 1993, il sistema ha lo scopo di fornire ai paesi membri di destinazione delle merci (e dei servizi), l’informazione relativa all’onere cui sono tenuti i soggetti destinatari delle cessioni di beni (e delle prestazioni di servizi) di assolvere l’imposta.</w:t>
      </w:r>
      <w:r>
        <w:rPr>
          <w:rFonts w:ascii="Arial Narrow" w:hAnsi="Arial Narrow" w:cs="Arial"/>
          <w:sz w:val="15"/>
          <w:szCs w:val="15"/>
        </w:rPr>
        <w:t xml:space="preserve"> </w:t>
      </w:r>
      <w:r w:rsidRPr="002D542F">
        <w:rPr>
          <w:rFonts w:ascii="Arial Narrow" w:hAnsi="Arial Narrow" w:cs="Arial"/>
          <w:sz w:val="15"/>
          <w:szCs w:val="15"/>
        </w:rPr>
        <w:t>Secondo quanto stabilito dal Regolamento UE n. 91/2010, che definisce le norme relative alla trasmissione di informazioni statisticamente rilevanti da parte delle amministrazioni fiscali alle autorità statistiche nazionali per la compilazione delle statistiche sull’interscambio intracomunitario, relativamente ai dati VIES, per ogni soggetto passivo Iva, l’amministrazione fiscale di ogni paese membro è tenuto a fornire all’autorità statistica nazionale le informazioni sugli acquisti intra Ue notificate da tutti gli altri paesi membri (nel dettaglio, la partita Iva di ciascun acquirente nazionale e la base imponibile totale per stato membro associato, ripartita tra beni e servizi).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2D952" w14:textId="77777777" w:rsidR="008C67F0" w:rsidRPr="009E5F03" w:rsidRDefault="008C67F0" w:rsidP="009E5F03">
    <w:pPr>
      <w:pStyle w:val="Intestazione"/>
    </w:pPr>
    <w:r>
      <w:rPr>
        <w:noProof/>
      </w:rPr>
      <mc:AlternateContent>
        <mc:Choice Requires="wps">
          <w:drawing>
            <wp:anchor distT="0" distB="0" distL="114300" distR="114300" simplePos="0" relativeHeight="251657216" behindDoc="0" locked="0" layoutInCell="1" allowOverlap="1" wp14:anchorId="7BFABAE4" wp14:editId="5CE0B1B7">
              <wp:simplePos x="0" y="0"/>
              <wp:positionH relativeFrom="column">
                <wp:posOffset>552450</wp:posOffset>
              </wp:positionH>
              <wp:positionV relativeFrom="paragraph">
                <wp:posOffset>65405</wp:posOffset>
              </wp:positionV>
              <wp:extent cx="1824355" cy="390525"/>
              <wp:effectExtent l="0" t="0" r="4445"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90525"/>
                      </a:xfrm>
                      <a:prstGeom prst="rect">
                        <a:avLst/>
                      </a:prstGeom>
                      <a:solidFill>
                        <a:srgbClr val="FFFFFF"/>
                      </a:solidFill>
                      <a:ln w="9525">
                        <a:solidFill>
                          <a:srgbClr val="FFFFFF"/>
                        </a:solidFill>
                        <a:miter lim="800000"/>
                        <a:headEnd/>
                        <a:tailEnd/>
                      </a:ln>
                    </wps:spPr>
                    <wps:txbx>
                      <w:txbxContent>
                        <w:p w14:paraId="0CF4011B" w14:textId="77777777" w:rsidR="008C67F0" w:rsidRPr="000F5A7E" w:rsidRDefault="008C67F0"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8C67F0" w:rsidRPr="00E26DB7" w:rsidRDefault="008C67F0" w:rsidP="00862146">
                          <w:pPr>
                            <w:pStyle w:val="Intestazione"/>
                            <w:spacing w:line="200" w:lineRule="exact"/>
                            <w:rPr>
                              <w:rFonts w:ascii="Arial Narrow" w:hAnsi="Arial Narrow"/>
                              <w:b/>
                              <w:color w:val="5F5F5F"/>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BFABAE4" id="_x0000_t202" coordsize="21600,21600" o:spt="202" path="m,l,21600r21600,l21600,xe">
              <v:stroke joinstyle="miter"/>
              <v:path gradientshapeok="t" o:connecttype="rect"/>
            </v:shapetype>
            <v:shape id="_x0000_s1027" type="#_x0000_t202" style="position:absolute;margin-left:43.5pt;margin-top:5.15pt;width:143.65pt;height:3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" strokecolor="white">
              <v:textbox style="mso-fit-shape-to-text:t" inset="0,0,0,0">
                <w:txbxContent>
                  <w:p w14:paraId="0CF4011B" w14:textId="77777777" w:rsidR="008C67F0" w:rsidRPr="000F5A7E" w:rsidRDefault="008C67F0" w:rsidP="00862146">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7DB22BB" w14:textId="77777777" w:rsidR="008C67F0" w:rsidRPr="00E26DB7" w:rsidRDefault="008C67F0" w:rsidP="00862146">
                    <w:pPr>
                      <w:pStyle w:val="Intestazione"/>
                      <w:spacing w:line="200" w:lineRule="exact"/>
                      <w:rPr>
                        <w:rFonts w:ascii="Arial Narrow" w:hAnsi="Arial Narrow"/>
                        <w:b/>
                        <w:color w:val="5F5F5F"/>
                      </w:rPr>
                    </w:pPr>
                  </w:p>
                </w:txbxContent>
              </v:textbox>
            </v:shape>
          </w:pict>
        </mc:Fallback>
      </mc:AlternateContent>
    </w:r>
    <w:r>
      <w:rPr>
        <w:noProof/>
      </w:rPr>
      <w:drawing>
        <wp:inline distT="0" distB="0" distL="0" distR="0" wp14:anchorId="330EA11B" wp14:editId="53476AAA">
          <wp:extent cx="6477000" cy="581025"/>
          <wp:effectExtent l="0" t="0" r="0" b="0"/>
          <wp:docPr id="58" name="Immagine 58"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81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40CE" w14:textId="2D91102F" w:rsidR="008C67F0" w:rsidRDefault="008C67F0" w:rsidP="004342C5">
    <w:pPr>
      <w:pStyle w:val="Intestazione"/>
      <w:rPr>
        <w:sz w:val="20"/>
        <w:szCs w:val="20"/>
      </w:rPr>
    </w:pPr>
    <w:r>
      <w:rPr>
        <w:noProof/>
      </w:rPr>
      <w:drawing>
        <wp:anchor distT="0" distB="0" distL="114300" distR="114300" simplePos="0" relativeHeight="251665408" behindDoc="0" locked="0" layoutInCell="1" allowOverlap="1" wp14:anchorId="729C517F" wp14:editId="5D81AF42">
          <wp:simplePos x="0" y="0"/>
          <wp:positionH relativeFrom="column">
            <wp:posOffset>15875</wp:posOffset>
          </wp:positionH>
          <wp:positionV relativeFrom="paragraph">
            <wp:posOffset>-138430</wp:posOffset>
          </wp:positionV>
          <wp:extent cx="5332730" cy="1137920"/>
          <wp:effectExtent l="0" t="0" r="1270" b="5080"/>
          <wp:wrapNone/>
          <wp:docPr id="60" name="Immagine 60"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noChangeArrowheads="1"/>
                  </pic:cNvPicPr>
                </pic:nvPicPr>
                <pic:blipFill>
                  <a:blip r:embed="rId1">
                    <a:extLst>
                      <a:ext uri="{28A0092B-C50C-407E-A947-70E740481C1C}">
                        <a14:useLocalDpi xmlns:a14="http://schemas.microsoft.com/office/drawing/2010/main" val="0"/>
                      </a:ext>
                    </a:extLst>
                  </a:blip>
                  <a:srcRect l="5" t="-12706" r="16052" b="7286"/>
                  <a:stretch>
                    <a:fillRect/>
                  </a:stretch>
                </pic:blipFill>
                <pic:spPr bwMode="auto">
                  <a:xfrm>
                    <a:off x="0" y="0"/>
                    <a:ext cx="5332730" cy="11379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1EF73FD" wp14:editId="002A6955">
              <wp:simplePos x="0" y="0"/>
              <wp:positionH relativeFrom="column">
                <wp:posOffset>5434965</wp:posOffset>
              </wp:positionH>
              <wp:positionV relativeFrom="paragraph">
                <wp:posOffset>363855</wp:posOffset>
              </wp:positionV>
              <wp:extent cx="994410" cy="701675"/>
              <wp:effectExtent l="0" t="0" r="0" b="3175"/>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701675"/>
                      </a:xfrm>
                      <a:prstGeom prst="rect">
                        <a:avLst/>
                      </a:prstGeom>
                      <a:solidFill>
                        <a:sysClr val="window" lastClr="FFFFFF"/>
                      </a:solidFill>
                      <a:ln w="6350">
                        <a:noFill/>
                      </a:ln>
                    </wps:spPr>
                    <wps:txbx>
                      <w:txbxContent>
                        <w:p w14:paraId="12715719" w14:textId="77777777" w:rsidR="008C67F0" w:rsidRPr="004342C5" w:rsidRDefault="008C67F0"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8C67F0" w:rsidRDefault="008C67F0"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8C67F0" w:rsidRDefault="008C67F0"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8C67F0" w:rsidRDefault="008C67F0" w:rsidP="004342C5">
                          <w:pPr>
                            <w:rPr>
                              <w:rFonts w:ascii="Arial Narrow" w:hAnsi="Arial Narrow"/>
                              <w:b/>
                              <w:bCs/>
                              <w:color w:val="7F7F7F"/>
                              <w:sz w:val="18"/>
                              <w:szCs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F73FD" id="_x0000_t202" coordsize="21600,21600" o:spt="202" path="m,l,21600r21600,l21600,xe">
              <v:stroke joinstyle="miter"/>
              <v:path gradientshapeok="t" o:connecttype="rect"/>
            </v:shapetype>
            <v:shape id="Casella di testo 36" o:spid="_x0000_s1028"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" fillcolor="window" stroked="f" strokeweight=".5pt">
              <v:path arrowok="t"/>
              <v:textbox inset="0,0,0,0">
                <w:txbxContent>
                  <w:p w14:paraId="12715719" w14:textId="77777777" w:rsidR="008C67F0" w:rsidRPr="004342C5" w:rsidRDefault="008C67F0" w:rsidP="004342C5">
                    <w:pPr>
                      <w:spacing w:after="120" w:line="180" w:lineRule="exact"/>
                      <w:rPr>
                        <w:rFonts w:ascii="Arial Narrow" w:hAnsi="Arial Narrow"/>
                        <w:sz w:val="18"/>
                        <w:szCs w:val="18"/>
                      </w:rPr>
                    </w:pPr>
                    <w:r w:rsidRPr="004342C5">
                      <w:rPr>
                        <w:rFonts w:ascii="Arial Narrow" w:hAnsi="Arial Narrow"/>
                        <w:sz w:val="18"/>
                        <w:szCs w:val="18"/>
                      </w:rPr>
                      <w:t>http://www.istat.it</w:t>
                    </w:r>
                  </w:p>
                  <w:p w14:paraId="2127246A" w14:textId="77777777" w:rsidR="008C67F0" w:rsidRDefault="008C67F0" w:rsidP="004342C5">
                    <w:pPr>
                      <w:spacing w:after="120" w:line="180" w:lineRule="exact"/>
                      <w:rPr>
                        <w:rFonts w:ascii="Arial Narrow" w:hAnsi="Arial Narrow"/>
                        <w:b/>
                        <w:bCs/>
                        <w:sz w:val="18"/>
                        <w:szCs w:val="18"/>
                        <w:lang w:val="en-US"/>
                      </w:rPr>
                    </w:pPr>
                    <w:r w:rsidRPr="004342C5">
                      <w:rPr>
                        <w:rFonts w:ascii="Arial Narrow" w:hAnsi="Arial Narrow"/>
                        <w:b/>
                        <w:bCs/>
                        <w:sz w:val="18"/>
                        <w:szCs w:val="18"/>
                      </w:rPr>
                      <w:t>Ufficio Stampa</w:t>
                    </w:r>
                    <w:r w:rsidRPr="004342C5">
                      <w:rPr>
                        <w:rFonts w:ascii="Arial Narrow" w:hAnsi="Arial Narrow"/>
                        <w:b/>
                        <w:bCs/>
                        <w:sz w:val="18"/>
                        <w:szCs w:val="18"/>
                      </w:rPr>
                      <w:br/>
                    </w:r>
                    <w:r w:rsidRPr="004342C5">
                      <w:rPr>
                        <w:rFonts w:ascii="Arial Narrow" w:hAnsi="Arial Narrow"/>
                        <w:sz w:val="18"/>
                        <w:szCs w:val="18"/>
                      </w:rPr>
                      <w:t xml:space="preserve">tel. </w:t>
                    </w:r>
                    <w:r>
                      <w:rPr>
                        <w:rFonts w:ascii="Arial Narrow" w:hAnsi="Arial Narrow"/>
                        <w:sz w:val="18"/>
                        <w:szCs w:val="18"/>
                        <w:lang w:val="en-US"/>
                      </w:rPr>
                      <w:t>+39 06 4673.2243/4</w:t>
                    </w:r>
                  </w:p>
                  <w:p w14:paraId="75ACB12C" w14:textId="77777777" w:rsidR="008C67F0" w:rsidRDefault="008C67F0" w:rsidP="004342C5">
                    <w:pPr>
                      <w:spacing w:after="120" w:line="180" w:lineRule="exact"/>
                      <w:rPr>
                        <w:rFonts w:ascii="Arial Narrow" w:hAnsi="Arial Narrow"/>
                        <w:b/>
                        <w:bCs/>
                        <w:color w:val="7F7F7F"/>
                        <w:sz w:val="18"/>
                        <w:szCs w:val="18"/>
                        <w:lang w:val="en-US"/>
                      </w:rPr>
                    </w:pPr>
                    <w:r>
                      <w:rPr>
                        <w:rFonts w:ascii="Arial Narrow" w:hAnsi="Arial Narrow"/>
                        <w:b/>
                        <w:bCs/>
                        <w:color w:val="7F7F7F"/>
                        <w:sz w:val="18"/>
                        <w:szCs w:val="18"/>
                        <w:lang w:val="en-US"/>
                      </w:rPr>
                      <w:t>ufficiostampa@istat.it</w:t>
                    </w:r>
                  </w:p>
                  <w:p w14:paraId="7D15EDCD" w14:textId="77777777" w:rsidR="008C67F0" w:rsidRDefault="008C67F0" w:rsidP="004342C5">
                    <w:pPr>
                      <w:rPr>
                        <w:rFonts w:ascii="Arial Narrow" w:hAnsi="Arial Narrow"/>
                        <w:b/>
                        <w:bCs/>
                        <w:color w:val="7F7F7F"/>
                        <w:sz w:val="18"/>
                        <w:szCs w:val="18"/>
                        <w:lang w:val="en-US"/>
                      </w:rPr>
                    </w:pPr>
                  </w:p>
                </w:txbxContent>
              </v:textbox>
            </v:shape>
          </w:pict>
        </mc:Fallback>
      </mc:AlternateContent>
    </w:r>
    <w:r>
      <w:rPr>
        <w:noProof/>
      </w:rPr>
      <mc:AlternateContent>
        <mc:Choice Requires="wps">
          <w:drawing>
            <wp:anchor distT="4294967295" distB="4294967295" distL="114300" distR="114300" simplePos="0" relativeHeight="251664384" behindDoc="0" locked="0" layoutInCell="1" allowOverlap="1" wp14:anchorId="0A419EAF" wp14:editId="1D103BB8">
              <wp:simplePos x="0" y="0"/>
              <wp:positionH relativeFrom="column">
                <wp:posOffset>0</wp:posOffset>
              </wp:positionH>
              <wp:positionV relativeFrom="paragraph">
                <wp:posOffset>1082039</wp:posOffset>
              </wp:positionV>
              <wp:extent cx="6414770" cy="0"/>
              <wp:effectExtent l="0" t="0" r="24130" b="19050"/>
              <wp:wrapNone/>
              <wp:docPr id="37" name="Connettore dirit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4770" cy="0"/>
                      </a:xfrm>
                      <a:prstGeom prst="line">
                        <a:avLst/>
                      </a:prstGeom>
                      <a:noFill/>
                      <a:ln w="952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mv="urn:schemas-microsoft-com:mac:vml" xmlns:mo="http://schemas.microsoft.com/office/mac/office/2008/main">
          <w:pict>
            <v:line w14:anchorId="2A59623B" id="Connettore diritto 3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" strokecolor="#7f7f7f">
              <v:stroke joinstyle="miter"/>
              <o:lock v:ext="edit" shapetype="f"/>
            </v:line>
          </w:pict>
        </mc:Fallback>
      </mc:AlternateContent>
    </w:r>
  </w:p>
  <w:p w14:paraId="314B2889" w14:textId="428A5D81" w:rsidR="008C67F0" w:rsidRPr="004342C5" w:rsidRDefault="008C67F0" w:rsidP="004342C5">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DA63" w14:textId="77777777" w:rsidR="008C67F0" w:rsidRPr="009E5F03" w:rsidRDefault="008C67F0" w:rsidP="009E5F03">
    <w:pPr>
      <w:pStyle w:val="Intestazione"/>
    </w:pPr>
    <w:r>
      <w:rPr>
        <w:noProof/>
      </w:rPr>
      <mc:AlternateContent>
        <mc:Choice Requires="wps">
          <w:drawing>
            <wp:anchor distT="0" distB="0" distL="114300" distR="114300" simplePos="0" relativeHeight="251659264" behindDoc="0" locked="0" layoutInCell="1" allowOverlap="1" wp14:anchorId="587627AC" wp14:editId="47DCDAFC">
              <wp:simplePos x="0" y="0"/>
              <wp:positionH relativeFrom="column">
                <wp:posOffset>536575</wp:posOffset>
              </wp:positionH>
              <wp:positionV relativeFrom="paragraph">
                <wp:posOffset>60960</wp:posOffset>
              </wp:positionV>
              <wp:extent cx="1752600" cy="390525"/>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90525"/>
                      </a:xfrm>
                      <a:prstGeom prst="rect">
                        <a:avLst/>
                      </a:prstGeom>
                      <a:solidFill>
                        <a:srgbClr val="FFFFFF"/>
                      </a:solidFill>
                      <a:ln w="9525">
                        <a:solidFill>
                          <a:srgbClr val="FFFFFF"/>
                        </a:solidFill>
                        <a:miter lim="800000"/>
                        <a:headEnd/>
                        <a:tailEnd/>
                      </a:ln>
                    </wps:spPr>
                    <wps:txbx>
                      <w:txbxContent>
                        <w:p w14:paraId="57DE39C9" w14:textId="77777777" w:rsidR="008C67F0" w:rsidRPr="000F5A7E" w:rsidRDefault="008C67F0"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8C67F0" w:rsidRPr="0017508C" w:rsidRDefault="008C67F0" w:rsidP="00B249D0">
                          <w:pPr>
                            <w:pStyle w:val="Intestazione"/>
                            <w:spacing w:line="200" w:lineRule="exact"/>
                            <w:rPr>
                              <w:rFonts w:ascii="Arial Narrow" w:hAnsi="Arial Narrow"/>
                              <w:b/>
                              <w:color w:val="999999"/>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7627AC" id="_x0000_t202" coordsize="21600,21600" o:spt="202" path="m,l,21600r21600,l21600,xe">
              <v:stroke joinstyle="miter"/>
              <v:path gradientshapeok="t" o:connecttype="rect"/>
            </v:shapetype>
            <v:shape id="_x0000_s1029" type="#_x0000_t202" style="position:absolute;margin-left:42.25pt;margin-top:4.8pt;width:138pt;height:3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" strokecolor="white">
              <v:textbox style="mso-fit-shape-to-text:t" inset="0,0,0,0">
                <w:txbxContent>
                  <w:p w14:paraId="57DE39C9" w14:textId="77777777" w:rsidR="008C67F0" w:rsidRPr="000F5A7E" w:rsidRDefault="008C67F0" w:rsidP="00B72ADE">
                    <w:pPr>
                      <w:pStyle w:val="Intestazione"/>
                      <w:spacing w:line="200" w:lineRule="exact"/>
                      <w:rPr>
                        <w:rFonts w:ascii="Arial Narrow" w:hAnsi="Arial Narrow"/>
                        <w:b/>
                        <w:color w:val="808080"/>
                        <w:sz w:val="20"/>
                      </w:rPr>
                    </w:pPr>
                    <w:r w:rsidRPr="000F5A7E">
                      <w:rPr>
                        <w:rFonts w:ascii="Arial Narrow" w:hAnsi="Arial Narrow"/>
                        <w:b/>
                        <w:color w:val="808080"/>
                        <w:sz w:val="20"/>
                      </w:rPr>
                      <w:t>COMMERCIO ESTERO E PREZZI ALL’IMPORT</w:t>
                    </w:r>
                  </w:p>
                  <w:p w14:paraId="035BC28B" w14:textId="77777777" w:rsidR="008C67F0" w:rsidRPr="0017508C" w:rsidRDefault="008C67F0" w:rsidP="00B249D0">
                    <w:pPr>
                      <w:pStyle w:val="Intestazione"/>
                      <w:spacing w:line="200" w:lineRule="exact"/>
                      <w:rPr>
                        <w:rFonts w:ascii="Arial Narrow" w:hAnsi="Arial Narrow"/>
                        <w:b/>
                        <w:color w:val="999999"/>
                      </w:rPr>
                    </w:pPr>
                  </w:p>
                </w:txbxContent>
              </v:textbox>
            </v:shape>
          </w:pict>
        </mc:Fallback>
      </mc:AlternateContent>
    </w:r>
    <w:r w:rsidRPr="00287543">
      <w:rPr>
        <w:noProof/>
      </w:rPr>
      <w:drawing>
        <wp:inline distT="0" distB="0" distL="0" distR="0" wp14:anchorId="7EC9C5CB" wp14:editId="1DB5EB31">
          <wp:extent cx="6477000" cy="590550"/>
          <wp:effectExtent l="0" t="0" r="0" b="0"/>
          <wp:docPr id="11" name="Immagine 11"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4C4D9" w14:textId="77777777" w:rsidR="008C67F0" w:rsidRPr="009E5F03" w:rsidRDefault="008C67F0" w:rsidP="009E5F03">
    <w:pPr>
      <w:pStyle w:val="Intestazione"/>
    </w:pPr>
    <w:r>
      <w:rPr>
        <w:noProof/>
      </w:rPr>
      <mc:AlternateContent>
        <mc:Choice Requires="wps">
          <w:drawing>
            <wp:anchor distT="0" distB="0" distL="114300" distR="114300" simplePos="0" relativeHeight="251660288" behindDoc="0" locked="0" layoutInCell="1" allowOverlap="1" wp14:anchorId="670C86BF" wp14:editId="669A4652">
              <wp:simplePos x="0" y="0"/>
              <wp:positionH relativeFrom="column">
                <wp:posOffset>536575</wp:posOffset>
              </wp:positionH>
              <wp:positionV relativeFrom="paragraph">
                <wp:posOffset>60960</wp:posOffset>
              </wp:positionV>
              <wp:extent cx="1752600" cy="263525"/>
              <wp:effectExtent l="0" t="0" r="0" b="3810"/>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3525"/>
                      </a:xfrm>
                      <a:prstGeom prst="rect">
                        <a:avLst/>
                      </a:prstGeom>
                      <a:solidFill>
                        <a:srgbClr val="FFFFFF"/>
                      </a:solidFill>
                      <a:ln w="9525">
                        <a:solidFill>
                          <a:srgbClr val="FFFFFF"/>
                        </a:solidFill>
                        <a:miter lim="800000"/>
                        <a:headEnd/>
                        <a:tailEnd/>
                      </a:ln>
                    </wps:spPr>
                    <wps:txbx>
                      <w:txbxContent>
                        <w:p w14:paraId="0F39A46F" w14:textId="77777777" w:rsidR="008C67F0" w:rsidRPr="00E74CD4" w:rsidRDefault="008C67F0"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70C86BF" id="_x0000_t202" coordsize="21600,21600" o:spt="202" path="m,l,21600r21600,l21600,xe">
              <v:stroke joinstyle="miter"/>
              <v:path gradientshapeok="t" o:connecttype="rect"/>
            </v:shapetype>
            <v:shape id="_x0000_s1030" type="#_x0000_t202" style="position:absolute;margin-left:42.25pt;margin-top:4.8pt;width:138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" strokecolor="white">
              <v:textbox style="mso-fit-shape-to-text:t" inset="0,0,0,0">
                <w:txbxContent>
                  <w:p w14:paraId="0F39A46F" w14:textId="77777777" w:rsidR="008C67F0" w:rsidRPr="00E74CD4" w:rsidRDefault="008C67F0" w:rsidP="00B249D0">
                    <w:pPr>
                      <w:pStyle w:val="Intestazione"/>
                      <w:spacing w:line="200" w:lineRule="exact"/>
                      <w:rPr>
                        <w:rFonts w:ascii="Arial Narrow" w:hAnsi="Arial Narrow"/>
                        <w:b/>
                        <w:color w:val="808080"/>
                        <w:sz w:val="20"/>
                        <w:szCs w:val="20"/>
                      </w:rPr>
                    </w:pPr>
                    <w:r w:rsidRPr="00E74CD4">
                      <w:rPr>
                        <w:rFonts w:ascii="Arial Narrow" w:hAnsi="Arial Narrow"/>
                        <w:b/>
                        <w:color w:val="808080"/>
                        <w:sz w:val="20"/>
                        <w:szCs w:val="20"/>
                      </w:rPr>
                      <w:t>COMMERCIO ESTERO E PREZZI ALL’IMPORT</w:t>
                    </w:r>
                  </w:p>
                </w:txbxContent>
              </v:textbox>
            </v:shape>
          </w:pict>
        </mc:Fallback>
      </mc:AlternateContent>
    </w:r>
    <w:r>
      <w:rPr>
        <w:noProof/>
      </w:rPr>
      <w:drawing>
        <wp:inline distT="0" distB="0" distL="0" distR="0" wp14:anchorId="47889812" wp14:editId="5E3ED409">
          <wp:extent cx="6477000" cy="590550"/>
          <wp:effectExtent l="0" t="0" r="0" b="0"/>
          <wp:docPr id="21" name="Immagine 21" descr="iconeComunicat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eComunicati-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CCA90" w14:textId="77777777" w:rsidR="008C67F0" w:rsidRPr="009E5F03" w:rsidRDefault="008C67F0" w:rsidP="009E5F03">
    <w:pPr>
      <w:pStyle w:val="Intestazione"/>
    </w:pPr>
    <w:r>
      <w:rPr>
        <w:noProof/>
      </w:rPr>
      <mc:AlternateContent>
        <mc:Choice Requires="wps">
          <w:drawing>
            <wp:anchor distT="0" distB="0" distL="114300" distR="114300" simplePos="0" relativeHeight="251655168" behindDoc="0" locked="0" layoutInCell="1" allowOverlap="1" wp14:anchorId="2B5953E2" wp14:editId="1CF3CD2F">
              <wp:simplePos x="0" y="0"/>
              <wp:positionH relativeFrom="column">
                <wp:posOffset>536575</wp:posOffset>
              </wp:positionH>
              <wp:positionV relativeFrom="paragraph">
                <wp:posOffset>60960</wp:posOffset>
              </wp:positionV>
              <wp:extent cx="1965325" cy="39052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300BD506" w14:textId="77777777" w:rsidR="008C67F0" w:rsidRPr="00E74CD4" w:rsidRDefault="008C67F0"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8C67F0" w:rsidRPr="00B81D29" w:rsidRDefault="008C67F0"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5953E2" id="_x0000_t202" coordsize="21600,21600" o:spt="202" path="m,l,21600r21600,l21600,xe">
              <v:stroke joinstyle="miter"/>
              <v:path gradientshapeok="t" o:connecttype="rect"/>
            </v:shapetype>
            <v:shape id="_x0000_s1031" type="#_x0000_t202" style="position:absolute;margin-left:42.25pt;margin-top:4.8pt;width:154.75pt;height:30.7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" strokecolor="white">
              <v:textbox style="mso-fit-shape-to-text:t" inset="0,0,0,0">
                <w:txbxContent>
                  <w:p w14:paraId="300BD506" w14:textId="77777777" w:rsidR="008C67F0" w:rsidRPr="00E74CD4" w:rsidRDefault="008C67F0"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50F805BE" w14:textId="77777777" w:rsidR="008C67F0" w:rsidRPr="00B81D29" w:rsidRDefault="008C67F0" w:rsidP="00B249D0">
                    <w:pPr>
                      <w:pStyle w:val="Intestazione"/>
                      <w:spacing w:line="200" w:lineRule="exact"/>
                      <w:rPr>
                        <w:rFonts w:ascii="Arial Narrow" w:hAnsi="Arial Narrow"/>
                        <w:b/>
                        <w:color w:val="808080"/>
                      </w:rPr>
                    </w:pPr>
                  </w:p>
                </w:txbxContent>
              </v:textbox>
            </v:shape>
          </w:pict>
        </mc:Fallback>
      </mc:AlternateContent>
    </w:r>
    <w:r w:rsidRPr="00670D3C">
      <w:rPr>
        <w:noProof/>
      </w:rPr>
      <w:drawing>
        <wp:inline distT="0" distB="0" distL="0" distR="0" wp14:anchorId="501353DF" wp14:editId="10857D03">
          <wp:extent cx="6477000" cy="590550"/>
          <wp:effectExtent l="0" t="0" r="0" b="0"/>
          <wp:docPr id="22" name="Immagine 22"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A1BC8" w14:textId="77777777" w:rsidR="008C67F0" w:rsidRPr="009E5F03" w:rsidRDefault="008C67F0" w:rsidP="009E5F03">
    <w:pPr>
      <w:pStyle w:val="Intestazione"/>
    </w:pPr>
    <w:r>
      <w:rPr>
        <w:noProof/>
      </w:rPr>
      <mc:AlternateContent>
        <mc:Choice Requires="wps">
          <w:drawing>
            <wp:anchor distT="0" distB="0" distL="114300" distR="114300" simplePos="0" relativeHeight="251658240" behindDoc="0" locked="0" layoutInCell="1" allowOverlap="1" wp14:anchorId="6C199E40" wp14:editId="2DD8E600">
              <wp:simplePos x="0" y="0"/>
              <wp:positionH relativeFrom="column">
                <wp:posOffset>536575</wp:posOffset>
              </wp:positionH>
              <wp:positionV relativeFrom="paragraph">
                <wp:posOffset>60960</wp:posOffset>
              </wp:positionV>
              <wp:extent cx="1965325" cy="39052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14:paraId="08A39A9A" w14:textId="77777777" w:rsidR="008C67F0" w:rsidRPr="00E74CD4" w:rsidRDefault="008C67F0"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076EBEE5" w14:textId="77777777" w:rsidR="008C67F0" w:rsidRPr="00B81D29" w:rsidRDefault="008C67F0" w:rsidP="00B249D0">
                          <w:pPr>
                            <w:pStyle w:val="Intestazione"/>
                            <w:spacing w:line="200" w:lineRule="exact"/>
                            <w:rPr>
                              <w:rFonts w:ascii="Arial Narrow" w:hAnsi="Arial Narrow"/>
                              <w:b/>
                              <w:color w:val="80808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6C199E40" id="_x0000_t202" coordsize="21600,21600" o:spt="202" path="m,l,21600r21600,l21600,xe">
              <v:stroke joinstyle="miter"/>
              <v:path gradientshapeok="t" o:connecttype="rect"/>
            </v:shapetype>
            <v:shape id="_x0000_s1032" type="#_x0000_t202" style="position:absolute;margin-left:42.25pt;margin-top:4.8pt;width:154.75pt;height:3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" strokecolor="white">
              <v:textbox style="mso-fit-shape-to-text:t" inset="0,0,0,0">
                <w:txbxContent>
                  <w:p w14:paraId="08A39A9A" w14:textId="77777777" w:rsidR="00AA0F72" w:rsidRPr="00E74CD4" w:rsidRDefault="00AA0F72" w:rsidP="00B72ADE">
                    <w:pPr>
                      <w:pStyle w:val="Intestazione"/>
                      <w:spacing w:line="200" w:lineRule="exact"/>
                      <w:rPr>
                        <w:rFonts w:ascii="Arial Narrow" w:hAnsi="Arial Narrow"/>
                        <w:b/>
                        <w:color w:val="808080"/>
                        <w:sz w:val="20"/>
                      </w:rPr>
                    </w:pPr>
                    <w:r w:rsidRPr="00E74CD4">
                      <w:rPr>
                        <w:rFonts w:ascii="Arial Narrow" w:hAnsi="Arial Narrow"/>
                        <w:b/>
                        <w:color w:val="808080"/>
                        <w:sz w:val="20"/>
                      </w:rPr>
                      <w:t>COMMERCIO ESTERO E PREZZI ALL’IMPORT</w:t>
                    </w:r>
                  </w:p>
                  <w:p w14:paraId="076EBEE5" w14:textId="77777777" w:rsidR="00AA0F72" w:rsidRPr="00B81D29" w:rsidRDefault="00AA0F72" w:rsidP="00B249D0">
                    <w:pPr>
                      <w:pStyle w:val="Intestazione"/>
                      <w:spacing w:line="200" w:lineRule="exact"/>
                      <w:rPr>
                        <w:rFonts w:ascii="Arial Narrow" w:hAnsi="Arial Narrow"/>
                        <w:b/>
                        <w:color w:val="808080"/>
                      </w:rPr>
                    </w:pPr>
                  </w:p>
                </w:txbxContent>
              </v:textbox>
            </v:shape>
          </w:pict>
        </mc:Fallback>
      </mc:AlternateContent>
    </w:r>
    <w:r w:rsidRPr="0052352C">
      <w:rPr>
        <w:noProof/>
      </w:rPr>
      <w:drawing>
        <wp:inline distT="0" distB="0" distL="0" distR="0" wp14:anchorId="74FC6570" wp14:editId="11CC78EB">
          <wp:extent cx="6477000" cy="590550"/>
          <wp:effectExtent l="0" t="0" r="0" b="0"/>
          <wp:docPr id="7" name="Immagine 7"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5pt;height:8.45pt" o:bullet="t">
        <v:imagedata r:id="rId1" o:title=""/>
      </v:shape>
    </w:pict>
  </w:numPicBullet>
  <w:numPicBullet w:numPicBulletId="1">
    <w:pict>
      <v:shape id="_x0000_i1029" type="#_x0000_t75" style="width:4.5pt;height:7.2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3B30D2B"/>
    <w:multiLevelType w:val="hybridMultilevel"/>
    <w:tmpl w:val="5CEC454A"/>
    <w:lvl w:ilvl="0" w:tplc="785E333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E056BD"/>
    <w:multiLevelType w:val="hybridMultilevel"/>
    <w:tmpl w:val="93188842"/>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5"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3B7600"/>
    <w:multiLevelType w:val="hybridMultilevel"/>
    <w:tmpl w:val="857A09D8"/>
    <w:lvl w:ilvl="0" w:tplc="04100017">
      <w:start w:val="1"/>
      <w:numFmt w:val="lowerLetter"/>
      <w:lvlText w:val="%1)"/>
      <w:lvlJc w:val="left"/>
      <w:pPr>
        <w:ind w:left="2517" w:hanging="360"/>
      </w:p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15:restartNumberingAfterBreak="0">
    <w:nsid w:val="09B04BFB"/>
    <w:multiLevelType w:val="hybridMultilevel"/>
    <w:tmpl w:val="41BE7B76"/>
    <w:lvl w:ilvl="0" w:tplc="C8782680">
      <w:start w:val="1"/>
      <w:numFmt w:val="bullet"/>
      <w:lvlText w:val=""/>
      <w:lvlJc w:val="left"/>
      <w:pPr>
        <w:ind w:left="360" w:hanging="360"/>
      </w:pPr>
      <w:rPr>
        <w:rFonts w:ascii="Wingdings" w:hAnsi="Wingdings"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9EC4AD0"/>
    <w:multiLevelType w:val="multilevel"/>
    <w:tmpl w:val="781664CC"/>
    <w:lvl w:ilvl="0">
      <w:start w:val="1"/>
      <w:numFmt w:val="lowerLetter"/>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1C7634"/>
    <w:multiLevelType w:val="hybridMultilevel"/>
    <w:tmpl w:val="2B3E391E"/>
    <w:lvl w:ilvl="0" w:tplc="F6BAE2A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AB86367"/>
    <w:multiLevelType w:val="hybridMultilevel"/>
    <w:tmpl w:val="4FFCC8F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3" w15:restartNumberingAfterBreak="0">
    <w:nsid w:val="0B643584"/>
    <w:multiLevelType w:val="hybridMultilevel"/>
    <w:tmpl w:val="51E2D8B6"/>
    <w:lvl w:ilvl="0" w:tplc="46243AC4">
      <w:start w:val="1"/>
      <w:numFmt w:val="lowerLetter"/>
      <w:lvlText w:val="%1)"/>
      <w:lvlJc w:val="left"/>
      <w:pPr>
        <w:ind w:left="2517" w:hanging="360"/>
      </w:pPr>
      <w:rPr>
        <w:rFonts w:ascii="Arial" w:eastAsia="Times New Roman" w:hAnsi="Arial" w:cs="Arial"/>
      </w:rPr>
    </w:lvl>
    <w:lvl w:ilvl="1" w:tplc="04100003" w:tentative="1">
      <w:start w:val="1"/>
      <w:numFmt w:val="bullet"/>
      <w:lvlText w:val="o"/>
      <w:lvlJc w:val="left"/>
      <w:pPr>
        <w:ind w:left="3237" w:hanging="360"/>
      </w:pPr>
      <w:rPr>
        <w:rFonts w:ascii="Courier New" w:hAnsi="Courier New" w:cs="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cs="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cs="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14"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407BCC"/>
    <w:multiLevelType w:val="hybridMultilevel"/>
    <w:tmpl w:val="F20AF4D8"/>
    <w:lvl w:ilvl="0" w:tplc="5270E3B4">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6"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C24545E"/>
    <w:multiLevelType w:val="hybridMultilevel"/>
    <w:tmpl w:val="2BE66A3A"/>
    <w:lvl w:ilvl="0" w:tplc="6888BADE">
      <w:start w:val="1"/>
      <w:numFmt w:val="bullet"/>
      <w:lvlText w:val=""/>
      <w:lvlJc w:val="left"/>
      <w:pPr>
        <w:tabs>
          <w:tab w:val="num" w:pos="340"/>
        </w:tabs>
      </w:pPr>
      <w:rPr>
        <w:rFonts w:ascii="Webdings" w:hAnsi="Webdings" w:hint="default"/>
        <w:b w:val="0"/>
        <w:i w:val="0"/>
        <w:color w:val="E42618"/>
        <w:spacing w:val="0"/>
        <w:sz w:val="24"/>
        <w:szCs w:val="18"/>
      </w:rPr>
    </w:lvl>
    <w:lvl w:ilvl="1" w:tplc="E8FCC02E">
      <w:start w:val="1"/>
      <w:numFmt w:val="bullet"/>
      <w:lvlText w:val="o"/>
      <w:lvlJc w:val="left"/>
      <w:pPr>
        <w:tabs>
          <w:tab w:val="num" w:pos="1440"/>
        </w:tabs>
        <w:ind w:left="1440" w:hanging="360"/>
      </w:pPr>
      <w:rPr>
        <w:rFonts w:ascii="Courier New" w:hAnsi="Courier New"/>
      </w:rPr>
    </w:lvl>
    <w:lvl w:ilvl="2" w:tplc="57B2E412">
      <w:start w:val="1"/>
      <w:numFmt w:val="bullet"/>
      <w:lvlText w:val=""/>
      <w:lvlJc w:val="left"/>
      <w:pPr>
        <w:tabs>
          <w:tab w:val="num" w:pos="2160"/>
        </w:tabs>
        <w:ind w:left="2160" w:hanging="360"/>
      </w:pPr>
      <w:rPr>
        <w:rFonts w:ascii="Wingdings" w:hAnsi="Wingdings"/>
      </w:rPr>
    </w:lvl>
    <w:lvl w:ilvl="3" w:tplc="31BA2B30">
      <w:start w:val="1"/>
      <w:numFmt w:val="bullet"/>
      <w:lvlText w:val=""/>
      <w:lvlJc w:val="left"/>
      <w:pPr>
        <w:tabs>
          <w:tab w:val="num" w:pos="2880"/>
        </w:tabs>
        <w:ind w:left="2880" w:hanging="360"/>
      </w:pPr>
      <w:rPr>
        <w:rFonts w:ascii="Symbol" w:hAnsi="Symbol"/>
      </w:rPr>
    </w:lvl>
    <w:lvl w:ilvl="4" w:tplc="2C2276D6">
      <w:start w:val="1"/>
      <w:numFmt w:val="bullet"/>
      <w:lvlText w:val="o"/>
      <w:lvlJc w:val="left"/>
      <w:pPr>
        <w:tabs>
          <w:tab w:val="num" w:pos="3600"/>
        </w:tabs>
        <w:ind w:left="3600" w:hanging="360"/>
      </w:pPr>
      <w:rPr>
        <w:rFonts w:ascii="Courier New" w:hAnsi="Courier New"/>
      </w:rPr>
    </w:lvl>
    <w:lvl w:ilvl="5" w:tplc="85BACC6E">
      <w:start w:val="1"/>
      <w:numFmt w:val="bullet"/>
      <w:lvlText w:val=""/>
      <w:lvlJc w:val="left"/>
      <w:pPr>
        <w:tabs>
          <w:tab w:val="num" w:pos="4320"/>
        </w:tabs>
        <w:ind w:left="4320" w:hanging="360"/>
      </w:pPr>
      <w:rPr>
        <w:rFonts w:ascii="Wingdings" w:hAnsi="Wingdings"/>
      </w:rPr>
    </w:lvl>
    <w:lvl w:ilvl="6" w:tplc="1F3EF924">
      <w:start w:val="1"/>
      <w:numFmt w:val="bullet"/>
      <w:lvlText w:val=""/>
      <w:lvlJc w:val="left"/>
      <w:pPr>
        <w:tabs>
          <w:tab w:val="num" w:pos="5040"/>
        </w:tabs>
        <w:ind w:left="5040" w:hanging="360"/>
      </w:pPr>
      <w:rPr>
        <w:rFonts w:ascii="Symbol" w:hAnsi="Symbol"/>
      </w:rPr>
    </w:lvl>
    <w:lvl w:ilvl="7" w:tplc="6D82A608">
      <w:start w:val="1"/>
      <w:numFmt w:val="bullet"/>
      <w:lvlText w:val="o"/>
      <w:lvlJc w:val="left"/>
      <w:pPr>
        <w:tabs>
          <w:tab w:val="num" w:pos="5760"/>
        </w:tabs>
        <w:ind w:left="5760" w:hanging="360"/>
      </w:pPr>
      <w:rPr>
        <w:rFonts w:ascii="Courier New" w:hAnsi="Courier New"/>
      </w:rPr>
    </w:lvl>
    <w:lvl w:ilvl="8" w:tplc="11E84114">
      <w:start w:val="1"/>
      <w:numFmt w:val="bullet"/>
      <w:lvlText w:val=""/>
      <w:lvlJc w:val="left"/>
      <w:pPr>
        <w:tabs>
          <w:tab w:val="num" w:pos="6480"/>
        </w:tabs>
        <w:ind w:left="6480" w:hanging="360"/>
      </w:pPr>
      <w:rPr>
        <w:rFonts w:ascii="Wingdings" w:hAnsi="Wingdings"/>
      </w:rPr>
    </w:lvl>
  </w:abstractNum>
  <w:abstractNum w:abstractNumId="18" w15:restartNumberingAfterBreak="0">
    <w:nsid w:val="1C424650"/>
    <w:multiLevelType w:val="hybridMultilevel"/>
    <w:tmpl w:val="4FC00012"/>
    <w:lvl w:ilvl="0" w:tplc="086C8314">
      <w:start w:val="1"/>
      <w:numFmt w:val="bullet"/>
      <w:lvlText w:val=""/>
      <w:lvlJc w:val="left"/>
      <w:pPr>
        <w:tabs>
          <w:tab w:val="num" w:pos="340"/>
        </w:tabs>
        <w:ind w:left="0" w:firstLine="0"/>
      </w:pPr>
      <w:rPr>
        <w:rFonts w:ascii="Wingdings" w:hAnsi="Wingdings" w:hint="default"/>
        <w:b w:val="0"/>
        <w:i w:val="0"/>
        <w:color w:val="E42618"/>
        <w:spacing w:val="0"/>
        <w:sz w:val="26"/>
        <w:szCs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343AE3"/>
    <w:multiLevelType w:val="hybridMultilevel"/>
    <w:tmpl w:val="6EC29A46"/>
    <w:lvl w:ilvl="0" w:tplc="DB7A5FB8">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20" w15:restartNumberingAfterBreak="0">
    <w:nsid w:val="21557202"/>
    <w:multiLevelType w:val="hybridMultilevel"/>
    <w:tmpl w:val="0A3276F0"/>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2"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08A6599"/>
    <w:multiLevelType w:val="hybridMultilevel"/>
    <w:tmpl w:val="B76E8456"/>
    <w:lvl w:ilvl="0" w:tplc="2B42CDCC">
      <w:start w:val="1"/>
      <w:numFmt w:val="bullet"/>
      <w:lvlText w:val=""/>
      <w:lvlJc w:val="left"/>
      <w:pPr>
        <w:tabs>
          <w:tab w:val="num" w:pos="340"/>
        </w:tabs>
      </w:pPr>
      <w:rPr>
        <w:rFonts w:ascii="Wingdings" w:hAnsi="Wingdings" w:hint="default"/>
        <w:b w:val="0"/>
        <w:i w:val="0"/>
        <w:color w:val="FF0000"/>
        <w:spacing w:val="0"/>
        <w:sz w:val="26"/>
      </w:rPr>
    </w:lvl>
    <w:lvl w:ilvl="1" w:tplc="BEA8D876">
      <w:start w:val="1"/>
      <w:numFmt w:val="bullet"/>
      <w:lvlText w:val="o"/>
      <w:lvlJc w:val="left"/>
      <w:pPr>
        <w:tabs>
          <w:tab w:val="num" w:pos="1440"/>
        </w:tabs>
        <w:ind w:left="1440" w:hanging="360"/>
      </w:pPr>
      <w:rPr>
        <w:rFonts w:ascii="Courier New" w:hAnsi="Courier New" w:hint="default"/>
      </w:rPr>
    </w:lvl>
    <w:lvl w:ilvl="2" w:tplc="CA689E7A">
      <w:start w:val="1"/>
      <w:numFmt w:val="bullet"/>
      <w:lvlText w:val=""/>
      <w:lvlJc w:val="left"/>
      <w:pPr>
        <w:tabs>
          <w:tab w:val="num" w:pos="2160"/>
        </w:tabs>
        <w:ind w:left="2160" w:hanging="360"/>
      </w:pPr>
      <w:rPr>
        <w:rFonts w:ascii="Wingdings" w:hAnsi="Wingdings" w:hint="default"/>
      </w:rPr>
    </w:lvl>
    <w:lvl w:ilvl="3" w:tplc="1B16916C">
      <w:start w:val="1"/>
      <w:numFmt w:val="bullet"/>
      <w:lvlText w:val=""/>
      <w:lvlJc w:val="left"/>
      <w:pPr>
        <w:tabs>
          <w:tab w:val="num" w:pos="2880"/>
        </w:tabs>
        <w:ind w:left="2880" w:hanging="360"/>
      </w:pPr>
      <w:rPr>
        <w:rFonts w:ascii="Symbol" w:hAnsi="Symbol" w:hint="default"/>
      </w:rPr>
    </w:lvl>
    <w:lvl w:ilvl="4" w:tplc="8584BC78">
      <w:start w:val="1"/>
      <w:numFmt w:val="bullet"/>
      <w:lvlText w:val="o"/>
      <w:lvlJc w:val="left"/>
      <w:pPr>
        <w:tabs>
          <w:tab w:val="num" w:pos="3600"/>
        </w:tabs>
        <w:ind w:left="3600" w:hanging="360"/>
      </w:pPr>
      <w:rPr>
        <w:rFonts w:ascii="Courier New" w:hAnsi="Courier New" w:hint="default"/>
      </w:rPr>
    </w:lvl>
    <w:lvl w:ilvl="5" w:tplc="FE628432">
      <w:start w:val="1"/>
      <w:numFmt w:val="bullet"/>
      <w:lvlText w:val=""/>
      <w:lvlJc w:val="left"/>
      <w:pPr>
        <w:tabs>
          <w:tab w:val="num" w:pos="4320"/>
        </w:tabs>
        <w:ind w:left="4320" w:hanging="360"/>
      </w:pPr>
      <w:rPr>
        <w:rFonts w:ascii="Wingdings" w:hAnsi="Wingdings" w:hint="default"/>
      </w:rPr>
    </w:lvl>
    <w:lvl w:ilvl="6" w:tplc="DA4E5C98">
      <w:start w:val="1"/>
      <w:numFmt w:val="bullet"/>
      <w:lvlText w:val=""/>
      <w:lvlJc w:val="left"/>
      <w:pPr>
        <w:tabs>
          <w:tab w:val="num" w:pos="5040"/>
        </w:tabs>
        <w:ind w:left="5040" w:hanging="360"/>
      </w:pPr>
      <w:rPr>
        <w:rFonts w:ascii="Symbol" w:hAnsi="Symbol" w:hint="default"/>
      </w:rPr>
    </w:lvl>
    <w:lvl w:ilvl="7" w:tplc="CF50E1B2">
      <w:start w:val="1"/>
      <w:numFmt w:val="bullet"/>
      <w:lvlText w:val="o"/>
      <w:lvlJc w:val="left"/>
      <w:pPr>
        <w:tabs>
          <w:tab w:val="num" w:pos="5760"/>
        </w:tabs>
        <w:ind w:left="5760" w:hanging="360"/>
      </w:pPr>
      <w:rPr>
        <w:rFonts w:ascii="Courier New" w:hAnsi="Courier New" w:hint="default"/>
      </w:rPr>
    </w:lvl>
    <w:lvl w:ilvl="8" w:tplc="E9CCC43E">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133F22"/>
    <w:multiLevelType w:val="hybridMultilevel"/>
    <w:tmpl w:val="07B4D620"/>
    <w:lvl w:ilvl="0" w:tplc="894A4710">
      <w:start w:val="1"/>
      <w:numFmt w:val="lowerLetter"/>
      <w:lvlText w:val="(%1)"/>
      <w:lvlJc w:val="left"/>
      <w:pPr>
        <w:tabs>
          <w:tab w:val="num" w:pos="2202"/>
        </w:tabs>
        <w:ind w:left="2202" w:hanging="360"/>
      </w:pPr>
      <w:rPr>
        <w:rFonts w:hint="default"/>
      </w:rPr>
    </w:lvl>
    <w:lvl w:ilvl="1" w:tplc="04100019" w:tentative="1">
      <w:start w:val="1"/>
      <w:numFmt w:val="lowerLetter"/>
      <w:lvlText w:val="%2."/>
      <w:lvlJc w:val="left"/>
      <w:pPr>
        <w:tabs>
          <w:tab w:val="num" w:pos="2922"/>
        </w:tabs>
        <w:ind w:left="2922" w:hanging="360"/>
      </w:pPr>
    </w:lvl>
    <w:lvl w:ilvl="2" w:tplc="0410001B" w:tentative="1">
      <w:start w:val="1"/>
      <w:numFmt w:val="lowerRoman"/>
      <w:lvlText w:val="%3."/>
      <w:lvlJc w:val="right"/>
      <w:pPr>
        <w:tabs>
          <w:tab w:val="num" w:pos="3642"/>
        </w:tabs>
        <w:ind w:left="3642" w:hanging="180"/>
      </w:pPr>
    </w:lvl>
    <w:lvl w:ilvl="3" w:tplc="0410000F" w:tentative="1">
      <w:start w:val="1"/>
      <w:numFmt w:val="decimal"/>
      <w:lvlText w:val="%4."/>
      <w:lvlJc w:val="left"/>
      <w:pPr>
        <w:tabs>
          <w:tab w:val="num" w:pos="4362"/>
        </w:tabs>
        <w:ind w:left="4362" w:hanging="360"/>
      </w:pPr>
    </w:lvl>
    <w:lvl w:ilvl="4" w:tplc="04100019" w:tentative="1">
      <w:start w:val="1"/>
      <w:numFmt w:val="lowerLetter"/>
      <w:lvlText w:val="%5."/>
      <w:lvlJc w:val="left"/>
      <w:pPr>
        <w:tabs>
          <w:tab w:val="num" w:pos="5082"/>
        </w:tabs>
        <w:ind w:left="5082" w:hanging="360"/>
      </w:pPr>
    </w:lvl>
    <w:lvl w:ilvl="5" w:tplc="0410001B" w:tentative="1">
      <w:start w:val="1"/>
      <w:numFmt w:val="lowerRoman"/>
      <w:lvlText w:val="%6."/>
      <w:lvlJc w:val="right"/>
      <w:pPr>
        <w:tabs>
          <w:tab w:val="num" w:pos="5802"/>
        </w:tabs>
        <w:ind w:left="5802" w:hanging="180"/>
      </w:pPr>
    </w:lvl>
    <w:lvl w:ilvl="6" w:tplc="0410000F" w:tentative="1">
      <w:start w:val="1"/>
      <w:numFmt w:val="decimal"/>
      <w:lvlText w:val="%7."/>
      <w:lvlJc w:val="left"/>
      <w:pPr>
        <w:tabs>
          <w:tab w:val="num" w:pos="6522"/>
        </w:tabs>
        <w:ind w:left="6522" w:hanging="360"/>
      </w:pPr>
    </w:lvl>
    <w:lvl w:ilvl="7" w:tplc="04100019" w:tentative="1">
      <w:start w:val="1"/>
      <w:numFmt w:val="lowerLetter"/>
      <w:lvlText w:val="%8."/>
      <w:lvlJc w:val="left"/>
      <w:pPr>
        <w:tabs>
          <w:tab w:val="num" w:pos="7242"/>
        </w:tabs>
        <w:ind w:left="7242" w:hanging="360"/>
      </w:pPr>
    </w:lvl>
    <w:lvl w:ilvl="8" w:tplc="0410001B" w:tentative="1">
      <w:start w:val="1"/>
      <w:numFmt w:val="lowerRoman"/>
      <w:lvlText w:val="%9."/>
      <w:lvlJc w:val="right"/>
      <w:pPr>
        <w:tabs>
          <w:tab w:val="num" w:pos="7962"/>
        </w:tabs>
        <w:ind w:left="7962" w:hanging="180"/>
      </w:pPr>
    </w:lvl>
  </w:abstractNum>
  <w:abstractNum w:abstractNumId="25"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33D95BC4"/>
    <w:multiLevelType w:val="hybridMultilevel"/>
    <w:tmpl w:val="A086B6BA"/>
    <w:lvl w:ilvl="0" w:tplc="973C3CC0">
      <w:start w:val="1"/>
      <w:numFmt w:val="lowerLetter"/>
      <w:lvlText w:val="(%1)"/>
      <w:lvlJc w:val="left"/>
      <w:pPr>
        <w:ind w:left="420" w:hanging="360"/>
      </w:pPr>
      <w:rPr>
        <w:rFonts w:ascii="Arial Narrow" w:hAnsi="Arial Narrow" w:hint="default"/>
        <w:sz w:val="15"/>
        <w:szCs w:val="15"/>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7"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8"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03F6CFD"/>
    <w:multiLevelType w:val="hybridMultilevel"/>
    <w:tmpl w:val="DB5CFE1A"/>
    <w:lvl w:ilvl="0" w:tplc="A8762A92">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1" w15:restartNumberingAfterBreak="0">
    <w:nsid w:val="46526AED"/>
    <w:multiLevelType w:val="hybridMultilevel"/>
    <w:tmpl w:val="F10A9D34"/>
    <w:lvl w:ilvl="0" w:tplc="680C282C">
      <w:start w:val="1"/>
      <w:numFmt w:val="bullet"/>
      <w:lvlText w:val="n"/>
      <w:lvlJc w:val="left"/>
      <w:pPr>
        <w:tabs>
          <w:tab w:val="num" w:pos="360"/>
        </w:tabs>
        <w:ind w:left="360" w:hanging="360"/>
      </w:pPr>
      <w:rPr>
        <w:rFonts w:ascii="Wingdings" w:hAnsi="Wingdings" w:hint="default"/>
        <w:color w:val="E42618"/>
        <w:sz w:val="24"/>
        <w:szCs w:val="24"/>
      </w:rPr>
    </w:lvl>
    <w:lvl w:ilvl="1" w:tplc="E7AC5A20">
      <w:start w:val="1"/>
      <w:numFmt w:val="bullet"/>
      <w:lvlText w:val=""/>
      <w:lvlJc w:val="left"/>
      <w:pPr>
        <w:tabs>
          <w:tab w:val="num" w:pos="1440"/>
        </w:tabs>
        <w:ind w:left="1440" w:hanging="360"/>
      </w:pPr>
      <w:rPr>
        <w:rFonts w:ascii="Symbol" w:hAnsi="Symbol"/>
      </w:rPr>
    </w:lvl>
    <w:lvl w:ilvl="2" w:tplc="050AAA86">
      <w:start w:val="1"/>
      <w:numFmt w:val="bullet"/>
      <w:lvlText w:val=""/>
      <w:lvlJc w:val="left"/>
      <w:pPr>
        <w:tabs>
          <w:tab w:val="num" w:pos="2160"/>
        </w:tabs>
        <w:ind w:left="2160" w:hanging="360"/>
      </w:pPr>
      <w:rPr>
        <w:rFonts w:ascii="Symbol" w:hAnsi="Symbol"/>
      </w:rPr>
    </w:lvl>
    <w:lvl w:ilvl="3" w:tplc="8B3E2E4E">
      <w:start w:val="1"/>
      <w:numFmt w:val="bullet"/>
      <w:lvlText w:val=""/>
      <w:lvlJc w:val="left"/>
      <w:pPr>
        <w:tabs>
          <w:tab w:val="num" w:pos="2880"/>
        </w:tabs>
        <w:ind w:left="2880" w:hanging="360"/>
      </w:pPr>
      <w:rPr>
        <w:rFonts w:ascii="Symbol" w:hAnsi="Symbol"/>
      </w:rPr>
    </w:lvl>
    <w:lvl w:ilvl="4" w:tplc="D36450B0">
      <w:start w:val="1"/>
      <w:numFmt w:val="bullet"/>
      <w:lvlText w:val=""/>
      <w:lvlJc w:val="left"/>
      <w:pPr>
        <w:tabs>
          <w:tab w:val="num" w:pos="3600"/>
        </w:tabs>
        <w:ind w:left="3600" w:hanging="360"/>
      </w:pPr>
      <w:rPr>
        <w:rFonts w:ascii="Symbol" w:hAnsi="Symbol"/>
      </w:rPr>
    </w:lvl>
    <w:lvl w:ilvl="5" w:tplc="EB62B692">
      <w:start w:val="1"/>
      <w:numFmt w:val="bullet"/>
      <w:lvlText w:val=""/>
      <w:lvlJc w:val="left"/>
      <w:pPr>
        <w:tabs>
          <w:tab w:val="num" w:pos="4320"/>
        </w:tabs>
        <w:ind w:left="4320" w:hanging="360"/>
      </w:pPr>
      <w:rPr>
        <w:rFonts w:ascii="Symbol" w:hAnsi="Symbol"/>
      </w:rPr>
    </w:lvl>
    <w:lvl w:ilvl="6" w:tplc="A796B456">
      <w:start w:val="1"/>
      <w:numFmt w:val="bullet"/>
      <w:lvlText w:val=""/>
      <w:lvlJc w:val="left"/>
      <w:pPr>
        <w:tabs>
          <w:tab w:val="num" w:pos="5040"/>
        </w:tabs>
        <w:ind w:left="5040" w:hanging="360"/>
      </w:pPr>
      <w:rPr>
        <w:rFonts w:ascii="Symbol" w:hAnsi="Symbol"/>
      </w:rPr>
    </w:lvl>
    <w:lvl w:ilvl="7" w:tplc="F144444C">
      <w:start w:val="1"/>
      <w:numFmt w:val="bullet"/>
      <w:lvlText w:val=""/>
      <w:lvlJc w:val="left"/>
      <w:pPr>
        <w:tabs>
          <w:tab w:val="num" w:pos="5760"/>
        </w:tabs>
        <w:ind w:left="5760" w:hanging="360"/>
      </w:pPr>
      <w:rPr>
        <w:rFonts w:ascii="Symbol" w:hAnsi="Symbol"/>
      </w:rPr>
    </w:lvl>
    <w:lvl w:ilvl="8" w:tplc="AC58295C">
      <w:start w:val="1"/>
      <w:numFmt w:val="bullet"/>
      <w:lvlText w:val=""/>
      <w:lvlJc w:val="left"/>
      <w:pPr>
        <w:tabs>
          <w:tab w:val="num" w:pos="6480"/>
        </w:tabs>
        <w:ind w:left="6480" w:hanging="360"/>
      </w:pPr>
      <w:rPr>
        <w:rFonts w:ascii="Symbol" w:hAnsi="Symbol"/>
      </w:rPr>
    </w:lvl>
  </w:abstractNum>
  <w:abstractNum w:abstractNumId="32"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3" w15:restartNumberingAfterBreak="0">
    <w:nsid w:val="4D7715EA"/>
    <w:multiLevelType w:val="hybridMultilevel"/>
    <w:tmpl w:val="C0C6F1BC"/>
    <w:lvl w:ilvl="0" w:tplc="2B98E7F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2F30A1F"/>
    <w:multiLevelType w:val="hybridMultilevel"/>
    <w:tmpl w:val="02607124"/>
    <w:lvl w:ilvl="0" w:tplc="04090001">
      <w:start w:val="1"/>
      <w:numFmt w:val="bullet"/>
      <w:lvlText w:val=""/>
      <w:lvlJc w:val="left"/>
      <w:pPr>
        <w:ind w:left="2534" w:hanging="360"/>
      </w:pPr>
      <w:rPr>
        <w:rFonts w:ascii="Symbol" w:hAnsi="Symbol" w:hint="default"/>
      </w:rPr>
    </w:lvl>
    <w:lvl w:ilvl="1" w:tplc="04090003" w:tentative="1">
      <w:start w:val="1"/>
      <w:numFmt w:val="bullet"/>
      <w:lvlText w:val="o"/>
      <w:lvlJc w:val="left"/>
      <w:pPr>
        <w:ind w:left="3254" w:hanging="360"/>
      </w:pPr>
      <w:rPr>
        <w:rFonts w:ascii="Courier New" w:hAnsi="Courier New" w:cs="Courier New"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35" w15:restartNumberingAfterBreak="0">
    <w:nsid w:val="549A678C"/>
    <w:multiLevelType w:val="hybridMultilevel"/>
    <w:tmpl w:val="7EFE57B6"/>
    <w:lvl w:ilvl="0" w:tplc="7ED098F6">
      <w:start w:val="1"/>
      <w:numFmt w:val="lowerLetter"/>
      <w:lvlText w:val="%1)"/>
      <w:lvlJc w:val="left"/>
      <w:pPr>
        <w:ind w:left="25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20E061A"/>
    <w:multiLevelType w:val="multilevel"/>
    <w:tmpl w:val="A14EDF6A"/>
    <w:lvl w:ilvl="0">
      <w:start w:val="1"/>
      <w:numFmt w:val="lowerLetter"/>
      <w:lvlText w:val="(%1)"/>
      <w:lvlJc w:val="left"/>
      <w:pPr>
        <w:tabs>
          <w:tab w:val="num" w:pos="1980"/>
        </w:tabs>
        <w:ind w:left="19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26877FF"/>
    <w:multiLevelType w:val="hybridMultilevel"/>
    <w:tmpl w:val="8ABE09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1F92649"/>
    <w:multiLevelType w:val="hybridMultilevel"/>
    <w:tmpl w:val="1644907C"/>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0" w15:restartNumberingAfterBreak="0">
    <w:nsid w:val="72F1680C"/>
    <w:multiLevelType w:val="hybridMultilevel"/>
    <w:tmpl w:val="D9427482"/>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num w:numId="1">
    <w:abstractNumId w:val="16"/>
  </w:num>
  <w:num w:numId="2">
    <w:abstractNumId w:val="28"/>
  </w:num>
  <w:num w:numId="3">
    <w:abstractNumId w:val="32"/>
  </w:num>
  <w:num w:numId="4">
    <w:abstractNumId w:val="6"/>
  </w:num>
  <w:num w:numId="5">
    <w:abstractNumId w:val="21"/>
  </w:num>
  <w:num w:numId="6">
    <w:abstractNumId w:val="5"/>
  </w:num>
  <w:num w:numId="7">
    <w:abstractNumId w:val="0"/>
  </w:num>
  <w:num w:numId="8">
    <w:abstractNumId w:val="22"/>
  </w:num>
  <w:num w:numId="9">
    <w:abstractNumId w:val="29"/>
  </w:num>
  <w:num w:numId="10">
    <w:abstractNumId w:val="12"/>
  </w:num>
  <w:num w:numId="11">
    <w:abstractNumId w:val="27"/>
  </w:num>
  <w:num w:numId="12">
    <w:abstractNumId w:val="2"/>
  </w:num>
  <w:num w:numId="13">
    <w:abstractNumId w:val="38"/>
  </w:num>
  <w:num w:numId="14">
    <w:abstractNumId w:val="8"/>
  </w:num>
  <w:num w:numId="15">
    <w:abstractNumId w:val="40"/>
  </w:num>
  <w:num w:numId="16">
    <w:abstractNumId w:val="14"/>
  </w:num>
  <w:num w:numId="17">
    <w:abstractNumId w:val="25"/>
  </w:num>
  <w:num w:numId="18">
    <w:abstractNumId w:val="1"/>
  </w:num>
  <w:num w:numId="19">
    <w:abstractNumId w:val="18"/>
  </w:num>
  <w:num w:numId="20">
    <w:abstractNumId w:val="31"/>
  </w:num>
  <w:num w:numId="21">
    <w:abstractNumId w:val="9"/>
  </w:num>
  <w:num w:numId="22">
    <w:abstractNumId w:val="30"/>
  </w:num>
  <w:num w:numId="23">
    <w:abstractNumId w:val="36"/>
  </w:num>
  <w:num w:numId="24">
    <w:abstractNumId w:val="24"/>
  </w:num>
  <w:num w:numId="25">
    <w:abstractNumId w:val="10"/>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3"/>
  </w:num>
  <w:num w:numId="29">
    <w:abstractNumId w:val="15"/>
  </w:num>
  <w:num w:numId="30">
    <w:abstractNumId w:val="13"/>
  </w:num>
  <w:num w:numId="31">
    <w:abstractNumId w:val="4"/>
  </w:num>
  <w:num w:numId="32">
    <w:abstractNumId w:val="39"/>
  </w:num>
  <w:num w:numId="33">
    <w:abstractNumId w:val="7"/>
  </w:num>
  <w:num w:numId="34">
    <w:abstractNumId w:val="34"/>
  </w:num>
  <w:num w:numId="35">
    <w:abstractNumId w:val="17"/>
  </w:num>
  <w:num w:numId="36">
    <w:abstractNumId w:val="20"/>
  </w:num>
  <w:num w:numId="37">
    <w:abstractNumId w:val="3"/>
  </w:num>
  <w:num w:numId="38">
    <w:abstractNumId w:val="26"/>
  </w:num>
  <w:num w:numId="39">
    <w:abstractNumId w:val="35"/>
  </w:num>
  <w:num w:numId="40">
    <w:abstractNumId w:val="30"/>
  </w:num>
  <w:num w:numId="41">
    <w:abstractNumId w:val="33"/>
  </w:num>
  <w:num w:numId="42">
    <w:abstractNumId w:val="11"/>
  </w:num>
  <w:num w:numId="43">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hideSpellingErrors/>
  <w:hideGrammatical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131078" w:nlCheck="1" w:checkStyle="0"/>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01C"/>
    <w:rsid w:val="000000E6"/>
    <w:rsid w:val="00000148"/>
    <w:rsid w:val="00000728"/>
    <w:rsid w:val="000008B7"/>
    <w:rsid w:val="00000A07"/>
    <w:rsid w:val="00000B94"/>
    <w:rsid w:val="000011E6"/>
    <w:rsid w:val="00001548"/>
    <w:rsid w:val="000015D1"/>
    <w:rsid w:val="00001605"/>
    <w:rsid w:val="00001C85"/>
    <w:rsid w:val="000020B7"/>
    <w:rsid w:val="0000242C"/>
    <w:rsid w:val="000026DF"/>
    <w:rsid w:val="00002F2D"/>
    <w:rsid w:val="000034C8"/>
    <w:rsid w:val="00003834"/>
    <w:rsid w:val="000039B0"/>
    <w:rsid w:val="00003AAA"/>
    <w:rsid w:val="00003AB5"/>
    <w:rsid w:val="00003AD9"/>
    <w:rsid w:val="00003F46"/>
    <w:rsid w:val="00003F7B"/>
    <w:rsid w:val="000041BD"/>
    <w:rsid w:val="000043D5"/>
    <w:rsid w:val="00004794"/>
    <w:rsid w:val="000049DD"/>
    <w:rsid w:val="00004CF5"/>
    <w:rsid w:val="00004DDD"/>
    <w:rsid w:val="00004DF3"/>
    <w:rsid w:val="00004E38"/>
    <w:rsid w:val="0000500C"/>
    <w:rsid w:val="000054F2"/>
    <w:rsid w:val="00005A6B"/>
    <w:rsid w:val="00006709"/>
    <w:rsid w:val="0000683C"/>
    <w:rsid w:val="000068CA"/>
    <w:rsid w:val="00006A17"/>
    <w:rsid w:val="00006DB7"/>
    <w:rsid w:val="00006E53"/>
    <w:rsid w:val="00007042"/>
    <w:rsid w:val="0000740E"/>
    <w:rsid w:val="00007876"/>
    <w:rsid w:val="00010006"/>
    <w:rsid w:val="00010041"/>
    <w:rsid w:val="000101B6"/>
    <w:rsid w:val="0001021B"/>
    <w:rsid w:val="000102D5"/>
    <w:rsid w:val="00010573"/>
    <w:rsid w:val="0001089C"/>
    <w:rsid w:val="000108ED"/>
    <w:rsid w:val="00010957"/>
    <w:rsid w:val="0001097F"/>
    <w:rsid w:val="000109E3"/>
    <w:rsid w:val="00010A46"/>
    <w:rsid w:val="00010B15"/>
    <w:rsid w:val="00010B3C"/>
    <w:rsid w:val="00010B8D"/>
    <w:rsid w:val="00010C7B"/>
    <w:rsid w:val="00010D06"/>
    <w:rsid w:val="00011270"/>
    <w:rsid w:val="000113F8"/>
    <w:rsid w:val="00011473"/>
    <w:rsid w:val="00011610"/>
    <w:rsid w:val="0001181A"/>
    <w:rsid w:val="000119A0"/>
    <w:rsid w:val="00011A51"/>
    <w:rsid w:val="00011DC6"/>
    <w:rsid w:val="00011EAF"/>
    <w:rsid w:val="00011F76"/>
    <w:rsid w:val="00012364"/>
    <w:rsid w:val="0001244E"/>
    <w:rsid w:val="00012499"/>
    <w:rsid w:val="0001283C"/>
    <w:rsid w:val="0001287A"/>
    <w:rsid w:val="00012A11"/>
    <w:rsid w:val="00012FD3"/>
    <w:rsid w:val="0001319C"/>
    <w:rsid w:val="000134A3"/>
    <w:rsid w:val="0001357A"/>
    <w:rsid w:val="000135AB"/>
    <w:rsid w:val="00013751"/>
    <w:rsid w:val="00013995"/>
    <w:rsid w:val="00013A1E"/>
    <w:rsid w:val="00013F41"/>
    <w:rsid w:val="00014269"/>
    <w:rsid w:val="000142DC"/>
    <w:rsid w:val="000146B3"/>
    <w:rsid w:val="00014863"/>
    <w:rsid w:val="00014927"/>
    <w:rsid w:val="0001494F"/>
    <w:rsid w:val="000152B4"/>
    <w:rsid w:val="00015517"/>
    <w:rsid w:val="0001561A"/>
    <w:rsid w:val="00015D22"/>
    <w:rsid w:val="00015DAF"/>
    <w:rsid w:val="00015EAD"/>
    <w:rsid w:val="00016024"/>
    <w:rsid w:val="0001638E"/>
    <w:rsid w:val="000167F5"/>
    <w:rsid w:val="00016974"/>
    <w:rsid w:val="00016B13"/>
    <w:rsid w:val="00016C00"/>
    <w:rsid w:val="00016C6A"/>
    <w:rsid w:val="00017353"/>
    <w:rsid w:val="0001745D"/>
    <w:rsid w:val="00017951"/>
    <w:rsid w:val="000204CC"/>
    <w:rsid w:val="000204D8"/>
    <w:rsid w:val="000205CA"/>
    <w:rsid w:val="0002065A"/>
    <w:rsid w:val="000208F9"/>
    <w:rsid w:val="000211AD"/>
    <w:rsid w:val="000213E2"/>
    <w:rsid w:val="00021652"/>
    <w:rsid w:val="0002181D"/>
    <w:rsid w:val="00021B34"/>
    <w:rsid w:val="00022197"/>
    <w:rsid w:val="00022763"/>
    <w:rsid w:val="000228CB"/>
    <w:rsid w:val="000233BC"/>
    <w:rsid w:val="000235FB"/>
    <w:rsid w:val="00023D90"/>
    <w:rsid w:val="00024050"/>
    <w:rsid w:val="000241B7"/>
    <w:rsid w:val="00024BDA"/>
    <w:rsid w:val="00024DBE"/>
    <w:rsid w:val="000250BC"/>
    <w:rsid w:val="0002515C"/>
    <w:rsid w:val="0002519B"/>
    <w:rsid w:val="00025294"/>
    <w:rsid w:val="000253FD"/>
    <w:rsid w:val="000254AC"/>
    <w:rsid w:val="0002574E"/>
    <w:rsid w:val="000257C6"/>
    <w:rsid w:val="00025822"/>
    <w:rsid w:val="00025AA7"/>
    <w:rsid w:val="00025C48"/>
    <w:rsid w:val="00026495"/>
    <w:rsid w:val="000266A7"/>
    <w:rsid w:val="000271F4"/>
    <w:rsid w:val="00027F95"/>
    <w:rsid w:val="00027FBC"/>
    <w:rsid w:val="000305B0"/>
    <w:rsid w:val="00030AB8"/>
    <w:rsid w:val="00030BEE"/>
    <w:rsid w:val="00030C3A"/>
    <w:rsid w:val="00030D02"/>
    <w:rsid w:val="00030DD9"/>
    <w:rsid w:val="0003114F"/>
    <w:rsid w:val="00031258"/>
    <w:rsid w:val="00031311"/>
    <w:rsid w:val="000317E1"/>
    <w:rsid w:val="00031864"/>
    <w:rsid w:val="00031934"/>
    <w:rsid w:val="00031C2E"/>
    <w:rsid w:val="000320B7"/>
    <w:rsid w:val="0003236F"/>
    <w:rsid w:val="00032A4E"/>
    <w:rsid w:val="00032BB1"/>
    <w:rsid w:val="00033432"/>
    <w:rsid w:val="00033801"/>
    <w:rsid w:val="0003391B"/>
    <w:rsid w:val="00034CCB"/>
    <w:rsid w:val="00034D9C"/>
    <w:rsid w:val="00034E73"/>
    <w:rsid w:val="00034F28"/>
    <w:rsid w:val="0003502D"/>
    <w:rsid w:val="000350E3"/>
    <w:rsid w:val="00035164"/>
    <w:rsid w:val="0003517C"/>
    <w:rsid w:val="000352CC"/>
    <w:rsid w:val="00035555"/>
    <w:rsid w:val="00035837"/>
    <w:rsid w:val="0003608C"/>
    <w:rsid w:val="0003629C"/>
    <w:rsid w:val="000363D3"/>
    <w:rsid w:val="000366BA"/>
    <w:rsid w:val="0003704B"/>
    <w:rsid w:val="00037BBD"/>
    <w:rsid w:val="00037F26"/>
    <w:rsid w:val="0004002D"/>
    <w:rsid w:val="00040033"/>
    <w:rsid w:val="000402DE"/>
    <w:rsid w:val="00040619"/>
    <w:rsid w:val="00041081"/>
    <w:rsid w:val="000410DD"/>
    <w:rsid w:val="00041445"/>
    <w:rsid w:val="000418D6"/>
    <w:rsid w:val="00041D3A"/>
    <w:rsid w:val="00041D56"/>
    <w:rsid w:val="00041DD2"/>
    <w:rsid w:val="00041DDD"/>
    <w:rsid w:val="00041DEF"/>
    <w:rsid w:val="0004257E"/>
    <w:rsid w:val="000425DB"/>
    <w:rsid w:val="00042B16"/>
    <w:rsid w:val="00042D21"/>
    <w:rsid w:val="00042E71"/>
    <w:rsid w:val="00042F77"/>
    <w:rsid w:val="000433C2"/>
    <w:rsid w:val="0004346C"/>
    <w:rsid w:val="000437DE"/>
    <w:rsid w:val="00043C45"/>
    <w:rsid w:val="00043C67"/>
    <w:rsid w:val="00043F9E"/>
    <w:rsid w:val="000445F5"/>
    <w:rsid w:val="0004471F"/>
    <w:rsid w:val="00044806"/>
    <w:rsid w:val="00044845"/>
    <w:rsid w:val="0004496E"/>
    <w:rsid w:val="00044B3D"/>
    <w:rsid w:val="00044BA2"/>
    <w:rsid w:val="00044D3A"/>
    <w:rsid w:val="0004504F"/>
    <w:rsid w:val="000452A7"/>
    <w:rsid w:val="000455A6"/>
    <w:rsid w:val="00045656"/>
    <w:rsid w:val="000456DB"/>
    <w:rsid w:val="000457A7"/>
    <w:rsid w:val="00045BC9"/>
    <w:rsid w:val="000462ED"/>
    <w:rsid w:val="00046645"/>
    <w:rsid w:val="00046668"/>
    <w:rsid w:val="00046881"/>
    <w:rsid w:val="00046950"/>
    <w:rsid w:val="00046AF5"/>
    <w:rsid w:val="000474A3"/>
    <w:rsid w:val="000474EA"/>
    <w:rsid w:val="000478E6"/>
    <w:rsid w:val="0004797F"/>
    <w:rsid w:val="000479D4"/>
    <w:rsid w:val="00047CCE"/>
    <w:rsid w:val="00047E42"/>
    <w:rsid w:val="00047EA6"/>
    <w:rsid w:val="00050117"/>
    <w:rsid w:val="00050441"/>
    <w:rsid w:val="00050489"/>
    <w:rsid w:val="00050496"/>
    <w:rsid w:val="000508D1"/>
    <w:rsid w:val="00050B87"/>
    <w:rsid w:val="00051081"/>
    <w:rsid w:val="000512D1"/>
    <w:rsid w:val="0005132D"/>
    <w:rsid w:val="0005182E"/>
    <w:rsid w:val="00051CCA"/>
    <w:rsid w:val="00051D92"/>
    <w:rsid w:val="00051E6A"/>
    <w:rsid w:val="00051FC2"/>
    <w:rsid w:val="000525CE"/>
    <w:rsid w:val="00052A04"/>
    <w:rsid w:val="00052D6F"/>
    <w:rsid w:val="0005317F"/>
    <w:rsid w:val="00053471"/>
    <w:rsid w:val="000537BB"/>
    <w:rsid w:val="00053850"/>
    <w:rsid w:val="000538A1"/>
    <w:rsid w:val="000541C7"/>
    <w:rsid w:val="00054645"/>
    <w:rsid w:val="00054A4F"/>
    <w:rsid w:val="00054ACA"/>
    <w:rsid w:val="00054B66"/>
    <w:rsid w:val="00054E68"/>
    <w:rsid w:val="0005548B"/>
    <w:rsid w:val="0005548D"/>
    <w:rsid w:val="000557ED"/>
    <w:rsid w:val="00055990"/>
    <w:rsid w:val="00055CB6"/>
    <w:rsid w:val="00055E26"/>
    <w:rsid w:val="00056137"/>
    <w:rsid w:val="00056138"/>
    <w:rsid w:val="000565A3"/>
    <w:rsid w:val="00056612"/>
    <w:rsid w:val="00056635"/>
    <w:rsid w:val="000567BC"/>
    <w:rsid w:val="000569E0"/>
    <w:rsid w:val="00056D45"/>
    <w:rsid w:val="00056DA9"/>
    <w:rsid w:val="00056EEF"/>
    <w:rsid w:val="00057588"/>
    <w:rsid w:val="00057640"/>
    <w:rsid w:val="000578A2"/>
    <w:rsid w:val="00057CB1"/>
    <w:rsid w:val="00060045"/>
    <w:rsid w:val="00060073"/>
    <w:rsid w:val="00060194"/>
    <w:rsid w:val="0006043F"/>
    <w:rsid w:val="0006068C"/>
    <w:rsid w:val="00060769"/>
    <w:rsid w:val="000607A6"/>
    <w:rsid w:val="00061253"/>
    <w:rsid w:val="00061378"/>
    <w:rsid w:val="0006148E"/>
    <w:rsid w:val="00061580"/>
    <w:rsid w:val="000617F3"/>
    <w:rsid w:val="000617FF"/>
    <w:rsid w:val="00061BEA"/>
    <w:rsid w:val="00061DC7"/>
    <w:rsid w:val="00061E48"/>
    <w:rsid w:val="00061E67"/>
    <w:rsid w:val="00061EE4"/>
    <w:rsid w:val="000620FB"/>
    <w:rsid w:val="000621DF"/>
    <w:rsid w:val="00062354"/>
    <w:rsid w:val="00062437"/>
    <w:rsid w:val="000629AB"/>
    <w:rsid w:val="00062C7C"/>
    <w:rsid w:val="00062E45"/>
    <w:rsid w:val="00063308"/>
    <w:rsid w:val="000635F7"/>
    <w:rsid w:val="00063D28"/>
    <w:rsid w:val="000641F8"/>
    <w:rsid w:val="000643F7"/>
    <w:rsid w:val="00064404"/>
    <w:rsid w:val="000646B8"/>
    <w:rsid w:val="00064936"/>
    <w:rsid w:val="00064E2A"/>
    <w:rsid w:val="00065001"/>
    <w:rsid w:val="00065319"/>
    <w:rsid w:val="0006537C"/>
    <w:rsid w:val="000653E1"/>
    <w:rsid w:val="00065467"/>
    <w:rsid w:val="00065496"/>
    <w:rsid w:val="000657E2"/>
    <w:rsid w:val="00065B83"/>
    <w:rsid w:val="000662FB"/>
    <w:rsid w:val="0006665B"/>
    <w:rsid w:val="0006690F"/>
    <w:rsid w:val="00067292"/>
    <w:rsid w:val="00067430"/>
    <w:rsid w:val="000674B5"/>
    <w:rsid w:val="0006757F"/>
    <w:rsid w:val="00067AB5"/>
    <w:rsid w:val="00067F81"/>
    <w:rsid w:val="00070582"/>
    <w:rsid w:val="00070718"/>
    <w:rsid w:val="0007076D"/>
    <w:rsid w:val="000708D3"/>
    <w:rsid w:val="00070B2A"/>
    <w:rsid w:val="00070E18"/>
    <w:rsid w:val="00070F2A"/>
    <w:rsid w:val="00071DBD"/>
    <w:rsid w:val="00071EFA"/>
    <w:rsid w:val="000720F5"/>
    <w:rsid w:val="000720F8"/>
    <w:rsid w:val="00072142"/>
    <w:rsid w:val="00072711"/>
    <w:rsid w:val="00072728"/>
    <w:rsid w:val="000727B5"/>
    <w:rsid w:val="00072B3F"/>
    <w:rsid w:val="00072BE2"/>
    <w:rsid w:val="00072C03"/>
    <w:rsid w:val="00072DD4"/>
    <w:rsid w:val="00073223"/>
    <w:rsid w:val="000732DF"/>
    <w:rsid w:val="000732FD"/>
    <w:rsid w:val="0007358E"/>
    <w:rsid w:val="00073792"/>
    <w:rsid w:val="00073872"/>
    <w:rsid w:val="00073A89"/>
    <w:rsid w:val="00073D34"/>
    <w:rsid w:val="00073F42"/>
    <w:rsid w:val="00073FA9"/>
    <w:rsid w:val="00074665"/>
    <w:rsid w:val="000746D5"/>
    <w:rsid w:val="00074709"/>
    <w:rsid w:val="000749B9"/>
    <w:rsid w:val="00074D11"/>
    <w:rsid w:val="00074DA1"/>
    <w:rsid w:val="000754FC"/>
    <w:rsid w:val="000755F9"/>
    <w:rsid w:val="000756DF"/>
    <w:rsid w:val="00075941"/>
    <w:rsid w:val="00075CC6"/>
    <w:rsid w:val="00075E7A"/>
    <w:rsid w:val="0007633F"/>
    <w:rsid w:val="000764A2"/>
    <w:rsid w:val="0007650D"/>
    <w:rsid w:val="000765B6"/>
    <w:rsid w:val="00076C27"/>
    <w:rsid w:val="00076D5D"/>
    <w:rsid w:val="00076DE8"/>
    <w:rsid w:val="0007706A"/>
    <w:rsid w:val="00077534"/>
    <w:rsid w:val="0007754A"/>
    <w:rsid w:val="00077592"/>
    <w:rsid w:val="0007778B"/>
    <w:rsid w:val="000778A2"/>
    <w:rsid w:val="00077E7D"/>
    <w:rsid w:val="00080263"/>
    <w:rsid w:val="000803AD"/>
    <w:rsid w:val="000806D4"/>
    <w:rsid w:val="00080736"/>
    <w:rsid w:val="00080844"/>
    <w:rsid w:val="000808E3"/>
    <w:rsid w:val="00080B60"/>
    <w:rsid w:val="00080F62"/>
    <w:rsid w:val="000811D8"/>
    <w:rsid w:val="000817F5"/>
    <w:rsid w:val="000818DD"/>
    <w:rsid w:val="000819D4"/>
    <w:rsid w:val="000828E6"/>
    <w:rsid w:val="000829B6"/>
    <w:rsid w:val="000829D1"/>
    <w:rsid w:val="00082A62"/>
    <w:rsid w:val="00082D10"/>
    <w:rsid w:val="00082E1E"/>
    <w:rsid w:val="00083173"/>
    <w:rsid w:val="00083421"/>
    <w:rsid w:val="00083429"/>
    <w:rsid w:val="00083FA8"/>
    <w:rsid w:val="00083FE3"/>
    <w:rsid w:val="0008411D"/>
    <w:rsid w:val="00084387"/>
    <w:rsid w:val="00084761"/>
    <w:rsid w:val="000849DF"/>
    <w:rsid w:val="00084AF6"/>
    <w:rsid w:val="00084E02"/>
    <w:rsid w:val="00084EA2"/>
    <w:rsid w:val="00084EE6"/>
    <w:rsid w:val="00084F63"/>
    <w:rsid w:val="0008506C"/>
    <w:rsid w:val="0008524E"/>
    <w:rsid w:val="0008527C"/>
    <w:rsid w:val="0008545A"/>
    <w:rsid w:val="00085AC2"/>
    <w:rsid w:val="00085AFD"/>
    <w:rsid w:val="00085BC7"/>
    <w:rsid w:val="00085C51"/>
    <w:rsid w:val="00085D7F"/>
    <w:rsid w:val="00085E26"/>
    <w:rsid w:val="0008600B"/>
    <w:rsid w:val="00086154"/>
    <w:rsid w:val="000868F5"/>
    <w:rsid w:val="00086C43"/>
    <w:rsid w:val="00086C83"/>
    <w:rsid w:val="000873CD"/>
    <w:rsid w:val="000873E7"/>
    <w:rsid w:val="000876D8"/>
    <w:rsid w:val="000876FA"/>
    <w:rsid w:val="00087774"/>
    <w:rsid w:val="00087BB3"/>
    <w:rsid w:val="00087C9E"/>
    <w:rsid w:val="0009016A"/>
    <w:rsid w:val="000901BC"/>
    <w:rsid w:val="000909B9"/>
    <w:rsid w:val="00090A07"/>
    <w:rsid w:val="00090B9F"/>
    <w:rsid w:val="00090D41"/>
    <w:rsid w:val="00090DE6"/>
    <w:rsid w:val="00090F1B"/>
    <w:rsid w:val="0009127D"/>
    <w:rsid w:val="00091382"/>
    <w:rsid w:val="000917F4"/>
    <w:rsid w:val="00091AA3"/>
    <w:rsid w:val="00091AFB"/>
    <w:rsid w:val="00091D57"/>
    <w:rsid w:val="00092358"/>
    <w:rsid w:val="00092391"/>
    <w:rsid w:val="000924A8"/>
    <w:rsid w:val="000924D4"/>
    <w:rsid w:val="00092C29"/>
    <w:rsid w:val="00093540"/>
    <w:rsid w:val="00093DB0"/>
    <w:rsid w:val="0009434D"/>
    <w:rsid w:val="00094463"/>
    <w:rsid w:val="00094B3C"/>
    <w:rsid w:val="00094CB4"/>
    <w:rsid w:val="000951A2"/>
    <w:rsid w:val="00095213"/>
    <w:rsid w:val="00095528"/>
    <w:rsid w:val="00095538"/>
    <w:rsid w:val="00095ABF"/>
    <w:rsid w:val="00096313"/>
    <w:rsid w:val="00096371"/>
    <w:rsid w:val="000964A7"/>
    <w:rsid w:val="0009657B"/>
    <w:rsid w:val="00096954"/>
    <w:rsid w:val="00096C13"/>
    <w:rsid w:val="00096DB8"/>
    <w:rsid w:val="00097014"/>
    <w:rsid w:val="0009723F"/>
    <w:rsid w:val="000972EF"/>
    <w:rsid w:val="000977C6"/>
    <w:rsid w:val="00097C94"/>
    <w:rsid w:val="000A085E"/>
    <w:rsid w:val="000A0936"/>
    <w:rsid w:val="000A09E7"/>
    <w:rsid w:val="000A0AC7"/>
    <w:rsid w:val="000A0D56"/>
    <w:rsid w:val="000A0D76"/>
    <w:rsid w:val="000A0DC1"/>
    <w:rsid w:val="000A0F77"/>
    <w:rsid w:val="000A1070"/>
    <w:rsid w:val="000A10AB"/>
    <w:rsid w:val="000A123E"/>
    <w:rsid w:val="000A1285"/>
    <w:rsid w:val="000A169F"/>
    <w:rsid w:val="000A1D68"/>
    <w:rsid w:val="000A2640"/>
    <w:rsid w:val="000A27BB"/>
    <w:rsid w:val="000A29A5"/>
    <w:rsid w:val="000A2EB6"/>
    <w:rsid w:val="000A2EFD"/>
    <w:rsid w:val="000A32BD"/>
    <w:rsid w:val="000A353C"/>
    <w:rsid w:val="000A3E31"/>
    <w:rsid w:val="000A3EBA"/>
    <w:rsid w:val="000A4087"/>
    <w:rsid w:val="000A40FD"/>
    <w:rsid w:val="000A4124"/>
    <w:rsid w:val="000A4139"/>
    <w:rsid w:val="000A4E9A"/>
    <w:rsid w:val="000A510B"/>
    <w:rsid w:val="000A5314"/>
    <w:rsid w:val="000A539F"/>
    <w:rsid w:val="000A5A83"/>
    <w:rsid w:val="000A5D8F"/>
    <w:rsid w:val="000A5D99"/>
    <w:rsid w:val="000A6163"/>
    <w:rsid w:val="000A630E"/>
    <w:rsid w:val="000A63AD"/>
    <w:rsid w:val="000A6591"/>
    <w:rsid w:val="000A677A"/>
    <w:rsid w:val="000A69D2"/>
    <w:rsid w:val="000A77D6"/>
    <w:rsid w:val="000A78EC"/>
    <w:rsid w:val="000A7B77"/>
    <w:rsid w:val="000A7C4C"/>
    <w:rsid w:val="000A7CF9"/>
    <w:rsid w:val="000A7D15"/>
    <w:rsid w:val="000A7D4B"/>
    <w:rsid w:val="000A7F51"/>
    <w:rsid w:val="000B01FA"/>
    <w:rsid w:val="000B022B"/>
    <w:rsid w:val="000B02ED"/>
    <w:rsid w:val="000B06A7"/>
    <w:rsid w:val="000B0DCE"/>
    <w:rsid w:val="000B14E7"/>
    <w:rsid w:val="000B1BA4"/>
    <w:rsid w:val="000B1F20"/>
    <w:rsid w:val="000B1F2B"/>
    <w:rsid w:val="000B20D4"/>
    <w:rsid w:val="000B2213"/>
    <w:rsid w:val="000B233D"/>
    <w:rsid w:val="000B27E0"/>
    <w:rsid w:val="000B2A82"/>
    <w:rsid w:val="000B2AAC"/>
    <w:rsid w:val="000B2B3C"/>
    <w:rsid w:val="000B2CD6"/>
    <w:rsid w:val="000B2FC3"/>
    <w:rsid w:val="000B32C5"/>
    <w:rsid w:val="000B32E4"/>
    <w:rsid w:val="000B3304"/>
    <w:rsid w:val="000B3667"/>
    <w:rsid w:val="000B38EA"/>
    <w:rsid w:val="000B3C3F"/>
    <w:rsid w:val="000B3D51"/>
    <w:rsid w:val="000B3EAD"/>
    <w:rsid w:val="000B3F89"/>
    <w:rsid w:val="000B4C82"/>
    <w:rsid w:val="000B51E7"/>
    <w:rsid w:val="000B53F2"/>
    <w:rsid w:val="000B56C0"/>
    <w:rsid w:val="000B57DB"/>
    <w:rsid w:val="000B5A90"/>
    <w:rsid w:val="000B5B83"/>
    <w:rsid w:val="000B5DC1"/>
    <w:rsid w:val="000B5F3D"/>
    <w:rsid w:val="000B5FA3"/>
    <w:rsid w:val="000B60D2"/>
    <w:rsid w:val="000B6575"/>
    <w:rsid w:val="000B6A87"/>
    <w:rsid w:val="000B6B12"/>
    <w:rsid w:val="000B6C6C"/>
    <w:rsid w:val="000B6CD3"/>
    <w:rsid w:val="000B6D0F"/>
    <w:rsid w:val="000B6E6D"/>
    <w:rsid w:val="000B72E0"/>
    <w:rsid w:val="000B7600"/>
    <w:rsid w:val="000B7664"/>
    <w:rsid w:val="000B7680"/>
    <w:rsid w:val="000B7989"/>
    <w:rsid w:val="000B7AE5"/>
    <w:rsid w:val="000B7E0D"/>
    <w:rsid w:val="000C01F6"/>
    <w:rsid w:val="000C0226"/>
    <w:rsid w:val="000C023A"/>
    <w:rsid w:val="000C0726"/>
    <w:rsid w:val="000C076E"/>
    <w:rsid w:val="000C099C"/>
    <w:rsid w:val="000C0F55"/>
    <w:rsid w:val="000C1097"/>
    <w:rsid w:val="000C139B"/>
    <w:rsid w:val="000C140B"/>
    <w:rsid w:val="000C15E3"/>
    <w:rsid w:val="000C1C3E"/>
    <w:rsid w:val="000C233C"/>
    <w:rsid w:val="000C24DA"/>
    <w:rsid w:val="000C25D8"/>
    <w:rsid w:val="000C267B"/>
    <w:rsid w:val="000C2980"/>
    <w:rsid w:val="000C2FB7"/>
    <w:rsid w:val="000C30CB"/>
    <w:rsid w:val="000C35FB"/>
    <w:rsid w:val="000C3630"/>
    <w:rsid w:val="000C3830"/>
    <w:rsid w:val="000C399A"/>
    <w:rsid w:val="000C39B4"/>
    <w:rsid w:val="000C3AD0"/>
    <w:rsid w:val="000C3DA5"/>
    <w:rsid w:val="000C42ED"/>
    <w:rsid w:val="000C4457"/>
    <w:rsid w:val="000C4589"/>
    <w:rsid w:val="000C4689"/>
    <w:rsid w:val="000C4968"/>
    <w:rsid w:val="000C4CC0"/>
    <w:rsid w:val="000C4D5C"/>
    <w:rsid w:val="000C5202"/>
    <w:rsid w:val="000C53F5"/>
    <w:rsid w:val="000C5564"/>
    <w:rsid w:val="000C55DB"/>
    <w:rsid w:val="000C5602"/>
    <w:rsid w:val="000C584E"/>
    <w:rsid w:val="000C59C4"/>
    <w:rsid w:val="000C5B36"/>
    <w:rsid w:val="000C5D65"/>
    <w:rsid w:val="000C627A"/>
    <w:rsid w:val="000C6F05"/>
    <w:rsid w:val="000C71C5"/>
    <w:rsid w:val="000C727A"/>
    <w:rsid w:val="000C730E"/>
    <w:rsid w:val="000C7450"/>
    <w:rsid w:val="000C7697"/>
    <w:rsid w:val="000C76DA"/>
    <w:rsid w:val="000C789E"/>
    <w:rsid w:val="000C79D0"/>
    <w:rsid w:val="000C7ABE"/>
    <w:rsid w:val="000C7B4C"/>
    <w:rsid w:val="000C7D70"/>
    <w:rsid w:val="000C7EF4"/>
    <w:rsid w:val="000D0459"/>
    <w:rsid w:val="000D072A"/>
    <w:rsid w:val="000D09C3"/>
    <w:rsid w:val="000D0B34"/>
    <w:rsid w:val="000D0EC2"/>
    <w:rsid w:val="000D0F51"/>
    <w:rsid w:val="000D1221"/>
    <w:rsid w:val="000D17A9"/>
    <w:rsid w:val="000D1B06"/>
    <w:rsid w:val="000D1D83"/>
    <w:rsid w:val="000D1E54"/>
    <w:rsid w:val="000D215B"/>
    <w:rsid w:val="000D24E2"/>
    <w:rsid w:val="000D2BA7"/>
    <w:rsid w:val="000D3585"/>
    <w:rsid w:val="000D3A7C"/>
    <w:rsid w:val="000D3CAE"/>
    <w:rsid w:val="000D42CA"/>
    <w:rsid w:val="000D4498"/>
    <w:rsid w:val="000D4568"/>
    <w:rsid w:val="000D4A0C"/>
    <w:rsid w:val="000D4EE8"/>
    <w:rsid w:val="000D4FE9"/>
    <w:rsid w:val="000D5383"/>
    <w:rsid w:val="000D53B8"/>
    <w:rsid w:val="000D5624"/>
    <w:rsid w:val="000D5955"/>
    <w:rsid w:val="000D68E4"/>
    <w:rsid w:val="000D70CE"/>
    <w:rsid w:val="000D70FA"/>
    <w:rsid w:val="000D7279"/>
    <w:rsid w:val="000D7679"/>
    <w:rsid w:val="000D7CD3"/>
    <w:rsid w:val="000E0C8A"/>
    <w:rsid w:val="000E0D71"/>
    <w:rsid w:val="000E0DD4"/>
    <w:rsid w:val="000E0F62"/>
    <w:rsid w:val="000E0FC9"/>
    <w:rsid w:val="000E1054"/>
    <w:rsid w:val="000E1158"/>
    <w:rsid w:val="000E13B0"/>
    <w:rsid w:val="000E1473"/>
    <w:rsid w:val="000E162A"/>
    <w:rsid w:val="000E177D"/>
    <w:rsid w:val="000E19F0"/>
    <w:rsid w:val="000E1E6F"/>
    <w:rsid w:val="000E2098"/>
    <w:rsid w:val="000E21B1"/>
    <w:rsid w:val="000E22B3"/>
    <w:rsid w:val="000E237E"/>
    <w:rsid w:val="000E23BF"/>
    <w:rsid w:val="000E23EF"/>
    <w:rsid w:val="000E2664"/>
    <w:rsid w:val="000E2903"/>
    <w:rsid w:val="000E2BE0"/>
    <w:rsid w:val="000E2C2B"/>
    <w:rsid w:val="000E2E1B"/>
    <w:rsid w:val="000E327D"/>
    <w:rsid w:val="000E32BE"/>
    <w:rsid w:val="000E32CD"/>
    <w:rsid w:val="000E3463"/>
    <w:rsid w:val="000E3464"/>
    <w:rsid w:val="000E3886"/>
    <w:rsid w:val="000E3CFC"/>
    <w:rsid w:val="000E404D"/>
    <w:rsid w:val="000E40CB"/>
    <w:rsid w:val="000E420F"/>
    <w:rsid w:val="000E42F6"/>
    <w:rsid w:val="000E44A9"/>
    <w:rsid w:val="000E4A6D"/>
    <w:rsid w:val="000E4D8F"/>
    <w:rsid w:val="000E5429"/>
    <w:rsid w:val="000E5B28"/>
    <w:rsid w:val="000E5D0D"/>
    <w:rsid w:val="000E62CE"/>
    <w:rsid w:val="000E63BC"/>
    <w:rsid w:val="000E649F"/>
    <w:rsid w:val="000E66DF"/>
    <w:rsid w:val="000E6AF8"/>
    <w:rsid w:val="000E6B08"/>
    <w:rsid w:val="000E70A5"/>
    <w:rsid w:val="000E70F6"/>
    <w:rsid w:val="000E7523"/>
    <w:rsid w:val="000E77B0"/>
    <w:rsid w:val="000E78BC"/>
    <w:rsid w:val="000E7960"/>
    <w:rsid w:val="000E7F42"/>
    <w:rsid w:val="000F01EE"/>
    <w:rsid w:val="000F034B"/>
    <w:rsid w:val="000F039B"/>
    <w:rsid w:val="000F0528"/>
    <w:rsid w:val="000F06DE"/>
    <w:rsid w:val="000F0888"/>
    <w:rsid w:val="000F0DEA"/>
    <w:rsid w:val="000F0DFE"/>
    <w:rsid w:val="000F0E8F"/>
    <w:rsid w:val="000F1394"/>
    <w:rsid w:val="000F1519"/>
    <w:rsid w:val="000F18A3"/>
    <w:rsid w:val="000F19CA"/>
    <w:rsid w:val="000F1A51"/>
    <w:rsid w:val="000F1CEF"/>
    <w:rsid w:val="000F25EE"/>
    <w:rsid w:val="000F269A"/>
    <w:rsid w:val="000F26C0"/>
    <w:rsid w:val="000F2852"/>
    <w:rsid w:val="000F2873"/>
    <w:rsid w:val="000F2BE7"/>
    <w:rsid w:val="000F2DD7"/>
    <w:rsid w:val="000F2FB2"/>
    <w:rsid w:val="000F32AC"/>
    <w:rsid w:val="000F3597"/>
    <w:rsid w:val="000F370D"/>
    <w:rsid w:val="000F376F"/>
    <w:rsid w:val="000F37E4"/>
    <w:rsid w:val="000F3856"/>
    <w:rsid w:val="000F3E1E"/>
    <w:rsid w:val="000F3E50"/>
    <w:rsid w:val="000F41E0"/>
    <w:rsid w:val="000F43CA"/>
    <w:rsid w:val="000F4698"/>
    <w:rsid w:val="000F48B5"/>
    <w:rsid w:val="000F4D00"/>
    <w:rsid w:val="000F4E41"/>
    <w:rsid w:val="000F4FE7"/>
    <w:rsid w:val="000F5554"/>
    <w:rsid w:val="000F57C2"/>
    <w:rsid w:val="000F5A7E"/>
    <w:rsid w:val="000F5CF7"/>
    <w:rsid w:val="000F5D44"/>
    <w:rsid w:val="000F5E41"/>
    <w:rsid w:val="000F5E6F"/>
    <w:rsid w:val="000F5EC4"/>
    <w:rsid w:val="000F6152"/>
    <w:rsid w:val="000F6161"/>
    <w:rsid w:val="000F63EF"/>
    <w:rsid w:val="000F68EC"/>
    <w:rsid w:val="000F75A1"/>
    <w:rsid w:val="000F763F"/>
    <w:rsid w:val="000F7AD5"/>
    <w:rsid w:val="000F7CB4"/>
    <w:rsid w:val="000F7F64"/>
    <w:rsid w:val="000F7FAE"/>
    <w:rsid w:val="00100058"/>
    <w:rsid w:val="00100268"/>
    <w:rsid w:val="00100472"/>
    <w:rsid w:val="001008F0"/>
    <w:rsid w:val="001009C1"/>
    <w:rsid w:val="00100B0C"/>
    <w:rsid w:val="00101A55"/>
    <w:rsid w:val="00101B88"/>
    <w:rsid w:val="00101EC8"/>
    <w:rsid w:val="00101F21"/>
    <w:rsid w:val="0010203F"/>
    <w:rsid w:val="0010243C"/>
    <w:rsid w:val="00102509"/>
    <w:rsid w:val="00102B37"/>
    <w:rsid w:val="00102E12"/>
    <w:rsid w:val="001030AE"/>
    <w:rsid w:val="0010327A"/>
    <w:rsid w:val="001032AD"/>
    <w:rsid w:val="00103356"/>
    <w:rsid w:val="00103433"/>
    <w:rsid w:val="001035FC"/>
    <w:rsid w:val="0010374F"/>
    <w:rsid w:val="0010385A"/>
    <w:rsid w:val="00103A48"/>
    <w:rsid w:val="0010401A"/>
    <w:rsid w:val="00104132"/>
    <w:rsid w:val="00104168"/>
    <w:rsid w:val="00104992"/>
    <w:rsid w:val="00104E68"/>
    <w:rsid w:val="00104EC6"/>
    <w:rsid w:val="00104EE9"/>
    <w:rsid w:val="001054A5"/>
    <w:rsid w:val="00105774"/>
    <w:rsid w:val="00105B08"/>
    <w:rsid w:val="0010607E"/>
    <w:rsid w:val="0010642A"/>
    <w:rsid w:val="0010687A"/>
    <w:rsid w:val="00106AA3"/>
    <w:rsid w:val="001070B0"/>
    <w:rsid w:val="00107126"/>
    <w:rsid w:val="001075A8"/>
    <w:rsid w:val="001079C3"/>
    <w:rsid w:val="00107B24"/>
    <w:rsid w:val="00110342"/>
    <w:rsid w:val="00110856"/>
    <w:rsid w:val="00111160"/>
    <w:rsid w:val="001112CB"/>
    <w:rsid w:val="00111347"/>
    <w:rsid w:val="001113CA"/>
    <w:rsid w:val="001115C7"/>
    <w:rsid w:val="00111823"/>
    <w:rsid w:val="00111D39"/>
    <w:rsid w:val="00111D49"/>
    <w:rsid w:val="00111E5D"/>
    <w:rsid w:val="00111EC4"/>
    <w:rsid w:val="001120AE"/>
    <w:rsid w:val="001124E6"/>
    <w:rsid w:val="001127A0"/>
    <w:rsid w:val="001128FF"/>
    <w:rsid w:val="00112A83"/>
    <w:rsid w:val="00112D15"/>
    <w:rsid w:val="00112EAD"/>
    <w:rsid w:val="00112FD6"/>
    <w:rsid w:val="00113217"/>
    <w:rsid w:val="00113224"/>
    <w:rsid w:val="00113274"/>
    <w:rsid w:val="0011349E"/>
    <w:rsid w:val="00113A3A"/>
    <w:rsid w:val="00113BDB"/>
    <w:rsid w:val="00113CDF"/>
    <w:rsid w:val="00113DC8"/>
    <w:rsid w:val="00113E20"/>
    <w:rsid w:val="00113E61"/>
    <w:rsid w:val="00113F0D"/>
    <w:rsid w:val="00114045"/>
    <w:rsid w:val="001143AE"/>
    <w:rsid w:val="001143D0"/>
    <w:rsid w:val="001144D0"/>
    <w:rsid w:val="0011455D"/>
    <w:rsid w:val="001146BF"/>
    <w:rsid w:val="00114704"/>
    <w:rsid w:val="001148C3"/>
    <w:rsid w:val="00114F41"/>
    <w:rsid w:val="0011506B"/>
    <w:rsid w:val="0011508E"/>
    <w:rsid w:val="00115113"/>
    <w:rsid w:val="0011562D"/>
    <w:rsid w:val="00115651"/>
    <w:rsid w:val="001156D5"/>
    <w:rsid w:val="00115AB8"/>
    <w:rsid w:val="00115FBE"/>
    <w:rsid w:val="001169B6"/>
    <w:rsid w:val="00116AB6"/>
    <w:rsid w:val="00116DD5"/>
    <w:rsid w:val="00117309"/>
    <w:rsid w:val="00117AF1"/>
    <w:rsid w:val="00117B03"/>
    <w:rsid w:val="00117BB0"/>
    <w:rsid w:val="00117CBF"/>
    <w:rsid w:val="0012007E"/>
    <w:rsid w:val="0012011D"/>
    <w:rsid w:val="00120457"/>
    <w:rsid w:val="00120D62"/>
    <w:rsid w:val="00120D7F"/>
    <w:rsid w:val="00120F89"/>
    <w:rsid w:val="00121090"/>
    <w:rsid w:val="00121177"/>
    <w:rsid w:val="001211E8"/>
    <w:rsid w:val="00121299"/>
    <w:rsid w:val="001213F2"/>
    <w:rsid w:val="001216FA"/>
    <w:rsid w:val="00121DFD"/>
    <w:rsid w:val="00121F1E"/>
    <w:rsid w:val="00122786"/>
    <w:rsid w:val="001228C0"/>
    <w:rsid w:val="00122912"/>
    <w:rsid w:val="00122976"/>
    <w:rsid w:val="00122ECC"/>
    <w:rsid w:val="00123742"/>
    <w:rsid w:val="0012380F"/>
    <w:rsid w:val="00123A77"/>
    <w:rsid w:val="00123C76"/>
    <w:rsid w:val="001248B9"/>
    <w:rsid w:val="00124943"/>
    <w:rsid w:val="001249B2"/>
    <w:rsid w:val="00124A96"/>
    <w:rsid w:val="0012503F"/>
    <w:rsid w:val="00125420"/>
    <w:rsid w:val="001254C6"/>
    <w:rsid w:val="00125651"/>
    <w:rsid w:val="00125958"/>
    <w:rsid w:val="00125AC1"/>
    <w:rsid w:val="00125C51"/>
    <w:rsid w:val="00125D56"/>
    <w:rsid w:val="00125FC1"/>
    <w:rsid w:val="001261E2"/>
    <w:rsid w:val="00126235"/>
    <w:rsid w:val="0012664B"/>
    <w:rsid w:val="001267F9"/>
    <w:rsid w:val="00126876"/>
    <w:rsid w:val="00126F68"/>
    <w:rsid w:val="00127273"/>
    <w:rsid w:val="001273DA"/>
    <w:rsid w:val="00127CCE"/>
    <w:rsid w:val="00127DBA"/>
    <w:rsid w:val="001304C0"/>
    <w:rsid w:val="0013060B"/>
    <w:rsid w:val="001306A7"/>
    <w:rsid w:val="00131084"/>
    <w:rsid w:val="0013108B"/>
    <w:rsid w:val="0013114E"/>
    <w:rsid w:val="001315D4"/>
    <w:rsid w:val="001315EA"/>
    <w:rsid w:val="0013171C"/>
    <w:rsid w:val="001319AE"/>
    <w:rsid w:val="00131E75"/>
    <w:rsid w:val="00132098"/>
    <w:rsid w:val="00132391"/>
    <w:rsid w:val="0013239A"/>
    <w:rsid w:val="00132472"/>
    <w:rsid w:val="001324FE"/>
    <w:rsid w:val="00132674"/>
    <w:rsid w:val="00132A09"/>
    <w:rsid w:val="00132D0E"/>
    <w:rsid w:val="00132DBF"/>
    <w:rsid w:val="00132E23"/>
    <w:rsid w:val="00132F27"/>
    <w:rsid w:val="001334D9"/>
    <w:rsid w:val="001335FA"/>
    <w:rsid w:val="00133862"/>
    <w:rsid w:val="0013399B"/>
    <w:rsid w:val="00133D17"/>
    <w:rsid w:val="00134308"/>
    <w:rsid w:val="0013455F"/>
    <w:rsid w:val="00134704"/>
    <w:rsid w:val="001348C2"/>
    <w:rsid w:val="00135140"/>
    <w:rsid w:val="00135207"/>
    <w:rsid w:val="00135418"/>
    <w:rsid w:val="001358CD"/>
    <w:rsid w:val="00135D93"/>
    <w:rsid w:val="00135EC9"/>
    <w:rsid w:val="001360C7"/>
    <w:rsid w:val="00136843"/>
    <w:rsid w:val="00136895"/>
    <w:rsid w:val="00136EF3"/>
    <w:rsid w:val="001371D2"/>
    <w:rsid w:val="00137464"/>
    <w:rsid w:val="001376AE"/>
    <w:rsid w:val="00137940"/>
    <w:rsid w:val="00137B50"/>
    <w:rsid w:val="00137F30"/>
    <w:rsid w:val="00137FEB"/>
    <w:rsid w:val="0014041C"/>
    <w:rsid w:val="00141831"/>
    <w:rsid w:val="001418F8"/>
    <w:rsid w:val="001419EF"/>
    <w:rsid w:val="00141A22"/>
    <w:rsid w:val="00141A37"/>
    <w:rsid w:val="00141B4A"/>
    <w:rsid w:val="00141C42"/>
    <w:rsid w:val="001421E4"/>
    <w:rsid w:val="00142813"/>
    <w:rsid w:val="00142C78"/>
    <w:rsid w:val="00142EF1"/>
    <w:rsid w:val="00142F44"/>
    <w:rsid w:val="00142F8B"/>
    <w:rsid w:val="00143151"/>
    <w:rsid w:val="001431DB"/>
    <w:rsid w:val="001433D4"/>
    <w:rsid w:val="00143799"/>
    <w:rsid w:val="0014387A"/>
    <w:rsid w:val="00143A1B"/>
    <w:rsid w:val="00143A49"/>
    <w:rsid w:val="00143C18"/>
    <w:rsid w:val="00143EB8"/>
    <w:rsid w:val="001440DD"/>
    <w:rsid w:val="001446B2"/>
    <w:rsid w:val="00144813"/>
    <w:rsid w:val="00144ADB"/>
    <w:rsid w:val="00144DF8"/>
    <w:rsid w:val="00145468"/>
    <w:rsid w:val="00145A1D"/>
    <w:rsid w:val="00145D92"/>
    <w:rsid w:val="00146099"/>
    <w:rsid w:val="00146396"/>
    <w:rsid w:val="001463B3"/>
    <w:rsid w:val="00146D9F"/>
    <w:rsid w:val="00146F6C"/>
    <w:rsid w:val="00147253"/>
    <w:rsid w:val="00147422"/>
    <w:rsid w:val="0014748A"/>
    <w:rsid w:val="00147559"/>
    <w:rsid w:val="001478BA"/>
    <w:rsid w:val="00147CB5"/>
    <w:rsid w:val="00147CF6"/>
    <w:rsid w:val="001509A4"/>
    <w:rsid w:val="001511A4"/>
    <w:rsid w:val="0015128D"/>
    <w:rsid w:val="00151343"/>
    <w:rsid w:val="001514E2"/>
    <w:rsid w:val="0015161E"/>
    <w:rsid w:val="001516DB"/>
    <w:rsid w:val="00151BB3"/>
    <w:rsid w:val="0015208C"/>
    <w:rsid w:val="001523C9"/>
    <w:rsid w:val="001524CE"/>
    <w:rsid w:val="00152751"/>
    <w:rsid w:val="00152E56"/>
    <w:rsid w:val="00153176"/>
    <w:rsid w:val="001531DE"/>
    <w:rsid w:val="00153299"/>
    <w:rsid w:val="001532E5"/>
    <w:rsid w:val="001536EB"/>
    <w:rsid w:val="001537CE"/>
    <w:rsid w:val="001538D3"/>
    <w:rsid w:val="0015390C"/>
    <w:rsid w:val="00153A3C"/>
    <w:rsid w:val="00153DCC"/>
    <w:rsid w:val="001546D3"/>
    <w:rsid w:val="00154733"/>
    <w:rsid w:val="00154850"/>
    <w:rsid w:val="0015485C"/>
    <w:rsid w:val="00154B63"/>
    <w:rsid w:val="00154CB3"/>
    <w:rsid w:val="00154E23"/>
    <w:rsid w:val="00155117"/>
    <w:rsid w:val="001555D0"/>
    <w:rsid w:val="001559AA"/>
    <w:rsid w:val="00155EC4"/>
    <w:rsid w:val="0015634E"/>
    <w:rsid w:val="0015639F"/>
    <w:rsid w:val="001564C3"/>
    <w:rsid w:val="00156C7D"/>
    <w:rsid w:val="00156D13"/>
    <w:rsid w:val="001570B0"/>
    <w:rsid w:val="00157260"/>
    <w:rsid w:val="001575B4"/>
    <w:rsid w:val="001575D8"/>
    <w:rsid w:val="00157664"/>
    <w:rsid w:val="00157E6E"/>
    <w:rsid w:val="001600DF"/>
    <w:rsid w:val="00160180"/>
    <w:rsid w:val="00160503"/>
    <w:rsid w:val="00160627"/>
    <w:rsid w:val="001606AA"/>
    <w:rsid w:val="00160985"/>
    <w:rsid w:val="00160B79"/>
    <w:rsid w:val="00161148"/>
    <w:rsid w:val="001611C8"/>
    <w:rsid w:val="00161230"/>
    <w:rsid w:val="00161280"/>
    <w:rsid w:val="00161444"/>
    <w:rsid w:val="0016149C"/>
    <w:rsid w:val="001614D8"/>
    <w:rsid w:val="0016192A"/>
    <w:rsid w:val="0016195F"/>
    <w:rsid w:val="00161A69"/>
    <w:rsid w:val="00161A6B"/>
    <w:rsid w:val="00161AEE"/>
    <w:rsid w:val="00161BFF"/>
    <w:rsid w:val="00161D72"/>
    <w:rsid w:val="00162056"/>
    <w:rsid w:val="001622D3"/>
    <w:rsid w:val="001622ED"/>
    <w:rsid w:val="00162C0B"/>
    <w:rsid w:val="00162F8F"/>
    <w:rsid w:val="0016306C"/>
    <w:rsid w:val="0016323D"/>
    <w:rsid w:val="001632FB"/>
    <w:rsid w:val="0016343C"/>
    <w:rsid w:val="00163477"/>
    <w:rsid w:val="00163540"/>
    <w:rsid w:val="00163E5A"/>
    <w:rsid w:val="00164204"/>
    <w:rsid w:val="00164402"/>
    <w:rsid w:val="001645B6"/>
    <w:rsid w:val="00164720"/>
    <w:rsid w:val="00164938"/>
    <w:rsid w:val="00164B50"/>
    <w:rsid w:val="00164DAA"/>
    <w:rsid w:val="00165041"/>
    <w:rsid w:val="0016523C"/>
    <w:rsid w:val="001657D2"/>
    <w:rsid w:val="001657F8"/>
    <w:rsid w:val="00165947"/>
    <w:rsid w:val="00165C17"/>
    <w:rsid w:val="00165C76"/>
    <w:rsid w:val="00165E0A"/>
    <w:rsid w:val="001661D3"/>
    <w:rsid w:val="00166288"/>
    <w:rsid w:val="00166316"/>
    <w:rsid w:val="00166319"/>
    <w:rsid w:val="001664CA"/>
    <w:rsid w:val="0016655B"/>
    <w:rsid w:val="001667BA"/>
    <w:rsid w:val="001669F6"/>
    <w:rsid w:val="001671CF"/>
    <w:rsid w:val="00167305"/>
    <w:rsid w:val="00167687"/>
    <w:rsid w:val="00167757"/>
    <w:rsid w:val="00167891"/>
    <w:rsid w:val="00167A99"/>
    <w:rsid w:val="00167C39"/>
    <w:rsid w:val="00167FAA"/>
    <w:rsid w:val="00167FBE"/>
    <w:rsid w:val="00167FDD"/>
    <w:rsid w:val="001703A0"/>
    <w:rsid w:val="00170967"/>
    <w:rsid w:val="00170991"/>
    <w:rsid w:val="00170A4B"/>
    <w:rsid w:val="00170D6A"/>
    <w:rsid w:val="00170E15"/>
    <w:rsid w:val="00170E70"/>
    <w:rsid w:val="00170F0C"/>
    <w:rsid w:val="0017188E"/>
    <w:rsid w:val="00171F12"/>
    <w:rsid w:val="00172E48"/>
    <w:rsid w:val="00173151"/>
    <w:rsid w:val="0017316E"/>
    <w:rsid w:val="00173439"/>
    <w:rsid w:val="00173944"/>
    <w:rsid w:val="00174622"/>
    <w:rsid w:val="001747FB"/>
    <w:rsid w:val="00174879"/>
    <w:rsid w:val="0017489B"/>
    <w:rsid w:val="00174B36"/>
    <w:rsid w:val="00174D35"/>
    <w:rsid w:val="00174DDB"/>
    <w:rsid w:val="0017508C"/>
    <w:rsid w:val="00175120"/>
    <w:rsid w:val="001751D9"/>
    <w:rsid w:val="00175364"/>
    <w:rsid w:val="00175897"/>
    <w:rsid w:val="00175B59"/>
    <w:rsid w:val="00175DBA"/>
    <w:rsid w:val="00175FBA"/>
    <w:rsid w:val="0017600F"/>
    <w:rsid w:val="00176295"/>
    <w:rsid w:val="00176CF4"/>
    <w:rsid w:val="00176E46"/>
    <w:rsid w:val="00176F23"/>
    <w:rsid w:val="00176FA2"/>
    <w:rsid w:val="001770F1"/>
    <w:rsid w:val="001772A7"/>
    <w:rsid w:val="0017738A"/>
    <w:rsid w:val="0017799F"/>
    <w:rsid w:val="0018016F"/>
    <w:rsid w:val="001801A0"/>
    <w:rsid w:val="00180464"/>
    <w:rsid w:val="00180A46"/>
    <w:rsid w:val="00180B4B"/>
    <w:rsid w:val="00180BAF"/>
    <w:rsid w:val="00180F58"/>
    <w:rsid w:val="00181180"/>
    <w:rsid w:val="00181281"/>
    <w:rsid w:val="00181340"/>
    <w:rsid w:val="00181353"/>
    <w:rsid w:val="00181555"/>
    <w:rsid w:val="001818AE"/>
    <w:rsid w:val="00181A1C"/>
    <w:rsid w:val="00182103"/>
    <w:rsid w:val="001822CF"/>
    <w:rsid w:val="001823B9"/>
    <w:rsid w:val="001828BF"/>
    <w:rsid w:val="00182A18"/>
    <w:rsid w:val="00182B9D"/>
    <w:rsid w:val="00182F7C"/>
    <w:rsid w:val="001832AE"/>
    <w:rsid w:val="001834C2"/>
    <w:rsid w:val="001836BE"/>
    <w:rsid w:val="0018384A"/>
    <w:rsid w:val="00183A63"/>
    <w:rsid w:val="00183ACA"/>
    <w:rsid w:val="00184065"/>
    <w:rsid w:val="00184632"/>
    <w:rsid w:val="00184694"/>
    <w:rsid w:val="00184D24"/>
    <w:rsid w:val="00185048"/>
    <w:rsid w:val="001857BC"/>
    <w:rsid w:val="00185B90"/>
    <w:rsid w:val="00185DEC"/>
    <w:rsid w:val="00185DFF"/>
    <w:rsid w:val="00185E3F"/>
    <w:rsid w:val="00185F1A"/>
    <w:rsid w:val="00185FCF"/>
    <w:rsid w:val="00186029"/>
    <w:rsid w:val="00186A54"/>
    <w:rsid w:val="00186CB1"/>
    <w:rsid w:val="0018714C"/>
    <w:rsid w:val="001871F1"/>
    <w:rsid w:val="00187799"/>
    <w:rsid w:val="001877A5"/>
    <w:rsid w:val="00187ED5"/>
    <w:rsid w:val="00190077"/>
    <w:rsid w:val="00190333"/>
    <w:rsid w:val="001904EF"/>
    <w:rsid w:val="001906DB"/>
    <w:rsid w:val="0019079B"/>
    <w:rsid w:val="00190D9D"/>
    <w:rsid w:val="001910F4"/>
    <w:rsid w:val="00191237"/>
    <w:rsid w:val="001914C0"/>
    <w:rsid w:val="0019150C"/>
    <w:rsid w:val="00191515"/>
    <w:rsid w:val="0019163F"/>
    <w:rsid w:val="001919AA"/>
    <w:rsid w:val="00191B28"/>
    <w:rsid w:val="00191D63"/>
    <w:rsid w:val="00191F98"/>
    <w:rsid w:val="00192227"/>
    <w:rsid w:val="00192293"/>
    <w:rsid w:val="001927F0"/>
    <w:rsid w:val="00192880"/>
    <w:rsid w:val="00192C9C"/>
    <w:rsid w:val="00192E96"/>
    <w:rsid w:val="00192F98"/>
    <w:rsid w:val="00193A14"/>
    <w:rsid w:val="00193A4B"/>
    <w:rsid w:val="00193CF7"/>
    <w:rsid w:val="00193D54"/>
    <w:rsid w:val="00194279"/>
    <w:rsid w:val="00194384"/>
    <w:rsid w:val="00194DAF"/>
    <w:rsid w:val="0019511A"/>
    <w:rsid w:val="0019536B"/>
    <w:rsid w:val="00195459"/>
    <w:rsid w:val="001954B1"/>
    <w:rsid w:val="00195940"/>
    <w:rsid w:val="001959E9"/>
    <w:rsid w:val="00195C16"/>
    <w:rsid w:val="00196479"/>
    <w:rsid w:val="00196515"/>
    <w:rsid w:val="001966A2"/>
    <w:rsid w:val="001967B2"/>
    <w:rsid w:val="00196C94"/>
    <w:rsid w:val="00196D70"/>
    <w:rsid w:val="00196DE0"/>
    <w:rsid w:val="0019709D"/>
    <w:rsid w:val="001971CB"/>
    <w:rsid w:val="001971DE"/>
    <w:rsid w:val="0019720C"/>
    <w:rsid w:val="0019728F"/>
    <w:rsid w:val="001972CA"/>
    <w:rsid w:val="0019772C"/>
    <w:rsid w:val="001977AD"/>
    <w:rsid w:val="00197AD3"/>
    <w:rsid w:val="001A047F"/>
    <w:rsid w:val="001A0668"/>
    <w:rsid w:val="001A0BBB"/>
    <w:rsid w:val="001A0D3B"/>
    <w:rsid w:val="001A0DDA"/>
    <w:rsid w:val="001A11E5"/>
    <w:rsid w:val="001A13B6"/>
    <w:rsid w:val="001A14D5"/>
    <w:rsid w:val="001A16CD"/>
    <w:rsid w:val="001A19E6"/>
    <w:rsid w:val="001A1B58"/>
    <w:rsid w:val="001A20C6"/>
    <w:rsid w:val="001A21CD"/>
    <w:rsid w:val="001A22C1"/>
    <w:rsid w:val="001A2616"/>
    <w:rsid w:val="001A28FB"/>
    <w:rsid w:val="001A2902"/>
    <w:rsid w:val="001A291E"/>
    <w:rsid w:val="001A30F6"/>
    <w:rsid w:val="001A34D7"/>
    <w:rsid w:val="001A3A0A"/>
    <w:rsid w:val="001A3ADB"/>
    <w:rsid w:val="001A3BCF"/>
    <w:rsid w:val="001A3D26"/>
    <w:rsid w:val="001A3EFA"/>
    <w:rsid w:val="001A3F3F"/>
    <w:rsid w:val="001A41BF"/>
    <w:rsid w:val="001A424B"/>
    <w:rsid w:val="001A4D76"/>
    <w:rsid w:val="001A50F8"/>
    <w:rsid w:val="001A5199"/>
    <w:rsid w:val="001A51B6"/>
    <w:rsid w:val="001A54BF"/>
    <w:rsid w:val="001A55A4"/>
    <w:rsid w:val="001A57C1"/>
    <w:rsid w:val="001A5AFA"/>
    <w:rsid w:val="001A609A"/>
    <w:rsid w:val="001A78C8"/>
    <w:rsid w:val="001A7AAD"/>
    <w:rsid w:val="001A7D5A"/>
    <w:rsid w:val="001A7EAD"/>
    <w:rsid w:val="001B000F"/>
    <w:rsid w:val="001B01CB"/>
    <w:rsid w:val="001B01D9"/>
    <w:rsid w:val="001B0702"/>
    <w:rsid w:val="001B07B9"/>
    <w:rsid w:val="001B0ADE"/>
    <w:rsid w:val="001B10B4"/>
    <w:rsid w:val="001B1426"/>
    <w:rsid w:val="001B15BA"/>
    <w:rsid w:val="001B1A43"/>
    <w:rsid w:val="001B20F5"/>
    <w:rsid w:val="001B28C7"/>
    <w:rsid w:val="001B2A8B"/>
    <w:rsid w:val="001B2B8F"/>
    <w:rsid w:val="001B2BF1"/>
    <w:rsid w:val="001B3221"/>
    <w:rsid w:val="001B3415"/>
    <w:rsid w:val="001B34BB"/>
    <w:rsid w:val="001B3775"/>
    <w:rsid w:val="001B38A3"/>
    <w:rsid w:val="001B3AD8"/>
    <w:rsid w:val="001B4143"/>
    <w:rsid w:val="001B434B"/>
    <w:rsid w:val="001B4695"/>
    <w:rsid w:val="001B47C2"/>
    <w:rsid w:val="001B4EA0"/>
    <w:rsid w:val="001B52C9"/>
    <w:rsid w:val="001B5337"/>
    <w:rsid w:val="001B5342"/>
    <w:rsid w:val="001B53B1"/>
    <w:rsid w:val="001B53BC"/>
    <w:rsid w:val="001B57BC"/>
    <w:rsid w:val="001B599E"/>
    <w:rsid w:val="001B5A78"/>
    <w:rsid w:val="001B5CAF"/>
    <w:rsid w:val="001B5DA8"/>
    <w:rsid w:val="001B6B0B"/>
    <w:rsid w:val="001B6C59"/>
    <w:rsid w:val="001B72FD"/>
    <w:rsid w:val="001B752E"/>
    <w:rsid w:val="001B7735"/>
    <w:rsid w:val="001B7B68"/>
    <w:rsid w:val="001C0172"/>
    <w:rsid w:val="001C061E"/>
    <w:rsid w:val="001C0AA2"/>
    <w:rsid w:val="001C0BB3"/>
    <w:rsid w:val="001C0C12"/>
    <w:rsid w:val="001C0F2E"/>
    <w:rsid w:val="001C0F4B"/>
    <w:rsid w:val="001C0FBC"/>
    <w:rsid w:val="001C129F"/>
    <w:rsid w:val="001C13AD"/>
    <w:rsid w:val="001C190B"/>
    <w:rsid w:val="001C1BCC"/>
    <w:rsid w:val="001C1F72"/>
    <w:rsid w:val="001C218A"/>
    <w:rsid w:val="001C2213"/>
    <w:rsid w:val="001C26AF"/>
    <w:rsid w:val="001C2C8A"/>
    <w:rsid w:val="001C2E71"/>
    <w:rsid w:val="001C2F22"/>
    <w:rsid w:val="001C3CD9"/>
    <w:rsid w:val="001C41AB"/>
    <w:rsid w:val="001C44B6"/>
    <w:rsid w:val="001C4DF7"/>
    <w:rsid w:val="001C506B"/>
    <w:rsid w:val="001C51E1"/>
    <w:rsid w:val="001C5236"/>
    <w:rsid w:val="001C58B2"/>
    <w:rsid w:val="001C59A7"/>
    <w:rsid w:val="001C5F64"/>
    <w:rsid w:val="001C6181"/>
    <w:rsid w:val="001C6347"/>
    <w:rsid w:val="001C6ACC"/>
    <w:rsid w:val="001C6B2C"/>
    <w:rsid w:val="001C736C"/>
    <w:rsid w:val="001C749C"/>
    <w:rsid w:val="001C78BB"/>
    <w:rsid w:val="001D03F2"/>
    <w:rsid w:val="001D053B"/>
    <w:rsid w:val="001D07C1"/>
    <w:rsid w:val="001D09ED"/>
    <w:rsid w:val="001D0D4A"/>
    <w:rsid w:val="001D0DC3"/>
    <w:rsid w:val="001D1045"/>
    <w:rsid w:val="001D2416"/>
    <w:rsid w:val="001D2592"/>
    <w:rsid w:val="001D2606"/>
    <w:rsid w:val="001D26FF"/>
    <w:rsid w:val="001D2B1F"/>
    <w:rsid w:val="001D2C5F"/>
    <w:rsid w:val="001D2EDE"/>
    <w:rsid w:val="001D2FB6"/>
    <w:rsid w:val="001D3010"/>
    <w:rsid w:val="001D3155"/>
    <w:rsid w:val="001D34EF"/>
    <w:rsid w:val="001D3505"/>
    <w:rsid w:val="001D35C0"/>
    <w:rsid w:val="001D39BA"/>
    <w:rsid w:val="001D3A08"/>
    <w:rsid w:val="001D4279"/>
    <w:rsid w:val="001D42D4"/>
    <w:rsid w:val="001D447C"/>
    <w:rsid w:val="001D4555"/>
    <w:rsid w:val="001D4709"/>
    <w:rsid w:val="001D48D8"/>
    <w:rsid w:val="001D4AD4"/>
    <w:rsid w:val="001D4CAA"/>
    <w:rsid w:val="001D4CDE"/>
    <w:rsid w:val="001D4E3C"/>
    <w:rsid w:val="001D4FB9"/>
    <w:rsid w:val="001D5006"/>
    <w:rsid w:val="001D55C6"/>
    <w:rsid w:val="001D58AB"/>
    <w:rsid w:val="001D5E51"/>
    <w:rsid w:val="001D6B45"/>
    <w:rsid w:val="001D744B"/>
    <w:rsid w:val="001D7569"/>
    <w:rsid w:val="001D794C"/>
    <w:rsid w:val="001D7CAD"/>
    <w:rsid w:val="001E059D"/>
    <w:rsid w:val="001E079A"/>
    <w:rsid w:val="001E081F"/>
    <w:rsid w:val="001E08DA"/>
    <w:rsid w:val="001E0CC3"/>
    <w:rsid w:val="001E0EDB"/>
    <w:rsid w:val="001E15E8"/>
    <w:rsid w:val="001E1B40"/>
    <w:rsid w:val="001E22BC"/>
    <w:rsid w:val="001E2459"/>
    <w:rsid w:val="001E24EA"/>
    <w:rsid w:val="001E2EC4"/>
    <w:rsid w:val="001E2F57"/>
    <w:rsid w:val="001E3688"/>
    <w:rsid w:val="001E3BFC"/>
    <w:rsid w:val="001E3D9F"/>
    <w:rsid w:val="001E3E30"/>
    <w:rsid w:val="001E46D9"/>
    <w:rsid w:val="001E4755"/>
    <w:rsid w:val="001E4804"/>
    <w:rsid w:val="001E4DD5"/>
    <w:rsid w:val="001E4F73"/>
    <w:rsid w:val="001E50FE"/>
    <w:rsid w:val="001E51F7"/>
    <w:rsid w:val="001E52C1"/>
    <w:rsid w:val="001E531B"/>
    <w:rsid w:val="001E54C0"/>
    <w:rsid w:val="001E551F"/>
    <w:rsid w:val="001E5A1D"/>
    <w:rsid w:val="001E5D07"/>
    <w:rsid w:val="001E5DAC"/>
    <w:rsid w:val="001E6089"/>
    <w:rsid w:val="001E67C4"/>
    <w:rsid w:val="001E70D2"/>
    <w:rsid w:val="001E711C"/>
    <w:rsid w:val="001E7354"/>
    <w:rsid w:val="001E74DB"/>
    <w:rsid w:val="001E7779"/>
    <w:rsid w:val="001E779F"/>
    <w:rsid w:val="001E77DD"/>
    <w:rsid w:val="001E79F6"/>
    <w:rsid w:val="001E7BE6"/>
    <w:rsid w:val="001F0235"/>
    <w:rsid w:val="001F0698"/>
    <w:rsid w:val="001F0A5F"/>
    <w:rsid w:val="001F0E8E"/>
    <w:rsid w:val="001F1597"/>
    <w:rsid w:val="001F1ABF"/>
    <w:rsid w:val="001F1DAA"/>
    <w:rsid w:val="001F1EA6"/>
    <w:rsid w:val="001F1F05"/>
    <w:rsid w:val="001F21DC"/>
    <w:rsid w:val="001F21EC"/>
    <w:rsid w:val="001F2819"/>
    <w:rsid w:val="001F3366"/>
    <w:rsid w:val="001F352E"/>
    <w:rsid w:val="001F38BF"/>
    <w:rsid w:val="001F38D3"/>
    <w:rsid w:val="001F3938"/>
    <w:rsid w:val="001F3958"/>
    <w:rsid w:val="001F3C81"/>
    <w:rsid w:val="001F3E90"/>
    <w:rsid w:val="001F3EF9"/>
    <w:rsid w:val="001F4595"/>
    <w:rsid w:val="001F4642"/>
    <w:rsid w:val="001F53EF"/>
    <w:rsid w:val="001F5726"/>
    <w:rsid w:val="001F573B"/>
    <w:rsid w:val="001F5C37"/>
    <w:rsid w:val="001F5EA0"/>
    <w:rsid w:val="001F60A2"/>
    <w:rsid w:val="001F62FE"/>
    <w:rsid w:val="001F6302"/>
    <w:rsid w:val="001F64D7"/>
    <w:rsid w:val="001F66D3"/>
    <w:rsid w:val="001F6803"/>
    <w:rsid w:val="001F6C4F"/>
    <w:rsid w:val="001F7077"/>
    <w:rsid w:val="001F70B7"/>
    <w:rsid w:val="001F7282"/>
    <w:rsid w:val="001F76C7"/>
    <w:rsid w:val="001F780C"/>
    <w:rsid w:val="001F7CF5"/>
    <w:rsid w:val="001F7D1B"/>
    <w:rsid w:val="001F7DF9"/>
    <w:rsid w:val="002000D5"/>
    <w:rsid w:val="002000EB"/>
    <w:rsid w:val="002005A8"/>
    <w:rsid w:val="002005F7"/>
    <w:rsid w:val="0020091F"/>
    <w:rsid w:val="00200A45"/>
    <w:rsid w:val="00200C03"/>
    <w:rsid w:val="00200EAC"/>
    <w:rsid w:val="0020128C"/>
    <w:rsid w:val="0020169C"/>
    <w:rsid w:val="0020174D"/>
    <w:rsid w:val="00201B43"/>
    <w:rsid w:val="00201D00"/>
    <w:rsid w:val="00201D2E"/>
    <w:rsid w:val="002021CD"/>
    <w:rsid w:val="002023EE"/>
    <w:rsid w:val="002027C7"/>
    <w:rsid w:val="00202B77"/>
    <w:rsid w:val="00202FBE"/>
    <w:rsid w:val="002034BA"/>
    <w:rsid w:val="0020368C"/>
    <w:rsid w:val="002039D7"/>
    <w:rsid w:val="00203B8B"/>
    <w:rsid w:val="00203C61"/>
    <w:rsid w:val="002044A4"/>
    <w:rsid w:val="0020473B"/>
    <w:rsid w:val="00204871"/>
    <w:rsid w:val="00204C24"/>
    <w:rsid w:val="00204C57"/>
    <w:rsid w:val="00204C6A"/>
    <w:rsid w:val="002056AA"/>
    <w:rsid w:val="002057AA"/>
    <w:rsid w:val="00205C76"/>
    <w:rsid w:val="002066AC"/>
    <w:rsid w:val="002066DE"/>
    <w:rsid w:val="002068C9"/>
    <w:rsid w:val="00206A18"/>
    <w:rsid w:val="00206BBF"/>
    <w:rsid w:val="00206E6F"/>
    <w:rsid w:val="002070CD"/>
    <w:rsid w:val="00207188"/>
    <w:rsid w:val="002073C2"/>
    <w:rsid w:val="0020766F"/>
    <w:rsid w:val="00207BBC"/>
    <w:rsid w:val="00207C1A"/>
    <w:rsid w:val="00207EF4"/>
    <w:rsid w:val="0021014C"/>
    <w:rsid w:val="00210301"/>
    <w:rsid w:val="00210662"/>
    <w:rsid w:val="00210DD3"/>
    <w:rsid w:val="00210F10"/>
    <w:rsid w:val="00211045"/>
    <w:rsid w:val="00211212"/>
    <w:rsid w:val="002113A9"/>
    <w:rsid w:val="00211448"/>
    <w:rsid w:val="002115AB"/>
    <w:rsid w:val="0021161A"/>
    <w:rsid w:val="00211886"/>
    <w:rsid w:val="00211E2E"/>
    <w:rsid w:val="00211EC0"/>
    <w:rsid w:val="00211EF1"/>
    <w:rsid w:val="00212443"/>
    <w:rsid w:val="00212661"/>
    <w:rsid w:val="00212E5D"/>
    <w:rsid w:val="0021357B"/>
    <w:rsid w:val="00213BB5"/>
    <w:rsid w:val="00214291"/>
    <w:rsid w:val="002142A5"/>
    <w:rsid w:val="0021442F"/>
    <w:rsid w:val="00214777"/>
    <w:rsid w:val="00214A66"/>
    <w:rsid w:val="00214B5D"/>
    <w:rsid w:val="00214D0C"/>
    <w:rsid w:val="00214DFD"/>
    <w:rsid w:val="002152D5"/>
    <w:rsid w:val="00215554"/>
    <w:rsid w:val="00215733"/>
    <w:rsid w:val="0021595C"/>
    <w:rsid w:val="00215FC4"/>
    <w:rsid w:val="002161F6"/>
    <w:rsid w:val="0021649E"/>
    <w:rsid w:val="002165F4"/>
    <w:rsid w:val="00216B43"/>
    <w:rsid w:val="00217777"/>
    <w:rsid w:val="00217C10"/>
    <w:rsid w:val="00217CBB"/>
    <w:rsid w:val="00217F9A"/>
    <w:rsid w:val="002200A5"/>
    <w:rsid w:val="002210D5"/>
    <w:rsid w:val="00221867"/>
    <w:rsid w:val="00221BAA"/>
    <w:rsid w:val="00221EF9"/>
    <w:rsid w:val="00222251"/>
    <w:rsid w:val="002222B9"/>
    <w:rsid w:val="0022256F"/>
    <w:rsid w:val="002227FF"/>
    <w:rsid w:val="002228C3"/>
    <w:rsid w:val="0022293C"/>
    <w:rsid w:val="00222B53"/>
    <w:rsid w:val="00223166"/>
    <w:rsid w:val="00223A96"/>
    <w:rsid w:val="00223EEC"/>
    <w:rsid w:val="002243CC"/>
    <w:rsid w:val="002244F6"/>
    <w:rsid w:val="002244FD"/>
    <w:rsid w:val="0022476B"/>
    <w:rsid w:val="002248A7"/>
    <w:rsid w:val="00224A5E"/>
    <w:rsid w:val="00224BE7"/>
    <w:rsid w:val="00224DC1"/>
    <w:rsid w:val="00224E8B"/>
    <w:rsid w:val="00225129"/>
    <w:rsid w:val="0022532F"/>
    <w:rsid w:val="0022535F"/>
    <w:rsid w:val="0022556A"/>
    <w:rsid w:val="002258B8"/>
    <w:rsid w:val="00225979"/>
    <w:rsid w:val="00225B5B"/>
    <w:rsid w:val="00225C8E"/>
    <w:rsid w:val="002262D0"/>
    <w:rsid w:val="00226403"/>
    <w:rsid w:val="00226461"/>
    <w:rsid w:val="00226679"/>
    <w:rsid w:val="00226782"/>
    <w:rsid w:val="00226932"/>
    <w:rsid w:val="002272AB"/>
    <w:rsid w:val="002274CB"/>
    <w:rsid w:val="00227555"/>
    <w:rsid w:val="002277F5"/>
    <w:rsid w:val="00227B3D"/>
    <w:rsid w:val="002300AE"/>
    <w:rsid w:val="00230515"/>
    <w:rsid w:val="00230ABF"/>
    <w:rsid w:val="00230B28"/>
    <w:rsid w:val="00230E55"/>
    <w:rsid w:val="00230F62"/>
    <w:rsid w:val="002311C5"/>
    <w:rsid w:val="002311F1"/>
    <w:rsid w:val="002312ED"/>
    <w:rsid w:val="002317F6"/>
    <w:rsid w:val="0023184A"/>
    <w:rsid w:val="00231891"/>
    <w:rsid w:val="00231899"/>
    <w:rsid w:val="00232082"/>
    <w:rsid w:val="002320ED"/>
    <w:rsid w:val="00232443"/>
    <w:rsid w:val="00232684"/>
    <w:rsid w:val="002328F7"/>
    <w:rsid w:val="00232AB9"/>
    <w:rsid w:val="00232CBC"/>
    <w:rsid w:val="00233142"/>
    <w:rsid w:val="00233167"/>
    <w:rsid w:val="0023361F"/>
    <w:rsid w:val="002336B8"/>
    <w:rsid w:val="002338C4"/>
    <w:rsid w:val="00233B11"/>
    <w:rsid w:val="00233B58"/>
    <w:rsid w:val="00233C5C"/>
    <w:rsid w:val="002344A7"/>
    <w:rsid w:val="002346FD"/>
    <w:rsid w:val="00234B37"/>
    <w:rsid w:val="00234D9F"/>
    <w:rsid w:val="00234F0F"/>
    <w:rsid w:val="00235417"/>
    <w:rsid w:val="00235535"/>
    <w:rsid w:val="0023575A"/>
    <w:rsid w:val="00235A66"/>
    <w:rsid w:val="00235EFE"/>
    <w:rsid w:val="0023612D"/>
    <w:rsid w:val="0023622A"/>
    <w:rsid w:val="002363B1"/>
    <w:rsid w:val="002366EE"/>
    <w:rsid w:val="002367E7"/>
    <w:rsid w:val="0023687E"/>
    <w:rsid w:val="0023707F"/>
    <w:rsid w:val="00237263"/>
    <w:rsid w:val="00237837"/>
    <w:rsid w:val="00240008"/>
    <w:rsid w:val="00240394"/>
    <w:rsid w:val="00240C21"/>
    <w:rsid w:val="002410A5"/>
    <w:rsid w:val="00241295"/>
    <w:rsid w:val="00241566"/>
    <w:rsid w:val="002417D6"/>
    <w:rsid w:val="002417F9"/>
    <w:rsid w:val="00241BE0"/>
    <w:rsid w:val="0024212F"/>
    <w:rsid w:val="00242210"/>
    <w:rsid w:val="00242456"/>
    <w:rsid w:val="002429F4"/>
    <w:rsid w:val="00242CF9"/>
    <w:rsid w:val="00242E35"/>
    <w:rsid w:val="00243133"/>
    <w:rsid w:val="0024336A"/>
    <w:rsid w:val="00243604"/>
    <w:rsid w:val="00243660"/>
    <w:rsid w:val="00243A79"/>
    <w:rsid w:val="00243B1E"/>
    <w:rsid w:val="00243B6A"/>
    <w:rsid w:val="00243CF9"/>
    <w:rsid w:val="00243D71"/>
    <w:rsid w:val="00243EB0"/>
    <w:rsid w:val="00244133"/>
    <w:rsid w:val="00244198"/>
    <w:rsid w:val="002443A9"/>
    <w:rsid w:val="00244441"/>
    <w:rsid w:val="002447BE"/>
    <w:rsid w:val="0024489D"/>
    <w:rsid w:val="00244C69"/>
    <w:rsid w:val="002450DB"/>
    <w:rsid w:val="0024513A"/>
    <w:rsid w:val="0024526D"/>
    <w:rsid w:val="002452F4"/>
    <w:rsid w:val="002455DB"/>
    <w:rsid w:val="00245D91"/>
    <w:rsid w:val="00245E94"/>
    <w:rsid w:val="00245ECC"/>
    <w:rsid w:val="00246367"/>
    <w:rsid w:val="00246CF4"/>
    <w:rsid w:val="002471C5"/>
    <w:rsid w:val="002473BB"/>
    <w:rsid w:val="0024768D"/>
    <w:rsid w:val="00247B54"/>
    <w:rsid w:val="00247D0F"/>
    <w:rsid w:val="00250052"/>
    <w:rsid w:val="002500FB"/>
    <w:rsid w:val="0025034A"/>
    <w:rsid w:val="00250697"/>
    <w:rsid w:val="00250829"/>
    <w:rsid w:val="00250BDF"/>
    <w:rsid w:val="0025136E"/>
    <w:rsid w:val="002513EA"/>
    <w:rsid w:val="00251428"/>
    <w:rsid w:val="0025163C"/>
    <w:rsid w:val="002516EC"/>
    <w:rsid w:val="00251722"/>
    <w:rsid w:val="00251B16"/>
    <w:rsid w:val="00251D0B"/>
    <w:rsid w:val="002523C9"/>
    <w:rsid w:val="0025254B"/>
    <w:rsid w:val="00252594"/>
    <w:rsid w:val="00252BBA"/>
    <w:rsid w:val="00252F1D"/>
    <w:rsid w:val="002532EB"/>
    <w:rsid w:val="002534FD"/>
    <w:rsid w:val="002538A9"/>
    <w:rsid w:val="002538CC"/>
    <w:rsid w:val="00253BC4"/>
    <w:rsid w:val="00253E4E"/>
    <w:rsid w:val="00253E7F"/>
    <w:rsid w:val="002546FF"/>
    <w:rsid w:val="00254781"/>
    <w:rsid w:val="002548A2"/>
    <w:rsid w:val="002548DD"/>
    <w:rsid w:val="00254C07"/>
    <w:rsid w:val="002550C2"/>
    <w:rsid w:val="00255B18"/>
    <w:rsid w:val="00255B2E"/>
    <w:rsid w:val="0025622B"/>
    <w:rsid w:val="0025636A"/>
    <w:rsid w:val="00256443"/>
    <w:rsid w:val="002564F9"/>
    <w:rsid w:val="00256A69"/>
    <w:rsid w:val="00256AA0"/>
    <w:rsid w:val="00256C8A"/>
    <w:rsid w:val="00256E1E"/>
    <w:rsid w:val="002570B1"/>
    <w:rsid w:val="00257380"/>
    <w:rsid w:val="0025771E"/>
    <w:rsid w:val="00257DC4"/>
    <w:rsid w:val="00257EA6"/>
    <w:rsid w:val="00257F9D"/>
    <w:rsid w:val="0026018C"/>
    <w:rsid w:val="00260508"/>
    <w:rsid w:val="00260841"/>
    <w:rsid w:val="00260A10"/>
    <w:rsid w:val="00260A19"/>
    <w:rsid w:val="00260B0F"/>
    <w:rsid w:val="00260C44"/>
    <w:rsid w:val="00260CD6"/>
    <w:rsid w:val="00261067"/>
    <w:rsid w:val="002610AB"/>
    <w:rsid w:val="002612CB"/>
    <w:rsid w:val="0026158D"/>
    <w:rsid w:val="00261836"/>
    <w:rsid w:val="00261967"/>
    <w:rsid w:val="0026196A"/>
    <w:rsid w:val="002619F6"/>
    <w:rsid w:val="00261DB4"/>
    <w:rsid w:val="00262092"/>
    <w:rsid w:val="002621B0"/>
    <w:rsid w:val="0026234A"/>
    <w:rsid w:val="0026240F"/>
    <w:rsid w:val="002625ED"/>
    <w:rsid w:val="00262636"/>
    <w:rsid w:val="00262C3B"/>
    <w:rsid w:val="00263374"/>
    <w:rsid w:val="002639B6"/>
    <w:rsid w:val="00263B9E"/>
    <w:rsid w:val="0026417C"/>
    <w:rsid w:val="002641E5"/>
    <w:rsid w:val="00264262"/>
    <w:rsid w:val="002643AD"/>
    <w:rsid w:val="002645E0"/>
    <w:rsid w:val="002646BC"/>
    <w:rsid w:val="002646D6"/>
    <w:rsid w:val="00264C3C"/>
    <w:rsid w:val="00264D1C"/>
    <w:rsid w:val="00264EF6"/>
    <w:rsid w:val="00264FD3"/>
    <w:rsid w:val="002651C4"/>
    <w:rsid w:val="002652E2"/>
    <w:rsid w:val="0026533A"/>
    <w:rsid w:val="00265594"/>
    <w:rsid w:val="002655A1"/>
    <w:rsid w:val="002656E7"/>
    <w:rsid w:val="0026591D"/>
    <w:rsid w:val="00265A7E"/>
    <w:rsid w:val="00265D49"/>
    <w:rsid w:val="0026602E"/>
    <w:rsid w:val="002660E7"/>
    <w:rsid w:val="00266427"/>
    <w:rsid w:val="002668FD"/>
    <w:rsid w:val="0026698A"/>
    <w:rsid w:val="00266999"/>
    <w:rsid w:val="002669DF"/>
    <w:rsid w:val="00266A37"/>
    <w:rsid w:val="00266A4E"/>
    <w:rsid w:val="00266C25"/>
    <w:rsid w:val="00266C71"/>
    <w:rsid w:val="0026788C"/>
    <w:rsid w:val="002703EE"/>
    <w:rsid w:val="00270486"/>
    <w:rsid w:val="00270922"/>
    <w:rsid w:val="00270AB8"/>
    <w:rsid w:val="00270B75"/>
    <w:rsid w:val="00270BA6"/>
    <w:rsid w:val="00270E82"/>
    <w:rsid w:val="00271495"/>
    <w:rsid w:val="002719F7"/>
    <w:rsid w:val="00271BB0"/>
    <w:rsid w:val="00272239"/>
    <w:rsid w:val="0027241B"/>
    <w:rsid w:val="002724D9"/>
    <w:rsid w:val="0027254B"/>
    <w:rsid w:val="0027257D"/>
    <w:rsid w:val="0027278D"/>
    <w:rsid w:val="002727F1"/>
    <w:rsid w:val="0027284A"/>
    <w:rsid w:val="0027289D"/>
    <w:rsid w:val="002733D4"/>
    <w:rsid w:val="0027349E"/>
    <w:rsid w:val="00273798"/>
    <w:rsid w:val="0027381D"/>
    <w:rsid w:val="0027386A"/>
    <w:rsid w:val="00273960"/>
    <w:rsid w:val="00273D39"/>
    <w:rsid w:val="002743FA"/>
    <w:rsid w:val="00274620"/>
    <w:rsid w:val="00274738"/>
    <w:rsid w:val="0027489C"/>
    <w:rsid w:val="00274BBB"/>
    <w:rsid w:val="00274CF9"/>
    <w:rsid w:val="0027566E"/>
    <w:rsid w:val="002756DD"/>
    <w:rsid w:val="00275729"/>
    <w:rsid w:val="00275A35"/>
    <w:rsid w:val="00275D3C"/>
    <w:rsid w:val="00275D68"/>
    <w:rsid w:val="00276171"/>
    <w:rsid w:val="00276900"/>
    <w:rsid w:val="00276C62"/>
    <w:rsid w:val="00276DA5"/>
    <w:rsid w:val="00276F21"/>
    <w:rsid w:val="0027710B"/>
    <w:rsid w:val="0027752A"/>
    <w:rsid w:val="002775B4"/>
    <w:rsid w:val="00277C1C"/>
    <w:rsid w:val="00277CCE"/>
    <w:rsid w:val="00277D4A"/>
    <w:rsid w:val="00277E37"/>
    <w:rsid w:val="00277E82"/>
    <w:rsid w:val="00280061"/>
    <w:rsid w:val="0028035C"/>
    <w:rsid w:val="00280377"/>
    <w:rsid w:val="002804AC"/>
    <w:rsid w:val="002804EB"/>
    <w:rsid w:val="00280DF7"/>
    <w:rsid w:val="00280DFA"/>
    <w:rsid w:val="00281059"/>
    <w:rsid w:val="002812BC"/>
    <w:rsid w:val="00281554"/>
    <w:rsid w:val="00281A05"/>
    <w:rsid w:val="00281C4A"/>
    <w:rsid w:val="00282236"/>
    <w:rsid w:val="002828FD"/>
    <w:rsid w:val="00282B90"/>
    <w:rsid w:val="00282F5A"/>
    <w:rsid w:val="00283A8A"/>
    <w:rsid w:val="00283AE9"/>
    <w:rsid w:val="00283CFC"/>
    <w:rsid w:val="00283E15"/>
    <w:rsid w:val="00283F8C"/>
    <w:rsid w:val="002840A3"/>
    <w:rsid w:val="002843F0"/>
    <w:rsid w:val="00284988"/>
    <w:rsid w:val="00284AB7"/>
    <w:rsid w:val="00284D53"/>
    <w:rsid w:val="00284F38"/>
    <w:rsid w:val="002850B0"/>
    <w:rsid w:val="002850DB"/>
    <w:rsid w:val="002851DE"/>
    <w:rsid w:val="002859B9"/>
    <w:rsid w:val="00285BFF"/>
    <w:rsid w:val="00285C5D"/>
    <w:rsid w:val="00285D73"/>
    <w:rsid w:val="00285F5C"/>
    <w:rsid w:val="002862AB"/>
    <w:rsid w:val="002862DE"/>
    <w:rsid w:val="002863A8"/>
    <w:rsid w:val="002865B7"/>
    <w:rsid w:val="002865EA"/>
    <w:rsid w:val="002868AA"/>
    <w:rsid w:val="00286B7C"/>
    <w:rsid w:val="00286C49"/>
    <w:rsid w:val="00286CE5"/>
    <w:rsid w:val="00286CFA"/>
    <w:rsid w:val="00286D69"/>
    <w:rsid w:val="00286F5A"/>
    <w:rsid w:val="002871C8"/>
    <w:rsid w:val="00287290"/>
    <w:rsid w:val="00287543"/>
    <w:rsid w:val="002875CB"/>
    <w:rsid w:val="0028777D"/>
    <w:rsid w:val="00287B33"/>
    <w:rsid w:val="002900F6"/>
    <w:rsid w:val="00290211"/>
    <w:rsid w:val="00290CF7"/>
    <w:rsid w:val="00290DD8"/>
    <w:rsid w:val="002910C5"/>
    <w:rsid w:val="002915CF"/>
    <w:rsid w:val="002915D7"/>
    <w:rsid w:val="002915EA"/>
    <w:rsid w:val="0029194F"/>
    <w:rsid w:val="00291D10"/>
    <w:rsid w:val="00291E77"/>
    <w:rsid w:val="0029200F"/>
    <w:rsid w:val="002920FE"/>
    <w:rsid w:val="00292686"/>
    <w:rsid w:val="00292729"/>
    <w:rsid w:val="00292C6D"/>
    <w:rsid w:val="00292E42"/>
    <w:rsid w:val="00292EB6"/>
    <w:rsid w:val="002930F0"/>
    <w:rsid w:val="0029317C"/>
    <w:rsid w:val="00293972"/>
    <w:rsid w:val="002939A1"/>
    <w:rsid w:val="00293E11"/>
    <w:rsid w:val="00294271"/>
    <w:rsid w:val="0029428F"/>
    <w:rsid w:val="002943C8"/>
    <w:rsid w:val="002943D6"/>
    <w:rsid w:val="0029449E"/>
    <w:rsid w:val="00294B12"/>
    <w:rsid w:val="00294CC4"/>
    <w:rsid w:val="00294DB4"/>
    <w:rsid w:val="00294E55"/>
    <w:rsid w:val="00294E58"/>
    <w:rsid w:val="002950D8"/>
    <w:rsid w:val="00295425"/>
    <w:rsid w:val="002957D8"/>
    <w:rsid w:val="00295FAD"/>
    <w:rsid w:val="002965FA"/>
    <w:rsid w:val="0029661E"/>
    <w:rsid w:val="00296AA9"/>
    <w:rsid w:val="00296BFD"/>
    <w:rsid w:val="00296C8E"/>
    <w:rsid w:val="00296CA0"/>
    <w:rsid w:val="00296E94"/>
    <w:rsid w:val="0029700A"/>
    <w:rsid w:val="00297049"/>
    <w:rsid w:val="00297394"/>
    <w:rsid w:val="00297619"/>
    <w:rsid w:val="00297699"/>
    <w:rsid w:val="00297761"/>
    <w:rsid w:val="002978BE"/>
    <w:rsid w:val="00297947"/>
    <w:rsid w:val="00297C04"/>
    <w:rsid w:val="00297E84"/>
    <w:rsid w:val="002A0347"/>
    <w:rsid w:val="002A03DC"/>
    <w:rsid w:val="002A0843"/>
    <w:rsid w:val="002A0A1D"/>
    <w:rsid w:val="002A0B81"/>
    <w:rsid w:val="002A10BF"/>
    <w:rsid w:val="002A12C9"/>
    <w:rsid w:val="002A153A"/>
    <w:rsid w:val="002A1652"/>
    <w:rsid w:val="002A22B8"/>
    <w:rsid w:val="002A2528"/>
    <w:rsid w:val="002A2A2D"/>
    <w:rsid w:val="002A34BD"/>
    <w:rsid w:val="002A373D"/>
    <w:rsid w:val="002A3DE5"/>
    <w:rsid w:val="002A3E42"/>
    <w:rsid w:val="002A3E83"/>
    <w:rsid w:val="002A3ED7"/>
    <w:rsid w:val="002A3EE0"/>
    <w:rsid w:val="002A3FE5"/>
    <w:rsid w:val="002A44A4"/>
    <w:rsid w:val="002A4657"/>
    <w:rsid w:val="002A47AF"/>
    <w:rsid w:val="002A484E"/>
    <w:rsid w:val="002A48FF"/>
    <w:rsid w:val="002A49A1"/>
    <w:rsid w:val="002A4BAE"/>
    <w:rsid w:val="002A50F1"/>
    <w:rsid w:val="002A5DF7"/>
    <w:rsid w:val="002A61A8"/>
    <w:rsid w:val="002A629A"/>
    <w:rsid w:val="002A670F"/>
    <w:rsid w:val="002A6EF8"/>
    <w:rsid w:val="002A76E0"/>
    <w:rsid w:val="002A78AC"/>
    <w:rsid w:val="002A7B14"/>
    <w:rsid w:val="002A7D91"/>
    <w:rsid w:val="002A7EC9"/>
    <w:rsid w:val="002B0249"/>
    <w:rsid w:val="002B03F7"/>
    <w:rsid w:val="002B0481"/>
    <w:rsid w:val="002B089E"/>
    <w:rsid w:val="002B0CB4"/>
    <w:rsid w:val="002B0E38"/>
    <w:rsid w:val="002B0FC9"/>
    <w:rsid w:val="002B113A"/>
    <w:rsid w:val="002B130B"/>
    <w:rsid w:val="002B141C"/>
    <w:rsid w:val="002B1735"/>
    <w:rsid w:val="002B1812"/>
    <w:rsid w:val="002B1B4B"/>
    <w:rsid w:val="002B1B82"/>
    <w:rsid w:val="002B1F2C"/>
    <w:rsid w:val="002B1FD9"/>
    <w:rsid w:val="002B24A5"/>
    <w:rsid w:val="002B25FB"/>
    <w:rsid w:val="002B2A7B"/>
    <w:rsid w:val="002B3064"/>
    <w:rsid w:val="002B323E"/>
    <w:rsid w:val="002B3294"/>
    <w:rsid w:val="002B3352"/>
    <w:rsid w:val="002B34FF"/>
    <w:rsid w:val="002B3890"/>
    <w:rsid w:val="002B3A6B"/>
    <w:rsid w:val="002B3BA3"/>
    <w:rsid w:val="002B3C30"/>
    <w:rsid w:val="002B3D63"/>
    <w:rsid w:val="002B3EB9"/>
    <w:rsid w:val="002B42A0"/>
    <w:rsid w:val="002B487A"/>
    <w:rsid w:val="002B4B86"/>
    <w:rsid w:val="002B4EA8"/>
    <w:rsid w:val="002B575D"/>
    <w:rsid w:val="002B596F"/>
    <w:rsid w:val="002B5A11"/>
    <w:rsid w:val="002B5B1A"/>
    <w:rsid w:val="002B5BCB"/>
    <w:rsid w:val="002B5D15"/>
    <w:rsid w:val="002B5D56"/>
    <w:rsid w:val="002B5EAA"/>
    <w:rsid w:val="002B633E"/>
    <w:rsid w:val="002B645E"/>
    <w:rsid w:val="002B6831"/>
    <w:rsid w:val="002B692F"/>
    <w:rsid w:val="002B6F8C"/>
    <w:rsid w:val="002B706E"/>
    <w:rsid w:val="002B745C"/>
    <w:rsid w:val="002B7529"/>
    <w:rsid w:val="002B75CB"/>
    <w:rsid w:val="002B76A5"/>
    <w:rsid w:val="002B7983"/>
    <w:rsid w:val="002C0080"/>
    <w:rsid w:val="002C0147"/>
    <w:rsid w:val="002C032B"/>
    <w:rsid w:val="002C03CE"/>
    <w:rsid w:val="002C04B2"/>
    <w:rsid w:val="002C0E2C"/>
    <w:rsid w:val="002C0ECE"/>
    <w:rsid w:val="002C112A"/>
    <w:rsid w:val="002C13AE"/>
    <w:rsid w:val="002C1564"/>
    <w:rsid w:val="002C17A3"/>
    <w:rsid w:val="002C1BD4"/>
    <w:rsid w:val="002C1C92"/>
    <w:rsid w:val="002C1FF9"/>
    <w:rsid w:val="002C2097"/>
    <w:rsid w:val="002C28FB"/>
    <w:rsid w:val="002C29DD"/>
    <w:rsid w:val="002C2BAC"/>
    <w:rsid w:val="002C2EEC"/>
    <w:rsid w:val="002C2FD9"/>
    <w:rsid w:val="002C3122"/>
    <w:rsid w:val="002C362C"/>
    <w:rsid w:val="002C3714"/>
    <w:rsid w:val="002C3A95"/>
    <w:rsid w:val="002C3E89"/>
    <w:rsid w:val="002C421F"/>
    <w:rsid w:val="002C44A8"/>
    <w:rsid w:val="002C4BCB"/>
    <w:rsid w:val="002C4EEE"/>
    <w:rsid w:val="002C4F15"/>
    <w:rsid w:val="002C4F8C"/>
    <w:rsid w:val="002C500F"/>
    <w:rsid w:val="002C63C4"/>
    <w:rsid w:val="002C64C2"/>
    <w:rsid w:val="002C667B"/>
    <w:rsid w:val="002C6AB6"/>
    <w:rsid w:val="002C6C39"/>
    <w:rsid w:val="002C702C"/>
    <w:rsid w:val="002C7275"/>
    <w:rsid w:val="002C77D8"/>
    <w:rsid w:val="002C7905"/>
    <w:rsid w:val="002C7A4F"/>
    <w:rsid w:val="002C7E45"/>
    <w:rsid w:val="002D0179"/>
    <w:rsid w:val="002D0197"/>
    <w:rsid w:val="002D0339"/>
    <w:rsid w:val="002D07EA"/>
    <w:rsid w:val="002D08F7"/>
    <w:rsid w:val="002D0DC9"/>
    <w:rsid w:val="002D14C1"/>
    <w:rsid w:val="002D19C2"/>
    <w:rsid w:val="002D1E8F"/>
    <w:rsid w:val="002D206A"/>
    <w:rsid w:val="002D209B"/>
    <w:rsid w:val="002D24AF"/>
    <w:rsid w:val="002D2D74"/>
    <w:rsid w:val="002D2FA6"/>
    <w:rsid w:val="002D3487"/>
    <w:rsid w:val="002D3666"/>
    <w:rsid w:val="002D377F"/>
    <w:rsid w:val="002D37B7"/>
    <w:rsid w:val="002D3AE9"/>
    <w:rsid w:val="002D3D34"/>
    <w:rsid w:val="002D40B9"/>
    <w:rsid w:val="002D44D5"/>
    <w:rsid w:val="002D45C1"/>
    <w:rsid w:val="002D45DD"/>
    <w:rsid w:val="002D465E"/>
    <w:rsid w:val="002D56AD"/>
    <w:rsid w:val="002D583E"/>
    <w:rsid w:val="002D60F0"/>
    <w:rsid w:val="002D6341"/>
    <w:rsid w:val="002D66F4"/>
    <w:rsid w:val="002D6B88"/>
    <w:rsid w:val="002D719A"/>
    <w:rsid w:val="002D72B4"/>
    <w:rsid w:val="002D7C26"/>
    <w:rsid w:val="002E039D"/>
    <w:rsid w:val="002E0647"/>
    <w:rsid w:val="002E071A"/>
    <w:rsid w:val="002E09D6"/>
    <w:rsid w:val="002E0A17"/>
    <w:rsid w:val="002E0BFA"/>
    <w:rsid w:val="002E0E0F"/>
    <w:rsid w:val="002E1638"/>
    <w:rsid w:val="002E167C"/>
    <w:rsid w:val="002E18AC"/>
    <w:rsid w:val="002E1E79"/>
    <w:rsid w:val="002E223A"/>
    <w:rsid w:val="002E27E0"/>
    <w:rsid w:val="002E2D2B"/>
    <w:rsid w:val="002E35E0"/>
    <w:rsid w:val="002E35E8"/>
    <w:rsid w:val="002E3DCA"/>
    <w:rsid w:val="002E4450"/>
    <w:rsid w:val="002E4604"/>
    <w:rsid w:val="002E478E"/>
    <w:rsid w:val="002E4DA4"/>
    <w:rsid w:val="002E4EF4"/>
    <w:rsid w:val="002E525F"/>
    <w:rsid w:val="002E52A5"/>
    <w:rsid w:val="002E54A7"/>
    <w:rsid w:val="002E5E0C"/>
    <w:rsid w:val="002E60B7"/>
    <w:rsid w:val="002E62E9"/>
    <w:rsid w:val="002E6345"/>
    <w:rsid w:val="002E6375"/>
    <w:rsid w:val="002E6590"/>
    <w:rsid w:val="002E663C"/>
    <w:rsid w:val="002E6B6F"/>
    <w:rsid w:val="002E6D9D"/>
    <w:rsid w:val="002E6F10"/>
    <w:rsid w:val="002E70D8"/>
    <w:rsid w:val="002E71EE"/>
    <w:rsid w:val="002E72A9"/>
    <w:rsid w:val="002E7D00"/>
    <w:rsid w:val="002F0225"/>
    <w:rsid w:val="002F03F0"/>
    <w:rsid w:val="002F0EBD"/>
    <w:rsid w:val="002F0F72"/>
    <w:rsid w:val="002F119D"/>
    <w:rsid w:val="002F1260"/>
    <w:rsid w:val="002F12FC"/>
    <w:rsid w:val="002F14CD"/>
    <w:rsid w:val="002F15AD"/>
    <w:rsid w:val="002F1774"/>
    <w:rsid w:val="002F17CD"/>
    <w:rsid w:val="002F19C1"/>
    <w:rsid w:val="002F1EC3"/>
    <w:rsid w:val="002F1F01"/>
    <w:rsid w:val="002F204E"/>
    <w:rsid w:val="002F20D7"/>
    <w:rsid w:val="002F2129"/>
    <w:rsid w:val="002F2215"/>
    <w:rsid w:val="002F245A"/>
    <w:rsid w:val="002F2678"/>
    <w:rsid w:val="002F27B8"/>
    <w:rsid w:val="002F2916"/>
    <w:rsid w:val="002F2CD0"/>
    <w:rsid w:val="002F2D41"/>
    <w:rsid w:val="002F2DB7"/>
    <w:rsid w:val="002F3222"/>
    <w:rsid w:val="002F34EB"/>
    <w:rsid w:val="002F37DE"/>
    <w:rsid w:val="002F3B21"/>
    <w:rsid w:val="002F3B64"/>
    <w:rsid w:val="002F3DA7"/>
    <w:rsid w:val="002F4141"/>
    <w:rsid w:val="002F4710"/>
    <w:rsid w:val="002F48E0"/>
    <w:rsid w:val="002F498C"/>
    <w:rsid w:val="002F50BF"/>
    <w:rsid w:val="002F51B1"/>
    <w:rsid w:val="002F53DF"/>
    <w:rsid w:val="002F576D"/>
    <w:rsid w:val="002F57F2"/>
    <w:rsid w:val="002F5CD6"/>
    <w:rsid w:val="002F5D43"/>
    <w:rsid w:val="002F5DE5"/>
    <w:rsid w:val="002F5E1F"/>
    <w:rsid w:val="002F62AC"/>
    <w:rsid w:val="002F6355"/>
    <w:rsid w:val="002F6395"/>
    <w:rsid w:val="002F67F1"/>
    <w:rsid w:val="002F68A4"/>
    <w:rsid w:val="002F7122"/>
    <w:rsid w:val="002F72FC"/>
    <w:rsid w:val="002F7538"/>
    <w:rsid w:val="002F75C8"/>
    <w:rsid w:val="002F7D08"/>
    <w:rsid w:val="002F7D8B"/>
    <w:rsid w:val="002F7ED7"/>
    <w:rsid w:val="0030020B"/>
    <w:rsid w:val="0030043E"/>
    <w:rsid w:val="00300706"/>
    <w:rsid w:val="0030088A"/>
    <w:rsid w:val="0030190B"/>
    <w:rsid w:val="00301A87"/>
    <w:rsid w:val="00301DD8"/>
    <w:rsid w:val="00301E6E"/>
    <w:rsid w:val="0030234B"/>
    <w:rsid w:val="003026B2"/>
    <w:rsid w:val="00302920"/>
    <w:rsid w:val="00302A3F"/>
    <w:rsid w:val="00302FF0"/>
    <w:rsid w:val="00303223"/>
    <w:rsid w:val="00303350"/>
    <w:rsid w:val="00303393"/>
    <w:rsid w:val="00303585"/>
    <w:rsid w:val="003037E8"/>
    <w:rsid w:val="00303AD6"/>
    <w:rsid w:val="00303B74"/>
    <w:rsid w:val="00303D6C"/>
    <w:rsid w:val="00304690"/>
    <w:rsid w:val="003048AB"/>
    <w:rsid w:val="00304ACC"/>
    <w:rsid w:val="00304B6B"/>
    <w:rsid w:val="00304B86"/>
    <w:rsid w:val="00304EC3"/>
    <w:rsid w:val="003051F6"/>
    <w:rsid w:val="0030522F"/>
    <w:rsid w:val="003055A0"/>
    <w:rsid w:val="003056FE"/>
    <w:rsid w:val="00305772"/>
    <w:rsid w:val="003057A5"/>
    <w:rsid w:val="0030595E"/>
    <w:rsid w:val="00305B1A"/>
    <w:rsid w:val="00305F64"/>
    <w:rsid w:val="0030644E"/>
    <w:rsid w:val="00306CEE"/>
    <w:rsid w:val="0030729E"/>
    <w:rsid w:val="003075F3"/>
    <w:rsid w:val="00307B6D"/>
    <w:rsid w:val="00307D3C"/>
    <w:rsid w:val="00307EA9"/>
    <w:rsid w:val="00307F9B"/>
    <w:rsid w:val="00310271"/>
    <w:rsid w:val="003104E1"/>
    <w:rsid w:val="003106A2"/>
    <w:rsid w:val="0031082C"/>
    <w:rsid w:val="0031090A"/>
    <w:rsid w:val="00310C18"/>
    <w:rsid w:val="00310D0E"/>
    <w:rsid w:val="00311741"/>
    <w:rsid w:val="003118F8"/>
    <w:rsid w:val="00311FF1"/>
    <w:rsid w:val="003122C6"/>
    <w:rsid w:val="00312636"/>
    <w:rsid w:val="0031271D"/>
    <w:rsid w:val="00312A54"/>
    <w:rsid w:val="00312BD8"/>
    <w:rsid w:val="00313640"/>
    <w:rsid w:val="003137B8"/>
    <w:rsid w:val="003138A5"/>
    <w:rsid w:val="00313A64"/>
    <w:rsid w:val="00313B75"/>
    <w:rsid w:val="00313CAA"/>
    <w:rsid w:val="00313E32"/>
    <w:rsid w:val="00313E74"/>
    <w:rsid w:val="00313E95"/>
    <w:rsid w:val="00314383"/>
    <w:rsid w:val="003143E5"/>
    <w:rsid w:val="0031492A"/>
    <w:rsid w:val="00314DE9"/>
    <w:rsid w:val="00314E9E"/>
    <w:rsid w:val="003155AC"/>
    <w:rsid w:val="00315C41"/>
    <w:rsid w:val="00315EBD"/>
    <w:rsid w:val="00316068"/>
    <w:rsid w:val="003161BB"/>
    <w:rsid w:val="00316818"/>
    <w:rsid w:val="0031766A"/>
    <w:rsid w:val="003179CC"/>
    <w:rsid w:val="00317F2C"/>
    <w:rsid w:val="00320129"/>
    <w:rsid w:val="00320150"/>
    <w:rsid w:val="003201D6"/>
    <w:rsid w:val="00320550"/>
    <w:rsid w:val="0032072B"/>
    <w:rsid w:val="003207B6"/>
    <w:rsid w:val="00320DF2"/>
    <w:rsid w:val="00321E0F"/>
    <w:rsid w:val="003227AE"/>
    <w:rsid w:val="00322877"/>
    <w:rsid w:val="00322CF8"/>
    <w:rsid w:val="003230EF"/>
    <w:rsid w:val="0032311C"/>
    <w:rsid w:val="00323185"/>
    <w:rsid w:val="003231D1"/>
    <w:rsid w:val="0032353D"/>
    <w:rsid w:val="00323903"/>
    <w:rsid w:val="0032400C"/>
    <w:rsid w:val="00324153"/>
    <w:rsid w:val="003241B5"/>
    <w:rsid w:val="00324289"/>
    <w:rsid w:val="00324396"/>
    <w:rsid w:val="00324B8F"/>
    <w:rsid w:val="00324DEB"/>
    <w:rsid w:val="00325667"/>
    <w:rsid w:val="003261B1"/>
    <w:rsid w:val="00326311"/>
    <w:rsid w:val="003266E3"/>
    <w:rsid w:val="003267AB"/>
    <w:rsid w:val="00326A33"/>
    <w:rsid w:val="00326ED5"/>
    <w:rsid w:val="0032779B"/>
    <w:rsid w:val="003277C6"/>
    <w:rsid w:val="0032797F"/>
    <w:rsid w:val="003279B1"/>
    <w:rsid w:val="00327A93"/>
    <w:rsid w:val="00330CD1"/>
    <w:rsid w:val="00330E78"/>
    <w:rsid w:val="00330F96"/>
    <w:rsid w:val="00331402"/>
    <w:rsid w:val="003314E4"/>
    <w:rsid w:val="00331564"/>
    <w:rsid w:val="00331A36"/>
    <w:rsid w:val="00331C83"/>
    <w:rsid w:val="00331F43"/>
    <w:rsid w:val="00332085"/>
    <w:rsid w:val="00332258"/>
    <w:rsid w:val="003322D5"/>
    <w:rsid w:val="0033240F"/>
    <w:rsid w:val="00332651"/>
    <w:rsid w:val="0033282D"/>
    <w:rsid w:val="00332A28"/>
    <w:rsid w:val="00332C71"/>
    <w:rsid w:val="00332E1C"/>
    <w:rsid w:val="00332FE7"/>
    <w:rsid w:val="0033326F"/>
    <w:rsid w:val="00334216"/>
    <w:rsid w:val="00334694"/>
    <w:rsid w:val="00334FEC"/>
    <w:rsid w:val="00334FFB"/>
    <w:rsid w:val="00335234"/>
    <w:rsid w:val="00335424"/>
    <w:rsid w:val="003355DC"/>
    <w:rsid w:val="003357A5"/>
    <w:rsid w:val="003358AC"/>
    <w:rsid w:val="0033590A"/>
    <w:rsid w:val="00335A67"/>
    <w:rsid w:val="00335ACF"/>
    <w:rsid w:val="00335DFC"/>
    <w:rsid w:val="00336743"/>
    <w:rsid w:val="003369E9"/>
    <w:rsid w:val="00336AF8"/>
    <w:rsid w:val="00336D82"/>
    <w:rsid w:val="00336E00"/>
    <w:rsid w:val="00336FCE"/>
    <w:rsid w:val="00340100"/>
    <w:rsid w:val="00340212"/>
    <w:rsid w:val="00340640"/>
    <w:rsid w:val="00340943"/>
    <w:rsid w:val="00340A08"/>
    <w:rsid w:val="00340D6C"/>
    <w:rsid w:val="00340F93"/>
    <w:rsid w:val="00340F98"/>
    <w:rsid w:val="00341201"/>
    <w:rsid w:val="0034151E"/>
    <w:rsid w:val="00341652"/>
    <w:rsid w:val="003416F3"/>
    <w:rsid w:val="003417A1"/>
    <w:rsid w:val="00341C4E"/>
    <w:rsid w:val="00341F7B"/>
    <w:rsid w:val="0034221D"/>
    <w:rsid w:val="00342284"/>
    <w:rsid w:val="00342417"/>
    <w:rsid w:val="003428A8"/>
    <w:rsid w:val="0034294A"/>
    <w:rsid w:val="00342971"/>
    <w:rsid w:val="00342BC2"/>
    <w:rsid w:val="00342CDD"/>
    <w:rsid w:val="00342F43"/>
    <w:rsid w:val="003433E1"/>
    <w:rsid w:val="0034376F"/>
    <w:rsid w:val="0034379A"/>
    <w:rsid w:val="00343A06"/>
    <w:rsid w:val="00343C4C"/>
    <w:rsid w:val="003444EA"/>
    <w:rsid w:val="00344820"/>
    <w:rsid w:val="00344BB7"/>
    <w:rsid w:val="00345096"/>
    <w:rsid w:val="003456ED"/>
    <w:rsid w:val="00345DA7"/>
    <w:rsid w:val="00345E28"/>
    <w:rsid w:val="00345F3F"/>
    <w:rsid w:val="00346061"/>
    <w:rsid w:val="003466C2"/>
    <w:rsid w:val="00346AE9"/>
    <w:rsid w:val="00346CD9"/>
    <w:rsid w:val="00346FC5"/>
    <w:rsid w:val="0034755D"/>
    <w:rsid w:val="0034781D"/>
    <w:rsid w:val="00347A7B"/>
    <w:rsid w:val="00347C78"/>
    <w:rsid w:val="00350336"/>
    <w:rsid w:val="0035069C"/>
    <w:rsid w:val="003506A3"/>
    <w:rsid w:val="0035073E"/>
    <w:rsid w:val="003508F5"/>
    <w:rsid w:val="00350AA8"/>
    <w:rsid w:val="00350ED6"/>
    <w:rsid w:val="00351508"/>
    <w:rsid w:val="00351659"/>
    <w:rsid w:val="003516AB"/>
    <w:rsid w:val="00351756"/>
    <w:rsid w:val="00351791"/>
    <w:rsid w:val="00352059"/>
    <w:rsid w:val="003520F2"/>
    <w:rsid w:val="00352478"/>
    <w:rsid w:val="003525F3"/>
    <w:rsid w:val="00352844"/>
    <w:rsid w:val="00352B30"/>
    <w:rsid w:val="00352DD2"/>
    <w:rsid w:val="00352F42"/>
    <w:rsid w:val="00353066"/>
    <w:rsid w:val="003530D0"/>
    <w:rsid w:val="003534F2"/>
    <w:rsid w:val="00353955"/>
    <w:rsid w:val="00353A33"/>
    <w:rsid w:val="00353B9E"/>
    <w:rsid w:val="00353F86"/>
    <w:rsid w:val="00354081"/>
    <w:rsid w:val="00354271"/>
    <w:rsid w:val="00354501"/>
    <w:rsid w:val="003546A4"/>
    <w:rsid w:val="003547A7"/>
    <w:rsid w:val="00354EA0"/>
    <w:rsid w:val="003552DE"/>
    <w:rsid w:val="003552EC"/>
    <w:rsid w:val="00355346"/>
    <w:rsid w:val="0035597C"/>
    <w:rsid w:val="00356327"/>
    <w:rsid w:val="00357042"/>
    <w:rsid w:val="0035733C"/>
    <w:rsid w:val="00357450"/>
    <w:rsid w:val="003574CB"/>
    <w:rsid w:val="00357726"/>
    <w:rsid w:val="00357DB0"/>
    <w:rsid w:val="0036024D"/>
    <w:rsid w:val="003602E7"/>
    <w:rsid w:val="00360878"/>
    <w:rsid w:val="00360ADD"/>
    <w:rsid w:val="00360CF8"/>
    <w:rsid w:val="00361074"/>
    <w:rsid w:val="003611DC"/>
    <w:rsid w:val="00361487"/>
    <w:rsid w:val="003617E9"/>
    <w:rsid w:val="003618BA"/>
    <w:rsid w:val="00361AD2"/>
    <w:rsid w:val="00362655"/>
    <w:rsid w:val="00362B31"/>
    <w:rsid w:val="00362D34"/>
    <w:rsid w:val="00362ED6"/>
    <w:rsid w:val="00363320"/>
    <w:rsid w:val="00363362"/>
    <w:rsid w:val="0036364D"/>
    <w:rsid w:val="00363751"/>
    <w:rsid w:val="00363892"/>
    <w:rsid w:val="00363BA9"/>
    <w:rsid w:val="00363C34"/>
    <w:rsid w:val="00363C4E"/>
    <w:rsid w:val="00363F79"/>
    <w:rsid w:val="003642CF"/>
    <w:rsid w:val="003643A6"/>
    <w:rsid w:val="003645AF"/>
    <w:rsid w:val="003646B0"/>
    <w:rsid w:val="00364B65"/>
    <w:rsid w:val="00364C67"/>
    <w:rsid w:val="003655D7"/>
    <w:rsid w:val="003656F1"/>
    <w:rsid w:val="003658FF"/>
    <w:rsid w:val="0036595E"/>
    <w:rsid w:val="003662D4"/>
    <w:rsid w:val="00366483"/>
    <w:rsid w:val="003664C9"/>
    <w:rsid w:val="0036650E"/>
    <w:rsid w:val="0036682B"/>
    <w:rsid w:val="003668BF"/>
    <w:rsid w:val="0036699E"/>
    <w:rsid w:val="00366D2A"/>
    <w:rsid w:val="00366D35"/>
    <w:rsid w:val="003672B7"/>
    <w:rsid w:val="00367842"/>
    <w:rsid w:val="00367843"/>
    <w:rsid w:val="00367F22"/>
    <w:rsid w:val="003705A2"/>
    <w:rsid w:val="003706BB"/>
    <w:rsid w:val="00370778"/>
    <w:rsid w:val="00370DCA"/>
    <w:rsid w:val="0037158A"/>
    <w:rsid w:val="003715A2"/>
    <w:rsid w:val="00371ABC"/>
    <w:rsid w:val="0037211E"/>
    <w:rsid w:val="00372319"/>
    <w:rsid w:val="00372368"/>
    <w:rsid w:val="00372586"/>
    <w:rsid w:val="003725DB"/>
    <w:rsid w:val="00372DEF"/>
    <w:rsid w:val="0037347F"/>
    <w:rsid w:val="00373511"/>
    <w:rsid w:val="003735B2"/>
    <w:rsid w:val="003739FC"/>
    <w:rsid w:val="00373C22"/>
    <w:rsid w:val="00373C52"/>
    <w:rsid w:val="00373ED7"/>
    <w:rsid w:val="003742E8"/>
    <w:rsid w:val="003749B0"/>
    <w:rsid w:val="00374C56"/>
    <w:rsid w:val="003752B5"/>
    <w:rsid w:val="0037537D"/>
    <w:rsid w:val="00375811"/>
    <w:rsid w:val="00375BF6"/>
    <w:rsid w:val="0037600D"/>
    <w:rsid w:val="003760B4"/>
    <w:rsid w:val="0037631A"/>
    <w:rsid w:val="0037686F"/>
    <w:rsid w:val="00376A03"/>
    <w:rsid w:val="00376C06"/>
    <w:rsid w:val="00376CE6"/>
    <w:rsid w:val="00377031"/>
    <w:rsid w:val="0037737E"/>
    <w:rsid w:val="00377691"/>
    <w:rsid w:val="003779B7"/>
    <w:rsid w:val="00377ACB"/>
    <w:rsid w:val="00377BBF"/>
    <w:rsid w:val="00377D23"/>
    <w:rsid w:val="0038003F"/>
    <w:rsid w:val="0038018E"/>
    <w:rsid w:val="00380240"/>
    <w:rsid w:val="00380298"/>
    <w:rsid w:val="00380666"/>
    <w:rsid w:val="00380684"/>
    <w:rsid w:val="00380FB8"/>
    <w:rsid w:val="003812C2"/>
    <w:rsid w:val="0038131C"/>
    <w:rsid w:val="00381419"/>
    <w:rsid w:val="00381751"/>
    <w:rsid w:val="003818C4"/>
    <w:rsid w:val="00381B5C"/>
    <w:rsid w:val="00381C1B"/>
    <w:rsid w:val="00381C48"/>
    <w:rsid w:val="00381DE4"/>
    <w:rsid w:val="0038218E"/>
    <w:rsid w:val="003825B1"/>
    <w:rsid w:val="0038287A"/>
    <w:rsid w:val="00382C4F"/>
    <w:rsid w:val="00382D37"/>
    <w:rsid w:val="00382DFD"/>
    <w:rsid w:val="003830F2"/>
    <w:rsid w:val="003831BB"/>
    <w:rsid w:val="00383286"/>
    <w:rsid w:val="00383416"/>
    <w:rsid w:val="0038342A"/>
    <w:rsid w:val="0038386C"/>
    <w:rsid w:val="00383AEB"/>
    <w:rsid w:val="0038448A"/>
    <w:rsid w:val="003846D9"/>
    <w:rsid w:val="003847F8"/>
    <w:rsid w:val="00384DCF"/>
    <w:rsid w:val="003851B1"/>
    <w:rsid w:val="0038537B"/>
    <w:rsid w:val="0038543F"/>
    <w:rsid w:val="003855EC"/>
    <w:rsid w:val="0038587C"/>
    <w:rsid w:val="003858E3"/>
    <w:rsid w:val="003859A7"/>
    <w:rsid w:val="00385B90"/>
    <w:rsid w:val="003860BA"/>
    <w:rsid w:val="003865BC"/>
    <w:rsid w:val="00386BE2"/>
    <w:rsid w:val="00386BF7"/>
    <w:rsid w:val="00386C51"/>
    <w:rsid w:val="00386EB7"/>
    <w:rsid w:val="00386FD7"/>
    <w:rsid w:val="003870C7"/>
    <w:rsid w:val="003871E9"/>
    <w:rsid w:val="00387279"/>
    <w:rsid w:val="003873EC"/>
    <w:rsid w:val="0038751B"/>
    <w:rsid w:val="0038758C"/>
    <w:rsid w:val="0038769F"/>
    <w:rsid w:val="003877FA"/>
    <w:rsid w:val="00387954"/>
    <w:rsid w:val="00387B14"/>
    <w:rsid w:val="0039050A"/>
    <w:rsid w:val="00390AC4"/>
    <w:rsid w:val="00390BBB"/>
    <w:rsid w:val="00390D82"/>
    <w:rsid w:val="00390DCA"/>
    <w:rsid w:val="00391051"/>
    <w:rsid w:val="00391722"/>
    <w:rsid w:val="003918C2"/>
    <w:rsid w:val="00391ADB"/>
    <w:rsid w:val="00391F7C"/>
    <w:rsid w:val="003923C9"/>
    <w:rsid w:val="0039298D"/>
    <w:rsid w:val="003929B9"/>
    <w:rsid w:val="0039302C"/>
    <w:rsid w:val="003930E4"/>
    <w:rsid w:val="003932BB"/>
    <w:rsid w:val="00393835"/>
    <w:rsid w:val="0039389D"/>
    <w:rsid w:val="00393B51"/>
    <w:rsid w:val="00393D4D"/>
    <w:rsid w:val="0039447D"/>
    <w:rsid w:val="0039486E"/>
    <w:rsid w:val="00394F9A"/>
    <w:rsid w:val="00395136"/>
    <w:rsid w:val="003951DA"/>
    <w:rsid w:val="003953BC"/>
    <w:rsid w:val="003953F6"/>
    <w:rsid w:val="0039581F"/>
    <w:rsid w:val="00395BF7"/>
    <w:rsid w:val="00395D05"/>
    <w:rsid w:val="00395D07"/>
    <w:rsid w:val="00395D70"/>
    <w:rsid w:val="0039625A"/>
    <w:rsid w:val="00396664"/>
    <w:rsid w:val="00396DE8"/>
    <w:rsid w:val="00396E03"/>
    <w:rsid w:val="00397213"/>
    <w:rsid w:val="003974F3"/>
    <w:rsid w:val="003977A3"/>
    <w:rsid w:val="00397B3F"/>
    <w:rsid w:val="00397D59"/>
    <w:rsid w:val="00397E52"/>
    <w:rsid w:val="00397FAC"/>
    <w:rsid w:val="003A02E4"/>
    <w:rsid w:val="003A050D"/>
    <w:rsid w:val="003A0852"/>
    <w:rsid w:val="003A0B9D"/>
    <w:rsid w:val="003A0C00"/>
    <w:rsid w:val="003A0E36"/>
    <w:rsid w:val="003A1006"/>
    <w:rsid w:val="003A117A"/>
    <w:rsid w:val="003A13A2"/>
    <w:rsid w:val="003A1761"/>
    <w:rsid w:val="003A1781"/>
    <w:rsid w:val="003A1870"/>
    <w:rsid w:val="003A1A49"/>
    <w:rsid w:val="003A2171"/>
    <w:rsid w:val="003A2214"/>
    <w:rsid w:val="003A2282"/>
    <w:rsid w:val="003A2290"/>
    <w:rsid w:val="003A2350"/>
    <w:rsid w:val="003A265D"/>
    <w:rsid w:val="003A33FB"/>
    <w:rsid w:val="003A36FC"/>
    <w:rsid w:val="003A3841"/>
    <w:rsid w:val="003A3DF1"/>
    <w:rsid w:val="003A3F86"/>
    <w:rsid w:val="003A3FE5"/>
    <w:rsid w:val="003A49A1"/>
    <w:rsid w:val="003A49F1"/>
    <w:rsid w:val="003A518A"/>
    <w:rsid w:val="003A577F"/>
    <w:rsid w:val="003A5977"/>
    <w:rsid w:val="003A5B17"/>
    <w:rsid w:val="003A5F33"/>
    <w:rsid w:val="003A5FD3"/>
    <w:rsid w:val="003A6105"/>
    <w:rsid w:val="003A61A8"/>
    <w:rsid w:val="003A6494"/>
    <w:rsid w:val="003A6CD3"/>
    <w:rsid w:val="003A7DC3"/>
    <w:rsid w:val="003A7FE6"/>
    <w:rsid w:val="003B030F"/>
    <w:rsid w:val="003B0761"/>
    <w:rsid w:val="003B076F"/>
    <w:rsid w:val="003B0AB5"/>
    <w:rsid w:val="003B0C3B"/>
    <w:rsid w:val="003B0E7D"/>
    <w:rsid w:val="003B1525"/>
    <w:rsid w:val="003B184B"/>
    <w:rsid w:val="003B1CD3"/>
    <w:rsid w:val="003B1D7D"/>
    <w:rsid w:val="003B1EF7"/>
    <w:rsid w:val="003B220C"/>
    <w:rsid w:val="003B2492"/>
    <w:rsid w:val="003B2805"/>
    <w:rsid w:val="003B2C01"/>
    <w:rsid w:val="003B2C22"/>
    <w:rsid w:val="003B2C2C"/>
    <w:rsid w:val="003B2F20"/>
    <w:rsid w:val="003B2F26"/>
    <w:rsid w:val="003B3529"/>
    <w:rsid w:val="003B384A"/>
    <w:rsid w:val="003B3A3F"/>
    <w:rsid w:val="003B40B4"/>
    <w:rsid w:val="003B413A"/>
    <w:rsid w:val="003B428D"/>
    <w:rsid w:val="003B4338"/>
    <w:rsid w:val="003B451E"/>
    <w:rsid w:val="003B4529"/>
    <w:rsid w:val="003B4643"/>
    <w:rsid w:val="003B46B1"/>
    <w:rsid w:val="003B4B61"/>
    <w:rsid w:val="003B4C8E"/>
    <w:rsid w:val="003B53D3"/>
    <w:rsid w:val="003B545E"/>
    <w:rsid w:val="003B54AA"/>
    <w:rsid w:val="003B561B"/>
    <w:rsid w:val="003B573B"/>
    <w:rsid w:val="003B574D"/>
    <w:rsid w:val="003B5B18"/>
    <w:rsid w:val="003B5E91"/>
    <w:rsid w:val="003B5F5D"/>
    <w:rsid w:val="003B5FFA"/>
    <w:rsid w:val="003B635A"/>
    <w:rsid w:val="003B64EB"/>
    <w:rsid w:val="003B65BB"/>
    <w:rsid w:val="003B6BED"/>
    <w:rsid w:val="003B6C70"/>
    <w:rsid w:val="003B6EA9"/>
    <w:rsid w:val="003B6FCF"/>
    <w:rsid w:val="003B7026"/>
    <w:rsid w:val="003B70A3"/>
    <w:rsid w:val="003B76C8"/>
    <w:rsid w:val="003B7859"/>
    <w:rsid w:val="003B7C67"/>
    <w:rsid w:val="003B7D50"/>
    <w:rsid w:val="003B7DDB"/>
    <w:rsid w:val="003B7E52"/>
    <w:rsid w:val="003B7E9F"/>
    <w:rsid w:val="003C017E"/>
    <w:rsid w:val="003C06C4"/>
    <w:rsid w:val="003C101C"/>
    <w:rsid w:val="003C11C5"/>
    <w:rsid w:val="003C1208"/>
    <w:rsid w:val="003C1441"/>
    <w:rsid w:val="003C14F9"/>
    <w:rsid w:val="003C1B9D"/>
    <w:rsid w:val="003C1BBD"/>
    <w:rsid w:val="003C2370"/>
    <w:rsid w:val="003C23B9"/>
    <w:rsid w:val="003C2520"/>
    <w:rsid w:val="003C25CD"/>
    <w:rsid w:val="003C292B"/>
    <w:rsid w:val="003C2DCA"/>
    <w:rsid w:val="003C3836"/>
    <w:rsid w:val="003C3B3F"/>
    <w:rsid w:val="003C42CD"/>
    <w:rsid w:val="003C44CC"/>
    <w:rsid w:val="003C4600"/>
    <w:rsid w:val="003C47CE"/>
    <w:rsid w:val="003C48A9"/>
    <w:rsid w:val="003C48AB"/>
    <w:rsid w:val="003C4A98"/>
    <w:rsid w:val="003C4BDA"/>
    <w:rsid w:val="003C4DED"/>
    <w:rsid w:val="003C4E2D"/>
    <w:rsid w:val="003C4EEE"/>
    <w:rsid w:val="003C547D"/>
    <w:rsid w:val="003C56AF"/>
    <w:rsid w:val="003C5803"/>
    <w:rsid w:val="003C64B6"/>
    <w:rsid w:val="003C69E7"/>
    <w:rsid w:val="003C6B1B"/>
    <w:rsid w:val="003C6D66"/>
    <w:rsid w:val="003C741B"/>
    <w:rsid w:val="003C7722"/>
    <w:rsid w:val="003C7D1B"/>
    <w:rsid w:val="003D0918"/>
    <w:rsid w:val="003D097D"/>
    <w:rsid w:val="003D1233"/>
    <w:rsid w:val="003D1432"/>
    <w:rsid w:val="003D17D8"/>
    <w:rsid w:val="003D1848"/>
    <w:rsid w:val="003D1C2B"/>
    <w:rsid w:val="003D21BE"/>
    <w:rsid w:val="003D22C2"/>
    <w:rsid w:val="003D2311"/>
    <w:rsid w:val="003D25ED"/>
    <w:rsid w:val="003D2A7F"/>
    <w:rsid w:val="003D2CD5"/>
    <w:rsid w:val="003D2D9F"/>
    <w:rsid w:val="003D30AC"/>
    <w:rsid w:val="003D33F5"/>
    <w:rsid w:val="003D364B"/>
    <w:rsid w:val="003D3945"/>
    <w:rsid w:val="003D3F63"/>
    <w:rsid w:val="003D434D"/>
    <w:rsid w:val="003D4770"/>
    <w:rsid w:val="003D4993"/>
    <w:rsid w:val="003D4BFD"/>
    <w:rsid w:val="003D4FFD"/>
    <w:rsid w:val="003D52BE"/>
    <w:rsid w:val="003D52C2"/>
    <w:rsid w:val="003D560D"/>
    <w:rsid w:val="003D5AA5"/>
    <w:rsid w:val="003D615C"/>
    <w:rsid w:val="003D634A"/>
    <w:rsid w:val="003D64AC"/>
    <w:rsid w:val="003D6539"/>
    <w:rsid w:val="003D65F6"/>
    <w:rsid w:val="003D6953"/>
    <w:rsid w:val="003D6A3A"/>
    <w:rsid w:val="003D6ABA"/>
    <w:rsid w:val="003D6C84"/>
    <w:rsid w:val="003D6F1B"/>
    <w:rsid w:val="003D6F97"/>
    <w:rsid w:val="003D7233"/>
    <w:rsid w:val="003D77A5"/>
    <w:rsid w:val="003D78BB"/>
    <w:rsid w:val="003D7AD3"/>
    <w:rsid w:val="003E05F3"/>
    <w:rsid w:val="003E06FC"/>
    <w:rsid w:val="003E14E7"/>
    <w:rsid w:val="003E1514"/>
    <w:rsid w:val="003E16A5"/>
    <w:rsid w:val="003E17A7"/>
    <w:rsid w:val="003E17C2"/>
    <w:rsid w:val="003E18FD"/>
    <w:rsid w:val="003E1BDD"/>
    <w:rsid w:val="003E2081"/>
    <w:rsid w:val="003E2087"/>
    <w:rsid w:val="003E22BD"/>
    <w:rsid w:val="003E2BD1"/>
    <w:rsid w:val="003E3529"/>
    <w:rsid w:val="003E399B"/>
    <w:rsid w:val="003E3B7C"/>
    <w:rsid w:val="003E3B8B"/>
    <w:rsid w:val="003E40B3"/>
    <w:rsid w:val="003E42DF"/>
    <w:rsid w:val="003E457C"/>
    <w:rsid w:val="003E477B"/>
    <w:rsid w:val="003E4A69"/>
    <w:rsid w:val="003E50B6"/>
    <w:rsid w:val="003E5238"/>
    <w:rsid w:val="003E5560"/>
    <w:rsid w:val="003E5695"/>
    <w:rsid w:val="003E584F"/>
    <w:rsid w:val="003E5B51"/>
    <w:rsid w:val="003E5D2A"/>
    <w:rsid w:val="003E5D7F"/>
    <w:rsid w:val="003E5E29"/>
    <w:rsid w:val="003E6098"/>
    <w:rsid w:val="003E6167"/>
    <w:rsid w:val="003E6417"/>
    <w:rsid w:val="003E6717"/>
    <w:rsid w:val="003E675A"/>
    <w:rsid w:val="003E689E"/>
    <w:rsid w:val="003E6E80"/>
    <w:rsid w:val="003E7764"/>
    <w:rsid w:val="003E7F5A"/>
    <w:rsid w:val="003F0B3C"/>
    <w:rsid w:val="003F0C5A"/>
    <w:rsid w:val="003F0D44"/>
    <w:rsid w:val="003F12A2"/>
    <w:rsid w:val="003F14CC"/>
    <w:rsid w:val="003F1748"/>
    <w:rsid w:val="003F1B38"/>
    <w:rsid w:val="003F1DD9"/>
    <w:rsid w:val="003F223B"/>
    <w:rsid w:val="003F22A7"/>
    <w:rsid w:val="003F22EA"/>
    <w:rsid w:val="003F25E0"/>
    <w:rsid w:val="003F2DC8"/>
    <w:rsid w:val="003F361C"/>
    <w:rsid w:val="003F3AEF"/>
    <w:rsid w:val="003F3C01"/>
    <w:rsid w:val="003F3CEC"/>
    <w:rsid w:val="003F3D11"/>
    <w:rsid w:val="003F3F99"/>
    <w:rsid w:val="003F4863"/>
    <w:rsid w:val="003F4893"/>
    <w:rsid w:val="003F49EB"/>
    <w:rsid w:val="003F4E7B"/>
    <w:rsid w:val="003F5231"/>
    <w:rsid w:val="003F53A1"/>
    <w:rsid w:val="003F53E7"/>
    <w:rsid w:val="003F5639"/>
    <w:rsid w:val="003F56A8"/>
    <w:rsid w:val="003F5E6C"/>
    <w:rsid w:val="003F601F"/>
    <w:rsid w:val="003F614A"/>
    <w:rsid w:val="003F617A"/>
    <w:rsid w:val="003F620B"/>
    <w:rsid w:val="003F6302"/>
    <w:rsid w:val="003F63A9"/>
    <w:rsid w:val="003F63EC"/>
    <w:rsid w:val="003F6511"/>
    <w:rsid w:val="003F682F"/>
    <w:rsid w:val="003F6ACA"/>
    <w:rsid w:val="003F6B5B"/>
    <w:rsid w:val="003F6BDC"/>
    <w:rsid w:val="003F6CD8"/>
    <w:rsid w:val="003F6D10"/>
    <w:rsid w:val="003F6D4B"/>
    <w:rsid w:val="003F734A"/>
    <w:rsid w:val="003F7809"/>
    <w:rsid w:val="003F7DC6"/>
    <w:rsid w:val="00400764"/>
    <w:rsid w:val="00400936"/>
    <w:rsid w:val="00400939"/>
    <w:rsid w:val="00400BDB"/>
    <w:rsid w:val="00400C57"/>
    <w:rsid w:val="00400E9B"/>
    <w:rsid w:val="00400F9C"/>
    <w:rsid w:val="00401217"/>
    <w:rsid w:val="004012D2"/>
    <w:rsid w:val="00401933"/>
    <w:rsid w:val="00401A73"/>
    <w:rsid w:val="00401D27"/>
    <w:rsid w:val="00401ED6"/>
    <w:rsid w:val="00402141"/>
    <w:rsid w:val="00402420"/>
    <w:rsid w:val="004025BF"/>
    <w:rsid w:val="004027F2"/>
    <w:rsid w:val="00402936"/>
    <w:rsid w:val="00402C58"/>
    <w:rsid w:val="00403189"/>
    <w:rsid w:val="0040329B"/>
    <w:rsid w:val="004032AB"/>
    <w:rsid w:val="0040359C"/>
    <w:rsid w:val="004035CE"/>
    <w:rsid w:val="00403738"/>
    <w:rsid w:val="00403783"/>
    <w:rsid w:val="00403CC8"/>
    <w:rsid w:val="00403CE2"/>
    <w:rsid w:val="004048C7"/>
    <w:rsid w:val="00404B2C"/>
    <w:rsid w:val="00404BA0"/>
    <w:rsid w:val="00404D59"/>
    <w:rsid w:val="0040523B"/>
    <w:rsid w:val="004057E0"/>
    <w:rsid w:val="00405905"/>
    <w:rsid w:val="00405963"/>
    <w:rsid w:val="00405A4B"/>
    <w:rsid w:val="00405D4C"/>
    <w:rsid w:val="00406568"/>
    <w:rsid w:val="004065D7"/>
    <w:rsid w:val="0040672B"/>
    <w:rsid w:val="00406A92"/>
    <w:rsid w:val="00406BFA"/>
    <w:rsid w:val="00406CA5"/>
    <w:rsid w:val="00406E02"/>
    <w:rsid w:val="00406F16"/>
    <w:rsid w:val="00406F3B"/>
    <w:rsid w:val="00406F3C"/>
    <w:rsid w:val="00407435"/>
    <w:rsid w:val="004077BD"/>
    <w:rsid w:val="00407978"/>
    <w:rsid w:val="00407D29"/>
    <w:rsid w:val="00407EDC"/>
    <w:rsid w:val="004106ED"/>
    <w:rsid w:val="00410931"/>
    <w:rsid w:val="00410977"/>
    <w:rsid w:val="00410B07"/>
    <w:rsid w:val="00410BEC"/>
    <w:rsid w:val="0041103D"/>
    <w:rsid w:val="0041201D"/>
    <w:rsid w:val="004120EB"/>
    <w:rsid w:val="00412449"/>
    <w:rsid w:val="004124B7"/>
    <w:rsid w:val="00412A58"/>
    <w:rsid w:val="00412A73"/>
    <w:rsid w:val="004132A8"/>
    <w:rsid w:val="00413355"/>
    <w:rsid w:val="004134A7"/>
    <w:rsid w:val="004135B3"/>
    <w:rsid w:val="00414009"/>
    <w:rsid w:val="004158A8"/>
    <w:rsid w:val="00415C52"/>
    <w:rsid w:val="00415DE2"/>
    <w:rsid w:val="0041602E"/>
    <w:rsid w:val="0041615B"/>
    <w:rsid w:val="004166D8"/>
    <w:rsid w:val="00416739"/>
    <w:rsid w:val="0041679A"/>
    <w:rsid w:val="00416911"/>
    <w:rsid w:val="004169B9"/>
    <w:rsid w:val="00416A32"/>
    <w:rsid w:val="00416A9D"/>
    <w:rsid w:val="00417504"/>
    <w:rsid w:val="004175B6"/>
    <w:rsid w:val="00417714"/>
    <w:rsid w:val="004179B1"/>
    <w:rsid w:val="00417BB4"/>
    <w:rsid w:val="00417C33"/>
    <w:rsid w:val="00417D16"/>
    <w:rsid w:val="00417E1D"/>
    <w:rsid w:val="00417ECD"/>
    <w:rsid w:val="0042033F"/>
    <w:rsid w:val="00420545"/>
    <w:rsid w:val="00420620"/>
    <w:rsid w:val="004206CC"/>
    <w:rsid w:val="00420946"/>
    <w:rsid w:val="00420AA9"/>
    <w:rsid w:val="00420CB5"/>
    <w:rsid w:val="00420F56"/>
    <w:rsid w:val="00420F97"/>
    <w:rsid w:val="00421232"/>
    <w:rsid w:val="004212F8"/>
    <w:rsid w:val="00421675"/>
    <w:rsid w:val="00421A7F"/>
    <w:rsid w:val="00421D67"/>
    <w:rsid w:val="00421DCE"/>
    <w:rsid w:val="00421ED1"/>
    <w:rsid w:val="00422146"/>
    <w:rsid w:val="00422204"/>
    <w:rsid w:val="0042262B"/>
    <w:rsid w:val="00422630"/>
    <w:rsid w:val="004229CF"/>
    <w:rsid w:val="00422ED6"/>
    <w:rsid w:val="00422EED"/>
    <w:rsid w:val="00423484"/>
    <w:rsid w:val="004236AB"/>
    <w:rsid w:val="00423811"/>
    <w:rsid w:val="004239FF"/>
    <w:rsid w:val="00423A39"/>
    <w:rsid w:val="00423C08"/>
    <w:rsid w:val="004243F9"/>
    <w:rsid w:val="004244D4"/>
    <w:rsid w:val="00424636"/>
    <w:rsid w:val="00424647"/>
    <w:rsid w:val="00425437"/>
    <w:rsid w:val="00425724"/>
    <w:rsid w:val="004257D5"/>
    <w:rsid w:val="00425AC0"/>
    <w:rsid w:val="00425AED"/>
    <w:rsid w:val="00425B02"/>
    <w:rsid w:val="00425BD6"/>
    <w:rsid w:val="00425DA0"/>
    <w:rsid w:val="00425E97"/>
    <w:rsid w:val="0042609B"/>
    <w:rsid w:val="00426210"/>
    <w:rsid w:val="004267C2"/>
    <w:rsid w:val="00426B1C"/>
    <w:rsid w:val="00426B82"/>
    <w:rsid w:val="00426E6B"/>
    <w:rsid w:val="00426F10"/>
    <w:rsid w:val="0042730F"/>
    <w:rsid w:val="00427638"/>
    <w:rsid w:val="004279EA"/>
    <w:rsid w:val="00427B02"/>
    <w:rsid w:val="00427ED8"/>
    <w:rsid w:val="00427FF2"/>
    <w:rsid w:val="00430300"/>
    <w:rsid w:val="00430489"/>
    <w:rsid w:val="00430931"/>
    <w:rsid w:val="004309C8"/>
    <w:rsid w:val="00430B6C"/>
    <w:rsid w:val="00430B7F"/>
    <w:rsid w:val="00430EA4"/>
    <w:rsid w:val="00430F01"/>
    <w:rsid w:val="00430F36"/>
    <w:rsid w:val="00431596"/>
    <w:rsid w:val="00431975"/>
    <w:rsid w:val="00431E54"/>
    <w:rsid w:val="00431E9A"/>
    <w:rsid w:val="004320E6"/>
    <w:rsid w:val="004323D0"/>
    <w:rsid w:val="00432528"/>
    <w:rsid w:val="00432932"/>
    <w:rsid w:val="00432A85"/>
    <w:rsid w:val="00432A8E"/>
    <w:rsid w:val="00432B6E"/>
    <w:rsid w:val="00432E67"/>
    <w:rsid w:val="00432E68"/>
    <w:rsid w:val="00433863"/>
    <w:rsid w:val="00433B94"/>
    <w:rsid w:val="00434015"/>
    <w:rsid w:val="004342C5"/>
    <w:rsid w:val="00434325"/>
    <w:rsid w:val="0043456C"/>
    <w:rsid w:val="004348C5"/>
    <w:rsid w:val="00434932"/>
    <w:rsid w:val="004349F7"/>
    <w:rsid w:val="00434A21"/>
    <w:rsid w:val="00434CE4"/>
    <w:rsid w:val="00434D0D"/>
    <w:rsid w:val="004350BA"/>
    <w:rsid w:val="00435802"/>
    <w:rsid w:val="004358FA"/>
    <w:rsid w:val="00435A1B"/>
    <w:rsid w:val="00435D51"/>
    <w:rsid w:val="00436758"/>
    <w:rsid w:val="00436860"/>
    <w:rsid w:val="00436BBA"/>
    <w:rsid w:val="00436D25"/>
    <w:rsid w:val="00437253"/>
    <w:rsid w:val="004375A1"/>
    <w:rsid w:val="004375D1"/>
    <w:rsid w:val="004379D2"/>
    <w:rsid w:val="004404A2"/>
    <w:rsid w:val="0044098D"/>
    <w:rsid w:val="00440A2D"/>
    <w:rsid w:val="00440C89"/>
    <w:rsid w:val="00440F98"/>
    <w:rsid w:val="004416A0"/>
    <w:rsid w:val="00441AF8"/>
    <w:rsid w:val="00441B06"/>
    <w:rsid w:val="004423DE"/>
    <w:rsid w:val="004424F6"/>
    <w:rsid w:val="004429EF"/>
    <w:rsid w:val="00442A1A"/>
    <w:rsid w:val="00442C1F"/>
    <w:rsid w:val="00442DCC"/>
    <w:rsid w:val="00443AE4"/>
    <w:rsid w:val="00443AEA"/>
    <w:rsid w:val="0044408A"/>
    <w:rsid w:val="0044429F"/>
    <w:rsid w:val="00444495"/>
    <w:rsid w:val="00444508"/>
    <w:rsid w:val="00444509"/>
    <w:rsid w:val="00444DBA"/>
    <w:rsid w:val="00445096"/>
    <w:rsid w:val="0044536C"/>
    <w:rsid w:val="004454D1"/>
    <w:rsid w:val="00445B5C"/>
    <w:rsid w:val="00445DEB"/>
    <w:rsid w:val="00445FBF"/>
    <w:rsid w:val="0044605D"/>
    <w:rsid w:val="004461DD"/>
    <w:rsid w:val="00446341"/>
    <w:rsid w:val="0044666B"/>
    <w:rsid w:val="004467B6"/>
    <w:rsid w:val="0044694C"/>
    <w:rsid w:val="00446A13"/>
    <w:rsid w:val="00446AD8"/>
    <w:rsid w:val="00446DD3"/>
    <w:rsid w:val="004474D4"/>
    <w:rsid w:val="00447576"/>
    <w:rsid w:val="00447A29"/>
    <w:rsid w:val="00447EA3"/>
    <w:rsid w:val="00450A3E"/>
    <w:rsid w:val="00450DD9"/>
    <w:rsid w:val="00450FD5"/>
    <w:rsid w:val="00451137"/>
    <w:rsid w:val="0045113B"/>
    <w:rsid w:val="0045113E"/>
    <w:rsid w:val="004513FE"/>
    <w:rsid w:val="004514A2"/>
    <w:rsid w:val="00451D14"/>
    <w:rsid w:val="00451FAA"/>
    <w:rsid w:val="00452D69"/>
    <w:rsid w:val="00452E3B"/>
    <w:rsid w:val="00452E5E"/>
    <w:rsid w:val="00452F7A"/>
    <w:rsid w:val="00453222"/>
    <w:rsid w:val="004535F3"/>
    <w:rsid w:val="00453AA8"/>
    <w:rsid w:val="00453F23"/>
    <w:rsid w:val="004541FD"/>
    <w:rsid w:val="00454311"/>
    <w:rsid w:val="004544EF"/>
    <w:rsid w:val="0045489F"/>
    <w:rsid w:val="00454A7B"/>
    <w:rsid w:val="00454AF8"/>
    <w:rsid w:val="00454BC1"/>
    <w:rsid w:val="00454D1F"/>
    <w:rsid w:val="00454F83"/>
    <w:rsid w:val="00455414"/>
    <w:rsid w:val="0045558E"/>
    <w:rsid w:val="0045580C"/>
    <w:rsid w:val="004559EF"/>
    <w:rsid w:val="00455B62"/>
    <w:rsid w:val="004565F8"/>
    <w:rsid w:val="004567AC"/>
    <w:rsid w:val="00456A29"/>
    <w:rsid w:val="004570C4"/>
    <w:rsid w:val="00457534"/>
    <w:rsid w:val="00457730"/>
    <w:rsid w:val="0045799C"/>
    <w:rsid w:val="00457A73"/>
    <w:rsid w:val="00457ACC"/>
    <w:rsid w:val="004600F6"/>
    <w:rsid w:val="00460457"/>
    <w:rsid w:val="00460B08"/>
    <w:rsid w:val="00460CE5"/>
    <w:rsid w:val="00460D19"/>
    <w:rsid w:val="00460F8C"/>
    <w:rsid w:val="00461421"/>
    <w:rsid w:val="004617BA"/>
    <w:rsid w:val="00461920"/>
    <w:rsid w:val="00461E39"/>
    <w:rsid w:val="00461F7F"/>
    <w:rsid w:val="00461FA6"/>
    <w:rsid w:val="0046283C"/>
    <w:rsid w:val="004628B2"/>
    <w:rsid w:val="0046299E"/>
    <w:rsid w:val="00462B13"/>
    <w:rsid w:val="00462C08"/>
    <w:rsid w:val="00462F69"/>
    <w:rsid w:val="00463017"/>
    <w:rsid w:val="004630A9"/>
    <w:rsid w:val="004638F8"/>
    <w:rsid w:val="004639FB"/>
    <w:rsid w:val="00463A4F"/>
    <w:rsid w:val="00464124"/>
    <w:rsid w:val="004643BC"/>
    <w:rsid w:val="0046482D"/>
    <w:rsid w:val="00464EF5"/>
    <w:rsid w:val="00464F80"/>
    <w:rsid w:val="00464FF5"/>
    <w:rsid w:val="00464FFD"/>
    <w:rsid w:val="004651F3"/>
    <w:rsid w:val="004656C0"/>
    <w:rsid w:val="00465E44"/>
    <w:rsid w:val="00465E50"/>
    <w:rsid w:val="00465FDA"/>
    <w:rsid w:val="00466218"/>
    <w:rsid w:val="004664D0"/>
    <w:rsid w:val="00466BDF"/>
    <w:rsid w:val="004676F6"/>
    <w:rsid w:val="00467A80"/>
    <w:rsid w:val="0047006B"/>
    <w:rsid w:val="0047052B"/>
    <w:rsid w:val="0047052C"/>
    <w:rsid w:val="00470611"/>
    <w:rsid w:val="0047080E"/>
    <w:rsid w:val="00470865"/>
    <w:rsid w:val="00470876"/>
    <w:rsid w:val="00470A44"/>
    <w:rsid w:val="00470B42"/>
    <w:rsid w:val="00470B67"/>
    <w:rsid w:val="00470E31"/>
    <w:rsid w:val="00470EB6"/>
    <w:rsid w:val="0047136E"/>
    <w:rsid w:val="004713E7"/>
    <w:rsid w:val="00471561"/>
    <w:rsid w:val="00471613"/>
    <w:rsid w:val="004719C9"/>
    <w:rsid w:val="00471A4D"/>
    <w:rsid w:val="00471AB2"/>
    <w:rsid w:val="00471E45"/>
    <w:rsid w:val="00471E6F"/>
    <w:rsid w:val="00472254"/>
    <w:rsid w:val="004723FC"/>
    <w:rsid w:val="0047242E"/>
    <w:rsid w:val="004725CA"/>
    <w:rsid w:val="00472862"/>
    <w:rsid w:val="00472A95"/>
    <w:rsid w:val="00472E10"/>
    <w:rsid w:val="00472E8B"/>
    <w:rsid w:val="004730F6"/>
    <w:rsid w:val="00473249"/>
    <w:rsid w:val="004732E0"/>
    <w:rsid w:val="004736F1"/>
    <w:rsid w:val="00473874"/>
    <w:rsid w:val="00474027"/>
    <w:rsid w:val="004742D9"/>
    <w:rsid w:val="00474822"/>
    <w:rsid w:val="004748AB"/>
    <w:rsid w:val="004748D5"/>
    <w:rsid w:val="00474A02"/>
    <w:rsid w:val="00474AF7"/>
    <w:rsid w:val="00474D30"/>
    <w:rsid w:val="00474E36"/>
    <w:rsid w:val="00474E52"/>
    <w:rsid w:val="004756C6"/>
    <w:rsid w:val="00475715"/>
    <w:rsid w:val="00475B31"/>
    <w:rsid w:val="00475CE1"/>
    <w:rsid w:val="00476048"/>
    <w:rsid w:val="00476080"/>
    <w:rsid w:val="004760B5"/>
    <w:rsid w:val="0047614F"/>
    <w:rsid w:val="00476711"/>
    <w:rsid w:val="004768BA"/>
    <w:rsid w:val="00476AEB"/>
    <w:rsid w:val="00476BDE"/>
    <w:rsid w:val="00476C2A"/>
    <w:rsid w:val="00476E97"/>
    <w:rsid w:val="00477A5B"/>
    <w:rsid w:val="00480B2A"/>
    <w:rsid w:val="00480D93"/>
    <w:rsid w:val="00480DE1"/>
    <w:rsid w:val="00480FF9"/>
    <w:rsid w:val="004810CF"/>
    <w:rsid w:val="004812B0"/>
    <w:rsid w:val="00481340"/>
    <w:rsid w:val="004814B3"/>
    <w:rsid w:val="004815C2"/>
    <w:rsid w:val="004818A1"/>
    <w:rsid w:val="004818D5"/>
    <w:rsid w:val="00481F78"/>
    <w:rsid w:val="00482465"/>
    <w:rsid w:val="004826CF"/>
    <w:rsid w:val="004827D3"/>
    <w:rsid w:val="004828B2"/>
    <w:rsid w:val="004828ED"/>
    <w:rsid w:val="00482C3D"/>
    <w:rsid w:val="00482DD6"/>
    <w:rsid w:val="00482DFE"/>
    <w:rsid w:val="00482FFB"/>
    <w:rsid w:val="004830AA"/>
    <w:rsid w:val="00483363"/>
    <w:rsid w:val="004835A5"/>
    <w:rsid w:val="00483737"/>
    <w:rsid w:val="00483858"/>
    <w:rsid w:val="00483AF3"/>
    <w:rsid w:val="00483E9E"/>
    <w:rsid w:val="00484066"/>
    <w:rsid w:val="0048428E"/>
    <w:rsid w:val="00484A4E"/>
    <w:rsid w:val="00484A6A"/>
    <w:rsid w:val="00484ABB"/>
    <w:rsid w:val="00484F00"/>
    <w:rsid w:val="00485453"/>
    <w:rsid w:val="0048546D"/>
    <w:rsid w:val="004859C1"/>
    <w:rsid w:val="00485A12"/>
    <w:rsid w:val="00485C0A"/>
    <w:rsid w:val="00485C19"/>
    <w:rsid w:val="00485CF8"/>
    <w:rsid w:val="0048614A"/>
    <w:rsid w:val="00486649"/>
    <w:rsid w:val="004867B9"/>
    <w:rsid w:val="00486B32"/>
    <w:rsid w:val="00486F36"/>
    <w:rsid w:val="004871AC"/>
    <w:rsid w:val="004871D6"/>
    <w:rsid w:val="00487EDC"/>
    <w:rsid w:val="004903B1"/>
    <w:rsid w:val="00490A4A"/>
    <w:rsid w:val="00490BD2"/>
    <w:rsid w:val="00491400"/>
    <w:rsid w:val="0049192C"/>
    <w:rsid w:val="00491BE4"/>
    <w:rsid w:val="00491D4B"/>
    <w:rsid w:val="00491F82"/>
    <w:rsid w:val="00492044"/>
    <w:rsid w:val="0049220C"/>
    <w:rsid w:val="00492783"/>
    <w:rsid w:val="0049283C"/>
    <w:rsid w:val="00492FB0"/>
    <w:rsid w:val="00493157"/>
    <w:rsid w:val="00493428"/>
    <w:rsid w:val="00493451"/>
    <w:rsid w:val="0049365E"/>
    <w:rsid w:val="00493A19"/>
    <w:rsid w:val="00493C5A"/>
    <w:rsid w:val="00493D0C"/>
    <w:rsid w:val="00493D86"/>
    <w:rsid w:val="00493FBF"/>
    <w:rsid w:val="004942B5"/>
    <w:rsid w:val="0049470F"/>
    <w:rsid w:val="00494DAD"/>
    <w:rsid w:val="00495060"/>
    <w:rsid w:val="004950C9"/>
    <w:rsid w:val="00495493"/>
    <w:rsid w:val="0049579F"/>
    <w:rsid w:val="004959DC"/>
    <w:rsid w:val="00495A78"/>
    <w:rsid w:val="00495FFC"/>
    <w:rsid w:val="0049618F"/>
    <w:rsid w:val="0049623F"/>
    <w:rsid w:val="004964F6"/>
    <w:rsid w:val="0049652D"/>
    <w:rsid w:val="004967C5"/>
    <w:rsid w:val="00496D53"/>
    <w:rsid w:val="004973CB"/>
    <w:rsid w:val="004975D3"/>
    <w:rsid w:val="004A0E1D"/>
    <w:rsid w:val="004A13A5"/>
    <w:rsid w:val="004A16A1"/>
    <w:rsid w:val="004A16BC"/>
    <w:rsid w:val="004A1E2A"/>
    <w:rsid w:val="004A2072"/>
    <w:rsid w:val="004A211E"/>
    <w:rsid w:val="004A294B"/>
    <w:rsid w:val="004A2E90"/>
    <w:rsid w:val="004A3338"/>
    <w:rsid w:val="004A382E"/>
    <w:rsid w:val="004A3B43"/>
    <w:rsid w:val="004A4236"/>
    <w:rsid w:val="004A446A"/>
    <w:rsid w:val="004A47C4"/>
    <w:rsid w:val="004A49DA"/>
    <w:rsid w:val="004A4AD2"/>
    <w:rsid w:val="004A5238"/>
    <w:rsid w:val="004A52D6"/>
    <w:rsid w:val="004A5940"/>
    <w:rsid w:val="004A5C6D"/>
    <w:rsid w:val="004A627E"/>
    <w:rsid w:val="004A6374"/>
    <w:rsid w:val="004A6626"/>
    <w:rsid w:val="004A6663"/>
    <w:rsid w:val="004A6853"/>
    <w:rsid w:val="004A68A5"/>
    <w:rsid w:val="004A69E2"/>
    <w:rsid w:val="004A6D0F"/>
    <w:rsid w:val="004A6FC8"/>
    <w:rsid w:val="004A753E"/>
    <w:rsid w:val="004A764F"/>
    <w:rsid w:val="004A78DA"/>
    <w:rsid w:val="004A7B47"/>
    <w:rsid w:val="004A7B8D"/>
    <w:rsid w:val="004B022E"/>
    <w:rsid w:val="004B02F9"/>
    <w:rsid w:val="004B062D"/>
    <w:rsid w:val="004B06FF"/>
    <w:rsid w:val="004B07B8"/>
    <w:rsid w:val="004B07E8"/>
    <w:rsid w:val="004B09BF"/>
    <w:rsid w:val="004B0CFF"/>
    <w:rsid w:val="004B0EA3"/>
    <w:rsid w:val="004B111F"/>
    <w:rsid w:val="004B1640"/>
    <w:rsid w:val="004B1AB5"/>
    <w:rsid w:val="004B1E23"/>
    <w:rsid w:val="004B2CA3"/>
    <w:rsid w:val="004B3513"/>
    <w:rsid w:val="004B35E9"/>
    <w:rsid w:val="004B36DA"/>
    <w:rsid w:val="004B371A"/>
    <w:rsid w:val="004B3A98"/>
    <w:rsid w:val="004B3BF8"/>
    <w:rsid w:val="004B3C8C"/>
    <w:rsid w:val="004B4635"/>
    <w:rsid w:val="004B4978"/>
    <w:rsid w:val="004B49EC"/>
    <w:rsid w:val="004B4CBB"/>
    <w:rsid w:val="004B5039"/>
    <w:rsid w:val="004B561B"/>
    <w:rsid w:val="004B56FB"/>
    <w:rsid w:val="004B5A8F"/>
    <w:rsid w:val="004B5FCF"/>
    <w:rsid w:val="004B60B9"/>
    <w:rsid w:val="004B6153"/>
    <w:rsid w:val="004B6418"/>
    <w:rsid w:val="004B6F69"/>
    <w:rsid w:val="004B6FB0"/>
    <w:rsid w:val="004B72C1"/>
    <w:rsid w:val="004C0362"/>
    <w:rsid w:val="004C0458"/>
    <w:rsid w:val="004C0532"/>
    <w:rsid w:val="004C0BCE"/>
    <w:rsid w:val="004C0C66"/>
    <w:rsid w:val="004C0D32"/>
    <w:rsid w:val="004C0D51"/>
    <w:rsid w:val="004C0F9B"/>
    <w:rsid w:val="004C120F"/>
    <w:rsid w:val="004C1282"/>
    <w:rsid w:val="004C13AD"/>
    <w:rsid w:val="004C1697"/>
    <w:rsid w:val="004C1A08"/>
    <w:rsid w:val="004C1AC5"/>
    <w:rsid w:val="004C1B74"/>
    <w:rsid w:val="004C1E26"/>
    <w:rsid w:val="004C1F2B"/>
    <w:rsid w:val="004C204F"/>
    <w:rsid w:val="004C2078"/>
    <w:rsid w:val="004C23A0"/>
    <w:rsid w:val="004C2741"/>
    <w:rsid w:val="004C28FA"/>
    <w:rsid w:val="004C2C14"/>
    <w:rsid w:val="004C30CB"/>
    <w:rsid w:val="004C3215"/>
    <w:rsid w:val="004C359C"/>
    <w:rsid w:val="004C359F"/>
    <w:rsid w:val="004C3D63"/>
    <w:rsid w:val="004C3F05"/>
    <w:rsid w:val="004C412C"/>
    <w:rsid w:val="004C42BF"/>
    <w:rsid w:val="004C4446"/>
    <w:rsid w:val="004C4C21"/>
    <w:rsid w:val="004C50EA"/>
    <w:rsid w:val="004C525C"/>
    <w:rsid w:val="004C5631"/>
    <w:rsid w:val="004C5984"/>
    <w:rsid w:val="004C61A1"/>
    <w:rsid w:val="004C6254"/>
    <w:rsid w:val="004C6290"/>
    <w:rsid w:val="004C66C7"/>
    <w:rsid w:val="004C6F2C"/>
    <w:rsid w:val="004C71AB"/>
    <w:rsid w:val="004C7541"/>
    <w:rsid w:val="004C75F5"/>
    <w:rsid w:val="004C77EE"/>
    <w:rsid w:val="004C7973"/>
    <w:rsid w:val="004C7ABD"/>
    <w:rsid w:val="004C7FB0"/>
    <w:rsid w:val="004D0A7F"/>
    <w:rsid w:val="004D1173"/>
    <w:rsid w:val="004D11BC"/>
    <w:rsid w:val="004D1777"/>
    <w:rsid w:val="004D1AF0"/>
    <w:rsid w:val="004D1ED3"/>
    <w:rsid w:val="004D1F46"/>
    <w:rsid w:val="004D21F5"/>
    <w:rsid w:val="004D22C1"/>
    <w:rsid w:val="004D2648"/>
    <w:rsid w:val="004D273F"/>
    <w:rsid w:val="004D2796"/>
    <w:rsid w:val="004D291C"/>
    <w:rsid w:val="004D33E7"/>
    <w:rsid w:val="004D34CA"/>
    <w:rsid w:val="004D3724"/>
    <w:rsid w:val="004D3F5B"/>
    <w:rsid w:val="004D4106"/>
    <w:rsid w:val="004D44D5"/>
    <w:rsid w:val="004D4529"/>
    <w:rsid w:val="004D4755"/>
    <w:rsid w:val="004D487E"/>
    <w:rsid w:val="004D49E9"/>
    <w:rsid w:val="004D4ACB"/>
    <w:rsid w:val="004D54C6"/>
    <w:rsid w:val="004D55F2"/>
    <w:rsid w:val="004D5867"/>
    <w:rsid w:val="004D587F"/>
    <w:rsid w:val="004D5BB2"/>
    <w:rsid w:val="004D5D1A"/>
    <w:rsid w:val="004D5D79"/>
    <w:rsid w:val="004D5E96"/>
    <w:rsid w:val="004D600D"/>
    <w:rsid w:val="004D6A6F"/>
    <w:rsid w:val="004D6AEA"/>
    <w:rsid w:val="004D745E"/>
    <w:rsid w:val="004D766D"/>
    <w:rsid w:val="004D79B1"/>
    <w:rsid w:val="004D7AEA"/>
    <w:rsid w:val="004D7D67"/>
    <w:rsid w:val="004E0290"/>
    <w:rsid w:val="004E0357"/>
    <w:rsid w:val="004E04BF"/>
    <w:rsid w:val="004E0770"/>
    <w:rsid w:val="004E0995"/>
    <w:rsid w:val="004E0A8C"/>
    <w:rsid w:val="004E0EA4"/>
    <w:rsid w:val="004E111C"/>
    <w:rsid w:val="004E1451"/>
    <w:rsid w:val="004E1867"/>
    <w:rsid w:val="004E18AB"/>
    <w:rsid w:val="004E1E5A"/>
    <w:rsid w:val="004E1F74"/>
    <w:rsid w:val="004E1FA3"/>
    <w:rsid w:val="004E24A1"/>
    <w:rsid w:val="004E276C"/>
    <w:rsid w:val="004E27A6"/>
    <w:rsid w:val="004E28F0"/>
    <w:rsid w:val="004E3690"/>
    <w:rsid w:val="004E427E"/>
    <w:rsid w:val="004E4484"/>
    <w:rsid w:val="004E4512"/>
    <w:rsid w:val="004E4626"/>
    <w:rsid w:val="004E464D"/>
    <w:rsid w:val="004E46F6"/>
    <w:rsid w:val="004E4733"/>
    <w:rsid w:val="004E4797"/>
    <w:rsid w:val="004E494A"/>
    <w:rsid w:val="004E49C7"/>
    <w:rsid w:val="004E50E3"/>
    <w:rsid w:val="004E5438"/>
    <w:rsid w:val="004E5B05"/>
    <w:rsid w:val="004E5B47"/>
    <w:rsid w:val="004E5BE2"/>
    <w:rsid w:val="004E5DBD"/>
    <w:rsid w:val="004E5FE2"/>
    <w:rsid w:val="004E61B1"/>
    <w:rsid w:val="004E6686"/>
    <w:rsid w:val="004E6C70"/>
    <w:rsid w:val="004E71BF"/>
    <w:rsid w:val="004E7563"/>
    <w:rsid w:val="004E784E"/>
    <w:rsid w:val="004E7996"/>
    <w:rsid w:val="004E7DDD"/>
    <w:rsid w:val="004E7E80"/>
    <w:rsid w:val="004E7ED1"/>
    <w:rsid w:val="004F0195"/>
    <w:rsid w:val="004F023A"/>
    <w:rsid w:val="004F0402"/>
    <w:rsid w:val="004F0475"/>
    <w:rsid w:val="004F0EA3"/>
    <w:rsid w:val="004F0F5F"/>
    <w:rsid w:val="004F1036"/>
    <w:rsid w:val="004F13FA"/>
    <w:rsid w:val="004F1721"/>
    <w:rsid w:val="004F1769"/>
    <w:rsid w:val="004F1952"/>
    <w:rsid w:val="004F1B8E"/>
    <w:rsid w:val="004F1E23"/>
    <w:rsid w:val="004F2160"/>
    <w:rsid w:val="004F2293"/>
    <w:rsid w:val="004F236E"/>
    <w:rsid w:val="004F275E"/>
    <w:rsid w:val="004F296C"/>
    <w:rsid w:val="004F2EEE"/>
    <w:rsid w:val="004F3958"/>
    <w:rsid w:val="004F44BE"/>
    <w:rsid w:val="004F44F5"/>
    <w:rsid w:val="004F4635"/>
    <w:rsid w:val="004F466B"/>
    <w:rsid w:val="004F47B9"/>
    <w:rsid w:val="004F48D3"/>
    <w:rsid w:val="004F4C5B"/>
    <w:rsid w:val="004F52EC"/>
    <w:rsid w:val="004F53E9"/>
    <w:rsid w:val="004F5506"/>
    <w:rsid w:val="004F5B9D"/>
    <w:rsid w:val="004F5DFE"/>
    <w:rsid w:val="004F5F3C"/>
    <w:rsid w:val="004F61B7"/>
    <w:rsid w:val="004F6307"/>
    <w:rsid w:val="004F6C1F"/>
    <w:rsid w:val="004F6CCC"/>
    <w:rsid w:val="004F6D60"/>
    <w:rsid w:val="004F6E58"/>
    <w:rsid w:val="004F6FE6"/>
    <w:rsid w:val="004F7698"/>
    <w:rsid w:val="004F7981"/>
    <w:rsid w:val="004F7AF8"/>
    <w:rsid w:val="004F7E2E"/>
    <w:rsid w:val="0050006D"/>
    <w:rsid w:val="00500159"/>
    <w:rsid w:val="00500993"/>
    <w:rsid w:val="005009E7"/>
    <w:rsid w:val="00500A9D"/>
    <w:rsid w:val="00500AED"/>
    <w:rsid w:val="00500BCA"/>
    <w:rsid w:val="00501559"/>
    <w:rsid w:val="005017AA"/>
    <w:rsid w:val="00501900"/>
    <w:rsid w:val="005019C1"/>
    <w:rsid w:val="00501A5B"/>
    <w:rsid w:val="00501C42"/>
    <w:rsid w:val="00501FAE"/>
    <w:rsid w:val="00502520"/>
    <w:rsid w:val="005029EA"/>
    <w:rsid w:val="00502B83"/>
    <w:rsid w:val="00502B94"/>
    <w:rsid w:val="00502C39"/>
    <w:rsid w:val="0050352B"/>
    <w:rsid w:val="005047FD"/>
    <w:rsid w:val="00504CBF"/>
    <w:rsid w:val="00504D52"/>
    <w:rsid w:val="00504E66"/>
    <w:rsid w:val="005052E6"/>
    <w:rsid w:val="005054CE"/>
    <w:rsid w:val="00505513"/>
    <w:rsid w:val="005055AD"/>
    <w:rsid w:val="005055E7"/>
    <w:rsid w:val="00505A02"/>
    <w:rsid w:val="00505A25"/>
    <w:rsid w:val="00505ADA"/>
    <w:rsid w:val="00505B4F"/>
    <w:rsid w:val="00505C93"/>
    <w:rsid w:val="00506072"/>
    <w:rsid w:val="00506382"/>
    <w:rsid w:val="005069A4"/>
    <w:rsid w:val="00506C0D"/>
    <w:rsid w:val="00506C79"/>
    <w:rsid w:val="00506F6D"/>
    <w:rsid w:val="00507015"/>
    <w:rsid w:val="005071B5"/>
    <w:rsid w:val="00507492"/>
    <w:rsid w:val="0050766C"/>
    <w:rsid w:val="005078A9"/>
    <w:rsid w:val="005078D2"/>
    <w:rsid w:val="00507B2F"/>
    <w:rsid w:val="00507D67"/>
    <w:rsid w:val="00507E53"/>
    <w:rsid w:val="00507FE0"/>
    <w:rsid w:val="005100B9"/>
    <w:rsid w:val="005104E5"/>
    <w:rsid w:val="00510628"/>
    <w:rsid w:val="00510C33"/>
    <w:rsid w:val="00510E9E"/>
    <w:rsid w:val="005114B4"/>
    <w:rsid w:val="00511695"/>
    <w:rsid w:val="00511D35"/>
    <w:rsid w:val="00511D69"/>
    <w:rsid w:val="00512064"/>
    <w:rsid w:val="0051206F"/>
    <w:rsid w:val="0051213E"/>
    <w:rsid w:val="00512229"/>
    <w:rsid w:val="00512939"/>
    <w:rsid w:val="00512C1C"/>
    <w:rsid w:val="00512C7E"/>
    <w:rsid w:val="00512CAF"/>
    <w:rsid w:val="00512E73"/>
    <w:rsid w:val="00513189"/>
    <w:rsid w:val="00513274"/>
    <w:rsid w:val="00513571"/>
    <w:rsid w:val="00513577"/>
    <w:rsid w:val="0051411A"/>
    <w:rsid w:val="005141D8"/>
    <w:rsid w:val="005144CB"/>
    <w:rsid w:val="005147EC"/>
    <w:rsid w:val="00514DE6"/>
    <w:rsid w:val="005157CB"/>
    <w:rsid w:val="00515AA5"/>
    <w:rsid w:val="00515FDC"/>
    <w:rsid w:val="005160A7"/>
    <w:rsid w:val="00516615"/>
    <w:rsid w:val="00516959"/>
    <w:rsid w:val="005169FE"/>
    <w:rsid w:val="00516EEC"/>
    <w:rsid w:val="00517372"/>
    <w:rsid w:val="005177D9"/>
    <w:rsid w:val="005200D1"/>
    <w:rsid w:val="005203BD"/>
    <w:rsid w:val="00520551"/>
    <w:rsid w:val="005207C3"/>
    <w:rsid w:val="00520D81"/>
    <w:rsid w:val="00520EA3"/>
    <w:rsid w:val="00521000"/>
    <w:rsid w:val="00521384"/>
    <w:rsid w:val="00521472"/>
    <w:rsid w:val="00521AA6"/>
    <w:rsid w:val="00521C29"/>
    <w:rsid w:val="0052214D"/>
    <w:rsid w:val="005226FB"/>
    <w:rsid w:val="00522A6E"/>
    <w:rsid w:val="00522C59"/>
    <w:rsid w:val="00522E13"/>
    <w:rsid w:val="0052319B"/>
    <w:rsid w:val="005234E8"/>
    <w:rsid w:val="0052375D"/>
    <w:rsid w:val="0052427A"/>
    <w:rsid w:val="005243CA"/>
    <w:rsid w:val="00524751"/>
    <w:rsid w:val="00524881"/>
    <w:rsid w:val="00524EF6"/>
    <w:rsid w:val="0052550B"/>
    <w:rsid w:val="00525F9A"/>
    <w:rsid w:val="00525FC3"/>
    <w:rsid w:val="00526219"/>
    <w:rsid w:val="00526407"/>
    <w:rsid w:val="0052642A"/>
    <w:rsid w:val="005264A6"/>
    <w:rsid w:val="005266AC"/>
    <w:rsid w:val="005267FF"/>
    <w:rsid w:val="00526A99"/>
    <w:rsid w:val="00526ACD"/>
    <w:rsid w:val="00526DCA"/>
    <w:rsid w:val="00527709"/>
    <w:rsid w:val="00527A51"/>
    <w:rsid w:val="00527A76"/>
    <w:rsid w:val="00527D95"/>
    <w:rsid w:val="005301CF"/>
    <w:rsid w:val="0053040B"/>
    <w:rsid w:val="0053046D"/>
    <w:rsid w:val="0053075E"/>
    <w:rsid w:val="005309D5"/>
    <w:rsid w:val="00530E63"/>
    <w:rsid w:val="00530F11"/>
    <w:rsid w:val="00531036"/>
    <w:rsid w:val="0053181C"/>
    <w:rsid w:val="00531B2A"/>
    <w:rsid w:val="00531E86"/>
    <w:rsid w:val="00531E8E"/>
    <w:rsid w:val="00531EE1"/>
    <w:rsid w:val="0053248E"/>
    <w:rsid w:val="0053256F"/>
    <w:rsid w:val="00532982"/>
    <w:rsid w:val="00532C0D"/>
    <w:rsid w:val="00532DE3"/>
    <w:rsid w:val="0053314D"/>
    <w:rsid w:val="00533494"/>
    <w:rsid w:val="005335A3"/>
    <w:rsid w:val="005337BB"/>
    <w:rsid w:val="005339F1"/>
    <w:rsid w:val="00533F2D"/>
    <w:rsid w:val="00533F71"/>
    <w:rsid w:val="00533FC9"/>
    <w:rsid w:val="00534409"/>
    <w:rsid w:val="005346DF"/>
    <w:rsid w:val="00534755"/>
    <w:rsid w:val="005347E5"/>
    <w:rsid w:val="00534C88"/>
    <w:rsid w:val="0053524F"/>
    <w:rsid w:val="0053543D"/>
    <w:rsid w:val="005359C9"/>
    <w:rsid w:val="00535A7E"/>
    <w:rsid w:val="00535C5F"/>
    <w:rsid w:val="00535D87"/>
    <w:rsid w:val="00536101"/>
    <w:rsid w:val="00536135"/>
    <w:rsid w:val="005362EC"/>
    <w:rsid w:val="00536602"/>
    <w:rsid w:val="00536812"/>
    <w:rsid w:val="00536978"/>
    <w:rsid w:val="00537009"/>
    <w:rsid w:val="005370CE"/>
    <w:rsid w:val="0053731C"/>
    <w:rsid w:val="0053731D"/>
    <w:rsid w:val="00537340"/>
    <w:rsid w:val="00537574"/>
    <w:rsid w:val="005376BD"/>
    <w:rsid w:val="00537993"/>
    <w:rsid w:val="00537B6E"/>
    <w:rsid w:val="00537BEB"/>
    <w:rsid w:val="00537FAB"/>
    <w:rsid w:val="00540326"/>
    <w:rsid w:val="0054037E"/>
    <w:rsid w:val="00540397"/>
    <w:rsid w:val="005408C2"/>
    <w:rsid w:val="00541120"/>
    <w:rsid w:val="0054190B"/>
    <w:rsid w:val="00541C8C"/>
    <w:rsid w:val="00541ED8"/>
    <w:rsid w:val="00541EE6"/>
    <w:rsid w:val="00542A12"/>
    <w:rsid w:val="00542C96"/>
    <w:rsid w:val="00542D7D"/>
    <w:rsid w:val="00543162"/>
    <w:rsid w:val="00543451"/>
    <w:rsid w:val="00543577"/>
    <w:rsid w:val="005436DD"/>
    <w:rsid w:val="00543A13"/>
    <w:rsid w:val="00543A24"/>
    <w:rsid w:val="00543A6E"/>
    <w:rsid w:val="00543CFF"/>
    <w:rsid w:val="00543ED7"/>
    <w:rsid w:val="005445B1"/>
    <w:rsid w:val="005445FE"/>
    <w:rsid w:val="0054464D"/>
    <w:rsid w:val="0054476C"/>
    <w:rsid w:val="00544853"/>
    <w:rsid w:val="00544C51"/>
    <w:rsid w:val="005453D3"/>
    <w:rsid w:val="0054553E"/>
    <w:rsid w:val="005455AE"/>
    <w:rsid w:val="00545DA7"/>
    <w:rsid w:val="00545FB1"/>
    <w:rsid w:val="00546070"/>
    <w:rsid w:val="005460F4"/>
    <w:rsid w:val="005462CD"/>
    <w:rsid w:val="00546304"/>
    <w:rsid w:val="00546656"/>
    <w:rsid w:val="005466E7"/>
    <w:rsid w:val="005468A8"/>
    <w:rsid w:val="00546BF4"/>
    <w:rsid w:val="00546C96"/>
    <w:rsid w:val="00546D8B"/>
    <w:rsid w:val="00547374"/>
    <w:rsid w:val="00547429"/>
    <w:rsid w:val="00547486"/>
    <w:rsid w:val="00547531"/>
    <w:rsid w:val="00547629"/>
    <w:rsid w:val="0054762D"/>
    <w:rsid w:val="00547660"/>
    <w:rsid w:val="0054790A"/>
    <w:rsid w:val="00547BE3"/>
    <w:rsid w:val="00547CA8"/>
    <w:rsid w:val="00547CC6"/>
    <w:rsid w:val="00547D44"/>
    <w:rsid w:val="00547E66"/>
    <w:rsid w:val="00550236"/>
    <w:rsid w:val="0055059F"/>
    <w:rsid w:val="00550F05"/>
    <w:rsid w:val="005514CC"/>
    <w:rsid w:val="005518A0"/>
    <w:rsid w:val="00551954"/>
    <w:rsid w:val="00551AAC"/>
    <w:rsid w:val="0055270E"/>
    <w:rsid w:val="00552B50"/>
    <w:rsid w:val="00552EA0"/>
    <w:rsid w:val="00552FB7"/>
    <w:rsid w:val="005531E1"/>
    <w:rsid w:val="00553781"/>
    <w:rsid w:val="005539F0"/>
    <w:rsid w:val="00553C86"/>
    <w:rsid w:val="00553F6E"/>
    <w:rsid w:val="00553F99"/>
    <w:rsid w:val="005540C9"/>
    <w:rsid w:val="00554496"/>
    <w:rsid w:val="005544F8"/>
    <w:rsid w:val="00554C9E"/>
    <w:rsid w:val="00554F10"/>
    <w:rsid w:val="005556C6"/>
    <w:rsid w:val="00555747"/>
    <w:rsid w:val="00555853"/>
    <w:rsid w:val="005559F5"/>
    <w:rsid w:val="00555BF9"/>
    <w:rsid w:val="00555C1D"/>
    <w:rsid w:val="00555EF9"/>
    <w:rsid w:val="005561B1"/>
    <w:rsid w:val="00556490"/>
    <w:rsid w:val="00556628"/>
    <w:rsid w:val="00556C0B"/>
    <w:rsid w:val="00556E69"/>
    <w:rsid w:val="0055730B"/>
    <w:rsid w:val="005574A0"/>
    <w:rsid w:val="00557931"/>
    <w:rsid w:val="00557B80"/>
    <w:rsid w:val="00557C08"/>
    <w:rsid w:val="00557C0C"/>
    <w:rsid w:val="00557CC0"/>
    <w:rsid w:val="00557CC8"/>
    <w:rsid w:val="00557F53"/>
    <w:rsid w:val="005601CC"/>
    <w:rsid w:val="005607E7"/>
    <w:rsid w:val="00560863"/>
    <w:rsid w:val="00560CE7"/>
    <w:rsid w:val="00560D34"/>
    <w:rsid w:val="00561417"/>
    <w:rsid w:val="005614DB"/>
    <w:rsid w:val="00562072"/>
    <w:rsid w:val="0056237B"/>
    <w:rsid w:val="00563071"/>
    <w:rsid w:val="0056309F"/>
    <w:rsid w:val="00563139"/>
    <w:rsid w:val="00563272"/>
    <w:rsid w:val="00563469"/>
    <w:rsid w:val="005637CE"/>
    <w:rsid w:val="005639EE"/>
    <w:rsid w:val="00563A79"/>
    <w:rsid w:val="00563C1C"/>
    <w:rsid w:val="00563D5A"/>
    <w:rsid w:val="00563D88"/>
    <w:rsid w:val="00563FDC"/>
    <w:rsid w:val="005645C7"/>
    <w:rsid w:val="0056464C"/>
    <w:rsid w:val="005648AC"/>
    <w:rsid w:val="00564E6B"/>
    <w:rsid w:val="005654C9"/>
    <w:rsid w:val="0056555F"/>
    <w:rsid w:val="00565ACF"/>
    <w:rsid w:val="00565CA7"/>
    <w:rsid w:val="00565EE7"/>
    <w:rsid w:val="005661E3"/>
    <w:rsid w:val="0056632A"/>
    <w:rsid w:val="00566573"/>
    <w:rsid w:val="00566A50"/>
    <w:rsid w:val="00566DFE"/>
    <w:rsid w:val="005675A6"/>
    <w:rsid w:val="005675C6"/>
    <w:rsid w:val="0056782D"/>
    <w:rsid w:val="005679BA"/>
    <w:rsid w:val="00567E6E"/>
    <w:rsid w:val="00567F2B"/>
    <w:rsid w:val="00570020"/>
    <w:rsid w:val="005701C2"/>
    <w:rsid w:val="00570318"/>
    <w:rsid w:val="005704F0"/>
    <w:rsid w:val="00570C7E"/>
    <w:rsid w:val="00570D80"/>
    <w:rsid w:val="00571122"/>
    <w:rsid w:val="00571242"/>
    <w:rsid w:val="0057162B"/>
    <w:rsid w:val="005716D4"/>
    <w:rsid w:val="00571D96"/>
    <w:rsid w:val="00571DBF"/>
    <w:rsid w:val="00571F42"/>
    <w:rsid w:val="005722C7"/>
    <w:rsid w:val="00572550"/>
    <w:rsid w:val="0057292F"/>
    <w:rsid w:val="00572A47"/>
    <w:rsid w:val="00572D62"/>
    <w:rsid w:val="00572D8B"/>
    <w:rsid w:val="00572E69"/>
    <w:rsid w:val="00572EA3"/>
    <w:rsid w:val="00573016"/>
    <w:rsid w:val="0057323D"/>
    <w:rsid w:val="00573475"/>
    <w:rsid w:val="00573B61"/>
    <w:rsid w:val="00573BAC"/>
    <w:rsid w:val="00573E5F"/>
    <w:rsid w:val="00573EA9"/>
    <w:rsid w:val="00573F4E"/>
    <w:rsid w:val="00573F76"/>
    <w:rsid w:val="00574441"/>
    <w:rsid w:val="0057454F"/>
    <w:rsid w:val="00574636"/>
    <w:rsid w:val="00574AB0"/>
    <w:rsid w:val="00574C3C"/>
    <w:rsid w:val="00574C85"/>
    <w:rsid w:val="00575711"/>
    <w:rsid w:val="005757A4"/>
    <w:rsid w:val="00575956"/>
    <w:rsid w:val="00575AF1"/>
    <w:rsid w:val="00575FA3"/>
    <w:rsid w:val="0057611D"/>
    <w:rsid w:val="00576354"/>
    <w:rsid w:val="00576826"/>
    <w:rsid w:val="00576895"/>
    <w:rsid w:val="00576A7D"/>
    <w:rsid w:val="005771E7"/>
    <w:rsid w:val="005774D1"/>
    <w:rsid w:val="00577659"/>
    <w:rsid w:val="005779B1"/>
    <w:rsid w:val="00577B7D"/>
    <w:rsid w:val="005800AF"/>
    <w:rsid w:val="005801FE"/>
    <w:rsid w:val="00580656"/>
    <w:rsid w:val="00580E0C"/>
    <w:rsid w:val="00581010"/>
    <w:rsid w:val="005811FA"/>
    <w:rsid w:val="00581337"/>
    <w:rsid w:val="005816BC"/>
    <w:rsid w:val="0058182B"/>
    <w:rsid w:val="00581858"/>
    <w:rsid w:val="0058195D"/>
    <w:rsid w:val="00581D38"/>
    <w:rsid w:val="00581DB5"/>
    <w:rsid w:val="00581F34"/>
    <w:rsid w:val="0058203B"/>
    <w:rsid w:val="00582346"/>
    <w:rsid w:val="00582646"/>
    <w:rsid w:val="00582764"/>
    <w:rsid w:val="00582769"/>
    <w:rsid w:val="00582805"/>
    <w:rsid w:val="005830D0"/>
    <w:rsid w:val="00583169"/>
    <w:rsid w:val="00583190"/>
    <w:rsid w:val="0058320D"/>
    <w:rsid w:val="0058349D"/>
    <w:rsid w:val="005838F8"/>
    <w:rsid w:val="00583C20"/>
    <w:rsid w:val="00583DA9"/>
    <w:rsid w:val="00583EED"/>
    <w:rsid w:val="00584391"/>
    <w:rsid w:val="00584585"/>
    <w:rsid w:val="00584DDE"/>
    <w:rsid w:val="0058509F"/>
    <w:rsid w:val="005853DA"/>
    <w:rsid w:val="0058555F"/>
    <w:rsid w:val="0058559D"/>
    <w:rsid w:val="00585B3C"/>
    <w:rsid w:val="00585E65"/>
    <w:rsid w:val="00585FB4"/>
    <w:rsid w:val="005864CF"/>
    <w:rsid w:val="00586C8D"/>
    <w:rsid w:val="00586ED6"/>
    <w:rsid w:val="0058705F"/>
    <w:rsid w:val="00587264"/>
    <w:rsid w:val="0058796B"/>
    <w:rsid w:val="00587A4F"/>
    <w:rsid w:val="00587AB0"/>
    <w:rsid w:val="00587BB0"/>
    <w:rsid w:val="00587CCF"/>
    <w:rsid w:val="0059033A"/>
    <w:rsid w:val="0059059B"/>
    <w:rsid w:val="005905D1"/>
    <w:rsid w:val="005905E0"/>
    <w:rsid w:val="005908DD"/>
    <w:rsid w:val="00590D57"/>
    <w:rsid w:val="00590E9F"/>
    <w:rsid w:val="00591818"/>
    <w:rsid w:val="005919C0"/>
    <w:rsid w:val="00591F6E"/>
    <w:rsid w:val="00591F9B"/>
    <w:rsid w:val="00592110"/>
    <w:rsid w:val="00592224"/>
    <w:rsid w:val="005923EC"/>
    <w:rsid w:val="00592801"/>
    <w:rsid w:val="00592CBA"/>
    <w:rsid w:val="005933C1"/>
    <w:rsid w:val="00593731"/>
    <w:rsid w:val="00593AFE"/>
    <w:rsid w:val="00593C33"/>
    <w:rsid w:val="00593F10"/>
    <w:rsid w:val="005942FC"/>
    <w:rsid w:val="0059435E"/>
    <w:rsid w:val="005948D3"/>
    <w:rsid w:val="00594AA5"/>
    <w:rsid w:val="00594B0B"/>
    <w:rsid w:val="00595312"/>
    <w:rsid w:val="005957BD"/>
    <w:rsid w:val="0059589C"/>
    <w:rsid w:val="00595A23"/>
    <w:rsid w:val="00595EC9"/>
    <w:rsid w:val="00596364"/>
    <w:rsid w:val="005969AA"/>
    <w:rsid w:val="00596E06"/>
    <w:rsid w:val="00597045"/>
    <w:rsid w:val="005974A1"/>
    <w:rsid w:val="00597D1D"/>
    <w:rsid w:val="00597D4C"/>
    <w:rsid w:val="00597F7B"/>
    <w:rsid w:val="005A0025"/>
    <w:rsid w:val="005A023F"/>
    <w:rsid w:val="005A08EA"/>
    <w:rsid w:val="005A0B88"/>
    <w:rsid w:val="005A0E39"/>
    <w:rsid w:val="005A0F92"/>
    <w:rsid w:val="005A10C9"/>
    <w:rsid w:val="005A11ED"/>
    <w:rsid w:val="005A1375"/>
    <w:rsid w:val="005A1483"/>
    <w:rsid w:val="005A14B6"/>
    <w:rsid w:val="005A15F0"/>
    <w:rsid w:val="005A178E"/>
    <w:rsid w:val="005A1C99"/>
    <w:rsid w:val="005A1DFE"/>
    <w:rsid w:val="005A2CBF"/>
    <w:rsid w:val="005A3318"/>
    <w:rsid w:val="005A3340"/>
    <w:rsid w:val="005A36A9"/>
    <w:rsid w:val="005A3A7B"/>
    <w:rsid w:val="005A3C94"/>
    <w:rsid w:val="005A3F31"/>
    <w:rsid w:val="005A41B6"/>
    <w:rsid w:val="005A4647"/>
    <w:rsid w:val="005A4D17"/>
    <w:rsid w:val="005A537B"/>
    <w:rsid w:val="005A5553"/>
    <w:rsid w:val="005A5701"/>
    <w:rsid w:val="005A5759"/>
    <w:rsid w:val="005A5C9A"/>
    <w:rsid w:val="005A5E3B"/>
    <w:rsid w:val="005A60A0"/>
    <w:rsid w:val="005A6164"/>
    <w:rsid w:val="005A6943"/>
    <w:rsid w:val="005A6A4A"/>
    <w:rsid w:val="005A6F96"/>
    <w:rsid w:val="005A72C3"/>
    <w:rsid w:val="005A73AC"/>
    <w:rsid w:val="005A74BA"/>
    <w:rsid w:val="005A7610"/>
    <w:rsid w:val="005A766C"/>
    <w:rsid w:val="005A7678"/>
    <w:rsid w:val="005A77E4"/>
    <w:rsid w:val="005A7BFA"/>
    <w:rsid w:val="005A7C24"/>
    <w:rsid w:val="005A7FD1"/>
    <w:rsid w:val="005B0144"/>
    <w:rsid w:val="005B0508"/>
    <w:rsid w:val="005B0566"/>
    <w:rsid w:val="005B057D"/>
    <w:rsid w:val="005B07BD"/>
    <w:rsid w:val="005B09DA"/>
    <w:rsid w:val="005B0B69"/>
    <w:rsid w:val="005B110A"/>
    <w:rsid w:val="005B1B06"/>
    <w:rsid w:val="005B1B68"/>
    <w:rsid w:val="005B1E57"/>
    <w:rsid w:val="005B1EEB"/>
    <w:rsid w:val="005B2129"/>
    <w:rsid w:val="005B25A9"/>
    <w:rsid w:val="005B26D6"/>
    <w:rsid w:val="005B2968"/>
    <w:rsid w:val="005B2990"/>
    <w:rsid w:val="005B2DE4"/>
    <w:rsid w:val="005B3189"/>
    <w:rsid w:val="005B31E3"/>
    <w:rsid w:val="005B4008"/>
    <w:rsid w:val="005B4055"/>
    <w:rsid w:val="005B42EB"/>
    <w:rsid w:val="005B4515"/>
    <w:rsid w:val="005B469C"/>
    <w:rsid w:val="005B48CD"/>
    <w:rsid w:val="005B4932"/>
    <w:rsid w:val="005B4B35"/>
    <w:rsid w:val="005B4EE2"/>
    <w:rsid w:val="005B5222"/>
    <w:rsid w:val="005B548A"/>
    <w:rsid w:val="005B5731"/>
    <w:rsid w:val="005B5A68"/>
    <w:rsid w:val="005B5E13"/>
    <w:rsid w:val="005B62D5"/>
    <w:rsid w:val="005B6849"/>
    <w:rsid w:val="005B6C06"/>
    <w:rsid w:val="005B71F5"/>
    <w:rsid w:val="005B7489"/>
    <w:rsid w:val="005B79E3"/>
    <w:rsid w:val="005B7DBB"/>
    <w:rsid w:val="005C0587"/>
    <w:rsid w:val="005C07A8"/>
    <w:rsid w:val="005C0E0C"/>
    <w:rsid w:val="005C1126"/>
    <w:rsid w:val="005C112F"/>
    <w:rsid w:val="005C193F"/>
    <w:rsid w:val="005C1C27"/>
    <w:rsid w:val="005C1FA8"/>
    <w:rsid w:val="005C1FB8"/>
    <w:rsid w:val="005C2014"/>
    <w:rsid w:val="005C2749"/>
    <w:rsid w:val="005C2955"/>
    <w:rsid w:val="005C2A35"/>
    <w:rsid w:val="005C2CC3"/>
    <w:rsid w:val="005C2D2B"/>
    <w:rsid w:val="005C312A"/>
    <w:rsid w:val="005C3378"/>
    <w:rsid w:val="005C343A"/>
    <w:rsid w:val="005C3863"/>
    <w:rsid w:val="005C396B"/>
    <w:rsid w:val="005C3F34"/>
    <w:rsid w:val="005C3FDB"/>
    <w:rsid w:val="005C46FB"/>
    <w:rsid w:val="005C4C09"/>
    <w:rsid w:val="005C4C98"/>
    <w:rsid w:val="005C506B"/>
    <w:rsid w:val="005C53BC"/>
    <w:rsid w:val="005C54E7"/>
    <w:rsid w:val="005C54E9"/>
    <w:rsid w:val="005C55C4"/>
    <w:rsid w:val="005C55E1"/>
    <w:rsid w:val="005C5751"/>
    <w:rsid w:val="005C5BD1"/>
    <w:rsid w:val="005C5C12"/>
    <w:rsid w:val="005C5F25"/>
    <w:rsid w:val="005C5F5D"/>
    <w:rsid w:val="005C60B1"/>
    <w:rsid w:val="005C621D"/>
    <w:rsid w:val="005C656B"/>
    <w:rsid w:val="005C68D8"/>
    <w:rsid w:val="005C6CCD"/>
    <w:rsid w:val="005C6DAD"/>
    <w:rsid w:val="005C6F64"/>
    <w:rsid w:val="005C71BC"/>
    <w:rsid w:val="005C71FC"/>
    <w:rsid w:val="005C72B4"/>
    <w:rsid w:val="005C734F"/>
    <w:rsid w:val="005C75E1"/>
    <w:rsid w:val="005C7C1A"/>
    <w:rsid w:val="005D060F"/>
    <w:rsid w:val="005D06C7"/>
    <w:rsid w:val="005D0910"/>
    <w:rsid w:val="005D0970"/>
    <w:rsid w:val="005D1014"/>
    <w:rsid w:val="005D1077"/>
    <w:rsid w:val="005D1145"/>
    <w:rsid w:val="005D1252"/>
    <w:rsid w:val="005D1313"/>
    <w:rsid w:val="005D132E"/>
    <w:rsid w:val="005D1A79"/>
    <w:rsid w:val="005D1A98"/>
    <w:rsid w:val="005D1B7A"/>
    <w:rsid w:val="005D1B84"/>
    <w:rsid w:val="005D2232"/>
    <w:rsid w:val="005D2496"/>
    <w:rsid w:val="005D2525"/>
    <w:rsid w:val="005D26B6"/>
    <w:rsid w:val="005D2A4D"/>
    <w:rsid w:val="005D2E8F"/>
    <w:rsid w:val="005D30AD"/>
    <w:rsid w:val="005D3301"/>
    <w:rsid w:val="005D36E2"/>
    <w:rsid w:val="005D3FD1"/>
    <w:rsid w:val="005D4053"/>
    <w:rsid w:val="005D4188"/>
    <w:rsid w:val="005D4478"/>
    <w:rsid w:val="005D44D5"/>
    <w:rsid w:val="005D4893"/>
    <w:rsid w:val="005D48D7"/>
    <w:rsid w:val="005D4A5A"/>
    <w:rsid w:val="005D4BBE"/>
    <w:rsid w:val="005D4DDA"/>
    <w:rsid w:val="005D4F94"/>
    <w:rsid w:val="005D5731"/>
    <w:rsid w:val="005D57C0"/>
    <w:rsid w:val="005D5828"/>
    <w:rsid w:val="005D5957"/>
    <w:rsid w:val="005D5B3C"/>
    <w:rsid w:val="005D5BCF"/>
    <w:rsid w:val="005D6409"/>
    <w:rsid w:val="005D64E1"/>
    <w:rsid w:val="005D64F4"/>
    <w:rsid w:val="005D688F"/>
    <w:rsid w:val="005D689C"/>
    <w:rsid w:val="005D6BBA"/>
    <w:rsid w:val="005D712C"/>
    <w:rsid w:val="005D71F3"/>
    <w:rsid w:val="005D73B5"/>
    <w:rsid w:val="005D7644"/>
    <w:rsid w:val="005D7646"/>
    <w:rsid w:val="005D7699"/>
    <w:rsid w:val="005D7BC9"/>
    <w:rsid w:val="005D7C11"/>
    <w:rsid w:val="005D7DB8"/>
    <w:rsid w:val="005E005F"/>
    <w:rsid w:val="005E02E4"/>
    <w:rsid w:val="005E0350"/>
    <w:rsid w:val="005E06D1"/>
    <w:rsid w:val="005E148F"/>
    <w:rsid w:val="005E15F6"/>
    <w:rsid w:val="005E16DE"/>
    <w:rsid w:val="005E19AD"/>
    <w:rsid w:val="005E19AF"/>
    <w:rsid w:val="005E1D39"/>
    <w:rsid w:val="005E1F66"/>
    <w:rsid w:val="005E2261"/>
    <w:rsid w:val="005E230A"/>
    <w:rsid w:val="005E2863"/>
    <w:rsid w:val="005E2D34"/>
    <w:rsid w:val="005E2DD5"/>
    <w:rsid w:val="005E30AB"/>
    <w:rsid w:val="005E3537"/>
    <w:rsid w:val="005E355F"/>
    <w:rsid w:val="005E36E1"/>
    <w:rsid w:val="005E371D"/>
    <w:rsid w:val="005E3787"/>
    <w:rsid w:val="005E3C5A"/>
    <w:rsid w:val="005E45FC"/>
    <w:rsid w:val="005E46BE"/>
    <w:rsid w:val="005E4857"/>
    <w:rsid w:val="005E493E"/>
    <w:rsid w:val="005E4A7D"/>
    <w:rsid w:val="005E4A8B"/>
    <w:rsid w:val="005E4B5F"/>
    <w:rsid w:val="005E4E17"/>
    <w:rsid w:val="005E4E56"/>
    <w:rsid w:val="005E51E7"/>
    <w:rsid w:val="005E5399"/>
    <w:rsid w:val="005E5BC9"/>
    <w:rsid w:val="005E601A"/>
    <w:rsid w:val="005E6635"/>
    <w:rsid w:val="005E675A"/>
    <w:rsid w:val="005E6DA2"/>
    <w:rsid w:val="005E6EBB"/>
    <w:rsid w:val="005E71EB"/>
    <w:rsid w:val="005E7A42"/>
    <w:rsid w:val="005E7DD7"/>
    <w:rsid w:val="005F0759"/>
    <w:rsid w:val="005F095B"/>
    <w:rsid w:val="005F098F"/>
    <w:rsid w:val="005F0A50"/>
    <w:rsid w:val="005F0CCF"/>
    <w:rsid w:val="005F106A"/>
    <w:rsid w:val="005F108C"/>
    <w:rsid w:val="005F1784"/>
    <w:rsid w:val="005F1862"/>
    <w:rsid w:val="005F191C"/>
    <w:rsid w:val="005F1A18"/>
    <w:rsid w:val="005F1ADE"/>
    <w:rsid w:val="005F1EA5"/>
    <w:rsid w:val="005F24DF"/>
    <w:rsid w:val="005F24EB"/>
    <w:rsid w:val="005F2942"/>
    <w:rsid w:val="005F29EE"/>
    <w:rsid w:val="005F2BB0"/>
    <w:rsid w:val="005F30A7"/>
    <w:rsid w:val="005F35D0"/>
    <w:rsid w:val="005F36FB"/>
    <w:rsid w:val="005F3F16"/>
    <w:rsid w:val="005F4065"/>
    <w:rsid w:val="005F4825"/>
    <w:rsid w:val="005F4C1D"/>
    <w:rsid w:val="005F4E22"/>
    <w:rsid w:val="005F4E3A"/>
    <w:rsid w:val="005F508E"/>
    <w:rsid w:val="005F51CE"/>
    <w:rsid w:val="005F5450"/>
    <w:rsid w:val="005F5559"/>
    <w:rsid w:val="005F57E6"/>
    <w:rsid w:val="005F5915"/>
    <w:rsid w:val="005F59C3"/>
    <w:rsid w:val="005F59EC"/>
    <w:rsid w:val="005F5D0B"/>
    <w:rsid w:val="005F5E88"/>
    <w:rsid w:val="005F5EA8"/>
    <w:rsid w:val="005F62C8"/>
    <w:rsid w:val="005F690F"/>
    <w:rsid w:val="005F6B06"/>
    <w:rsid w:val="005F6DC4"/>
    <w:rsid w:val="005F7279"/>
    <w:rsid w:val="005F7821"/>
    <w:rsid w:val="005F7A00"/>
    <w:rsid w:val="005F7C4B"/>
    <w:rsid w:val="005F7CCD"/>
    <w:rsid w:val="006000E4"/>
    <w:rsid w:val="0060014F"/>
    <w:rsid w:val="006001D0"/>
    <w:rsid w:val="00600291"/>
    <w:rsid w:val="00600636"/>
    <w:rsid w:val="00600895"/>
    <w:rsid w:val="00600913"/>
    <w:rsid w:val="00600959"/>
    <w:rsid w:val="00600AC7"/>
    <w:rsid w:val="00600CDA"/>
    <w:rsid w:val="00600D05"/>
    <w:rsid w:val="00600D91"/>
    <w:rsid w:val="00601018"/>
    <w:rsid w:val="006014B9"/>
    <w:rsid w:val="00601954"/>
    <w:rsid w:val="00601BD6"/>
    <w:rsid w:val="00601C56"/>
    <w:rsid w:val="00601CD4"/>
    <w:rsid w:val="00601E0F"/>
    <w:rsid w:val="006022CC"/>
    <w:rsid w:val="0060265A"/>
    <w:rsid w:val="00602A02"/>
    <w:rsid w:val="00602BAC"/>
    <w:rsid w:val="00602C3C"/>
    <w:rsid w:val="0060337D"/>
    <w:rsid w:val="006033D1"/>
    <w:rsid w:val="0060350B"/>
    <w:rsid w:val="0060367A"/>
    <w:rsid w:val="00603728"/>
    <w:rsid w:val="006038A7"/>
    <w:rsid w:val="006039A3"/>
    <w:rsid w:val="00603C58"/>
    <w:rsid w:val="00603C72"/>
    <w:rsid w:val="00603C8A"/>
    <w:rsid w:val="00603CEC"/>
    <w:rsid w:val="00604488"/>
    <w:rsid w:val="0060458B"/>
    <w:rsid w:val="0060485B"/>
    <w:rsid w:val="0060494A"/>
    <w:rsid w:val="00604A07"/>
    <w:rsid w:val="00604AE2"/>
    <w:rsid w:val="00604B99"/>
    <w:rsid w:val="00604C2B"/>
    <w:rsid w:val="00605103"/>
    <w:rsid w:val="006060DB"/>
    <w:rsid w:val="00606366"/>
    <w:rsid w:val="0060684F"/>
    <w:rsid w:val="00606892"/>
    <w:rsid w:val="00606941"/>
    <w:rsid w:val="00607015"/>
    <w:rsid w:val="00607291"/>
    <w:rsid w:val="006073FC"/>
    <w:rsid w:val="0060788F"/>
    <w:rsid w:val="00607A72"/>
    <w:rsid w:val="00607B4B"/>
    <w:rsid w:val="00607B86"/>
    <w:rsid w:val="00607EFD"/>
    <w:rsid w:val="006101F0"/>
    <w:rsid w:val="0061043C"/>
    <w:rsid w:val="006106BD"/>
    <w:rsid w:val="0061099F"/>
    <w:rsid w:val="00610B4E"/>
    <w:rsid w:val="00610C0E"/>
    <w:rsid w:val="00610C29"/>
    <w:rsid w:val="00610D3C"/>
    <w:rsid w:val="00611909"/>
    <w:rsid w:val="00611920"/>
    <w:rsid w:val="00611D83"/>
    <w:rsid w:val="00611FCD"/>
    <w:rsid w:val="00612BC0"/>
    <w:rsid w:val="00612C6B"/>
    <w:rsid w:val="00613211"/>
    <w:rsid w:val="006133E6"/>
    <w:rsid w:val="006137C7"/>
    <w:rsid w:val="00613926"/>
    <w:rsid w:val="00613E8C"/>
    <w:rsid w:val="00614442"/>
    <w:rsid w:val="00614782"/>
    <w:rsid w:val="00614ABD"/>
    <w:rsid w:val="00614BDC"/>
    <w:rsid w:val="00614C23"/>
    <w:rsid w:val="00614CAA"/>
    <w:rsid w:val="00614E13"/>
    <w:rsid w:val="00615390"/>
    <w:rsid w:val="0061551E"/>
    <w:rsid w:val="00615A28"/>
    <w:rsid w:val="00616178"/>
    <w:rsid w:val="0061640F"/>
    <w:rsid w:val="006166A7"/>
    <w:rsid w:val="006166D3"/>
    <w:rsid w:val="006169B4"/>
    <w:rsid w:val="00617022"/>
    <w:rsid w:val="00617183"/>
    <w:rsid w:val="0061731F"/>
    <w:rsid w:val="00617366"/>
    <w:rsid w:val="006174DB"/>
    <w:rsid w:val="00617671"/>
    <w:rsid w:val="00617726"/>
    <w:rsid w:val="006177F6"/>
    <w:rsid w:val="00617A2A"/>
    <w:rsid w:val="00617CE5"/>
    <w:rsid w:val="00617EFF"/>
    <w:rsid w:val="00620233"/>
    <w:rsid w:val="006202FD"/>
    <w:rsid w:val="006203BA"/>
    <w:rsid w:val="00620899"/>
    <w:rsid w:val="00620BE8"/>
    <w:rsid w:val="00620E26"/>
    <w:rsid w:val="00620E54"/>
    <w:rsid w:val="00620EE5"/>
    <w:rsid w:val="00621257"/>
    <w:rsid w:val="0062130B"/>
    <w:rsid w:val="0062160C"/>
    <w:rsid w:val="006217A7"/>
    <w:rsid w:val="00621835"/>
    <w:rsid w:val="006218A7"/>
    <w:rsid w:val="00621C3A"/>
    <w:rsid w:val="00622700"/>
    <w:rsid w:val="00622D1B"/>
    <w:rsid w:val="00622ED6"/>
    <w:rsid w:val="006234BD"/>
    <w:rsid w:val="00623584"/>
    <w:rsid w:val="00623676"/>
    <w:rsid w:val="00623B19"/>
    <w:rsid w:val="00623D6B"/>
    <w:rsid w:val="00623E20"/>
    <w:rsid w:val="006246D7"/>
    <w:rsid w:val="00624B0B"/>
    <w:rsid w:val="00624BEC"/>
    <w:rsid w:val="00624E09"/>
    <w:rsid w:val="00625144"/>
    <w:rsid w:val="00625608"/>
    <w:rsid w:val="00625693"/>
    <w:rsid w:val="0062588E"/>
    <w:rsid w:val="00625B62"/>
    <w:rsid w:val="00625B9F"/>
    <w:rsid w:val="00625CD3"/>
    <w:rsid w:val="00626001"/>
    <w:rsid w:val="0062644B"/>
    <w:rsid w:val="0062698B"/>
    <w:rsid w:val="00626B95"/>
    <w:rsid w:val="00626C53"/>
    <w:rsid w:val="00626CC5"/>
    <w:rsid w:val="006272BF"/>
    <w:rsid w:val="00627403"/>
    <w:rsid w:val="00627662"/>
    <w:rsid w:val="00627936"/>
    <w:rsid w:val="00627DCC"/>
    <w:rsid w:val="00627F0A"/>
    <w:rsid w:val="00630122"/>
    <w:rsid w:val="00630129"/>
    <w:rsid w:val="00630242"/>
    <w:rsid w:val="00630289"/>
    <w:rsid w:val="006305B6"/>
    <w:rsid w:val="00630ABA"/>
    <w:rsid w:val="006312AC"/>
    <w:rsid w:val="006316EC"/>
    <w:rsid w:val="006318DC"/>
    <w:rsid w:val="00631F9F"/>
    <w:rsid w:val="00632187"/>
    <w:rsid w:val="006321A3"/>
    <w:rsid w:val="00632261"/>
    <w:rsid w:val="006325F8"/>
    <w:rsid w:val="00632785"/>
    <w:rsid w:val="00633101"/>
    <w:rsid w:val="0063317A"/>
    <w:rsid w:val="00633302"/>
    <w:rsid w:val="0063331B"/>
    <w:rsid w:val="00633463"/>
    <w:rsid w:val="00633C81"/>
    <w:rsid w:val="006344FA"/>
    <w:rsid w:val="00634765"/>
    <w:rsid w:val="00634A85"/>
    <w:rsid w:val="00634D42"/>
    <w:rsid w:val="006353F1"/>
    <w:rsid w:val="0063556B"/>
    <w:rsid w:val="0063590C"/>
    <w:rsid w:val="00635ACA"/>
    <w:rsid w:val="00635B21"/>
    <w:rsid w:val="00635C6A"/>
    <w:rsid w:val="00635E3F"/>
    <w:rsid w:val="00636140"/>
    <w:rsid w:val="0063658E"/>
    <w:rsid w:val="00636802"/>
    <w:rsid w:val="0063691E"/>
    <w:rsid w:val="00636B8B"/>
    <w:rsid w:val="00636BAF"/>
    <w:rsid w:val="00636D7F"/>
    <w:rsid w:val="006377B6"/>
    <w:rsid w:val="006379AD"/>
    <w:rsid w:val="00637D45"/>
    <w:rsid w:val="00637FAC"/>
    <w:rsid w:val="006404E3"/>
    <w:rsid w:val="00640D22"/>
    <w:rsid w:val="00640DAB"/>
    <w:rsid w:val="0064106B"/>
    <w:rsid w:val="006417B1"/>
    <w:rsid w:val="00641FBB"/>
    <w:rsid w:val="00642219"/>
    <w:rsid w:val="00642256"/>
    <w:rsid w:val="006423FD"/>
    <w:rsid w:val="00642D0C"/>
    <w:rsid w:val="00642DF1"/>
    <w:rsid w:val="006430A2"/>
    <w:rsid w:val="00643520"/>
    <w:rsid w:val="00643D43"/>
    <w:rsid w:val="006443FC"/>
    <w:rsid w:val="006446F6"/>
    <w:rsid w:val="006448AE"/>
    <w:rsid w:val="006448B6"/>
    <w:rsid w:val="00644CE0"/>
    <w:rsid w:val="00644E81"/>
    <w:rsid w:val="00644F5A"/>
    <w:rsid w:val="00645811"/>
    <w:rsid w:val="006458F4"/>
    <w:rsid w:val="00646836"/>
    <w:rsid w:val="00646914"/>
    <w:rsid w:val="00646DF3"/>
    <w:rsid w:val="00646FBB"/>
    <w:rsid w:val="00647448"/>
    <w:rsid w:val="00647558"/>
    <w:rsid w:val="0064782C"/>
    <w:rsid w:val="00647DF2"/>
    <w:rsid w:val="00647ED2"/>
    <w:rsid w:val="0065006D"/>
    <w:rsid w:val="0065044A"/>
    <w:rsid w:val="00650A10"/>
    <w:rsid w:val="00650AE3"/>
    <w:rsid w:val="00650CB5"/>
    <w:rsid w:val="00651564"/>
    <w:rsid w:val="0065175B"/>
    <w:rsid w:val="00651773"/>
    <w:rsid w:val="006519D5"/>
    <w:rsid w:val="00651D79"/>
    <w:rsid w:val="00652056"/>
    <w:rsid w:val="00652520"/>
    <w:rsid w:val="006527BB"/>
    <w:rsid w:val="00652B29"/>
    <w:rsid w:val="00652C6C"/>
    <w:rsid w:val="006536B1"/>
    <w:rsid w:val="00653BA1"/>
    <w:rsid w:val="00653F80"/>
    <w:rsid w:val="00653FA3"/>
    <w:rsid w:val="00654083"/>
    <w:rsid w:val="006540C3"/>
    <w:rsid w:val="00654534"/>
    <w:rsid w:val="0065453A"/>
    <w:rsid w:val="00654954"/>
    <w:rsid w:val="00654AA3"/>
    <w:rsid w:val="00654B25"/>
    <w:rsid w:val="00654BC4"/>
    <w:rsid w:val="00654E13"/>
    <w:rsid w:val="00654EE1"/>
    <w:rsid w:val="006552BA"/>
    <w:rsid w:val="00655370"/>
    <w:rsid w:val="006556B5"/>
    <w:rsid w:val="00655C54"/>
    <w:rsid w:val="00655CA1"/>
    <w:rsid w:val="00655CE8"/>
    <w:rsid w:val="00655E22"/>
    <w:rsid w:val="00655E93"/>
    <w:rsid w:val="00655F70"/>
    <w:rsid w:val="0065632D"/>
    <w:rsid w:val="00656343"/>
    <w:rsid w:val="006563EC"/>
    <w:rsid w:val="00656714"/>
    <w:rsid w:val="006569B7"/>
    <w:rsid w:val="006570B9"/>
    <w:rsid w:val="006571B6"/>
    <w:rsid w:val="0065764C"/>
    <w:rsid w:val="0065780E"/>
    <w:rsid w:val="0065794F"/>
    <w:rsid w:val="00660477"/>
    <w:rsid w:val="0066087F"/>
    <w:rsid w:val="006608F9"/>
    <w:rsid w:val="00660BD3"/>
    <w:rsid w:val="00661005"/>
    <w:rsid w:val="006612EB"/>
    <w:rsid w:val="0066164E"/>
    <w:rsid w:val="00661663"/>
    <w:rsid w:val="0066198F"/>
    <w:rsid w:val="006619D1"/>
    <w:rsid w:val="00661D5B"/>
    <w:rsid w:val="00661FBD"/>
    <w:rsid w:val="0066241F"/>
    <w:rsid w:val="006629BE"/>
    <w:rsid w:val="00662CB0"/>
    <w:rsid w:val="00662CEB"/>
    <w:rsid w:val="006630CF"/>
    <w:rsid w:val="0066334A"/>
    <w:rsid w:val="006634A5"/>
    <w:rsid w:val="00663612"/>
    <w:rsid w:val="00663C65"/>
    <w:rsid w:val="00663FB4"/>
    <w:rsid w:val="00664035"/>
    <w:rsid w:val="00664229"/>
    <w:rsid w:val="00664A6E"/>
    <w:rsid w:val="00664D05"/>
    <w:rsid w:val="00664F1A"/>
    <w:rsid w:val="006653E3"/>
    <w:rsid w:val="006655F5"/>
    <w:rsid w:val="00665662"/>
    <w:rsid w:val="00665995"/>
    <w:rsid w:val="00665A05"/>
    <w:rsid w:val="00665EDD"/>
    <w:rsid w:val="0066612C"/>
    <w:rsid w:val="0066621A"/>
    <w:rsid w:val="00666490"/>
    <w:rsid w:val="00666576"/>
    <w:rsid w:val="0066677D"/>
    <w:rsid w:val="006668E9"/>
    <w:rsid w:val="00666974"/>
    <w:rsid w:val="00666D84"/>
    <w:rsid w:val="00666D8F"/>
    <w:rsid w:val="00666DAA"/>
    <w:rsid w:val="006670F1"/>
    <w:rsid w:val="006672AD"/>
    <w:rsid w:val="00667485"/>
    <w:rsid w:val="006675E5"/>
    <w:rsid w:val="00667837"/>
    <w:rsid w:val="00667AEF"/>
    <w:rsid w:val="00667B96"/>
    <w:rsid w:val="00667CC3"/>
    <w:rsid w:val="00667D0E"/>
    <w:rsid w:val="00667E02"/>
    <w:rsid w:val="00670787"/>
    <w:rsid w:val="00670B97"/>
    <w:rsid w:val="00670CFF"/>
    <w:rsid w:val="006710B7"/>
    <w:rsid w:val="006710F8"/>
    <w:rsid w:val="00671281"/>
    <w:rsid w:val="0067157A"/>
    <w:rsid w:val="00671A8E"/>
    <w:rsid w:val="00671B79"/>
    <w:rsid w:val="00671B8A"/>
    <w:rsid w:val="0067206D"/>
    <w:rsid w:val="006722B8"/>
    <w:rsid w:val="00672397"/>
    <w:rsid w:val="00672975"/>
    <w:rsid w:val="00672B02"/>
    <w:rsid w:val="00673203"/>
    <w:rsid w:val="00673AA4"/>
    <w:rsid w:val="00673B4E"/>
    <w:rsid w:val="00673C33"/>
    <w:rsid w:val="00673E27"/>
    <w:rsid w:val="00673EDA"/>
    <w:rsid w:val="00674272"/>
    <w:rsid w:val="006744F2"/>
    <w:rsid w:val="006746DD"/>
    <w:rsid w:val="006748BB"/>
    <w:rsid w:val="00674A7F"/>
    <w:rsid w:val="00674C13"/>
    <w:rsid w:val="00674C87"/>
    <w:rsid w:val="00674E3E"/>
    <w:rsid w:val="006750E1"/>
    <w:rsid w:val="006756C6"/>
    <w:rsid w:val="00675852"/>
    <w:rsid w:val="00675943"/>
    <w:rsid w:val="00675A6F"/>
    <w:rsid w:val="00676067"/>
    <w:rsid w:val="00676A30"/>
    <w:rsid w:val="00676ACF"/>
    <w:rsid w:val="00676B77"/>
    <w:rsid w:val="00676E00"/>
    <w:rsid w:val="00676F19"/>
    <w:rsid w:val="006770AC"/>
    <w:rsid w:val="00677365"/>
    <w:rsid w:val="00677E0B"/>
    <w:rsid w:val="00680393"/>
    <w:rsid w:val="00680918"/>
    <w:rsid w:val="00680FBC"/>
    <w:rsid w:val="00681794"/>
    <w:rsid w:val="006817BA"/>
    <w:rsid w:val="00681971"/>
    <w:rsid w:val="006819D4"/>
    <w:rsid w:val="00681CD5"/>
    <w:rsid w:val="00681DFE"/>
    <w:rsid w:val="00681EF8"/>
    <w:rsid w:val="00681F10"/>
    <w:rsid w:val="00682035"/>
    <w:rsid w:val="006821EA"/>
    <w:rsid w:val="0068227A"/>
    <w:rsid w:val="006830A3"/>
    <w:rsid w:val="00683452"/>
    <w:rsid w:val="00683482"/>
    <w:rsid w:val="006836FC"/>
    <w:rsid w:val="00683793"/>
    <w:rsid w:val="00683AF3"/>
    <w:rsid w:val="0068400B"/>
    <w:rsid w:val="0068411F"/>
    <w:rsid w:val="006842A8"/>
    <w:rsid w:val="00684318"/>
    <w:rsid w:val="0068437D"/>
    <w:rsid w:val="006849BB"/>
    <w:rsid w:val="00684A0F"/>
    <w:rsid w:val="00684FBF"/>
    <w:rsid w:val="006851DD"/>
    <w:rsid w:val="00685288"/>
    <w:rsid w:val="00685858"/>
    <w:rsid w:val="00685950"/>
    <w:rsid w:val="00685BF8"/>
    <w:rsid w:val="00685CC7"/>
    <w:rsid w:val="0068616E"/>
    <w:rsid w:val="006862A6"/>
    <w:rsid w:val="0068651E"/>
    <w:rsid w:val="00686A19"/>
    <w:rsid w:val="006871B1"/>
    <w:rsid w:val="00687942"/>
    <w:rsid w:val="00687C22"/>
    <w:rsid w:val="00687C3D"/>
    <w:rsid w:val="00690105"/>
    <w:rsid w:val="0069022B"/>
    <w:rsid w:val="00690365"/>
    <w:rsid w:val="00690755"/>
    <w:rsid w:val="00690829"/>
    <w:rsid w:val="00690DF3"/>
    <w:rsid w:val="006912B3"/>
    <w:rsid w:val="006914D2"/>
    <w:rsid w:val="00691523"/>
    <w:rsid w:val="00691A16"/>
    <w:rsid w:val="00691B02"/>
    <w:rsid w:val="00691C36"/>
    <w:rsid w:val="00691D58"/>
    <w:rsid w:val="00691D7A"/>
    <w:rsid w:val="00691F2D"/>
    <w:rsid w:val="00692183"/>
    <w:rsid w:val="006926CA"/>
    <w:rsid w:val="0069278C"/>
    <w:rsid w:val="00692F07"/>
    <w:rsid w:val="00693314"/>
    <w:rsid w:val="00693982"/>
    <w:rsid w:val="006939EC"/>
    <w:rsid w:val="00693C50"/>
    <w:rsid w:val="00693D04"/>
    <w:rsid w:val="00693E33"/>
    <w:rsid w:val="00693E86"/>
    <w:rsid w:val="0069402A"/>
    <w:rsid w:val="00694386"/>
    <w:rsid w:val="0069458F"/>
    <w:rsid w:val="00694804"/>
    <w:rsid w:val="00694EC6"/>
    <w:rsid w:val="00694F8F"/>
    <w:rsid w:val="0069517B"/>
    <w:rsid w:val="00695181"/>
    <w:rsid w:val="00695937"/>
    <w:rsid w:val="0069597C"/>
    <w:rsid w:val="00695D95"/>
    <w:rsid w:val="006960B9"/>
    <w:rsid w:val="00696258"/>
    <w:rsid w:val="00696326"/>
    <w:rsid w:val="00696736"/>
    <w:rsid w:val="006970D5"/>
    <w:rsid w:val="00697118"/>
    <w:rsid w:val="0069739D"/>
    <w:rsid w:val="0069768B"/>
    <w:rsid w:val="0069772F"/>
    <w:rsid w:val="00697CDE"/>
    <w:rsid w:val="006A0293"/>
    <w:rsid w:val="006A0560"/>
    <w:rsid w:val="006A06C6"/>
    <w:rsid w:val="006A08C1"/>
    <w:rsid w:val="006A0BE2"/>
    <w:rsid w:val="006A0D51"/>
    <w:rsid w:val="006A0DCB"/>
    <w:rsid w:val="006A1186"/>
    <w:rsid w:val="006A1E83"/>
    <w:rsid w:val="006A1EE1"/>
    <w:rsid w:val="006A1F2C"/>
    <w:rsid w:val="006A1F71"/>
    <w:rsid w:val="006A2159"/>
    <w:rsid w:val="006A249B"/>
    <w:rsid w:val="006A2DE9"/>
    <w:rsid w:val="006A354E"/>
    <w:rsid w:val="006A3795"/>
    <w:rsid w:val="006A3897"/>
    <w:rsid w:val="006A38F6"/>
    <w:rsid w:val="006A4211"/>
    <w:rsid w:val="006A4561"/>
    <w:rsid w:val="006A4AE2"/>
    <w:rsid w:val="006A4D8A"/>
    <w:rsid w:val="006A4D99"/>
    <w:rsid w:val="006A4F99"/>
    <w:rsid w:val="006A5014"/>
    <w:rsid w:val="006A50C8"/>
    <w:rsid w:val="006A5265"/>
    <w:rsid w:val="006A569A"/>
    <w:rsid w:val="006A5EE5"/>
    <w:rsid w:val="006A625E"/>
    <w:rsid w:val="006A64A9"/>
    <w:rsid w:val="006A661F"/>
    <w:rsid w:val="006A6AF9"/>
    <w:rsid w:val="006A6B52"/>
    <w:rsid w:val="006A7218"/>
    <w:rsid w:val="006A724B"/>
    <w:rsid w:val="006A7AD0"/>
    <w:rsid w:val="006A7D66"/>
    <w:rsid w:val="006A7DFF"/>
    <w:rsid w:val="006B0384"/>
    <w:rsid w:val="006B0469"/>
    <w:rsid w:val="006B08D8"/>
    <w:rsid w:val="006B0925"/>
    <w:rsid w:val="006B0973"/>
    <w:rsid w:val="006B1231"/>
    <w:rsid w:val="006B1AD4"/>
    <w:rsid w:val="006B1C0B"/>
    <w:rsid w:val="006B1C87"/>
    <w:rsid w:val="006B21AA"/>
    <w:rsid w:val="006B24E1"/>
    <w:rsid w:val="006B277A"/>
    <w:rsid w:val="006B27FD"/>
    <w:rsid w:val="006B2C28"/>
    <w:rsid w:val="006B311C"/>
    <w:rsid w:val="006B34BE"/>
    <w:rsid w:val="006B38A8"/>
    <w:rsid w:val="006B3B09"/>
    <w:rsid w:val="006B3F25"/>
    <w:rsid w:val="006B3F5D"/>
    <w:rsid w:val="006B40B0"/>
    <w:rsid w:val="006B445E"/>
    <w:rsid w:val="006B4785"/>
    <w:rsid w:val="006B4949"/>
    <w:rsid w:val="006B4C57"/>
    <w:rsid w:val="006B4E1E"/>
    <w:rsid w:val="006B52D9"/>
    <w:rsid w:val="006B556C"/>
    <w:rsid w:val="006B5662"/>
    <w:rsid w:val="006B56EC"/>
    <w:rsid w:val="006B5722"/>
    <w:rsid w:val="006B5A06"/>
    <w:rsid w:val="006B5ADB"/>
    <w:rsid w:val="006B5DCE"/>
    <w:rsid w:val="006B6588"/>
    <w:rsid w:val="006B69D2"/>
    <w:rsid w:val="006B6B5B"/>
    <w:rsid w:val="006B6CB4"/>
    <w:rsid w:val="006B73B9"/>
    <w:rsid w:val="006B741B"/>
    <w:rsid w:val="006B7642"/>
    <w:rsid w:val="006B7EFE"/>
    <w:rsid w:val="006C0522"/>
    <w:rsid w:val="006C06D7"/>
    <w:rsid w:val="006C0CF3"/>
    <w:rsid w:val="006C0DBD"/>
    <w:rsid w:val="006C1014"/>
    <w:rsid w:val="006C1021"/>
    <w:rsid w:val="006C13C3"/>
    <w:rsid w:val="006C13CB"/>
    <w:rsid w:val="006C145B"/>
    <w:rsid w:val="006C167A"/>
    <w:rsid w:val="006C1749"/>
    <w:rsid w:val="006C1A1F"/>
    <w:rsid w:val="006C25F1"/>
    <w:rsid w:val="006C2626"/>
    <w:rsid w:val="006C2966"/>
    <w:rsid w:val="006C2C29"/>
    <w:rsid w:val="006C2E0A"/>
    <w:rsid w:val="006C2EF3"/>
    <w:rsid w:val="006C355C"/>
    <w:rsid w:val="006C3918"/>
    <w:rsid w:val="006C3E91"/>
    <w:rsid w:val="006C421F"/>
    <w:rsid w:val="006C44CD"/>
    <w:rsid w:val="006C47FC"/>
    <w:rsid w:val="006C4FD2"/>
    <w:rsid w:val="006C5448"/>
    <w:rsid w:val="006C567D"/>
    <w:rsid w:val="006C56B8"/>
    <w:rsid w:val="006C5828"/>
    <w:rsid w:val="006C599F"/>
    <w:rsid w:val="006C5A94"/>
    <w:rsid w:val="006C63FD"/>
    <w:rsid w:val="006C6FE4"/>
    <w:rsid w:val="006C742F"/>
    <w:rsid w:val="006C746C"/>
    <w:rsid w:val="006C758D"/>
    <w:rsid w:val="006C7693"/>
    <w:rsid w:val="006C7CAB"/>
    <w:rsid w:val="006D02F3"/>
    <w:rsid w:val="006D0648"/>
    <w:rsid w:val="006D0DAD"/>
    <w:rsid w:val="006D0DB2"/>
    <w:rsid w:val="006D103A"/>
    <w:rsid w:val="006D1DE1"/>
    <w:rsid w:val="006D2317"/>
    <w:rsid w:val="006D266D"/>
    <w:rsid w:val="006D2C7E"/>
    <w:rsid w:val="006D2E0D"/>
    <w:rsid w:val="006D2E14"/>
    <w:rsid w:val="006D2F68"/>
    <w:rsid w:val="006D31EC"/>
    <w:rsid w:val="006D32CD"/>
    <w:rsid w:val="006D3749"/>
    <w:rsid w:val="006D37B0"/>
    <w:rsid w:val="006D3A92"/>
    <w:rsid w:val="006D3E24"/>
    <w:rsid w:val="006D4551"/>
    <w:rsid w:val="006D489D"/>
    <w:rsid w:val="006D4AE0"/>
    <w:rsid w:val="006D4BE0"/>
    <w:rsid w:val="006D4D7F"/>
    <w:rsid w:val="006D4DF3"/>
    <w:rsid w:val="006D4FD3"/>
    <w:rsid w:val="006D51B1"/>
    <w:rsid w:val="006D5A15"/>
    <w:rsid w:val="006D5A97"/>
    <w:rsid w:val="006D5D6C"/>
    <w:rsid w:val="006D5D7E"/>
    <w:rsid w:val="006D5FF2"/>
    <w:rsid w:val="006D6048"/>
    <w:rsid w:val="006D65CA"/>
    <w:rsid w:val="006D66C8"/>
    <w:rsid w:val="006D6C3A"/>
    <w:rsid w:val="006D6F55"/>
    <w:rsid w:val="006D6F58"/>
    <w:rsid w:val="006D72A5"/>
    <w:rsid w:val="006D73BB"/>
    <w:rsid w:val="006D76B9"/>
    <w:rsid w:val="006D7870"/>
    <w:rsid w:val="006D7FD1"/>
    <w:rsid w:val="006E0448"/>
    <w:rsid w:val="006E06EE"/>
    <w:rsid w:val="006E09DE"/>
    <w:rsid w:val="006E0CC6"/>
    <w:rsid w:val="006E0E92"/>
    <w:rsid w:val="006E0E9C"/>
    <w:rsid w:val="006E0F08"/>
    <w:rsid w:val="006E117D"/>
    <w:rsid w:val="006E12B0"/>
    <w:rsid w:val="006E1377"/>
    <w:rsid w:val="006E143C"/>
    <w:rsid w:val="006E145D"/>
    <w:rsid w:val="006E1582"/>
    <w:rsid w:val="006E165D"/>
    <w:rsid w:val="006E174E"/>
    <w:rsid w:val="006E189A"/>
    <w:rsid w:val="006E1938"/>
    <w:rsid w:val="006E1970"/>
    <w:rsid w:val="006E1B20"/>
    <w:rsid w:val="006E1DDE"/>
    <w:rsid w:val="006E2136"/>
    <w:rsid w:val="006E2191"/>
    <w:rsid w:val="006E2329"/>
    <w:rsid w:val="006E24B2"/>
    <w:rsid w:val="006E2816"/>
    <w:rsid w:val="006E282A"/>
    <w:rsid w:val="006E2A26"/>
    <w:rsid w:val="006E2AF2"/>
    <w:rsid w:val="006E2EA8"/>
    <w:rsid w:val="006E3280"/>
    <w:rsid w:val="006E33DF"/>
    <w:rsid w:val="006E39FC"/>
    <w:rsid w:val="006E42FD"/>
    <w:rsid w:val="006E432A"/>
    <w:rsid w:val="006E44D9"/>
    <w:rsid w:val="006E47C7"/>
    <w:rsid w:val="006E4F7F"/>
    <w:rsid w:val="006E4FC2"/>
    <w:rsid w:val="006E50A3"/>
    <w:rsid w:val="006E532D"/>
    <w:rsid w:val="006E53B4"/>
    <w:rsid w:val="006E53F3"/>
    <w:rsid w:val="006E5CAF"/>
    <w:rsid w:val="006E5E48"/>
    <w:rsid w:val="006E6220"/>
    <w:rsid w:val="006E62EB"/>
    <w:rsid w:val="006E64C8"/>
    <w:rsid w:val="006E6529"/>
    <w:rsid w:val="006E6607"/>
    <w:rsid w:val="006E69A9"/>
    <w:rsid w:val="006E6A23"/>
    <w:rsid w:val="006E6CFE"/>
    <w:rsid w:val="006E6D83"/>
    <w:rsid w:val="006E6E11"/>
    <w:rsid w:val="006E71C1"/>
    <w:rsid w:val="006E71F3"/>
    <w:rsid w:val="006E7410"/>
    <w:rsid w:val="006E778C"/>
    <w:rsid w:val="006E7AC2"/>
    <w:rsid w:val="006F00FD"/>
    <w:rsid w:val="006F0854"/>
    <w:rsid w:val="006F0C20"/>
    <w:rsid w:val="006F0D0D"/>
    <w:rsid w:val="006F0DD9"/>
    <w:rsid w:val="006F0E79"/>
    <w:rsid w:val="006F117F"/>
    <w:rsid w:val="006F13A7"/>
    <w:rsid w:val="006F144F"/>
    <w:rsid w:val="006F155C"/>
    <w:rsid w:val="006F1A01"/>
    <w:rsid w:val="006F2133"/>
    <w:rsid w:val="006F2505"/>
    <w:rsid w:val="006F2800"/>
    <w:rsid w:val="006F28B2"/>
    <w:rsid w:val="006F30D2"/>
    <w:rsid w:val="006F3104"/>
    <w:rsid w:val="006F32CD"/>
    <w:rsid w:val="006F3306"/>
    <w:rsid w:val="006F36C4"/>
    <w:rsid w:val="006F37AF"/>
    <w:rsid w:val="006F39E0"/>
    <w:rsid w:val="006F3A65"/>
    <w:rsid w:val="006F3DA0"/>
    <w:rsid w:val="006F4061"/>
    <w:rsid w:val="006F41AC"/>
    <w:rsid w:val="006F43CD"/>
    <w:rsid w:val="006F446E"/>
    <w:rsid w:val="006F46D2"/>
    <w:rsid w:val="006F513C"/>
    <w:rsid w:val="006F54E8"/>
    <w:rsid w:val="006F571F"/>
    <w:rsid w:val="006F5C7D"/>
    <w:rsid w:val="006F5E2D"/>
    <w:rsid w:val="006F5E70"/>
    <w:rsid w:val="006F6118"/>
    <w:rsid w:val="006F61F8"/>
    <w:rsid w:val="006F6789"/>
    <w:rsid w:val="006F68F6"/>
    <w:rsid w:val="006F6BD9"/>
    <w:rsid w:val="006F70DB"/>
    <w:rsid w:val="006F74EA"/>
    <w:rsid w:val="006F77E7"/>
    <w:rsid w:val="006F7D2B"/>
    <w:rsid w:val="00700017"/>
    <w:rsid w:val="007004C2"/>
    <w:rsid w:val="007007E6"/>
    <w:rsid w:val="007009F7"/>
    <w:rsid w:val="00700A01"/>
    <w:rsid w:val="00701027"/>
    <w:rsid w:val="007012C0"/>
    <w:rsid w:val="007016AF"/>
    <w:rsid w:val="00701A74"/>
    <w:rsid w:val="00701BF9"/>
    <w:rsid w:val="00701EFA"/>
    <w:rsid w:val="00701F0C"/>
    <w:rsid w:val="00702372"/>
    <w:rsid w:val="007023B6"/>
    <w:rsid w:val="00702577"/>
    <w:rsid w:val="0070283F"/>
    <w:rsid w:val="00702C5B"/>
    <w:rsid w:val="00702D4D"/>
    <w:rsid w:val="00702E7F"/>
    <w:rsid w:val="00702FA2"/>
    <w:rsid w:val="00703056"/>
    <w:rsid w:val="00703459"/>
    <w:rsid w:val="0070369E"/>
    <w:rsid w:val="00703820"/>
    <w:rsid w:val="00703BB5"/>
    <w:rsid w:val="00703C0D"/>
    <w:rsid w:val="00703E31"/>
    <w:rsid w:val="007043F8"/>
    <w:rsid w:val="00704676"/>
    <w:rsid w:val="007047E3"/>
    <w:rsid w:val="00704935"/>
    <w:rsid w:val="00704A9A"/>
    <w:rsid w:val="00704C38"/>
    <w:rsid w:val="00704CB9"/>
    <w:rsid w:val="00704CBD"/>
    <w:rsid w:val="00705322"/>
    <w:rsid w:val="00706012"/>
    <w:rsid w:val="00706065"/>
    <w:rsid w:val="0070635D"/>
    <w:rsid w:val="00706390"/>
    <w:rsid w:val="0070646C"/>
    <w:rsid w:val="007067A8"/>
    <w:rsid w:val="007069D6"/>
    <w:rsid w:val="00706A36"/>
    <w:rsid w:val="00706C4B"/>
    <w:rsid w:val="00706E83"/>
    <w:rsid w:val="00707489"/>
    <w:rsid w:val="007075CD"/>
    <w:rsid w:val="00707882"/>
    <w:rsid w:val="007078B4"/>
    <w:rsid w:val="007078C7"/>
    <w:rsid w:val="007079E1"/>
    <w:rsid w:val="00707AAA"/>
    <w:rsid w:val="00707B1D"/>
    <w:rsid w:val="00707B2B"/>
    <w:rsid w:val="00707CC9"/>
    <w:rsid w:val="00707DCB"/>
    <w:rsid w:val="00707EE3"/>
    <w:rsid w:val="00710065"/>
    <w:rsid w:val="00710107"/>
    <w:rsid w:val="007101EF"/>
    <w:rsid w:val="007105D2"/>
    <w:rsid w:val="0071073E"/>
    <w:rsid w:val="00710855"/>
    <w:rsid w:val="00710AB2"/>
    <w:rsid w:val="00710B37"/>
    <w:rsid w:val="00710DC2"/>
    <w:rsid w:val="007112C8"/>
    <w:rsid w:val="007113AF"/>
    <w:rsid w:val="00711462"/>
    <w:rsid w:val="007114D6"/>
    <w:rsid w:val="0071152F"/>
    <w:rsid w:val="00711875"/>
    <w:rsid w:val="00711CB6"/>
    <w:rsid w:val="00711FD1"/>
    <w:rsid w:val="00712148"/>
    <w:rsid w:val="007121F2"/>
    <w:rsid w:val="00712434"/>
    <w:rsid w:val="00712FE6"/>
    <w:rsid w:val="00713096"/>
    <w:rsid w:val="00713110"/>
    <w:rsid w:val="00713317"/>
    <w:rsid w:val="007134AA"/>
    <w:rsid w:val="007139D0"/>
    <w:rsid w:val="00713B7F"/>
    <w:rsid w:val="00713D54"/>
    <w:rsid w:val="00713EEF"/>
    <w:rsid w:val="00714433"/>
    <w:rsid w:val="00714FEA"/>
    <w:rsid w:val="007159E3"/>
    <w:rsid w:val="00715B06"/>
    <w:rsid w:val="00715CED"/>
    <w:rsid w:val="00715D3E"/>
    <w:rsid w:val="00715DED"/>
    <w:rsid w:val="00716263"/>
    <w:rsid w:val="00716313"/>
    <w:rsid w:val="0071687A"/>
    <w:rsid w:val="00716ADF"/>
    <w:rsid w:val="00716D12"/>
    <w:rsid w:val="00716D22"/>
    <w:rsid w:val="00716E53"/>
    <w:rsid w:val="0071722C"/>
    <w:rsid w:val="00717F0E"/>
    <w:rsid w:val="007201E4"/>
    <w:rsid w:val="00720335"/>
    <w:rsid w:val="00720913"/>
    <w:rsid w:val="00720B78"/>
    <w:rsid w:val="00720DE0"/>
    <w:rsid w:val="00720F78"/>
    <w:rsid w:val="007210FB"/>
    <w:rsid w:val="00721627"/>
    <w:rsid w:val="00722509"/>
    <w:rsid w:val="007227FE"/>
    <w:rsid w:val="00722834"/>
    <w:rsid w:val="00722986"/>
    <w:rsid w:val="0072298E"/>
    <w:rsid w:val="00722D13"/>
    <w:rsid w:val="00722E20"/>
    <w:rsid w:val="00722F98"/>
    <w:rsid w:val="007232BF"/>
    <w:rsid w:val="007236C8"/>
    <w:rsid w:val="00723718"/>
    <w:rsid w:val="00723918"/>
    <w:rsid w:val="00723961"/>
    <w:rsid w:val="00723E17"/>
    <w:rsid w:val="00724035"/>
    <w:rsid w:val="00724305"/>
    <w:rsid w:val="0072437F"/>
    <w:rsid w:val="00724530"/>
    <w:rsid w:val="00724552"/>
    <w:rsid w:val="007245EF"/>
    <w:rsid w:val="007247D2"/>
    <w:rsid w:val="00724DF1"/>
    <w:rsid w:val="00724F70"/>
    <w:rsid w:val="007251C7"/>
    <w:rsid w:val="00725838"/>
    <w:rsid w:val="007258F9"/>
    <w:rsid w:val="00725E74"/>
    <w:rsid w:val="00725F15"/>
    <w:rsid w:val="00725F82"/>
    <w:rsid w:val="0072617E"/>
    <w:rsid w:val="00726577"/>
    <w:rsid w:val="00726714"/>
    <w:rsid w:val="00726B71"/>
    <w:rsid w:val="00726C33"/>
    <w:rsid w:val="00727974"/>
    <w:rsid w:val="00727D68"/>
    <w:rsid w:val="00730058"/>
    <w:rsid w:val="00730387"/>
    <w:rsid w:val="007304C7"/>
    <w:rsid w:val="0073050E"/>
    <w:rsid w:val="00730824"/>
    <w:rsid w:val="007309FE"/>
    <w:rsid w:val="00730CE8"/>
    <w:rsid w:val="00731273"/>
    <w:rsid w:val="0073150E"/>
    <w:rsid w:val="007315C2"/>
    <w:rsid w:val="007315FD"/>
    <w:rsid w:val="007316EF"/>
    <w:rsid w:val="007319E0"/>
    <w:rsid w:val="00731A34"/>
    <w:rsid w:val="00731CFE"/>
    <w:rsid w:val="00731E22"/>
    <w:rsid w:val="00731EE5"/>
    <w:rsid w:val="00732307"/>
    <w:rsid w:val="00732999"/>
    <w:rsid w:val="00732E97"/>
    <w:rsid w:val="007331D3"/>
    <w:rsid w:val="0073345F"/>
    <w:rsid w:val="0073358D"/>
    <w:rsid w:val="0073369D"/>
    <w:rsid w:val="00733973"/>
    <w:rsid w:val="00733E1A"/>
    <w:rsid w:val="00734199"/>
    <w:rsid w:val="007343B2"/>
    <w:rsid w:val="0073441B"/>
    <w:rsid w:val="007346A0"/>
    <w:rsid w:val="007348EF"/>
    <w:rsid w:val="007349B0"/>
    <w:rsid w:val="007350D1"/>
    <w:rsid w:val="00735462"/>
    <w:rsid w:val="007355C9"/>
    <w:rsid w:val="007356E3"/>
    <w:rsid w:val="007358D2"/>
    <w:rsid w:val="00735CCB"/>
    <w:rsid w:val="007368F9"/>
    <w:rsid w:val="00736BF9"/>
    <w:rsid w:val="00736F63"/>
    <w:rsid w:val="007370A6"/>
    <w:rsid w:val="007371A5"/>
    <w:rsid w:val="0073757F"/>
    <w:rsid w:val="00737A30"/>
    <w:rsid w:val="00737C75"/>
    <w:rsid w:val="0074018D"/>
    <w:rsid w:val="0074039D"/>
    <w:rsid w:val="00740AA1"/>
    <w:rsid w:val="00740C35"/>
    <w:rsid w:val="00741413"/>
    <w:rsid w:val="007419BE"/>
    <w:rsid w:val="00741BCC"/>
    <w:rsid w:val="0074295A"/>
    <w:rsid w:val="00742B99"/>
    <w:rsid w:val="00742C38"/>
    <w:rsid w:val="00742DA3"/>
    <w:rsid w:val="0074315D"/>
    <w:rsid w:val="007444BC"/>
    <w:rsid w:val="007445C6"/>
    <w:rsid w:val="00744645"/>
    <w:rsid w:val="007446E5"/>
    <w:rsid w:val="00744701"/>
    <w:rsid w:val="007448E2"/>
    <w:rsid w:val="00744F0A"/>
    <w:rsid w:val="007451C7"/>
    <w:rsid w:val="0074537E"/>
    <w:rsid w:val="0074547C"/>
    <w:rsid w:val="00745967"/>
    <w:rsid w:val="00746346"/>
    <w:rsid w:val="00746716"/>
    <w:rsid w:val="00746BD8"/>
    <w:rsid w:val="0074710C"/>
    <w:rsid w:val="0074771B"/>
    <w:rsid w:val="00747C06"/>
    <w:rsid w:val="00747E1B"/>
    <w:rsid w:val="00747F49"/>
    <w:rsid w:val="00750D86"/>
    <w:rsid w:val="00750DD0"/>
    <w:rsid w:val="00750FB7"/>
    <w:rsid w:val="0075126E"/>
    <w:rsid w:val="00751707"/>
    <w:rsid w:val="00751752"/>
    <w:rsid w:val="007517EE"/>
    <w:rsid w:val="00751A30"/>
    <w:rsid w:val="0075201C"/>
    <w:rsid w:val="007520EF"/>
    <w:rsid w:val="00752254"/>
    <w:rsid w:val="007522C7"/>
    <w:rsid w:val="007524EC"/>
    <w:rsid w:val="00752D88"/>
    <w:rsid w:val="00752E7A"/>
    <w:rsid w:val="00753027"/>
    <w:rsid w:val="007531BC"/>
    <w:rsid w:val="0075387C"/>
    <w:rsid w:val="00753B12"/>
    <w:rsid w:val="00753B8D"/>
    <w:rsid w:val="007546DC"/>
    <w:rsid w:val="00754993"/>
    <w:rsid w:val="00754A78"/>
    <w:rsid w:val="00754D82"/>
    <w:rsid w:val="00754DE8"/>
    <w:rsid w:val="00755022"/>
    <w:rsid w:val="00755432"/>
    <w:rsid w:val="007556FD"/>
    <w:rsid w:val="0075581F"/>
    <w:rsid w:val="00755C06"/>
    <w:rsid w:val="00755DB0"/>
    <w:rsid w:val="00755E57"/>
    <w:rsid w:val="00755F88"/>
    <w:rsid w:val="00756116"/>
    <w:rsid w:val="00756458"/>
    <w:rsid w:val="00756547"/>
    <w:rsid w:val="0075691A"/>
    <w:rsid w:val="00756B09"/>
    <w:rsid w:val="00756CE6"/>
    <w:rsid w:val="00756F01"/>
    <w:rsid w:val="00756F1A"/>
    <w:rsid w:val="007571EA"/>
    <w:rsid w:val="007571FF"/>
    <w:rsid w:val="00757678"/>
    <w:rsid w:val="0075772A"/>
    <w:rsid w:val="00757CB8"/>
    <w:rsid w:val="00757D5A"/>
    <w:rsid w:val="007600F8"/>
    <w:rsid w:val="0076010A"/>
    <w:rsid w:val="0076020B"/>
    <w:rsid w:val="00760B48"/>
    <w:rsid w:val="00760BF5"/>
    <w:rsid w:val="00760C7B"/>
    <w:rsid w:val="00760F46"/>
    <w:rsid w:val="007611B5"/>
    <w:rsid w:val="007613B7"/>
    <w:rsid w:val="00761810"/>
    <w:rsid w:val="007619D0"/>
    <w:rsid w:val="00761CD9"/>
    <w:rsid w:val="00761EDE"/>
    <w:rsid w:val="00762164"/>
    <w:rsid w:val="0076233F"/>
    <w:rsid w:val="00762442"/>
    <w:rsid w:val="0076249D"/>
    <w:rsid w:val="00762A98"/>
    <w:rsid w:val="00762BE7"/>
    <w:rsid w:val="00762C45"/>
    <w:rsid w:val="00762D7E"/>
    <w:rsid w:val="00762D9F"/>
    <w:rsid w:val="00762FA0"/>
    <w:rsid w:val="00762FE0"/>
    <w:rsid w:val="007631AF"/>
    <w:rsid w:val="0076339A"/>
    <w:rsid w:val="00763873"/>
    <w:rsid w:val="0076399F"/>
    <w:rsid w:val="00763A93"/>
    <w:rsid w:val="00763EA4"/>
    <w:rsid w:val="00763EB2"/>
    <w:rsid w:val="00764036"/>
    <w:rsid w:val="00764450"/>
    <w:rsid w:val="0076494C"/>
    <w:rsid w:val="00764AA1"/>
    <w:rsid w:val="00764B63"/>
    <w:rsid w:val="0076545E"/>
    <w:rsid w:val="0076565B"/>
    <w:rsid w:val="0076582A"/>
    <w:rsid w:val="00765BCF"/>
    <w:rsid w:val="0076609F"/>
    <w:rsid w:val="007662E3"/>
    <w:rsid w:val="007663A0"/>
    <w:rsid w:val="0076664B"/>
    <w:rsid w:val="0076679E"/>
    <w:rsid w:val="007668BE"/>
    <w:rsid w:val="00766AF8"/>
    <w:rsid w:val="00766FA4"/>
    <w:rsid w:val="00767031"/>
    <w:rsid w:val="007670C3"/>
    <w:rsid w:val="00767202"/>
    <w:rsid w:val="00767655"/>
    <w:rsid w:val="007676BC"/>
    <w:rsid w:val="007705ED"/>
    <w:rsid w:val="00770A1C"/>
    <w:rsid w:val="00770B20"/>
    <w:rsid w:val="00771A7F"/>
    <w:rsid w:val="00771B1C"/>
    <w:rsid w:val="00771B52"/>
    <w:rsid w:val="00771C84"/>
    <w:rsid w:val="007720BA"/>
    <w:rsid w:val="007724F9"/>
    <w:rsid w:val="00772522"/>
    <w:rsid w:val="00772561"/>
    <w:rsid w:val="007728CD"/>
    <w:rsid w:val="00772A18"/>
    <w:rsid w:val="00772D72"/>
    <w:rsid w:val="00772E18"/>
    <w:rsid w:val="00773314"/>
    <w:rsid w:val="00773C18"/>
    <w:rsid w:val="00773DD3"/>
    <w:rsid w:val="007742AC"/>
    <w:rsid w:val="007742B8"/>
    <w:rsid w:val="00774DF7"/>
    <w:rsid w:val="00775138"/>
    <w:rsid w:val="00775433"/>
    <w:rsid w:val="007754F7"/>
    <w:rsid w:val="0077553B"/>
    <w:rsid w:val="00775ECA"/>
    <w:rsid w:val="00775EE5"/>
    <w:rsid w:val="00777086"/>
    <w:rsid w:val="007771A1"/>
    <w:rsid w:val="007771A2"/>
    <w:rsid w:val="007772F5"/>
    <w:rsid w:val="00777463"/>
    <w:rsid w:val="007775D7"/>
    <w:rsid w:val="00777A4E"/>
    <w:rsid w:val="00777C70"/>
    <w:rsid w:val="00777D4F"/>
    <w:rsid w:val="007801AC"/>
    <w:rsid w:val="00780314"/>
    <w:rsid w:val="0078044D"/>
    <w:rsid w:val="007806A7"/>
    <w:rsid w:val="00780761"/>
    <w:rsid w:val="007807F7"/>
    <w:rsid w:val="00780938"/>
    <w:rsid w:val="00780BA7"/>
    <w:rsid w:val="00780CA2"/>
    <w:rsid w:val="00780F91"/>
    <w:rsid w:val="00781240"/>
    <w:rsid w:val="0078144F"/>
    <w:rsid w:val="00781598"/>
    <w:rsid w:val="0078170C"/>
    <w:rsid w:val="0078173E"/>
    <w:rsid w:val="0078173F"/>
    <w:rsid w:val="007817A4"/>
    <w:rsid w:val="00781AC4"/>
    <w:rsid w:val="00781CFE"/>
    <w:rsid w:val="007821FF"/>
    <w:rsid w:val="007823F9"/>
    <w:rsid w:val="007824AA"/>
    <w:rsid w:val="007824C2"/>
    <w:rsid w:val="007825C1"/>
    <w:rsid w:val="007826EF"/>
    <w:rsid w:val="00782743"/>
    <w:rsid w:val="007827A0"/>
    <w:rsid w:val="00782875"/>
    <w:rsid w:val="00782A52"/>
    <w:rsid w:val="00782A64"/>
    <w:rsid w:val="00782B0E"/>
    <w:rsid w:val="00782CD5"/>
    <w:rsid w:val="00782FF0"/>
    <w:rsid w:val="007832CE"/>
    <w:rsid w:val="00783331"/>
    <w:rsid w:val="00783366"/>
    <w:rsid w:val="0078349C"/>
    <w:rsid w:val="0078366B"/>
    <w:rsid w:val="007837D7"/>
    <w:rsid w:val="00783D4D"/>
    <w:rsid w:val="00783DFE"/>
    <w:rsid w:val="00784638"/>
    <w:rsid w:val="0078468E"/>
    <w:rsid w:val="00784BB6"/>
    <w:rsid w:val="00784C71"/>
    <w:rsid w:val="00785194"/>
    <w:rsid w:val="0078558E"/>
    <w:rsid w:val="007855CC"/>
    <w:rsid w:val="0078584B"/>
    <w:rsid w:val="00785A3D"/>
    <w:rsid w:val="00785C47"/>
    <w:rsid w:val="00786545"/>
    <w:rsid w:val="007865C5"/>
    <w:rsid w:val="0078689A"/>
    <w:rsid w:val="00786E0E"/>
    <w:rsid w:val="00787294"/>
    <w:rsid w:val="00790436"/>
    <w:rsid w:val="0079058A"/>
    <w:rsid w:val="00790754"/>
    <w:rsid w:val="00790B72"/>
    <w:rsid w:val="00790E3B"/>
    <w:rsid w:val="00791223"/>
    <w:rsid w:val="007913B5"/>
    <w:rsid w:val="00791504"/>
    <w:rsid w:val="00791923"/>
    <w:rsid w:val="00791C30"/>
    <w:rsid w:val="00791E17"/>
    <w:rsid w:val="007920C3"/>
    <w:rsid w:val="007926C4"/>
    <w:rsid w:val="0079288F"/>
    <w:rsid w:val="007928C8"/>
    <w:rsid w:val="007928D6"/>
    <w:rsid w:val="00793099"/>
    <w:rsid w:val="007932A5"/>
    <w:rsid w:val="00793877"/>
    <w:rsid w:val="007939D9"/>
    <w:rsid w:val="00793A50"/>
    <w:rsid w:val="00793D17"/>
    <w:rsid w:val="007948F1"/>
    <w:rsid w:val="00794A31"/>
    <w:rsid w:val="00794B7C"/>
    <w:rsid w:val="00794BEE"/>
    <w:rsid w:val="00794EE0"/>
    <w:rsid w:val="007950D2"/>
    <w:rsid w:val="007951C7"/>
    <w:rsid w:val="007951F5"/>
    <w:rsid w:val="007954DA"/>
    <w:rsid w:val="00795726"/>
    <w:rsid w:val="00795C62"/>
    <w:rsid w:val="00796150"/>
    <w:rsid w:val="00796678"/>
    <w:rsid w:val="0079690E"/>
    <w:rsid w:val="00796923"/>
    <w:rsid w:val="00796A2B"/>
    <w:rsid w:val="00796CBF"/>
    <w:rsid w:val="00796E22"/>
    <w:rsid w:val="007970A8"/>
    <w:rsid w:val="00797220"/>
    <w:rsid w:val="00797285"/>
    <w:rsid w:val="00797485"/>
    <w:rsid w:val="00797567"/>
    <w:rsid w:val="00797972"/>
    <w:rsid w:val="00797A6C"/>
    <w:rsid w:val="00797E00"/>
    <w:rsid w:val="007A00ED"/>
    <w:rsid w:val="007A0111"/>
    <w:rsid w:val="007A0269"/>
    <w:rsid w:val="007A0531"/>
    <w:rsid w:val="007A0581"/>
    <w:rsid w:val="007A05CB"/>
    <w:rsid w:val="007A06FB"/>
    <w:rsid w:val="007A081A"/>
    <w:rsid w:val="007A0CBD"/>
    <w:rsid w:val="007A0CED"/>
    <w:rsid w:val="007A0E94"/>
    <w:rsid w:val="007A1246"/>
    <w:rsid w:val="007A181C"/>
    <w:rsid w:val="007A1ADA"/>
    <w:rsid w:val="007A1C7A"/>
    <w:rsid w:val="007A1D64"/>
    <w:rsid w:val="007A1F9C"/>
    <w:rsid w:val="007A205C"/>
    <w:rsid w:val="007A2260"/>
    <w:rsid w:val="007A2384"/>
    <w:rsid w:val="007A25ED"/>
    <w:rsid w:val="007A285F"/>
    <w:rsid w:val="007A2A7A"/>
    <w:rsid w:val="007A2AA3"/>
    <w:rsid w:val="007A2C69"/>
    <w:rsid w:val="007A2CF4"/>
    <w:rsid w:val="007A2EEE"/>
    <w:rsid w:val="007A302B"/>
    <w:rsid w:val="007A3104"/>
    <w:rsid w:val="007A31C0"/>
    <w:rsid w:val="007A31F5"/>
    <w:rsid w:val="007A351A"/>
    <w:rsid w:val="007A35CF"/>
    <w:rsid w:val="007A36DF"/>
    <w:rsid w:val="007A3796"/>
    <w:rsid w:val="007A3D3B"/>
    <w:rsid w:val="007A4119"/>
    <w:rsid w:val="007A417B"/>
    <w:rsid w:val="007A4380"/>
    <w:rsid w:val="007A4382"/>
    <w:rsid w:val="007A4A1D"/>
    <w:rsid w:val="007A4A95"/>
    <w:rsid w:val="007A4FD8"/>
    <w:rsid w:val="007A5281"/>
    <w:rsid w:val="007A537B"/>
    <w:rsid w:val="007A55DB"/>
    <w:rsid w:val="007A5B07"/>
    <w:rsid w:val="007A5B19"/>
    <w:rsid w:val="007A5D16"/>
    <w:rsid w:val="007A62C1"/>
    <w:rsid w:val="007A667E"/>
    <w:rsid w:val="007A6893"/>
    <w:rsid w:val="007A6993"/>
    <w:rsid w:val="007A6FE7"/>
    <w:rsid w:val="007A7172"/>
    <w:rsid w:val="007A71DC"/>
    <w:rsid w:val="007A72E5"/>
    <w:rsid w:val="007A738A"/>
    <w:rsid w:val="007A77DA"/>
    <w:rsid w:val="007A7CC0"/>
    <w:rsid w:val="007B0515"/>
    <w:rsid w:val="007B07D4"/>
    <w:rsid w:val="007B0A1A"/>
    <w:rsid w:val="007B0A8F"/>
    <w:rsid w:val="007B11E2"/>
    <w:rsid w:val="007B1355"/>
    <w:rsid w:val="007B136F"/>
    <w:rsid w:val="007B137E"/>
    <w:rsid w:val="007B1592"/>
    <w:rsid w:val="007B17AA"/>
    <w:rsid w:val="007B1A4E"/>
    <w:rsid w:val="007B1CAD"/>
    <w:rsid w:val="007B1D51"/>
    <w:rsid w:val="007B1F60"/>
    <w:rsid w:val="007B23C8"/>
    <w:rsid w:val="007B2527"/>
    <w:rsid w:val="007B26CA"/>
    <w:rsid w:val="007B26FA"/>
    <w:rsid w:val="007B276A"/>
    <w:rsid w:val="007B27AB"/>
    <w:rsid w:val="007B2890"/>
    <w:rsid w:val="007B2898"/>
    <w:rsid w:val="007B2D58"/>
    <w:rsid w:val="007B30C4"/>
    <w:rsid w:val="007B30F3"/>
    <w:rsid w:val="007B310E"/>
    <w:rsid w:val="007B34E8"/>
    <w:rsid w:val="007B37B2"/>
    <w:rsid w:val="007B3B88"/>
    <w:rsid w:val="007B4161"/>
    <w:rsid w:val="007B4189"/>
    <w:rsid w:val="007B42A6"/>
    <w:rsid w:val="007B45AC"/>
    <w:rsid w:val="007B5129"/>
    <w:rsid w:val="007B57C6"/>
    <w:rsid w:val="007B5968"/>
    <w:rsid w:val="007B607D"/>
    <w:rsid w:val="007B620A"/>
    <w:rsid w:val="007B666C"/>
    <w:rsid w:val="007B6717"/>
    <w:rsid w:val="007B687E"/>
    <w:rsid w:val="007B6A7C"/>
    <w:rsid w:val="007B6A99"/>
    <w:rsid w:val="007B6CD0"/>
    <w:rsid w:val="007B6CF6"/>
    <w:rsid w:val="007B6FBD"/>
    <w:rsid w:val="007B73A2"/>
    <w:rsid w:val="007B755C"/>
    <w:rsid w:val="007B768B"/>
    <w:rsid w:val="007B7860"/>
    <w:rsid w:val="007B78EB"/>
    <w:rsid w:val="007B79AE"/>
    <w:rsid w:val="007B7C64"/>
    <w:rsid w:val="007B7D7F"/>
    <w:rsid w:val="007B7E81"/>
    <w:rsid w:val="007C0026"/>
    <w:rsid w:val="007C052D"/>
    <w:rsid w:val="007C05E6"/>
    <w:rsid w:val="007C0730"/>
    <w:rsid w:val="007C096A"/>
    <w:rsid w:val="007C1068"/>
    <w:rsid w:val="007C1905"/>
    <w:rsid w:val="007C190F"/>
    <w:rsid w:val="007C1B9A"/>
    <w:rsid w:val="007C1E2B"/>
    <w:rsid w:val="007C295A"/>
    <w:rsid w:val="007C29C9"/>
    <w:rsid w:val="007C2A55"/>
    <w:rsid w:val="007C335F"/>
    <w:rsid w:val="007C3D5E"/>
    <w:rsid w:val="007C3D9B"/>
    <w:rsid w:val="007C43C9"/>
    <w:rsid w:val="007C4597"/>
    <w:rsid w:val="007C4751"/>
    <w:rsid w:val="007C48B4"/>
    <w:rsid w:val="007C4CD1"/>
    <w:rsid w:val="007C51A5"/>
    <w:rsid w:val="007C58A8"/>
    <w:rsid w:val="007C5E69"/>
    <w:rsid w:val="007C5EE2"/>
    <w:rsid w:val="007C62BF"/>
    <w:rsid w:val="007C62DB"/>
    <w:rsid w:val="007C65AA"/>
    <w:rsid w:val="007C68A8"/>
    <w:rsid w:val="007C751A"/>
    <w:rsid w:val="007C75ED"/>
    <w:rsid w:val="007C7AC5"/>
    <w:rsid w:val="007C7BB0"/>
    <w:rsid w:val="007C7C7A"/>
    <w:rsid w:val="007C7E63"/>
    <w:rsid w:val="007C7F81"/>
    <w:rsid w:val="007D01EE"/>
    <w:rsid w:val="007D0D63"/>
    <w:rsid w:val="007D100F"/>
    <w:rsid w:val="007D1164"/>
    <w:rsid w:val="007D13D5"/>
    <w:rsid w:val="007D174D"/>
    <w:rsid w:val="007D1B09"/>
    <w:rsid w:val="007D1B4F"/>
    <w:rsid w:val="007D1CF3"/>
    <w:rsid w:val="007D1E1D"/>
    <w:rsid w:val="007D20CA"/>
    <w:rsid w:val="007D210C"/>
    <w:rsid w:val="007D24A4"/>
    <w:rsid w:val="007D26A3"/>
    <w:rsid w:val="007D282C"/>
    <w:rsid w:val="007D2D00"/>
    <w:rsid w:val="007D2FC1"/>
    <w:rsid w:val="007D3019"/>
    <w:rsid w:val="007D302F"/>
    <w:rsid w:val="007D30D8"/>
    <w:rsid w:val="007D34E9"/>
    <w:rsid w:val="007D358F"/>
    <w:rsid w:val="007D359D"/>
    <w:rsid w:val="007D36F2"/>
    <w:rsid w:val="007D45D6"/>
    <w:rsid w:val="007D525C"/>
    <w:rsid w:val="007D5381"/>
    <w:rsid w:val="007D53D5"/>
    <w:rsid w:val="007D552F"/>
    <w:rsid w:val="007D56E5"/>
    <w:rsid w:val="007D575E"/>
    <w:rsid w:val="007D58AA"/>
    <w:rsid w:val="007D59B1"/>
    <w:rsid w:val="007D59D7"/>
    <w:rsid w:val="007D5B21"/>
    <w:rsid w:val="007D5F07"/>
    <w:rsid w:val="007D63E1"/>
    <w:rsid w:val="007D643E"/>
    <w:rsid w:val="007D6623"/>
    <w:rsid w:val="007D66AF"/>
    <w:rsid w:val="007D6721"/>
    <w:rsid w:val="007D67C3"/>
    <w:rsid w:val="007D68F6"/>
    <w:rsid w:val="007D6E3E"/>
    <w:rsid w:val="007D6F5E"/>
    <w:rsid w:val="007D70A1"/>
    <w:rsid w:val="007D7590"/>
    <w:rsid w:val="007D772B"/>
    <w:rsid w:val="007D7997"/>
    <w:rsid w:val="007D7A5B"/>
    <w:rsid w:val="007E0048"/>
    <w:rsid w:val="007E01C8"/>
    <w:rsid w:val="007E03D4"/>
    <w:rsid w:val="007E05D3"/>
    <w:rsid w:val="007E07EC"/>
    <w:rsid w:val="007E1A7F"/>
    <w:rsid w:val="007E1B21"/>
    <w:rsid w:val="007E28B5"/>
    <w:rsid w:val="007E2AB7"/>
    <w:rsid w:val="007E2E84"/>
    <w:rsid w:val="007E3776"/>
    <w:rsid w:val="007E3896"/>
    <w:rsid w:val="007E395A"/>
    <w:rsid w:val="007E3B5F"/>
    <w:rsid w:val="007E3D1B"/>
    <w:rsid w:val="007E3F77"/>
    <w:rsid w:val="007E3FED"/>
    <w:rsid w:val="007E45E1"/>
    <w:rsid w:val="007E4D23"/>
    <w:rsid w:val="007E4F11"/>
    <w:rsid w:val="007E5228"/>
    <w:rsid w:val="007E5235"/>
    <w:rsid w:val="007E5326"/>
    <w:rsid w:val="007E53F4"/>
    <w:rsid w:val="007E55F6"/>
    <w:rsid w:val="007E5759"/>
    <w:rsid w:val="007E57BC"/>
    <w:rsid w:val="007E58EA"/>
    <w:rsid w:val="007E5AA7"/>
    <w:rsid w:val="007E5AD0"/>
    <w:rsid w:val="007E5C21"/>
    <w:rsid w:val="007E5C5A"/>
    <w:rsid w:val="007E5DFD"/>
    <w:rsid w:val="007E5E8D"/>
    <w:rsid w:val="007E5EC8"/>
    <w:rsid w:val="007E6B2A"/>
    <w:rsid w:val="007E6C53"/>
    <w:rsid w:val="007E7321"/>
    <w:rsid w:val="007E7329"/>
    <w:rsid w:val="007E751D"/>
    <w:rsid w:val="007E771A"/>
    <w:rsid w:val="007E7ABA"/>
    <w:rsid w:val="007E7EB1"/>
    <w:rsid w:val="007E7FBB"/>
    <w:rsid w:val="007F0233"/>
    <w:rsid w:val="007F09C3"/>
    <w:rsid w:val="007F0B26"/>
    <w:rsid w:val="007F0E42"/>
    <w:rsid w:val="007F10FE"/>
    <w:rsid w:val="007F177E"/>
    <w:rsid w:val="007F189B"/>
    <w:rsid w:val="007F1B42"/>
    <w:rsid w:val="007F1CD1"/>
    <w:rsid w:val="007F24E3"/>
    <w:rsid w:val="007F25ED"/>
    <w:rsid w:val="007F2816"/>
    <w:rsid w:val="007F28F6"/>
    <w:rsid w:val="007F2A61"/>
    <w:rsid w:val="007F2C5C"/>
    <w:rsid w:val="007F2CAD"/>
    <w:rsid w:val="007F2CF0"/>
    <w:rsid w:val="007F34E6"/>
    <w:rsid w:val="007F3564"/>
    <w:rsid w:val="007F3764"/>
    <w:rsid w:val="007F38E1"/>
    <w:rsid w:val="007F3BE7"/>
    <w:rsid w:val="007F3CD8"/>
    <w:rsid w:val="007F3F5A"/>
    <w:rsid w:val="007F40F2"/>
    <w:rsid w:val="007F4590"/>
    <w:rsid w:val="007F4F0C"/>
    <w:rsid w:val="007F50F0"/>
    <w:rsid w:val="007F544E"/>
    <w:rsid w:val="007F5539"/>
    <w:rsid w:val="007F5573"/>
    <w:rsid w:val="007F55FE"/>
    <w:rsid w:val="007F5B9A"/>
    <w:rsid w:val="007F6477"/>
    <w:rsid w:val="007F6661"/>
    <w:rsid w:val="007F69E3"/>
    <w:rsid w:val="007F6AE1"/>
    <w:rsid w:val="007F723D"/>
    <w:rsid w:val="007F7371"/>
    <w:rsid w:val="007F7644"/>
    <w:rsid w:val="007F76F8"/>
    <w:rsid w:val="007F7F94"/>
    <w:rsid w:val="0080079C"/>
    <w:rsid w:val="0080081C"/>
    <w:rsid w:val="008008FC"/>
    <w:rsid w:val="00800B49"/>
    <w:rsid w:val="00800F33"/>
    <w:rsid w:val="0080141C"/>
    <w:rsid w:val="008014EA"/>
    <w:rsid w:val="008014ED"/>
    <w:rsid w:val="00801608"/>
    <w:rsid w:val="0080179F"/>
    <w:rsid w:val="00801D98"/>
    <w:rsid w:val="00802752"/>
    <w:rsid w:val="008028CC"/>
    <w:rsid w:val="00802A80"/>
    <w:rsid w:val="00802C86"/>
    <w:rsid w:val="00802E93"/>
    <w:rsid w:val="008030E7"/>
    <w:rsid w:val="0080328F"/>
    <w:rsid w:val="00803DC4"/>
    <w:rsid w:val="00803DCB"/>
    <w:rsid w:val="00803E8C"/>
    <w:rsid w:val="00803F43"/>
    <w:rsid w:val="008040F6"/>
    <w:rsid w:val="00804242"/>
    <w:rsid w:val="008042C6"/>
    <w:rsid w:val="008043E4"/>
    <w:rsid w:val="00804487"/>
    <w:rsid w:val="00804AEF"/>
    <w:rsid w:val="00804CAB"/>
    <w:rsid w:val="00804EEF"/>
    <w:rsid w:val="0080577D"/>
    <w:rsid w:val="008060E8"/>
    <w:rsid w:val="00806291"/>
    <w:rsid w:val="008062CA"/>
    <w:rsid w:val="008062EF"/>
    <w:rsid w:val="008064F3"/>
    <w:rsid w:val="008065DF"/>
    <w:rsid w:val="008068C2"/>
    <w:rsid w:val="00807133"/>
    <w:rsid w:val="00807170"/>
    <w:rsid w:val="0080778B"/>
    <w:rsid w:val="00807A27"/>
    <w:rsid w:val="00807CC3"/>
    <w:rsid w:val="00807E8F"/>
    <w:rsid w:val="00807F2F"/>
    <w:rsid w:val="00810093"/>
    <w:rsid w:val="00810120"/>
    <w:rsid w:val="00810151"/>
    <w:rsid w:val="0081054C"/>
    <w:rsid w:val="00810933"/>
    <w:rsid w:val="00810B92"/>
    <w:rsid w:val="00810C38"/>
    <w:rsid w:val="00810CF1"/>
    <w:rsid w:val="0081107D"/>
    <w:rsid w:val="0081117E"/>
    <w:rsid w:val="00811265"/>
    <w:rsid w:val="0081163A"/>
    <w:rsid w:val="00811BAF"/>
    <w:rsid w:val="008120AA"/>
    <w:rsid w:val="0081217E"/>
    <w:rsid w:val="008121FF"/>
    <w:rsid w:val="008126AB"/>
    <w:rsid w:val="00812766"/>
    <w:rsid w:val="00812A7A"/>
    <w:rsid w:val="00812DE5"/>
    <w:rsid w:val="00813461"/>
    <w:rsid w:val="008135CC"/>
    <w:rsid w:val="0081423A"/>
    <w:rsid w:val="00814313"/>
    <w:rsid w:val="008147A3"/>
    <w:rsid w:val="008147EC"/>
    <w:rsid w:val="00814C2B"/>
    <w:rsid w:val="00814D60"/>
    <w:rsid w:val="00814D64"/>
    <w:rsid w:val="008152AC"/>
    <w:rsid w:val="008154D4"/>
    <w:rsid w:val="00815713"/>
    <w:rsid w:val="008158DF"/>
    <w:rsid w:val="00815933"/>
    <w:rsid w:val="00815AD3"/>
    <w:rsid w:val="0081687A"/>
    <w:rsid w:val="00816AB7"/>
    <w:rsid w:val="00816D59"/>
    <w:rsid w:val="00817002"/>
    <w:rsid w:val="00817414"/>
    <w:rsid w:val="00817744"/>
    <w:rsid w:val="0082006A"/>
    <w:rsid w:val="0082014E"/>
    <w:rsid w:val="0082016E"/>
    <w:rsid w:val="0082055E"/>
    <w:rsid w:val="008205EF"/>
    <w:rsid w:val="00820973"/>
    <w:rsid w:val="008209E8"/>
    <w:rsid w:val="00820BAB"/>
    <w:rsid w:val="00820CEF"/>
    <w:rsid w:val="00820E55"/>
    <w:rsid w:val="00820F19"/>
    <w:rsid w:val="00820FFE"/>
    <w:rsid w:val="008211DE"/>
    <w:rsid w:val="00821408"/>
    <w:rsid w:val="00821972"/>
    <w:rsid w:val="00821A29"/>
    <w:rsid w:val="00821CC6"/>
    <w:rsid w:val="00821DC8"/>
    <w:rsid w:val="00821F62"/>
    <w:rsid w:val="00822071"/>
    <w:rsid w:val="008221F9"/>
    <w:rsid w:val="0082228B"/>
    <w:rsid w:val="00822D5A"/>
    <w:rsid w:val="008238D8"/>
    <w:rsid w:val="00823F27"/>
    <w:rsid w:val="0082412B"/>
    <w:rsid w:val="0082424A"/>
    <w:rsid w:val="008242B6"/>
    <w:rsid w:val="008243F6"/>
    <w:rsid w:val="00824D17"/>
    <w:rsid w:val="00824F90"/>
    <w:rsid w:val="008259B7"/>
    <w:rsid w:val="008259FE"/>
    <w:rsid w:val="00825ACA"/>
    <w:rsid w:val="00825E9A"/>
    <w:rsid w:val="00825F59"/>
    <w:rsid w:val="00826056"/>
    <w:rsid w:val="00826161"/>
    <w:rsid w:val="00826B7A"/>
    <w:rsid w:val="00826BF3"/>
    <w:rsid w:val="00826C2D"/>
    <w:rsid w:val="00826F9A"/>
    <w:rsid w:val="00827005"/>
    <w:rsid w:val="00827A05"/>
    <w:rsid w:val="00830337"/>
    <w:rsid w:val="0083034E"/>
    <w:rsid w:val="00830526"/>
    <w:rsid w:val="008305F8"/>
    <w:rsid w:val="00830979"/>
    <w:rsid w:val="00830B95"/>
    <w:rsid w:val="00830D58"/>
    <w:rsid w:val="0083121B"/>
    <w:rsid w:val="0083155A"/>
    <w:rsid w:val="00831788"/>
    <w:rsid w:val="00831BD1"/>
    <w:rsid w:val="00831C72"/>
    <w:rsid w:val="00831CE0"/>
    <w:rsid w:val="00831E15"/>
    <w:rsid w:val="00831E59"/>
    <w:rsid w:val="00831F78"/>
    <w:rsid w:val="00832289"/>
    <w:rsid w:val="008322DD"/>
    <w:rsid w:val="00832366"/>
    <w:rsid w:val="008323FF"/>
    <w:rsid w:val="00832652"/>
    <w:rsid w:val="00832FF9"/>
    <w:rsid w:val="00833311"/>
    <w:rsid w:val="00833680"/>
    <w:rsid w:val="00833962"/>
    <w:rsid w:val="00833A77"/>
    <w:rsid w:val="00833CA6"/>
    <w:rsid w:val="00833F65"/>
    <w:rsid w:val="008341EB"/>
    <w:rsid w:val="008342CD"/>
    <w:rsid w:val="00834467"/>
    <w:rsid w:val="008344A3"/>
    <w:rsid w:val="008348A4"/>
    <w:rsid w:val="008349CC"/>
    <w:rsid w:val="00834A50"/>
    <w:rsid w:val="00834DFE"/>
    <w:rsid w:val="00834FB3"/>
    <w:rsid w:val="0083511B"/>
    <w:rsid w:val="008353D5"/>
    <w:rsid w:val="0083577B"/>
    <w:rsid w:val="008364A3"/>
    <w:rsid w:val="0083678C"/>
    <w:rsid w:val="00836812"/>
    <w:rsid w:val="008368BB"/>
    <w:rsid w:val="00836B42"/>
    <w:rsid w:val="00837462"/>
    <w:rsid w:val="00837477"/>
    <w:rsid w:val="00837B10"/>
    <w:rsid w:val="00837CD0"/>
    <w:rsid w:val="0084004E"/>
    <w:rsid w:val="0084034D"/>
    <w:rsid w:val="0084063B"/>
    <w:rsid w:val="008406A4"/>
    <w:rsid w:val="008407A2"/>
    <w:rsid w:val="008409BC"/>
    <w:rsid w:val="008409FF"/>
    <w:rsid w:val="00840F84"/>
    <w:rsid w:val="00840FCD"/>
    <w:rsid w:val="0084125E"/>
    <w:rsid w:val="00841349"/>
    <w:rsid w:val="008413E7"/>
    <w:rsid w:val="008415C9"/>
    <w:rsid w:val="00841979"/>
    <w:rsid w:val="00841C9A"/>
    <w:rsid w:val="00842168"/>
    <w:rsid w:val="00842390"/>
    <w:rsid w:val="00842413"/>
    <w:rsid w:val="0084275E"/>
    <w:rsid w:val="0084276E"/>
    <w:rsid w:val="0084280C"/>
    <w:rsid w:val="00842869"/>
    <w:rsid w:val="00842F58"/>
    <w:rsid w:val="008437DF"/>
    <w:rsid w:val="00843874"/>
    <w:rsid w:val="00843B06"/>
    <w:rsid w:val="00843BEA"/>
    <w:rsid w:val="00844165"/>
    <w:rsid w:val="00844390"/>
    <w:rsid w:val="00844498"/>
    <w:rsid w:val="00844A96"/>
    <w:rsid w:val="00844DE4"/>
    <w:rsid w:val="00845117"/>
    <w:rsid w:val="008459B4"/>
    <w:rsid w:val="008459DC"/>
    <w:rsid w:val="00845A4B"/>
    <w:rsid w:val="00845C59"/>
    <w:rsid w:val="00845CF7"/>
    <w:rsid w:val="00845FE8"/>
    <w:rsid w:val="008460F6"/>
    <w:rsid w:val="008461E0"/>
    <w:rsid w:val="008463DD"/>
    <w:rsid w:val="008464B2"/>
    <w:rsid w:val="008464CA"/>
    <w:rsid w:val="008465CE"/>
    <w:rsid w:val="00847074"/>
    <w:rsid w:val="008473BD"/>
    <w:rsid w:val="008476DC"/>
    <w:rsid w:val="00847791"/>
    <w:rsid w:val="008479FB"/>
    <w:rsid w:val="00847D3D"/>
    <w:rsid w:val="00847E69"/>
    <w:rsid w:val="00850148"/>
    <w:rsid w:val="008501F3"/>
    <w:rsid w:val="008502F6"/>
    <w:rsid w:val="00850458"/>
    <w:rsid w:val="00850839"/>
    <w:rsid w:val="00850A76"/>
    <w:rsid w:val="00850C40"/>
    <w:rsid w:val="00850E01"/>
    <w:rsid w:val="00850EAC"/>
    <w:rsid w:val="0085133B"/>
    <w:rsid w:val="008513DD"/>
    <w:rsid w:val="008514A2"/>
    <w:rsid w:val="008516B7"/>
    <w:rsid w:val="008517CF"/>
    <w:rsid w:val="0085190E"/>
    <w:rsid w:val="0085198C"/>
    <w:rsid w:val="00851B2E"/>
    <w:rsid w:val="00851BE8"/>
    <w:rsid w:val="00851C71"/>
    <w:rsid w:val="00852214"/>
    <w:rsid w:val="00852344"/>
    <w:rsid w:val="0085281F"/>
    <w:rsid w:val="00852944"/>
    <w:rsid w:val="00852B35"/>
    <w:rsid w:val="00852BFD"/>
    <w:rsid w:val="00852DD4"/>
    <w:rsid w:val="00852E18"/>
    <w:rsid w:val="0085315F"/>
    <w:rsid w:val="00853373"/>
    <w:rsid w:val="008533C3"/>
    <w:rsid w:val="00853640"/>
    <w:rsid w:val="0085386E"/>
    <w:rsid w:val="00853B35"/>
    <w:rsid w:val="00853C83"/>
    <w:rsid w:val="00853C96"/>
    <w:rsid w:val="00853D0B"/>
    <w:rsid w:val="008547B0"/>
    <w:rsid w:val="00854913"/>
    <w:rsid w:val="00854B57"/>
    <w:rsid w:val="00854BB8"/>
    <w:rsid w:val="00854DA1"/>
    <w:rsid w:val="00854DB2"/>
    <w:rsid w:val="00855A60"/>
    <w:rsid w:val="00855E2E"/>
    <w:rsid w:val="00855E9A"/>
    <w:rsid w:val="00856167"/>
    <w:rsid w:val="008563A7"/>
    <w:rsid w:val="008563D4"/>
    <w:rsid w:val="008567D4"/>
    <w:rsid w:val="0085692D"/>
    <w:rsid w:val="00856D72"/>
    <w:rsid w:val="00856F3F"/>
    <w:rsid w:val="00857024"/>
    <w:rsid w:val="0085782F"/>
    <w:rsid w:val="00857995"/>
    <w:rsid w:val="008579C3"/>
    <w:rsid w:val="00857AD4"/>
    <w:rsid w:val="0086011A"/>
    <w:rsid w:val="008606B0"/>
    <w:rsid w:val="008607B6"/>
    <w:rsid w:val="00860A42"/>
    <w:rsid w:val="00860BE9"/>
    <w:rsid w:val="00860C5C"/>
    <w:rsid w:val="0086106E"/>
    <w:rsid w:val="008611EC"/>
    <w:rsid w:val="00861289"/>
    <w:rsid w:val="00861765"/>
    <w:rsid w:val="00861B1E"/>
    <w:rsid w:val="00861CAC"/>
    <w:rsid w:val="00861E55"/>
    <w:rsid w:val="00862146"/>
    <w:rsid w:val="00862246"/>
    <w:rsid w:val="00862423"/>
    <w:rsid w:val="0086266C"/>
    <w:rsid w:val="008628D7"/>
    <w:rsid w:val="00862A0B"/>
    <w:rsid w:val="00862B75"/>
    <w:rsid w:val="00862BF6"/>
    <w:rsid w:val="00862C0B"/>
    <w:rsid w:val="00862F14"/>
    <w:rsid w:val="008632DA"/>
    <w:rsid w:val="008634B1"/>
    <w:rsid w:val="008634C3"/>
    <w:rsid w:val="00863517"/>
    <w:rsid w:val="008638C2"/>
    <w:rsid w:val="00863992"/>
    <w:rsid w:val="00863BA8"/>
    <w:rsid w:val="00863E43"/>
    <w:rsid w:val="00863E9C"/>
    <w:rsid w:val="008641F8"/>
    <w:rsid w:val="008644AF"/>
    <w:rsid w:val="00864827"/>
    <w:rsid w:val="00864908"/>
    <w:rsid w:val="00864910"/>
    <w:rsid w:val="00864BE9"/>
    <w:rsid w:val="00864C70"/>
    <w:rsid w:val="00865052"/>
    <w:rsid w:val="00865594"/>
    <w:rsid w:val="00865A4D"/>
    <w:rsid w:val="00865C3A"/>
    <w:rsid w:val="00865CF8"/>
    <w:rsid w:val="00866077"/>
    <w:rsid w:val="00866A01"/>
    <w:rsid w:val="00867360"/>
    <w:rsid w:val="0086747C"/>
    <w:rsid w:val="008675D9"/>
    <w:rsid w:val="008677C6"/>
    <w:rsid w:val="00867AB4"/>
    <w:rsid w:val="00867B5B"/>
    <w:rsid w:val="00867DEB"/>
    <w:rsid w:val="00867EA2"/>
    <w:rsid w:val="00870202"/>
    <w:rsid w:val="00870598"/>
    <w:rsid w:val="0087081C"/>
    <w:rsid w:val="00870C1D"/>
    <w:rsid w:val="00870DEA"/>
    <w:rsid w:val="0087116E"/>
    <w:rsid w:val="00871220"/>
    <w:rsid w:val="008715B5"/>
    <w:rsid w:val="0087173D"/>
    <w:rsid w:val="00871763"/>
    <w:rsid w:val="00871C2E"/>
    <w:rsid w:val="008720CB"/>
    <w:rsid w:val="00872330"/>
    <w:rsid w:val="008723CD"/>
    <w:rsid w:val="008723F8"/>
    <w:rsid w:val="00872659"/>
    <w:rsid w:val="008726CC"/>
    <w:rsid w:val="0087313E"/>
    <w:rsid w:val="00873478"/>
    <w:rsid w:val="008736F2"/>
    <w:rsid w:val="00873D60"/>
    <w:rsid w:val="00873EFF"/>
    <w:rsid w:val="00874331"/>
    <w:rsid w:val="00874438"/>
    <w:rsid w:val="008747F6"/>
    <w:rsid w:val="00874BDC"/>
    <w:rsid w:val="00874C04"/>
    <w:rsid w:val="00874E49"/>
    <w:rsid w:val="00875158"/>
    <w:rsid w:val="008752D8"/>
    <w:rsid w:val="00875397"/>
    <w:rsid w:val="00875714"/>
    <w:rsid w:val="00875A48"/>
    <w:rsid w:val="00875AA7"/>
    <w:rsid w:val="00875BC5"/>
    <w:rsid w:val="00875DBE"/>
    <w:rsid w:val="00875E74"/>
    <w:rsid w:val="00875F00"/>
    <w:rsid w:val="00876250"/>
    <w:rsid w:val="008762FE"/>
    <w:rsid w:val="0087678F"/>
    <w:rsid w:val="00876E6A"/>
    <w:rsid w:val="008771C1"/>
    <w:rsid w:val="008774DE"/>
    <w:rsid w:val="00877B1A"/>
    <w:rsid w:val="00880262"/>
    <w:rsid w:val="00880270"/>
    <w:rsid w:val="00880300"/>
    <w:rsid w:val="008805CA"/>
    <w:rsid w:val="00880763"/>
    <w:rsid w:val="0088111D"/>
    <w:rsid w:val="008812C6"/>
    <w:rsid w:val="00881D29"/>
    <w:rsid w:val="008822D0"/>
    <w:rsid w:val="008822FA"/>
    <w:rsid w:val="00882334"/>
    <w:rsid w:val="00882726"/>
    <w:rsid w:val="008829BA"/>
    <w:rsid w:val="008837ED"/>
    <w:rsid w:val="00883849"/>
    <w:rsid w:val="00883B6D"/>
    <w:rsid w:val="00883B8F"/>
    <w:rsid w:val="00883F9F"/>
    <w:rsid w:val="0088435E"/>
    <w:rsid w:val="008843DF"/>
    <w:rsid w:val="00884E33"/>
    <w:rsid w:val="008851A5"/>
    <w:rsid w:val="00885284"/>
    <w:rsid w:val="00885377"/>
    <w:rsid w:val="0088537B"/>
    <w:rsid w:val="00885527"/>
    <w:rsid w:val="0088556E"/>
    <w:rsid w:val="00885627"/>
    <w:rsid w:val="00885870"/>
    <w:rsid w:val="008859F7"/>
    <w:rsid w:val="00885BD8"/>
    <w:rsid w:val="00885E0A"/>
    <w:rsid w:val="00885F5E"/>
    <w:rsid w:val="00886073"/>
    <w:rsid w:val="0088614B"/>
    <w:rsid w:val="008861AE"/>
    <w:rsid w:val="0088631D"/>
    <w:rsid w:val="00886629"/>
    <w:rsid w:val="00887750"/>
    <w:rsid w:val="00887C8B"/>
    <w:rsid w:val="00887CE6"/>
    <w:rsid w:val="008911BD"/>
    <w:rsid w:val="00891DB9"/>
    <w:rsid w:val="00891F05"/>
    <w:rsid w:val="00891FFD"/>
    <w:rsid w:val="00892450"/>
    <w:rsid w:val="008926F9"/>
    <w:rsid w:val="00892DBE"/>
    <w:rsid w:val="0089315D"/>
    <w:rsid w:val="0089335D"/>
    <w:rsid w:val="0089338C"/>
    <w:rsid w:val="00893814"/>
    <w:rsid w:val="0089438A"/>
    <w:rsid w:val="00894398"/>
    <w:rsid w:val="0089459B"/>
    <w:rsid w:val="0089499B"/>
    <w:rsid w:val="00894B20"/>
    <w:rsid w:val="00894E5F"/>
    <w:rsid w:val="00894E81"/>
    <w:rsid w:val="00895062"/>
    <w:rsid w:val="008950FD"/>
    <w:rsid w:val="008956C6"/>
    <w:rsid w:val="008957F0"/>
    <w:rsid w:val="00895876"/>
    <w:rsid w:val="008959FC"/>
    <w:rsid w:val="00895FEE"/>
    <w:rsid w:val="0089606E"/>
    <w:rsid w:val="0089616F"/>
    <w:rsid w:val="00896424"/>
    <w:rsid w:val="0089649A"/>
    <w:rsid w:val="00896887"/>
    <w:rsid w:val="00896D5B"/>
    <w:rsid w:val="00896DFD"/>
    <w:rsid w:val="00896E4E"/>
    <w:rsid w:val="00896F82"/>
    <w:rsid w:val="00896FC8"/>
    <w:rsid w:val="0089755F"/>
    <w:rsid w:val="008A0204"/>
    <w:rsid w:val="008A03E5"/>
    <w:rsid w:val="008A091D"/>
    <w:rsid w:val="008A09DE"/>
    <w:rsid w:val="008A0AB9"/>
    <w:rsid w:val="008A1198"/>
    <w:rsid w:val="008A1466"/>
    <w:rsid w:val="008A154E"/>
    <w:rsid w:val="008A1621"/>
    <w:rsid w:val="008A1666"/>
    <w:rsid w:val="008A17F3"/>
    <w:rsid w:val="008A18CC"/>
    <w:rsid w:val="008A1B7E"/>
    <w:rsid w:val="008A1ED6"/>
    <w:rsid w:val="008A2015"/>
    <w:rsid w:val="008A2249"/>
    <w:rsid w:val="008A2430"/>
    <w:rsid w:val="008A249B"/>
    <w:rsid w:val="008A25A5"/>
    <w:rsid w:val="008A25B9"/>
    <w:rsid w:val="008A2751"/>
    <w:rsid w:val="008A2C3C"/>
    <w:rsid w:val="008A2FE5"/>
    <w:rsid w:val="008A324A"/>
    <w:rsid w:val="008A35BC"/>
    <w:rsid w:val="008A38C3"/>
    <w:rsid w:val="008A3998"/>
    <w:rsid w:val="008A3AA8"/>
    <w:rsid w:val="008A3B00"/>
    <w:rsid w:val="008A3B78"/>
    <w:rsid w:val="008A4523"/>
    <w:rsid w:val="008A4A19"/>
    <w:rsid w:val="008A4A60"/>
    <w:rsid w:val="008A4CCF"/>
    <w:rsid w:val="008A505F"/>
    <w:rsid w:val="008A51D2"/>
    <w:rsid w:val="008A51F5"/>
    <w:rsid w:val="008A5ABA"/>
    <w:rsid w:val="008A5C12"/>
    <w:rsid w:val="008A5F6F"/>
    <w:rsid w:val="008A5F89"/>
    <w:rsid w:val="008A6502"/>
    <w:rsid w:val="008A6AA0"/>
    <w:rsid w:val="008A6AFA"/>
    <w:rsid w:val="008A6B74"/>
    <w:rsid w:val="008A6B75"/>
    <w:rsid w:val="008A6EB1"/>
    <w:rsid w:val="008A6F40"/>
    <w:rsid w:val="008A71C2"/>
    <w:rsid w:val="008A734D"/>
    <w:rsid w:val="008A78FE"/>
    <w:rsid w:val="008A7F75"/>
    <w:rsid w:val="008B01D4"/>
    <w:rsid w:val="008B027B"/>
    <w:rsid w:val="008B0292"/>
    <w:rsid w:val="008B036D"/>
    <w:rsid w:val="008B03C8"/>
    <w:rsid w:val="008B03D8"/>
    <w:rsid w:val="008B0660"/>
    <w:rsid w:val="008B1296"/>
    <w:rsid w:val="008B1311"/>
    <w:rsid w:val="008B1370"/>
    <w:rsid w:val="008B1510"/>
    <w:rsid w:val="008B19FD"/>
    <w:rsid w:val="008B1D08"/>
    <w:rsid w:val="008B1E63"/>
    <w:rsid w:val="008B2356"/>
    <w:rsid w:val="008B28CF"/>
    <w:rsid w:val="008B2903"/>
    <w:rsid w:val="008B2956"/>
    <w:rsid w:val="008B2BCA"/>
    <w:rsid w:val="008B3240"/>
    <w:rsid w:val="008B37F8"/>
    <w:rsid w:val="008B45BA"/>
    <w:rsid w:val="008B48DE"/>
    <w:rsid w:val="008B501C"/>
    <w:rsid w:val="008B51C0"/>
    <w:rsid w:val="008B5382"/>
    <w:rsid w:val="008B561D"/>
    <w:rsid w:val="008B568F"/>
    <w:rsid w:val="008B5737"/>
    <w:rsid w:val="008B574C"/>
    <w:rsid w:val="008B5ACF"/>
    <w:rsid w:val="008B5D6F"/>
    <w:rsid w:val="008B5DD8"/>
    <w:rsid w:val="008B64E9"/>
    <w:rsid w:val="008B6663"/>
    <w:rsid w:val="008B6C64"/>
    <w:rsid w:val="008B6CE1"/>
    <w:rsid w:val="008B6FD5"/>
    <w:rsid w:val="008B70CC"/>
    <w:rsid w:val="008B71E0"/>
    <w:rsid w:val="008B7302"/>
    <w:rsid w:val="008B7548"/>
    <w:rsid w:val="008B7D50"/>
    <w:rsid w:val="008C0182"/>
    <w:rsid w:val="008C0651"/>
    <w:rsid w:val="008C1567"/>
    <w:rsid w:val="008C15F9"/>
    <w:rsid w:val="008C1849"/>
    <w:rsid w:val="008C1868"/>
    <w:rsid w:val="008C1BCA"/>
    <w:rsid w:val="008C1FF0"/>
    <w:rsid w:val="008C258F"/>
    <w:rsid w:val="008C2AD4"/>
    <w:rsid w:val="008C2B30"/>
    <w:rsid w:val="008C2BEA"/>
    <w:rsid w:val="008C2DF8"/>
    <w:rsid w:val="008C30D6"/>
    <w:rsid w:val="008C320F"/>
    <w:rsid w:val="008C3475"/>
    <w:rsid w:val="008C37D2"/>
    <w:rsid w:val="008C3E19"/>
    <w:rsid w:val="008C4196"/>
    <w:rsid w:val="008C4591"/>
    <w:rsid w:val="008C48D4"/>
    <w:rsid w:val="008C4B36"/>
    <w:rsid w:val="008C5043"/>
    <w:rsid w:val="008C57CB"/>
    <w:rsid w:val="008C580D"/>
    <w:rsid w:val="008C59EB"/>
    <w:rsid w:val="008C5AD5"/>
    <w:rsid w:val="008C5B36"/>
    <w:rsid w:val="008C5F0D"/>
    <w:rsid w:val="008C6067"/>
    <w:rsid w:val="008C60AC"/>
    <w:rsid w:val="008C626A"/>
    <w:rsid w:val="008C62C9"/>
    <w:rsid w:val="008C6352"/>
    <w:rsid w:val="008C67F0"/>
    <w:rsid w:val="008C6988"/>
    <w:rsid w:val="008C6A5D"/>
    <w:rsid w:val="008C6EAA"/>
    <w:rsid w:val="008C6EE8"/>
    <w:rsid w:val="008C7112"/>
    <w:rsid w:val="008C7126"/>
    <w:rsid w:val="008C7653"/>
    <w:rsid w:val="008C77C8"/>
    <w:rsid w:val="008C77D8"/>
    <w:rsid w:val="008C7822"/>
    <w:rsid w:val="008C7AAA"/>
    <w:rsid w:val="008C7C2F"/>
    <w:rsid w:val="008C7DAA"/>
    <w:rsid w:val="008C7ECE"/>
    <w:rsid w:val="008D00AB"/>
    <w:rsid w:val="008D03AD"/>
    <w:rsid w:val="008D0501"/>
    <w:rsid w:val="008D07A0"/>
    <w:rsid w:val="008D0B43"/>
    <w:rsid w:val="008D0E96"/>
    <w:rsid w:val="008D0F0F"/>
    <w:rsid w:val="008D10C8"/>
    <w:rsid w:val="008D1628"/>
    <w:rsid w:val="008D17F5"/>
    <w:rsid w:val="008D1941"/>
    <w:rsid w:val="008D1C3D"/>
    <w:rsid w:val="008D1CBE"/>
    <w:rsid w:val="008D1DFE"/>
    <w:rsid w:val="008D1EDF"/>
    <w:rsid w:val="008D1FB4"/>
    <w:rsid w:val="008D206D"/>
    <w:rsid w:val="008D28F0"/>
    <w:rsid w:val="008D2C68"/>
    <w:rsid w:val="008D3063"/>
    <w:rsid w:val="008D3504"/>
    <w:rsid w:val="008D3893"/>
    <w:rsid w:val="008D3E47"/>
    <w:rsid w:val="008D413B"/>
    <w:rsid w:val="008D47A3"/>
    <w:rsid w:val="008D49A6"/>
    <w:rsid w:val="008D4AE0"/>
    <w:rsid w:val="008D4B6E"/>
    <w:rsid w:val="008D4BD2"/>
    <w:rsid w:val="008D4EE3"/>
    <w:rsid w:val="008D548C"/>
    <w:rsid w:val="008D5711"/>
    <w:rsid w:val="008D579A"/>
    <w:rsid w:val="008D59B2"/>
    <w:rsid w:val="008D6030"/>
    <w:rsid w:val="008D610C"/>
    <w:rsid w:val="008D669E"/>
    <w:rsid w:val="008D6BA6"/>
    <w:rsid w:val="008D6CAC"/>
    <w:rsid w:val="008D7222"/>
    <w:rsid w:val="008D7305"/>
    <w:rsid w:val="008D73BF"/>
    <w:rsid w:val="008D7436"/>
    <w:rsid w:val="008D75C5"/>
    <w:rsid w:val="008D7C94"/>
    <w:rsid w:val="008D7D7F"/>
    <w:rsid w:val="008D7F71"/>
    <w:rsid w:val="008E00FF"/>
    <w:rsid w:val="008E02CB"/>
    <w:rsid w:val="008E0475"/>
    <w:rsid w:val="008E0925"/>
    <w:rsid w:val="008E0E12"/>
    <w:rsid w:val="008E1301"/>
    <w:rsid w:val="008E1394"/>
    <w:rsid w:val="008E1788"/>
    <w:rsid w:val="008E1894"/>
    <w:rsid w:val="008E1A18"/>
    <w:rsid w:val="008E1A97"/>
    <w:rsid w:val="008E1C4C"/>
    <w:rsid w:val="008E1CFF"/>
    <w:rsid w:val="008E1D3D"/>
    <w:rsid w:val="008E1F47"/>
    <w:rsid w:val="008E1FFA"/>
    <w:rsid w:val="008E21AE"/>
    <w:rsid w:val="008E21CA"/>
    <w:rsid w:val="008E28A3"/>
    <w:rsid w:val="008E28F8"/>
    <w:rsid w:val="008E29E4"/>
    <w:rsid w:val="008E2A22"/>
    <w:rsid w:val="008E2CE2"/>
    <w:rsid w:val="008E2D4E"/>
    <w:rsid w:val="008E30EF"/>
    <w:rsid w:val="008E3971"/>
    <w:rsid w:val="008E3BE8"/>
    <w:rsid w:val="008E3CE4"/>
    <w:rsid w:val="008E4A5D"/>
    <w:rsid w:val="008E4B79"/>
    <w:rsid w:val="008E4D8C"/>
    <w:rsid w:val="008E4E9E"/>
    <w:rsid w:val="008E4F22"/>
    <w:rsid w:val="008E527F"/>
    <w:rsid w:val="008E52FD"/>
    <w:rsid w:val="008E5B64"/>
    <w:rsid w:val="008E5E59"/>
    <w:rsid w:val="008E5F71"/>
    <w:rsid w:val="008E6217"/>
    <w:rsid w:val="008E6400"/>
    <w:rsid w:val="008E6525"/>
    <w:rsid w:val="008E668A"/>
    <w:rsid w:val="008E6A9A"/>
    <w:rsid w:val="008E6D97"/>
    <w:rsid w:val="008E7110"/>
    <w:rsid w:val="008E78AD"/>
    <w:rsid w:val="008E7B1D"/>
    <w:rsid w:val="008E7E70"/>
    <w:rsid w:val="008E7FB2"/>
    <w:rsid w:val="008F000C"/>
    <w:rsid w:val="008F04A6"/>
    <w:rsid w:val="008F05E2"/>
    <w:rsid w:val="008F07F5"/>
    <w:rsid w:val="008F092B"/>
    <w:rsid w:val="008F0E70"/>
    <w:rsid w:val="008F134A"/>
    <w:rsid w:val="008F13F1"/>
    <w:rsid w:val="008F1498"/>
    <w:rsid w:val="008F14FA"/>
    <w:rsid w:val="008F19FD"/>
    <w:rsid w:val="008F1B17"/>
    <w:rsid w:val="008F233E"/>
    <w:rsid w:val="008F235A"/>
    <w:rsid w:val="008F26C8"/>
    <w:rsid w:val="008F2F33"/>
    <w:rsid w:val="008F3147"/>
    <w:rsid w:val="008F3187"/>
    <w:rsid w:val="008F33E3"/>
    <w:rsid w:val="008F34E8"/>
    <w:rsid w:val="008F36B2"/>
    <w:rsid w:val="008F3841"/>
    <w:rsid w:val="008F3999"/>
    <w:rsid w:val="008F3B69"/>
    <w:rsid w:val="008F41F7"/>
    <w:rsid w:val="008F453A"/>
    <w:rsid w:val="008F48FC"/>
    <w:rsid w:val="008F4F60"/>
    <w:rsid w:val="008F51EF"/>
    <w:rsid w:val="008F52B2"/>
    <w:rsid w:val="008F53E4"/>
    <w:rsid w:val="008F5708"/>
    <w:rsid w:val="008F5901"/>
    <w:rsid w:val="008F5C8A"/>
    <w:rsid w:val="008F5E59"/>
    <w:rsid w:val="008F61BE"/>
    <w:rsid w:val="008F6752"/>
    <w:rsid w:val="008F68B2"/>
    <w:rsid w:val="008F6B68"/>
    <w:rsid w:val="008F7887"/>
    <w:rsid w:val="008F7C5B"/>
    <w:rsid w:val="008F7D44"/>
    <w:rsid w:val="00900005"/>
    <w:rsid w:val="009001DF"/>
    <w:rsid w:val="009001F7"/>
    <w:rsid w:val="0090024F"/>
    <w:rsid w:val="009002D2"/>
    <w:rsid w:val="00900FCF"/>
    <w:rsid w:val="00901041"/>
    <w:rsid w:val="00901148"/>
    <w:rsid w:val="009014A6"/>
    <w:rsid w:val="00901902"/>
    <w:rsid w:val="0090194A"/>
    <w:rsid w:val="009019AA"/>
    <w:rsid w:val="00901D3C"/>
    <w:rsid w:val="009020B9"/>
    <w:rsid w:val="009020F5"/>
    <w:rsid w:val="0090230D"/>
    <w:rsid w:val="00902833"/>
    <w:rsid w:val="00902B83"/>
    <w:rsid w:val="00902FCC"/>
    <w:rsid w:val="0090307D"/>
    <w:rsid w:val="00903121"/>
    <w:rsid w:val="009036BD"/>
    <w:rsid w:val="00903DE5"/>
    <w:rsid w:val="009041F0"/>
    <w:rsid w:val="00904556"/>
    <w:rsid w:val="00904564"/>
    <w:rsid w:val="0090463F"/>
    <w:rsid w:val="00904A60"/>
    <w:rsid w:val="00904ABD"/>
    <w:rsid w:val="00904B6A"/>
    <w:rsid w:val="00904B9A"/>
    <w:rsid w:val="00904EC4"/>
    <w:rsid w:val="009050CE"/>
    <w:rsid w:val="00905A07"/>
    <w:rsid w:val="00905A7E"/>
    <w:rsid w:val="00905BDD"/>
    <w:rsid w:val="00905EBD"/>
    <w:rsid w:val="0090609A"/>
    <w:rsid w:val="00906113"/>
    <w:rsid w:val="00906749"/>
    <w:rsid w:val="00906C67"/>
    <w:rsid w:val="00906F32"/>
    <w:rsid w:val="00906FFE"/>
    <w:rsid w:val="009070A6"/>
    <w:rsid w:val="009073F9"/>
    <w:rsid w:val="009077E5"/>
    <w:rsid w:val="00907985"/>
    <w:rsid w:val="00907A74"/>
    <w:rsid w:val="00907AD1"/>
    <w:rsid w:val="00907F75"/>
    <w:rsid w:val="0091024B"/>
    <w:rsid w:val="00910498"/>
    <w:rsid w:val="0091068D"/>
    <w:rsid w:val="0091081B"/>
    <w:rsid w:val="00910B06"/>
    <w:rsid w:val="00910C10"/>
    <w:rsid w:val="00910CE3"/>
    <w:rsid w:val="00910EA2"/>
    <w:rsid w:val="00910EA5"/>
    <w:rsid w:val="009111C1"/>
    <w:rsid w:val="00911539"/>
    <w:rsid w:val="00911AAA"/>
    <w:rsid w:val="00911ADD"/>
    <w:rsid w:val="00911E8C"/>
    <w:rsid w:val="009121B7"/>
    <w:rsid w:val="009126C8"/>
    <w:rsid w:val="009129DE"/>
    <w:rsid w:val="00912B74"/>
    <w:rsid w:val="00912B86"/>
    <w:rsid w:val="00912C9E"/>
    <w:rsid w:val="00913081"/>
    <w:rsid w:val="009135BC"/>
    <w:rsid w:val="009138A9"/>
    <w:rsid w:val="00913DF4"/>
    <w:rsid w:val="00913F66"/>
    <w:rsid w:val="0091408B"/>
    <w:rsid w:val="009144E8"/>
    <w:rsid w:val="00914B20"/>
    <w:rsid w:val="00914DC5"/>
    <w:rsid w:val="00914EA5"/>
    <w:rsid w:val="009153BC"/>
    <w:rsid w:val="00915408"/>
    <w:rsid w:val="00915414"/>
    <w:rsid w:val="00915451"/>
    <w:rsid w:val="009154B0"/>
    <w:rsid w:val="009158C2"/>
    <w:rsid w:val="00915E0E"/>
    <w:rsid w:val="00915F88"/>
    <w:rsid w:val="00916886"/>
    <w:rsid w:val="00916B03"/>
    <w:rsid w:val="00916C32"/>
    <w:rsid w:val="00916EE8"/>
    <w:rsid w:val="009170CE"/>
    <w:rsid w:val="0091712F"/>
    <w:rsid w:val="0091741E"/>
    <w:rsid w:val="009176F5"/>
    <w:rsid w:val="00917AA5"/>
    <w:rsid w:val="00917DB1"/>
    <w:rsid w:val="00920004"/>
    <w:rsid w:val="009201AF"/>
    <w:rsid w:val="00920A10"/>
    <w:rsid w:val="00920AF7"/>
    <w:rsid w:val="00921094"/>
    <w:rsid w:val="00921592"/>
    <w:rsid w:val="009219A0"/>
    <w:rsid w:val="00921A5F"/>
    <w:rsid w:val="00921A69"/>
    <w:rsid w:val="00921B2F"/>
    <w:rsid w:val="00922030"/>
    <w:rsid w:val="0092230A"/>
    <w:rsid w:val="0092275A"/>
    <w:rsid w:val="00922F37"/>
    <w:rsid w:val="0092305B"/>
    <w:rsid w:val="009230EF"/>
    <w:rsid w:val="00923137"/>
    <w:rsid w:val="0092319A"/>
    <w:rsid w:val="009231D1"/>
    <w:rsid w:val="0092399E"/>
    <w:rsid w:val="00923D78"/>
    <w:rsid w:val="00923D8D"/>
    <w:rsid w:val="00923DE9"/>
    <w:rsid w:val="00923EEE"/>
    <w:rsid w:val="00923F58"/>
    <w:rsid w:val="009247AD"/>
    <w:rsid w:val="009248AD"/>
    <w:rsid w:val="00924907"/>
    <w:rsid w:val="009249CE"/>
    <w:rsid w:val="00924EA8"/>
    <w:rsid w:val="009250C0"/>
    <w:rsid w:val="0092511E"/>
    <w:rsid w:val="00925521"/>
    <w:rsid w:val="009257CF"/>
    <w:rsid w:val="00925CDE"/>
    <w:rsid w:val="00925EDA"/>
    <w:rsid w:val="00925F87"/>
    <w:rsid w:val="00926139"/>
    <w:rsid w:val="00926855"/>
    <w:rsid w:val="00926B7F"/>
    <w:rsid w:val="00926C6D"/>
    <w:rsid w:val="0092723A"/>
    <w:rsid w:val="00927335"/>
    <w:rsid w:val="00927394"/>
    <w:rsid w:val="00927595"/>
    <w:rsid w:val="00927695"/>
    <w:rsid w:val="00927B80"/>
    <w:rsid w:val="00927E16"/>
    <w:rsid w:val="00927F2F"/>
    <w:rsid w:val="009301C3"/>
    <w:rsid w:val="009302CE"/>
    <w:rsid w:val="009303FB"/>
    <w:rsid w:val="00930419"/>
    <w:rsid w:val="00930472"/>
    <w:rsid w:val="009304C8"/>
    <w:rsid w:val="00930537"/>
    <w:rsid w:val="009308ED"/>
    <w:rsid w:val="00930BC0"/>
    <w:rsid w:val="00930F75"/>
    <w:rsid w:val="0093177A"/>
    <w:rsid w:val="00931888"/>
    <w:rsid w:val="00931E3C"/>
    <w:rsid w:val="00931F77"/>
    <w:rsid w:val="00932205"/>
    <w:rsid w:val="0093243E"/>
    <w:rsid w:val="009325E5"/>
    <w:rsid w:val="00932883"/>
    <w:rsid w:val="00932A42"/>
    <w:rsid w:val="00932B09"/>
    <w:rsid w:val="00932E44"/>
    <w:rsid w:val="009333B1"/>
    <w:rsid w:val="0093356A"/>
    <w:rsid w:val="009335EA"/>
    <w:rsid w:val="00933616"/>
    <w:rsid w:val="00933A7C"/>
    <w:rsid w:val="00933D79"/>
    <w:rsid w:val="00933DD8"/>
    <w:rsid w:val="0093432C"/>
    <w:rsid w:val="0093483F"/>
    <w:rsid w:val="00934F9D"/>
    <w:rsid w:val="009359E3"/>
    <w:rsid w:val="00936382"/>
    <w:rsid w:val="00936738"/>
    <w:rsid w:val="00936A09"/>
    <w:rsid w:val="00936DAE"/>
    <w:rsid w:val="00937002"/>
    <w:rsid w:val="0093708B"/>
    <w:rsid w:val="009370E6"/>
    <w:rsid w:val="0093743D"/>
    <w:rsid w:val="0093784A"/>
    <w:rsid w:val="00937B84"/>
    <w:rsid w:val="00937BC4"/>
    <w:rsid w:val="00937D55"/>
    <w:rsid w:val="00937EE0"/>
    <w:rsid w:val="0094013B"/>
    <w:rsid w:val="009408FE"/>
    <w:rsid w:val="00940950"/>
    <w:rsid w:val="00940F01"/>
    <w:rsid w:val="009415E8"/>
    <w:rsid w:val="00941639"/>
    <w:rsid w:val="00941690"/>
    <w:rsid w:val="00941A1D"/>
    <w:rsid w:val="00941C38"/>
    <w:rsid w:val="00941CB0"/>
    <w:rsid w:val="00942313"/>
    <w:rsid w:val="0094246A"/>
    <w:rsid w:val="00942B1B"/>
    <w:rsid w:val="00942EAA"/>
    <w:rsid w:val="00942F8B"/>
    <w:rsid w:val="00943419"/>
    <w:rsid w:val="00943971"/>
    <w:rsid w:val="00943A2C"/>
    <w:rsid w:val="00943C54"/>
    <w:rsid w:val="00943E55"/>
    <w:rsid w:val="009445B0"/>
    <w:rsid w:val="00944B46"/>
    <w:rsid w:val="00944DCC"/>
    <w:rsid w:val="00944F23"/>
    <w:rsid w:val="009450FE"/>
    <w:rsid w:val="00945157"/>
    <w:rsid w:val="009452AC"/>
    <w:rsid w:val="00945485"/>
    <w:rsid w:val="009455BD"/>
    <w:rsid w:val="00945C32"/>
    <w:rsid w:val="00945C8F"/>
    <w:rsid w:val="00946201"/>
    <w:rsid w:val="0094644F"/>
    <w:rsid w:val="00946652"/>
    <w:rsid w:val="009466D3"/>
    <w:rsid w:val="00946979"/>
    <w:rsid w:val="00946B57"/>
    <w:rsid w:val="00946FAD"/>
    <w:rsid w:val="00947474"/>
    <w:rsid w:val="009479F8"/>
    <w:rsid w:val="009506E2"/>
    <w:rsid w:val="009509C8"/>
    <w:rsid w:val="00950B2E"/>
    <w:rsid w:val="00950BBD"/>
    <w:rsid w:val="00951270"/>
    <w:rsid w:val="009512B8"/>
    <w:rsid w:val="0095163A"/>
    <w:rsid w:val="009516F6"/>
    <w:rsid w:val="00951AEB"/>
    <w:rsid w:val="00951D1C"/>
    <w:rsid w:val="00951D23"/>
    <w:rsid w:val="00951EBA"/>
    <w:rsid w:val="00952093"/>
    <w:rsid w:val="0095215B"/>
    <w:rsid w:val="00952429"/>
    <w:rsid w:val="00952EAD"/>
    <w:rsid w:val="009530E5"/>
    <w:rsid w:val="0095328E"/>
    <w:rsid w:val="009536FC"/>
    <w:rsid w:val="009541D7"/>
    <w:rsid w:val="0095426A"/>
    <w:rsid w:val="009543BB"/>
    <w:rsid w:val="00954BD6"/>
    <w:rsid w:val="00954CEC"/>
    <w:rsid w:val="00954D87"/>
    <w:rsid w:val="00954E59"/>
    <w:rsid w:val="00955CBA"/>
    <w:rsid w:val="00955FB5"/>
    <w:rsid w:val="009563C0"/>
    <w:rsid w:val="009564C9"/>
    <w:rsid w:val="00956787"/>
    <w:rsid w:val="00956896"/>
    <w:rsid w:val="009576F1"/>
    <w:rsid w:val="0095773C"/>
    <w:rsid w:val="00957C1B"/>
    <w:rsid w:val="00957E8B"/>
    <w:rsid w:val="009604C4"/>
    <w:rsid w:val="009606D0"/>
    <w:rsid w:val="00960D74"/>
    <w:rsid w:val="00960E47"/>
    <w:rsid w:val="00960F7D"/>
    <w:rsid w:val="0096120C"/>
    <w:rsid w:val="009613A2"/>
    <w:rsid w:val="0096141C"/>
    <w:rsid w:val="0096145A"/>
    <w:rsid w:val="009619B4"/>
    <w:rsid w:val="00961DE1"/>
    <w:rsid w:val="00962D1B"/>
    <w:rsid w:val="00962E14"/>
    <w:rsid w:val="00962EC1"/>
    <w:rsid w:val="009636B9"/>
    <w:rsid w:val="0096393C"/>
    <w:rsid w:val="00963BFD"/>
    <w:rsid w:val="00963D9E"/>
    <w:rsid w:val="00964089"/>
    <w:rsid w:val="0096410E"/>
    <w:rsid w:val="009645AC"/>
    <w:rsid w:val="00964A1F"/>
    <w:rsid w:val="00964ABF"/>
    <w:rsid w:val="00964AD7"/>
    <w:rsid w:val="00965143"/>
    <w:rsid w:val="00965485"/>
    <w:rsid w:val="00965619"/>
    <w:rsid w:val="00965B0F"/>
    <w:rsid w:val="00965BEA"/>
    <w:rsid w:val="00965CAD"/>
    <w:rsid w:val="0096602B"/>
    <w:rsid w:val="0096632F"/>
    <w:rsid w:val="00966805"/>
    <w:rsid w:val="00966B88"/>
    <w:rsid w:val="00966CDD"/>
    <w:rsid w:val="00966E54"/>
    <w:rsid w:val="009670AF"/>
    <w:rsid w:val="00967A79"/>
    <w:rsid w:val="00967B9C"/>
    <w:rsid w:val="00967FA1"/>
    <w:rsid w:val="009700C9"/>
    <w:rsid w:val="00970BD9"/>
    <w:rsid w:val="00970EA4"/>
    <w:rsid w:val="00970FBB"/>
    <w:rsid w:val="00971A17"/>
    <w:rsid w:val="00971B9B"/>
    <w:rsid w:val="00971D85"/>
    <w:rsid w:val="00971DF9"/>
    <w:rsid w:val="00971FA1"/>
    <w:rsid w:val="009720E3"/>
    <w:rsid w:val="00972CB8"/>
    <w:rsid w:val="009737F5"/>
    <w:rsid w:val="009738BA"/>
    <w:rsid w:val="00973E07"/>
    <w:rsid w:val="00973F66"/>
    <w:rsid w:val="009741D8"/>
    <w:rsid w:val="009742F3"/>
    <w:rsid w:val="0097466B"/>
    <w:rsid w:val="00974945"/>
    <w:rsid w:val="009753A8"/>
    <w:rsid w:val="009755AB"/>
    <w:rsid w:val="009757D5"/>
    <w:rsid w:val="00975838"/>
    <w:rsid w:val="00975A3C"/>
    <w:rsid w:val="00975B97"/>
    <w:rsid w:val="00975F13"/>
    <w:rsid w:val="00975F49"/>
    <w:rsid w:val="0097696C"/>
    <w:rsid w:val="00977014"/>
    <w:rsid w:val="009776FA"/>
    <w:rsid w:val="00977772"/>
    <w:rsid w:val="00977846"/>
    <w:rsid w:val="00977993"/>
    <w:rsid w:val="00977DB5"/>
    <w:rsid w:val="00977FA5"/>
    <w:rsid w:val="0098015A"/>
    <w:rsid w:val="00980351"/>
    <w:rsid w:val="009805A7"/>
    <w:rsid w:val="009806CA"/>
    <w:rsid w:val="00980AD3"/>
    <w:rsid w:val="00980F0B"/>
    <w:rsid w:val="00980F0D"/>
    <w:rsid w:val="0098158D"/>
    <w:rsid w:val="009819D9"/>
    <w:rsid w:val="00981CAE"/>
    <w:rsid w:val="00981FA8"/>
    <w:rsid w:val="00982088"/>
    <w:rsid w:val="00982125"/>
    <w:rsid w:val="00982358"/>
    <w:rsid w:val="009823D9"/>
    <w:rsid w:val="0098253B"/>
    <w:rsid w:val="009829B9"/>
    <w:rsid w:val="00982B6F"/>
    <w:rsid w:val="00983235"/>
    <w:rsid w:val="0098323F"/>
    <w:rsid w:val="009834B4"/>
    <w:rsid w:val="00983A0A"/>
    <w:rsid w:val="00983AB5"/>
    <w:rsid w:val="00983DCF"/>
    <w:rsid w:val="00983EFD"/>
    <w:rsid w:val="0098406E"/>
    <w:rsid w:val="009841FC"/>
    <w:rsid w:val="009844F1"/>
    <w:rsid w:val="009845C8"/>
    <w:rsid w:val="00984682"/>
    <w:rsid w:val="009847AA"/>
    <w:rsid w:val="00984A6C"/>
    <w:rsid w:val="00984D4C"/>
    <w:rsid w:val="009850A0"/>
    <w:rsid w:val="009857EF"/>
    <w:rsid w:val="00985AC6"/>
    <w:rsid w:val="00985C96"/>
    <w:rsid w:val="00985D98"/>
    <w:rsid w:val="00985FC0"/>
    <w:rsid w:val="00986069"/>
    <w:rsid w:val="0098611D"/>
    <w:rsid w:val="00986219"/>
    <w:rsid w:val="009862FF"/>
    <w:rsid w:val="009863EF"/>
    <w:rsid w:val="009864AE"/>
    <w:rsid w:val="00987212"/>
    <w:rsid w:val="0098735C"/>
    <w:rsid w:val="0098758E"/>
    <w:rsid w:val="0098777E"/>
    <w:rsid w:val="00987A14"/>
    <w:rsid w:val="00987BA7"/>
    <w:rsid w:val="0099003A"/>
    <w:rsid w:val="009901AA"/>
    <w:rsid w:val="009908F4"/>
    <w:rsid w:val="009909F9"/>
    <w:rsid w:val="00990BDA"/>
    <w:rsid w:val="00990C0A"/>
    <w:rsid w:val="00990DDE"/>
    <w:rsid w:val="00990F7C"/>
    <w:rsid w:val="00990FB6"/>
    <w:rsid w:val="0099114E"/>
    <w:rsid w:val="00991222"/>
    <w:rsid w:val="0099158E"/>
    <w:rsid w:val="00991685"/>
    <w:rsid w:val="00991B1A"/>
    <w:rsid w:val="00991D8D"/>
    <w:rsid w:val="00991F38"/>
    <w:rsid w:val="00992041"/>
    <w:rsid w:val="00992179"/>
    <w:rsid w:val="009921E7"/>
    <w:rsid w:val="0099264D"/>
    <w:rsid w:val="0099264F"/>
    <w:rsid w:val="00992802"/>
    <w:rsid w:val="009928C6"/>
    <w:rsid w:val="0099295A"/>
    <w:rsid w:val="0099298A"/>
    <w:rsid w:val="0099308D"/>
    <w:rsid w:val="009936A7"/>
    <w:rsid w:val="00993A8E"/>
    <w:rsid w:val="00993B80"/>
    <w:rsid w:val="0099409E"/>
    <w:rsid w:val="00994274"/>
    <w:rsid w:val="00994305"/>
    <w:rsid w:val="00994653"/>
    <w:rsid w:val="0099474E"/>
    <w:rsid w:val="0099479A"/>
    <w:rsid w:val="009948F1"/>
    <w:rsid w:val="00994994"/>
    <w:rsid w:val="00994F80"/>
    <w:rsid w:val="009954E6"/>
    <w:rsid w:val="0099575D"/>
    <w:rsid w:val="009957CB"/>
    <w:rsid w:val="00995A25"/>
    <w:rsid w:val="00995D20"/>
    <w:rsid w:val="00995F1F"/>
    <w:rsid w:val="009960AB"/>
    <w:rsid w:val="009963C4"/>
    <w:rsid w:val="00996749"/>
    <w:rsid w:val="00996941"/>
    <w:rsid w:val="00996A2F"/>
    <w:rsid w:val="00996A69"/>
    <w:rsid w:val="00996AEE"/>
    <w:rsid w:val="00996B53"/>
    <w:rsid w:val="009971B9"/>
    <w:rsid w:val="00997417"/>
    <w:rsid w:val="009975F5"/>
    <w:rsid w:val="0099784D"/>
    <w:rsid w:val="00997F23"/>
    <w:rsid w:val="00997FC7"/>
    <w:rsid w:val="009A0B64"/>
    <w:rsid w:val="009A0CB3"/>
    <w:rsid w:val="009A0F21"/>
    <w:rsid w:val="009A1321"/>
    <w:rsid w:val="009A1563"/>
    <w:rsid w:val="009A16C4"/>
    <w:rsid w:val="009A1A81"/>
    <w:rsid w:val="009A1E4F"/>
    <w:rsid w:val="009A21E2"/>
    <w:rsid w:val="009A21E3"/>
    <w:rsid w:val="009A268F"/>
    <w:rsid w:val="009A2A18"/>
    <w:rsid w:val="009A2D03"/>
    <w:rsid w:val="009A343A"/>
    <w:rsid w:val="009A3822"/>
    <w:rsid w:val="009A38D3"/>
    <w:rsid w:val="009A39A8"/>
    <w:rsid w:val="009A39DC"/>
    <w:rsid w:val="009A3F27"/>
    <w:rsid w:val="009A40D7"/>
    <w:rsid w:val="009A42A9"/>
    <w:rsid w:val="009A43FC"/>
    <w:rsid w:val="009A46E9"/>
    <w:rsid w:val="009A483A"/>
    <w:rsid w:val="009A4965"/>
    <w:rsid w:val="009A4A80"/>
    <w:rsid w:val="009A4BC8"/>
    <w:rsid w:val="009A4EE2"/>
    <w:rsid w:val="009A4FEB"/>
    <w:rsid w:val="009A5035"/>
    <w:rsid w:val="009A5115"/>
    <w:rsid w:val="009A52B5"/>
    <w:rsid w:val="009A531C"/>
    <w:rsid w:val="009A5753"/>
    <w:rsid w:val="009A57EB"/>
    <w:rsid w:val="009A6437"/>
    <w:rsid w:val="009A6465"/>
    <w:rsid w:val="009A65B0"/>
    <w:rsid w:val="009A6612"/>
    <w:rsid w:val="009A67A3"/>
    <w:rsid w:val="009A68C8"/>
    <w:rsid w:val="009A699B"/>
    <w:rsid w:val="009A6CA4"/>
    <w:rsid w:val="009A7168"/>
    <w:rsid w:val="009A71BC"/>
    <w:rsid w:val="009A73EF"/>
    <w:rsid w:val="009A7BA5"/>
    <w:rsid w:val="009B103D"/>
    <w:rsid w:val="009B1313"/>
    <w:rsid w:val="009B134F"/>
    <w:rsid w:val="009B1569"/>
    <w:rsid w:val="009B162D"/>
    <w:rsid w:val="009B180C"/>
    <w:rsid w:val="009B2036"/>
    <w:rsid w:val="009B23D4"/>
    <w:rsid w:val="009B2D58"/>
    <w:rsid w:val="009B2E91"/>
    <w:rsid w:val="009B3624"/>
    <w:rsid w:val="009B3E75"/>
    <w:rsid w:val="009B3EBA"/>
    <w:rsid w:val="009B3EFA"/>
    <w:rsid w:val="009B42F4"/>
    <w:rsid w:val="009B4A9B"/>
    <w:rsid w:val="009B5039"/>
    <w:rsid w:val="009B570F"/>
    <w:rsid w:val="009B585F"/>
    <w:rsid w:val="009B6A33"/>
    <w:rsid w:val="009B6DDA"/>
    <w:rsid w:val="009B6EBC"/>
    <w:rsid w:val="009B7413"/>
    <w:rsid w:val="009B74CB"/>
    <w:rsid w:val="009B7606"/>
    <w:rsid w:val="009B7A84"/>
    <w:rsid w:val="009B7A96"/>
    <w:rsid w:val="009B7ACB"/>
    <w:rsid w:val="009B7BF3"/>
    <w:rsid w:val="009B7C85"/>
    <w:rsid w:val="009B7E02"/>
    <w:rsid w:val="009B7E22"/>
    <w:rsid w:val="009B7F90"/>
    <w:rsid w:val="009B7FD9"/>
    <w:rsid w:val="009C04E9"/>
    <w:rsid w:val="009C08B7"/>
    <w:rsid w:val="009C09B8"/>
    <w:rsid w:val="009C0B9A"/>
    <w:rsid w:val="009C0D95"/>
    <w:rsid w:val="009C0ED1"/>
    <w:rsid w:val="009C0F3A"/>
    <w:rsid w:val="009C1633"/>
    <w:rsid w:val="009C1655"/>
    <w:rsid w:val="009C17C5"/>
    <w:rsid w:val="009C17E2"/>
    <w:rsid w:val="009C181F"/>
    <w:rsid w:val="009C1AD6"/>
    <w:rsid w:val="009C202A"/>
    <w:rsid w:val="009C2214"/>
    <w:rsid w:val="009C239A"/>
    <w:rsid w:val="009C25A4"/>
    <w:rsid w:val="009C2E53"/>
    <w:rsid w:val="009C3130"/>
    <w:rsid w:val="009C34BB"/>
    <w:rsid w:val="009C3668"/>
    <w:rsid w:val="009C36AB"/>
    <w:rsid w:val="009C387F"/>
    <w:rsid w:val="009C3BC4"/>
    <w:rsid w:val="009C404D"/>
    <w:rsid w:val="009C42BD"/>
    <w:rsid w:val="009C42D6"/>
    <w:rsid w:val="009C489D"/>
    <w:rsid w:val="009C4A1B"/>
    <w:rsid w:val="009C4AE7"/>
    <w:rsid w:val="009C4CDB"/>
    <w:rsid w:val="009C4DC8"/>
    <w:rsid w:val="009C4ECF"/>
    <w:rsid w:val="009C539E"/>
    <w:rsid w:val="009C53E7"/>
    <w:rsid w:val="009C610F"/>
    <w:rsid w:val="009C659F"/>
    <w:rsid w:val="009C65A2"/>
    <w:rsid w:val="009C673A"/>
    <w:rsid w:val="009C6DB8"/>
    <w:rsid w:val="009C6EA2"/>
    <w:rsid w:val="009C6ECF"/>
    <w:rsid w:val="009C70D8"/>
    <w:rsid w:val="009C73E3"/>
    <w:rsid w:val="009C7615"/>
    <w:rsid w:val="009C77BF"/>
    <w:rsid w:val="009C7959"/>
    <w:rsid w:val="009C7AE3"/>
    <w:rsid w:val="009C7C37"/>
    <w:rsid w:val="009C7CDD"/>
    <w:rsid w:val="009D0196"/>
    <w:rsid w:val="009D03AC"/>
    <w:rsid w:val="009D0DB2"/>
    <w:rsid w:val="009D0FD1"/>
    <w:rsid w:val="009D1077"/>
    <w:rsid w:val="009D11E4"/>
    <w:rsid w:val="009D1A78"/>
    <w:rsid w:val="009D1AA9"/>
    <w:rsid w:val="009D1BD6"/>
    <w:rsid w:val="009D2210"/>
    <w:rsid w:val="009D23A2"/>
    <w:rsid w:val="009D2484"/>
    <w:rsid w:val="009D2529"/>
    <w:rsid w:val="009D262A"/>
    <w:rsid w:val="009D29C9"/>
    <w:rsid w:val="009D2B03"/>
    <w:rsid w:val="009D2F81"/>
    <w:rsid w:val="009D302B"/>
    <w:rsid w:val="009D343D"/>
    <w:rsid w:val="009D3502"/>
    <w:rsid w:val="009D39D6"/>
    <w:rsid w:val="009D3BF0"/>
    <w:rsid w:val="009D3F97"/>
    <w:rsid w:val="009D4309"/>
    <w:rsid w:val="009D4C9F"/>
    <w:rsid w:val="009D4D90"/>
    <w:rsid w:val="009D4F2F"/>
    <w:rsid w:val="009D4F93"/>
    <w:rsid w:val="009D5081"/>
    <w:rsid w:val="009D53F2"/>
    <w:rsid w:val="009D5747"/>
    <w:rsid w:val="009D5986"/>
    <w:rsid w:val="009D5F65"/>
    <w:rsid w:val="009D62D9"/>
    <w:rsid w:val="009D6576"/>
    <w:rsid w:val="009D65A0"/>
    <w:rsid w:val="009D65C9"/>
    <w:rsid w:val="009D6A08"/>
    <w:rsid w:val="009D6AC0"/>
    <w:rsid w:val="009D6CBA"/>
    <w:rsid w:val="009D6D69"/>
    <w:rsid w:val="009D6E07"/>
    <w:rsid w:val="009D7162"/>
    <w:rsid w:val="009D7226"/>
    <w:rsid w:val="009D73E3"/>
    <w:rsid w:val="009D7A5B"/>
    <w:rsid w:val="009D7DCA"/>
    <w:rsid w:val="009D7E2C"/>
    <w:rsid w:val="009E00F5"/>
    <w:rsid w:val="009E05A1"/>
    <w:rsid w:val="009E0E64"/>
    <w:rsid w:val="009E1113"/>
    <w:rsid w:val="009E15BA"/>
    <w:rsid w:val="009E17B4"/>
    <w:rsid w:val="009E17D9"/>
    <w:rsid w:val="009E1A69"/>
    <w:rsid w:val="009E1B6C"/>
    <w:rsid w:val="009E25D4"/>
    <w:rsid w:val="009E3284"/>
    <w:rsid w:val="009E3321"/>
    <w:rsid w:val="009E33BA"/>
    <w:rsid w:val="009E33D7"/>
    <w:rsid w:val="009E34F2"/>
    <w:rsid w:val="009E35A8"/>
    <w:rsid w:val="009E3BC7"/>
    <w:rsid w:val="009E3C8F"/>
    <w:rsid w:val="009E3CEB"/>
    <w:rsid w:val="009E425A"/>
    <w:rsid w:val="009E4E20"/>
    <w:rsid w:val="009E505F"/>
    <w:rsid w:val="009E57F4"/>
    <w:rsid w:val="009E5815"/>
    <w:rsid w:val="009E5F03"/>
    <w:rsid w:val="009E6094"/>
    <w:rsid w:val="009E610F"/>
    <w:rsid w:val="009E61EB"/>
    <w:rsid w:val="009E6753"/>
    <w:rsid w:val="009E688A"/>
    <w:rsid w:val="009E692D"/>
    <w:rsid w:val="009E6DDC"/>
    <w:rsid w:val="009E6EA8"/>
    <w:rsid w:val="009E6F32"/>
    <w:rsid w:val="009E717D"/>
    <w:rsid w:val="009E72CB"/>
    <w:rsid w:val="009E73F1"/>
    <w:rsid w:val="009F0591"/>
    <w:rsid w:val="009F08BF"/>
    <w:rsid w:val="009F0C2B"/>
    <w:rsid w:val="009F1158"/>
    <w:rsid w:val="009F12F9"/>
    <w:rsid w:val="009F132D"/>
    <w:rsid w:val="009F14D4"/>
    <w:rsid w:val="009F1C65"/>
    <w:rsid w:val="009F1E95"/>
    <w:rsid w:val="009F222F"/>
    <w:rsid w:val="009F22C2"/>
    <w:rsid w:val="009F22CF"/>
    <w:rsid w:val="009F232F"/>
    <w:rsid w:val="009F289B"/>
    <w:rsid w:val="009F2CA6"/>
    <w:rsid w:val="009F3357"/>
    <w:rsid w:val="009F3547"/>
    <w:rsid w:val="009F364B"/>
    <w:rsid w:val="009F36EC"/>
    <w:rsid w:val="009F384E"/>
    <w:rsid w:val="009F3959"/>
    <w:rsid w:val="009F39E6"/>
    <w:rsid w:val="009F4104"/>
    <w:rsid w:val="009F456B"/>
    <w:rsid w:val="009F48DF"/>
    <w:rsid w:val="009F4B97"/>
    <w:rsid w:val="009F4E0C"/>
    <w:rsid w:val="009F5110"/>
    <w:rsid w:val="009F5237"/>
    <w:rsid w:val="009F52C6"/>
    <w:rsid w:val="009F54BA"/>
    <w:rsid w:val="009F5576"/>
    <w:rsid w:val="009F56AB"/>
    <w:rsid w:val="009F57AF"/>
    <w:rsid w:val="009F58DF"/>
    <w:rsid w:val="009F5D01"/>
    <w:rsid w:val="009F5D02"/>
    <w:rsid w:val="009F5DF3"/>
    <w:rsid w:val="009F6117"/>
    <w:rsid w:val="009F6150"/>
    <w:rsid w:val="009F6229"/>
    <w:rsid w:val="009F622D"/>
    <w:rsid w:val="009F6536"/>
    <w:rsid w:val="009F65D3"/>
    <w:rsid w:val="009F66E8"/>
    <w:rsid w:val="009F6701"/>
    <w:rsid w:val="009F68F0"/>
    <w:rsid w:val="009F6930"/>
    <w:rsid w:val="009F6E86"/>
    <w:rsid w:val="009F7293"/>
    <w:rsid w:val="009F739F"/>
    <w:rsid w:val="009F7437"/>
    <w:rsid w:val="009F7512"/>
    <w:rsid w:val="009F7748"/>
    <w:rsid w:val="009F7857"/>
    <w:rsid w:val="009F7B53"/>
    <w:rsid w:val="00A00685"/>
    <w:rsid w:val="00A008B2"/>
    <w:rsid w:val="00A00AD7"/>
    <w:rsid w:val="00A00E13"/>
    <w:rsid w:val="00A00FFC"/>
    <w:rsid w:val="00A0182E"/>
    <w:rsid w:val="00A018E6"/>
    <w:rsid w:val="00A01900"/>
    <w:rsid w:val="00A01AE7"/>
    <w:rsid w:val="00A01AF6"/>
    <w:rsid w:val="00A01F60"/>
    <w:rsid w:val="00A02024"/>
    <w:rsid w:val="00A021A1"/>
    <w:rsid w:val="00A02947"/>
    <w:rsid w:val="00A02A36"/>
    <w:rsid w:val="00A02B12"/>
    <w:rsid w:val="00A031EE"/>
    <w:rsid w:val="00A03714"/>
    <w:rsid w:val="00A03768"/>
    <w:rsid w:val="00A037A8"/>
    <w:rsid w:val="00A037CA"/>
    <w:rsid w:val="00A039C8"/>
    <w:rsid w:val="00A03A80"/>
    <w:rsid w:val="00A03B4E"/>
    <w:rsid w:val="00A03DFB"/>
    <w:rsid w:val="00A04005"/>
    <w:rsid w:val="00A04ADC"/>
    <w:rsid w:val="00A04C02"/>
    <w:rsid w:val="00A04F2A"/>
    <w:rsid w:val="00A05612"/>
    <w:rsid w:val="00A05749"/>
    <w:rsid w:val="00A05DBE"/>
    <w:rsid w:val="00A05F76"/>
    <w:rsid w:val="00A05FF8"/>
    <w:rsid w:val="00A067BF"/>
    <w:rsid w:val="00A06999"/>
    <w:rsid w:val="00A06ABB"/>
    <w:rsid w:val="00A06AD0"/>
    <w:rsid w:val="00A06C25"/>
    <w:rsid w:val="00A07088"/>
    <w:rsid w:val="00A070AF"/>
    <w:rsid w:val="00A0751F"/>
    <w:rsid w:val="00A075DE"/>
    <w:rsid w:val="00A076CB"/>
    <w:rsid w:val="00A077BA"/>
    <w:rsid w:val="00A07AF7"/>
    <w:rsid w:val="00A07B61"/>
    <w:rsid w:val="00A10573"/>
    <w:rsid w:val="00A10FDB"/>
    <w:rsid w:val="00A1156A"/>
    <w:rsid w:val="00A119D1"/>
    <w:rsid w:val="00A11AD2"/>
    <w:rsid w:val="00A11F58"/>
    <w:rsid w:val="00A12016"/>
    <w:rsid w:val="00A12059"/>
    <w:rsid w:val="00A122AA"/>
    <w:rsid w:val="00A122E1"/>
    <w:rsid w:val="00A1242F"/>
    <w:rsid w:val="00A127A9"/>
    <w:rsid w:val="00A12938"/>
    <w:rsid w:val="00A12C70"/>
    <w:rsid w:val="00A12CE4"/>
    <w:rsid w:val="00A1328C"/>
    <w:rsid w:val="00A13377"/>
    <w:rsid w:val="00A135B0"/>
    <w:rsid w:val="00A13621"/>
    <w:rsid w:val="00A13671"/>
    <w:rsid w:val="00A139D2"/>
    <w:rsid w:val="00A13D50"/>
    <w:rsid w:val="00A1400A"/>
    <w:rsid w:val="00A14085"/>
    <w:rsid w:val="00A141FA"/>
    <w:rsid w:val="00A1429A"/>
    <w:rsid w:val="00A14370"/>
    <w:rsid w:val="00A146D1"/>
    <w:rsid w:val="00A14D51"/>
    <w:rsid w:val="00A14E04"/>
    <w:rsid w:val="00A15012"/>
    <w:rsid w:val="00A1506E"/>
    <w:rsid w:val="00A150E9"/>
    <w:rsid w:val="00A1514F"/>
    <w:rsid w:val="00A152D9"/>
    <w:rsid w:val="00A15539"/>
    <w:rsid w:val="00A15544"/>
    <w:rsid w:val="00A1556E"/>
    <w:rsid w:val="00A15EDA"/>
    <w:rsid w:val="00A162F2"/>
    <w:rsid w:val="00A16583"/>
    <w:rsid w:val="00A16D1B"/>
    <w:rsid w:val="00A16EEB"/>
    <w:rsid w:val="00A1706F"/>
    <w:rsid w:val="00A17435"/>
    <w:rsid w:val="00A17883"/>
    <w:rsid w:val="00A179E2"/>
    <w:rsid w:val="00A200E6"/>
    <w:rsid w:val="00A20330"/>
    <w:rsid w:val="00A203F9"/>
    <w:rsid w:val="00A205F5"/>
    <w:rsid w:val="00A20838"/>
    <w:rsid w:val="00A20857"/>
    <w:rsid w:val="00A20F23"/>
    <w:rsid w:val="00A21351"/>
    <w:rsid w:val="00A215A1"/>
    <w:rsid w:val="00A217AB"/>
    <w:rsid w:val="00A21B72"/>
    <w:rsid w:val="00A21B97"/>
    <w:rsid w:val="00A21BAC"/>
    <w:rsid w:val="00A221B4"/>
    <w:rsid w:val="00A2235E"/>
    <w:rsid w:val="00A224D2"/>
    <w:rsid w:val="00A2275D"/>
    <w:rsid w:val="00A228E9"/>
    <w:rsid w:val="00A22CC9"/>
    <w:rsid w:val="00A22D11"/>
    <w:rsid w:val="00A22EC6"/>
    <w:rsid w:val="00A23099"/>
    <w:rsid w:val="00A23470"/>
    <w:rsid w:val="00A23559"/>
    <w:rsid w:val="00A23C96"/>
    <w:rsid w:val="00A23E9B"/>
    <w:rsid w:val="00A24133"/>
    <w:rsid w:val="00A2458D"/>
    <w:rsid w:val="00A245F3"/>
    <w:rsid w:val="00A24784"/>
    <w:rsid w:val="00A24B48"/>
    <w:rsid w:val="00A24F53"/>
    <w:rsid w:val="00A24F6F"/>
    <w:rsid w:val="00A2511D"/>
    <w:rsid w:val="00A2514B"/>
    <w:rsid w:val="00A25189"/>
    <w:rsid w:val="00A25220"/>
    <w:rsid w:val="00A255A1"/>
    <w:rsid w:val="00A25694"/>
    <w:rsid w:val="00A25ABE"/>
    <w:rsid w:val="00A25CA5"/>
    <w:rsid w:val="00A260B9"/>
    <w:rsid w:val="00A2611F"/>
    <w:rsid w:val="00A2640B"/>
    <w:rsid w:val="00A26418"/>
    <w:rsid w:val="00A2645A"/>
    <w:rsid w:val="00A26CA1"/>
    <w:rsid w:val="00A26CAE"/>
    <w:rsid w:val="00A26CE0"/>
    <w:rsid w:val="00A26E88"/>
    <w:rsid w:val="00A2716C"/>
    <w:rsid w:val="00A27245"/>
    <w:rsid w:val="00A27384"/>
    <w:rsid w:val="00A274B1"/>
    <w:rsid w:val="00A27656"/>
    <w:rsid w:val="00A2783B"/>
    <w:rsid w:val="00A278C2"/>
    <w:rsid w:val="00A278ED"/>
    <w:rsid w:val="00A3013F"/>
    <w:rsid w:val="00A30214"/>
    <w:rsid w:val="00A30262"/>
    <w:rsid w:val="00A306A3"/>
    <w:rsid w:val="00A306C7"/>
    <w:rsid w:val="00A30851"/>
    <w:rsid w:val="00A308F7"/>
    <w:rsid w:val="00A30A4C"/>
    <w:rsid w:val="00A30B15"/>
    <w:rsid w:val="00A30CDE"/>
    <w:rsid w:val="00A30F44"/>
    <w:rsid w:val="00A31230"/>
    <w:rsid w:val="00A313C7"/>
    <w:rsid w:val="00A314D6"/>
    <w:rsid w:val="00A316C7"/>
    <w:rsid w:val="00A318CD"/>
    <w:rsid w:val="00A31C08"/>
    <w:rsid w:val="00A32115"/>
    <w:rsid w:val="00A321D8"/>
    <w:rsid w:val="00A323E0"/>
    <w:rsid w:val="00A323F8"/>
    <w:rsid w:val="00A324E6"/>
    <w:rsid w:val="00A32976"/>
    <w:rsid w:val="00A32AD5"/>
    <w:rsid w:val="00A3398C"/>
    <w:rsid w:val="00A33C06"/>
    <w:rsid w:val="00A33D0C"/>
    <w:rsid w:val="00A33ECF"/>
    <w:rsid w:val="00A3497D"/>
    <w:rsid w:val="00A34C1B"/>
    <w:rsid w:val="00A35099"/>
    <w:rsid w:val="00A35624"/>
    <w:rsid w:val="00A356D0"/>
    <w:rsid w:val="00A36117"/>
    <w:rsid w:val="00A36550"/>
    <w:rsid w:val="00A367F4"/>
    <w:rsid w:val="00A36A27"/>
    <w:rsid w:val="00A36DBE"/>
    <w:rsid w:val="00A36E14"/>
    <w:rsid w:val="00A36EFB"/>
    <w:rsid w:val="00A36F86"/>
    <w:rsid w:val="00A370BA"/>
    <w:rsid w:val="00A372A8"/>
    <w:rsid w:val="00A373C8"/>
    <w:rsid w:val="00A373EE"/>
    <w:rsid w:val="00A37DA4"/>
    <w:rsid w:val="00A37EB8"/>
    <w:rsid w:val="00A37F3A"/>
    <w:rsid w:val="00A4010C"/>
    <w:rsid w:val="00A40BC5"/>
    <w:rsid w:val="00A40BEE"/>
    <w:rsid w:val="00A40CE5"/>
    <w:rsid w:val="00A40F02"/>
    <w:rsid w:val="00A4108A"/>
    <w:rsid w:val="00A41091"/>
    <w:rsid w:val="00A410F6"/>
    <w:rsid w:val="00A41353"/>
    <w:rsid w:val="00A41628"/>
    <w:rsid w:val="00A41808"/>
    <w:rsid w:val="00A41944"/>
    <w:rsid w:val="00A42314"/>
    <w:rsid w:val="00A423D0"/>
    <w:rsid w:val="00A42994"/>
    <w:rsid w:val="00A42C4A"/>
    <w:rsid w:val="00A43068"/>
    <w:rsid w:val="00A43169"/>
    <w:rsid w:val="00A432AF"/>
    <w:rsid w:val="00A43378"/>
    <w:rsid w:val="00A43532"/>
    <w:rsid w:val="00A43911"/>
    <w:rsid w:val="00A43C72"/>
    <w:rsid w:val="00A43D37"/>
    <w:rsid w:val="00A44351"/>
    <w:rsid w:val="00A446BB"/>
    <w:rsid w:val="00A4486E"/>
    <w:rsid w:val="00A44AA9"/>
    <w:rsid w:val="00A44AE3"/>
    <w:rsid w:val="00A44C61"/>
    <w:rsid w:val="00A44F3C"/>
    <w:rsid w:val="00A457FA"/>
    <w:rsid w:val="00A457FC"/>
    <w:rsid w:val="00A45D1E"/>
    <w:rsid w:val="00A45E22"/>
    <w:rsid w:val="00A45FC3"/>
    <w:rsid w:val="00A46DB3"/>
    <w:rsid w:val="00A470DE"/>
    <w:rsid w:val="00A47B80"/>
    <w:rsid w:val="00A47EDC"/>
    <w:rsid w:val="00A47FD4"/>
    <w:rsid w:val="00A5000F"/>
    <w:rsid w:val="00A5029F"/>
    <w:rsid w:val="00A502CD"/>
    <w:rsid w:val="00A502FB"/>
    <w:rsid w:val="00A50446"/>
    <w:rsid w:val="00A505E6"/>
    <w:rsid w:val="00A509A8"/>
    <w:rsid w:val="00A5107F"/>
    <w:rsid w:val="00A511E2"/>
    <w:rsid w:val="00A51251"/>
    <w:rsid w:val="00A5130C"/>
    <w:rsid w:val="00A5134B"/>
    <w:rsid w:val="00A51426"/>
    <w:rsid w:val="00A514C5"/>
    <w:rsid w:val="00A515E5"/>
    <w:rsid w:val="00A515F4"/>
    <w:rsid w:val="00A519AB"/>
    <w:rsid w:val="00A51CEB"/>
    <w:rsid w:val="00A51E39"/>
    <w:rsid w:val="00A521C4"/>
    <w:rsid w:val="00A5278C"/>
    <w:rsid w:val="00A52B23"/>
    <w:rsid w:val="00A53133"/>
    <w:rsid w:val="00A536A6"/>
    <w:rsid w:val="00A53A0D"/>
    <w:rsid w:val="00A53A2A"/>
    <w:rsid w:val="00A53AF6"/>
    <w:rsid w:val="00A53D09"/>
    <w:rsid w:val="00A5424A"/>
    <w:rsid w:val="00A54399"/>
    <w:rsid w:val="00A54745"/>
    <w:rsid w:val="00A547A7"/>
    <w:rsid w:val="00A54830"/>
    <w:rsid w:val="00A54930"/>
    <w:rsid w:val="00A550F4"/>
    <w:rsid w:val="00A553B6"/>
    <w:rsid w:val="00A55655"/>
    <w:rsid w:val="00A5585F"/>
    <w:rsid w:val="00A55F5A"/>
    <w:rsid w:val="00A5689F"/>
    <w:rsid w:val="00A5690B"/>
    <w:rsid w:val="00A56CE6"/>
    <w:rsid w:val="00A56DBB"/>
    <w:rsid w:val="00A57043"/>
    <w:rsid w:val="00A571D0"/>
    <w:rsid w:val="00A5760B"/>
    <w:rsid w:val="00A576C8"/>
    <w:rsid w:val="00A57837"/>
    <w:rsid w:val="00A57A51"/>
    <w:rsid w:val="00A57D8F"/>
    <w:rsid w:val="00A57FD0"/>
    <w:rsid w:val="00A60085"/>
    <w:rsid w:val="00A60334"/>
    <w:rsid w:val="00A603D4"/>
    <w:rsid w:val="00A607E6"/>
    <w:rsid w:val="00A60BF3"/>
    <w:rsid w:val="00A60C66"/>
    <w:rsid w:val="00A60CD8"/>
    <w:rsid w:val="00A60D0E"/>
    <w:rsid w:val="00A60DCE"/>
    <w:rsid w:val="00A60E81"/>
    <w:rsid w:val="00A610D4"/>
    <w:rsid w:val="00A615DC"/>
    <w:rsid w:val="00A61899"/>
    <w:rsid w:val="00A61C57"/>
    <w:rsid w:val="00A61EC1"/>
    <w:rsid w:val="00A61F6B"/>
    <w:rsid w:val="00A621DE"/>
    <w:rsid w:val="00A6225C"/>
    <w:rsid w:val="00A623B3"/>
    <w:rsid w:val="00A6240E"/>
    <w:rsid w:val="00A62509"/>
    <w:rsid w:val="00A625B4"/>
    <w:rsid w:val="00A62677"/>
    <w:rsid w:val="00A627D3"/>
    <w:rsid w:val="00A628F0"/>
    <w:rsid w:val="00A62B41"/>
    <w:rsid w:val="00A62C29"/>
    <w:rsid w:val="00A62DBC"/>
    <w:rsid w:val="00A62E44"/>
    <w:rsid w:val="00A63157"/>
    <w:rsid w:val="00A635D0"/>
    <w:rsid w:val="00A63748"/>
    <w:rsid w:val="00A637BC"/>
    <w:rsid w:val="00A638E9"/>
    <w:rsid w:val="00A63D37"/>
    <w:rsid w:val="00A63E31"/>
    <w:rsid w:val="00A63F11"/>
    <w:rsid w:val="00A63F61"/>
    <w:rsid w:val="00A646A5"/>
    <w:rsid w:val="00A646C5"/>
    <w:rsid w:val="00A64724"/>
    <w:rsid w:val="00A6477A"/>
    <w:rsid w:val="00A64AC4"/>
    <w:rsid w:val="00A64B7E"/>
    <w:rsid w:val="00A65514"/>
    <w:rsid w:val="00A65B3F"/>
    <w:rsid w:val="00A65F0D"/>
    <w:rsid w:val="00A6635B"/>
    <w:rsid w:val="00A6637E"/>
    <w:rsid w:val="00A66E3F"/>
    <w:rsid w:val="00A66EF9"/>
    <w:rsid w:val="00A67147"/>
    <w:rsid w:val="00A6761C"/>
    <w:rsid w:val="00A6788F"/>
    <w:rsid w:val="00A67BD4"/>
    <w:rsid w:val="00A67F45"/>
    <w:rsid w:val="00A7024C"/>
    <w:rsid w:val="00A703E7"/>
    <w:rsid w:val="00A70496"/>
    <w:rsid w:val="00A7061A"/>
    <w:rsid w:val="00A70689"/>
    <w:rsid w:val="00A71362"/>
    <w:rsid w:val="00A7142F"/>
    <w:rsid w:val="00A717D3"/>
    <w:rsid w:val="00A71890"/>
    <w:rsid w:val="00A71AED"/>
    <w:rsid w:val="00A71F0D"/>
    <w:rsid w:val="00A721D9"/>
    <w:rsid w:val="00A722BF"/>
    <w:rsid w:val="00A7244B"/>
    <w:rsid w:val="00A72561"/>
    <w:rsid w:val="00A72740"/>
    <w:rsid w:val="00A727FB"/>
    <w:rsid w:val="00A7289E"/>
    <w:rsid w:val="00A72FF7"/>
    <w:rsid w:val="00A73121"/>
    <w:rsid w:val="00A7314B"/>
    <w:rsid w:val="00A73466"/>
    <w:rsid w:val="00A734C6"/>
    <w:rsid w:val="00A739DB"/>
    <w:rsid w:val="00A739FE"/>
    <w:rsid w:val="00A73AAD"/>
    <w:rsid w:val="00A73CAB"/>
    <w:rsid w:val="00A73EBE"/>
    <w:rsid w:val="00A7403D"/>
    <w:rsid w:val="00A7418D"/>
    <w:rsid w:val="00A7427A"/>
    <w:rsid w:val="00A74528"/>
    <w:rsid w:val="00A74873"/>
    <w:rsid w:val="00A74A13"/>
    <w:rsid w:val="00A74F3B"/>
    <w:rsid w:val="00A74F51"/>
    <w:rsid w:val="00A75133"/>
    <w:rsid w:val="00A752A0"/>
    <w:rsid w:val="00A752D3"/>
    <w:rsid w:val="00A75482"/>
    <w:rsid w:val="00A7565B"/>
    <w:rsid w:val="00A758CC"/>
    <w:rsid w:val="00A75AFD"/>
    <w:rsid w:val="00A75B8C"/>
    <w:rsid w:val="00A76359"/>
    <w:rsid w:val="00A76806"/>
    <w:rsid w:val="00A769AA"/>
    <w:rsid w:val="00A769D2"/>
    <w:rsid w:val="00A76B2D"/>
    <w:rsid w:val="00A76CDA"/>
    <w:rsid w:val="00A76EA6"/>
    <w:rsid w:val="00A76F35"/>
    <w:rsid w:val="00A76FAD"/>
    <w:rsid w:val="00A7737D"/>
    <w:rsid w:val="00A775E5"/>
    <w:rsid w:val="00A77789"/>
    <w:rsid w:val="00A778CE"/>
    <w:rsid w:val="00A7794A"/>
    <w:rsid w:val="00A77B09"/>
    <w:rsid w:val="00A77C7A"/>
    <w:rsid w:val="00A77DD8"/>
    <w:rsid w:val="00A77E05"/>
    <w:rsid w:val="00A77F13"/>
    <w:rsid w:val="00A80178"/>
    <w:rsid w:val="00A80298"/>
    <w:rsid w:val="00A80353"/>
    <w:rsid w:val="00A80459"/>
    <w:rsid w:val="00A80498"/>
    <w:rsid w:val="00A804DF"/>
    <w:rsid w:val="00A80789"/>
    <w:rsid w:val="00A80A52"/>
    <w:rsid w:val="00A80AF5"/>
    <w:rsid w:val="00A80B79"/>
    <w:rsid w:val="00A80BE4"/>
    <w:rsid w:val="00A81507"/>
    <w:rsid w:val="00A8165A"/>
    <w:rsid w:val="00A81A0C"/>
    <w:rsid w:val="00A81A2F"/>
    <w:rsid w:val="00A81B09"/>
    <w:rsid w:val="00A81BEB"/>
    <w:rsid w:val="00A81DD2"/>
    <w:rsid w:val="00A8222C"/>
    <w:rsid w:val="00A82467"/>
    <w:rsid w:val="00A827BD"/>
    <w:rsid w:val="00A8284D"/>
    <w:rsid w:val="00A82C1B"/>
    <w:rsid w:val="00A82E27"/>
    <w:rsid w:val="00A82F07"/>
    <w:rsid w:val="00A83786"/>
    <w:rsid w:val="00A83E85"/>
    <w:rsid w:val="00A83EC4"/>
    <w:rsid w:val="00A84051"/>
    <w:rsid w:val="00A84265"/>
    <w:rsid w:val="00A84301"/>
    <w:rsid w:val="00A84396"/>
    <w:rsid w:val="00A84457"/>
    <w:rsid w:val="00A84598"/>
    <w:rsid w:val="00A84885"/>
    <w:rsid w:val="00A84988"/>
    <w:rsid w:val="00A84B75"/>
    <w:rsid w:val="00A84FC5"/>
    <w:rsid w:val="00A85058"/>
    <w:rsid w:val="00A858DF"/>
    <w:rsid w:val="00A86506"/>
    <w:rsid w:val="00A86669"/>
    <w:rsid w:val="00A867A3"/>
    <w:rsid w:val="00A86B25"/>
    <w:rsid w:val="00A86EAA"/>
    <w:rsid w:val="00A8715A"/>
    <w:rsid w:val="00A87589"/>
    <w:rsid w:val="00A87763"/>
    <w:rsid w:val="00A87B6B"/>
    <w:rsid w:val="00A90398"/>
    <w:rsid w:val="00A90453"/>
    <w:rsid w:val="00A9047E"/>
    <w:rsid w:val="00A907A8"/>
    <w:rsid w:val="00A90B88"/>
    <w:rsid w:val="00A90F5C"/>
    <w:rsid w:val="00A91046"/>
    <w:rsid w:val="00A917CE"/>
    <w:rsid w:val="00A9188E"/>
    <w:rsid w:val="00A91967"/>
    <w:rsid w:val="00A928E9"/>
    <w:rsid w:val="00A92969"/>
    <w:rsid w:val="00A92CCA"/>
    <w:rsid w:val="00A93F0E"/>
    <w:rsid w:val="00A94149"/>
    <w:rsid w:val="00A943B4"/>
    <w:rsid w:val="00A944C8"/>
    <w:rsid w:val="00A953D8"/>
    <w:rsid w:val="00A95944"/>
    <w:rsid w:val="00A959E1"/>
    <w:rsid w:val="00A95BC4"/>
    <w:rsid w:val="00A960CE"/>
    <w:rsid w:val="00A96165"/>
    <w:rsid w:val="00A96193"/>
    <w:rsid w:val="00A9629E"/>
    <w:rsid w:val="00A966B8"/>
    <w:rsid w:val="00A96A6F"/>
    <w:rsid w:val="00A96B19"/>
    <w:rsid w:val="00A96CAD"/>
    <w:rsid w:val="00A96E5F"/>
    <w:rsid w:val="00A9704E"/>
    <w:rsid w:val="00A972E2"/>
    <w:rsid w:val="00A973F7"/>
    <w:rsid w:val="00A9750B"/>
    <w:rsid w:val="00A97B29"/>
    <w:rsid w:val="00A97E7A"/>
    <w:rsid w:val="00AA00C4"/>
    <w:rsid w:val="00AA01F9"/>
    <w:rsid w:val="00AA0264"/>
    <w:rsid w:val="00AA02ED"/>
    <w:rsid w:val="00AA0640"/>
    <w:rsid w:val="00AA0668"/>
    <w:rsid w:val="00AA0833"/>
    <w:rsid w:val="00AA0A86"/>
    <w:rsid w:val="00AA0BB9"/>
    <w:rsid w:val="00AA0C32"/>
    <w:rsid w:val="00AA0CB5"/>
    <w:rsid w:val="00AA0F72"/>
    <w:rsid w:val="00AA0F7B"/>
    <w:rsid w:val="00AA10A0"/>
    <w:rsid w:val="00AA111F"/>
    <w:rsid w:val="00AA1445"/>
    <w:rsid w:val="00AA1F70"/>
    <w:rsid w:val="00AA2AD8"/>
    <w:rsid w:val="00AA30EC"/>
    <w:rsid w:val="00AA3350"/>
    <w:rsid w:val="00AA337E"/>
    <w:rsid w:val="00AA34B2"/>
    <w:rsid w:val="00AA35FE"/>
    <w:rsid w:val="00AA3734"/>
    <w:rsid w:val="00AA3CF4"/>
    <w:rsid w:val="00AA3E2F"/>
    <w:rsid w:val="00AA3EAF"/>
    <w:rsid w:val="00AA3EE1"/>
    <w:rsid w:val="00AA4119"/>
    <w:rsid w:val="00AA4146"/>
    <w:rsid w:val="00AA414C"/>
    <w:rsid w:val="00AA41C6"/>
    <w:rsid w:val="00AA4333"/>
    <w:rsid w:val="00AA47C9"/>
    <w:rsid w:val="00AA4E3B"/>
    <w:rsid w:val="00AA5249"/>
    <w:rsid w:val="00AA524D"/>
    <w:rsid w:val="00AA53D0"/>
    <w:rsid w:val="00AA5409"/>
    <w:rsid w:val="00AA5510"/>
    <w:rsid w:val="00AA558B"/>
    <w:rsid w:val="00AA5BAB"/>
    <w:rsid w:val="00AA5E17"/>
    <w:rsid w:val="00AA5EB7"/>
    <w:rsid w:val="00AA5FD2"/>
    <w:rsid w:val="00AA638C"/>
    <w:rsid w:val="00AA65F2"/>
    <w:rsid w:val="00AA7068"/>
    <w:rsid w:val="00AA7131"/>
    <w:rsid w:val="00AA719D"/>
    <w:rsid w:val="00AA71CF"/>
    <w:rsid w:val="00AA747B"/>
    <w:rsid w:val="00AA750F"/>
    <w:rsid w:val="00AA798E"/>
    <w:rsid w:val="00AA79AD"/>
    <w:rsid w:val="00AA7B91"/>
    <w:rsid w:val="00AA7C9B"/>
    <w:rsid w:val="00AB027A"/>
    <w:rsid w:val="00AB029E"/>
    <w:rsid w:val="00AB09A0"/>
    <w:rsid w:val="00AB0DE6"/>
    <w:rsid w:val="00AB130D"/>
    <w:rsid w:val="00AB13B9"/>
    <w:rsid w:val="00AB1401"/>
    <w:rsid w:val="00AB1450"/>
    <w:rsid w:val="00AB1734"/>
    <w:rsid w:val="00AB18E9"/>
    <w:rsid w:val="00AB1BAE"/>
    <w:rsid w:val="00AB1D65"/>
    <w:rsid w:val="00AB262D"/>
    <w:rsid w:val="00AB264F"/>
    <w:rsid w:val="00AB2807"/>
    <w:rsid w:val="00AB2961"/>
    <w:rsid w:val="00AB2B60"/>
    <w:rsid w:val="00AB2C2B"/>
    <w:rsid w:val="00AB2FA6"/>
    <w:rsid w:val="00AB3359"/>
    <w:rsid w:val="00AB3381"/>
    <w:rsid w:val="00AB3478"/>
    <w:rsid w:val="00AB35DD"/>
    <w:rsid w:val="00AB38F0"/>
    <w:rsid w:val="00AB392B"/>
    <w:rsid w:val="00AB3959"/>
    <w:rsid w:val="00AB3CD9"/>
    <w:rsid w:val="00AB3D6E"/>
    <w:rsid w:val="00AB45A0"/>
    <w:rsid w:val="00AB49AA"/>
    <w:rsid w:val="00AB4C5D"/>
    <w:rsid w:val="00AB4EEF"/>
    <w:rsid w:val="00AB5485"/>
    <w:rsid w:val="00AB5569"/>
    <w:rsid w:val="00AB57A7"/>
    <w:rsid w:val="00AB5B2B"/>
    <w:rsid w:val="00AB5F49"/>
    <w:rsid w:val="00AB646A"/>
    <w:rsid w:val="00AB66AC"/>
    <w:rsid w:val="00AB6950"/>
    <w:rsid w:val="00AB6CA8"/>
    <w:rsid w:val="00AB6EFF"/>
    <w:rsid w:val="00AB71B1"/>
    <w:rsid w:val="00AB7312"/>
    <w:rsid w:val="00AB7534"/>
    <w:rsid w:val="00AB7588"/>
    <w:rsid w:val="00AB7763"/>
    <w:rsid w:val="00AB78B2"/>
    <w:rsid w:val="00AB7F10"/>
    <w:rsid w:val="00AC0229"/>
    <w:rsid w:val="00AC0240"/>
    <w:rsid w:val="00AC051C"/>
    <w:rsid w:val="00AC056A"/>
    <w:rsid w:val="00AC07B4"/>
    <w:rsid w:val="00AC0BCA"/>
    <w:rsid w:val="00AC12C8"/>
    <w:rsid w:val="00AC1363"/>
    <w:rsid w:val="00AC1381"/>
    <w:rsid w:val="00AC17BB"/>
    <w:rsid w:val="00AC2199"/>
    <w:rsid w:val="00AC2599"/>
    <w:rsid w:val="00AC25E6"/>
    <w:rsid w:val="00AC2BB7"/>
    <w:rsid w:val="00AC33F6"/>
    <w:rsid w:val="00AC3462"/>
    <w:rsid w:val="00AC35C9"/>
    <w:rsid w:val="00AC36A4"/>
    <w:rsid w:val="00AC39C2"/>
    <w:rsid w:val="00AC3A7A"/>
    <w:rsid w:val="00AC4624"/>
    <w:rsid w:val="00AC46E1"/>
    <w:rsid w:val="00AC4ADF"/>
    <w:rsid w:val="00AC4B96"/>
    <w:rsid w:val="00AC4D32"/>
    <w:rsid w:val="00AC4E64"/>
    <w:rsid w:val="00AC5399"/>
    <w:rsid w:val="00AC56B6"/>
    <w:rsid w:val="00AC5700"/>
    <w:rsid w:val="00AC573D"/>
    <w:rsid w:val="00AC5A8D"/>
    <w:rsid w:val="00AC5BBE"/>
    <w:rsid w:val="00AC6114"/>
    <w:rsid w:val="00AC638C"/>
    <w:rsid w:val="00AC63B4"/>
    <w:rsid w:val="00AC673A"/>
    <w:rsid w:val="00AC680F"/>
    <w:rsid w:val="00AC68A7"/>
    <w:rsid w:val="00AC6BA8"/>
    <w:rsid w:val="00AC6C12"/>
    <w:rsid w:val="00AC6DE0"/>
    <w:rsid w:val="00AC71A9"/>
    <w:rsid w:val="00AC77B9"/>
    <w:rsid w:val="00AC7C6E"/>
    <w:rsid w:val="00AC7CAC"/>
    <w:rsid w:val="00AC7D29"/>
    <w:rsid w:val="00AC7E98"/>
    <w:rsid w:val="00AD04AE"/>
    <w:rsid w:val="00AD0E35"/>
    <w:rsid w:val="00AD0F0A"/>
    <w:rsid w:val="00AD0F9A"/>
    <w:rsid w:val="00AD109E"/>
    <w:rsid w:val="00AD190A"/>
    <w:rsid w:val="00AD1E2D"/>
    <w:rsid w:val="00AD2000"/>
    <w:rsid w:val="00AD20B2"/>
    <w:rsid w:val="00AD20E2"/>
    <w:rsid w:val="00AD2338"/>
    <w:rsid w:val="00AD2773"/>
    <w:rsid w:val="00AD2EEE"/>
    <w:rsid w:val="00AD2FB7"/>
    <w:rsid w:val="00AD3572"/>
    <w:rsid w:val="00AD37E1"/>
    <w:rsid w:val="00AD3B3A"/>
    <w:rsid w:val="00AD3BD9"/>
    <w:rsid w:val="00AD436F"/>
    <w:rsid w:val="00AD4483"/>
    <w:rsid w:val="00AD4C3E"/>
    <w:rsid w:val="00AD4EFB"/>
    <w:rsid w:val="00AD5602"/>
    <w:rsid w:val="00AD565B"/>
    <w:rsid w:val="00AD5740"/>
    <w:rsid w:val="00AD57A1"/>
    <w:rsid w:val="00AD5B03"/>
    <w:rsid w:val="00AD5B7B"/>
    <w:rsid w:val="00AD5C61"/>
    <w:rsid w:val="00AD5E6F"/>
    <w:rsid w:val="00AD5EEC"/>
    <w:rsid w:val="00AD63C8"/>
    <w:rsid w:val="00AD681A"/>
    <w:rsid w:val="00AD6C0F"/>
    <w:rsid w:val="00AD6C2A"/>
    <w:rsid w:val="00AD6D68"/>
    <w:rsid w:val="00AD6ECE"/>
    <w:rsid w:val="00AD6F53"/>
    <w:rsid w:val="00AD7352"/>
    <w:rsid w:val="00AD73BB"/>
    <w:rsid w:val="00AD74E4"/>
    <w:rsid w:val="00AD7577"/>
    <w:rsid w:val="00AD7789"/>
    <w:rsid w:val="00AD78D4"/>
    <w:rsid w:val="00AD7C05"/>
    <w:rsid w:val="00AD7EB6"/>
    <w:rsid w:val="00AD7FE8"/>
    <w:rsid w:val="00AE0048"/>
    <w:rsid w:val="00AE0B82"/>
    <w:rsid w:val="00AE0BA8"/>
    <w:rsid w:val="00AE0BFA"/>
    <w:rsid w:val="00AE0DCF"/>
    <w:rsid w:val="00AE0F15"/>
    <w:rsid w:val="00AE0F56"/>
    <w:rsid w:val="00AE14BB"/>
    <w:rsid w:val="00AE1580"/>
    <w:rsid w:val="00AE182F"/>
    <w:rsid w:val="00AE18A5"/>
    <w:rsid w:val="00AE1B7C"/>
    <w:rsid w:val="00AE1DD7"/>
    <w:rsid w:val="00AE28D8"/>
    <w:rsid w:val="00AE290F"/>
    <w:rsid w:val="00AE2D20"/>
    <w:rsid w:val="00AE2E76"/>
    <w:rsid w:val="00AE2F23"/>
    <w:rsid w:val="00AE342D"/>
    <w:rsid w:val="00AE356F"/>
    <w:rsid w:val="00AE358D"/>
    <w:rsid w:val="00AE3696"/>
    <w:rsid w:val="00AE3908"/>
    <w:rsid w:val="00AE391E"/>
    <w:rsid w:val="00AE3999"/>
    <w:rsid w:val="00AE39E1"/>
    <w:rsid w:val="00AE3A3C"/>
    <w:rsid w:val="00AE3D9E"/>
    <w:rsid w:val="00AE3E51"/>
    <w:rsid w:val="00AE4002"/>
    <w:rsid w:val="00AE40F7"/>
    <w:rsid w:val="00AE44B3"/>
    <w:rsid w:val="00AE471D"/>
    <w:rsid w:val="00AE47C4"/>
    <w:rsid w:val="00AE49D5"/>
    <w:rsid w:val="00AE4DF9"/>
    <w:rsid w:val="00AE5044"/>
    <w:rsid w:val="00AE50C0"/>
    <w:rsid w:val="00AE53BB"/>
    <w:rsid w:val="00AE56E0"/>
    <w:rsid w:val="00AE5C9B"/>
    <w:rsid w:val="00AE656E"/>
    <w:rsid w:val="00AE6AE5"/>
    <w:rsid w:val="00AE6D4B"/>
    <w:rsid w:val="00AE73E9"/>
    <w:rsid w:val="00AE75F9"/>
    <w:rsid w:val="00AE7666"/>
    <w:rsid w:val="00AE794B"/>
    <w:rsid w:val="00AE7C98"/>
    <w:rsid w:val="00AE7E21"/>
    <w:rsid w:val="00AE7F5C"/>
    <w:rsid w:val="00AF01DD"/>
    <w:rsid w:val="00AF0476"/>
    <w:rsid w:val="00AF06E4"/>
    <w:rsid w:val="00AF076F"/>
    <w:rsid w:val="00AF0868"/>
    <w:rsid w:val="00AF095A"/>
    <w:rsid w:val="00AF0A9F"/>
    <w:rsid w:val="00AF0AD2"/>
    <w:rsid w:val="00AF11B3"/>
    <w:rsid w:val="00AF19F8"/>
    <w:rsid w:val="00AF1C45"/>
    <w:rsid w:val="00AF2311"/>
    <w:rsid w:val="00AF23DD"/>
    <w:rsid w:val="00AF251E"/>
    <w:rsid w:val="00AF27AA"/>
    <w:rsid w:val="00AF2B42"/>
    <w:rsid w:val="00AF2D1D"/>
    <w:rsid w:val="00AF2F58"/>
    <w:rsid w:val="00AF3468"/>
    <w:rsid w:val="00AF346E"/>
    <w:rsid w:val="00AF3802"/>
    <w:rsid w:val="00AF3AEF"/>
    <w:rsid w:val="00AF3BD5"/>
    <w:rsid w:val="00AF3C81"/>
    <w:rsid w:val="00AF3CC6"/>
    <w:rsid w:val="00AF3F6A"/>
    <w:rsid w:val="00AF4972"/>
    <w:rsid w:val="00AF4CD6"/>
    <w:rsid w:val="00AF4DA5"/>
    <w:rsid w:val="00AF5711"/>
    <w:rsid w:val="00AF5833"/>
    <w:rsid w:val="00AF59B1"/>
    <w:rsid w:val="00AF5C54"/>
    <w:rsid w:val="00AF5C5B"/>
    <w:rsid w:val="00AF5D43"/>
    <w:rsid w:val="00AF6128"/>
    <w:rsid w:val="00AF6380"/>
    <w:rsid w:val="00AF658C"/>
    <w:rsid w:val="00AF67B0"/>
    <w:rsid w:val="00AF6888"/>
    <w:rsid w:val="00AF6A67"/>
    <w:rsid w:val="00AF6CA5"/>
    <w:rsid w:val="00AF6D0C"/>
    <w:rsid w:val="00AF6E9D"/>
    <w:rsid w:val="00AF717F"/>
    <w:rsid w:val="00AF7301"/>
    <w:rsid w:val="00AF75DA"/>
    <w:rsid w:val="00AF7D91"/>
    <w:rsid w:val="00B00692"/>
    <w:rsid w:val="00B00739"/>
    <w:rsid w:val="00B008AC"/>
    <w:rsid w:val="00B0092E"/>
    <w:rsid w:val="00B00D11"/>
    <w:rsid w:val="00B00EAC"/>
    <w:rsid w:val="00B013A5"/>
    <w:rsid w:val="00B0184E"/>
    <w:rsid w:val="00B018CA"/>
    <w:rsid w:val="00B019F2"/>
    <w:rsid w:val="00B01CE9"/>
    <w:rsid w:val="00B027ED"/>
    <w:rsid w:val="00B02A25"/>
    <w:rsid w:val="00B02A52"/>
    <w:rsid w:val="00B02B60"/>
    <w:rsid w:val="00B02CE8"/>
    <w:rsid w:val="00B02EAF"/>
    <w:rsid w:val="00B02EBB"/>
    <w:rsid w:val="00B032A5"/>
    <w:rsid w:val="00B0383D"/>
    <w:rsid w:val="00B0387D"/>
    <w:rsid w:val="00B039F8"/>
    <w:rsid w:val="00B04568"/>
    <w:rsid w:val="00B046E8"/>
    <w:rsid w:val="00B047A4"/>
    <w:rsid w:val="00B04D82"/>
    <w:rsid w:val="00B04E2F"/>
    <w:rsid w:val="00B04FE5"/>
    <w:rsid w:val="00B05296"/>
    <w:rsid w:val="00B05519"/>
    <w:rsid w:val="00B05664"/>
    <w:rsid w:val="00B0597C"/>
    <w:rsid w:val="00B05A8D"/>
    <w:rsid w:val="00B05DBF"/>
    <w:rsid w:val="00B066BD"/>
    <w:rsid w:val="00B06ABF"/>
    <w:rsid w:val="00B07069"/>
    <w:rsid w:val="00B074F9"/>
    <w:rsid w:val="00B076CD"/>
    <w:rsid w:val="00B07D67"/>
    <w:rsid w:val="00B07F6B"/>
    <w:rsid w:val="00B100BE"/>
    <w:rsid w:val="00B10340"/>
    <w:rsid w:val="00B10570"/>
    <w:rsid w:val="00B10AAB"/>
    <w:rsid w:val="00B10AD2"/>
    <w:rsid w:val="00B10B33"/>
    <w:rsid w:val="00B10D2B"/>
    <w:rsid w:val="00B10E33"/>
    <w:rsid w:val="00B10EB8"/>
    <w:rsid w:val="00B110CD"/>
    <w:rsid w:val="00B11939"/>
    <w:rsid w:val="00B11D8B"/>
    <w:rsid w:val="00B12AC4"/>
    <w:rsid w:val="00B13205"/>
    <w:rsid w:val="00B1324C"/>
    <w:rsid w:val="00B13780"/>
    <w:rsid w:val="00B138B4"/>
    <w:rsid w:val="00B13BB1"/>
    <w:rsid w:val="00B13F30"/>
    <w:rsid w:val="00B13FB7"/>
    <w:rsid w:val="00B145A1"/>
    <w:rsid w:val="00B14A9E"/>
    <w:rsid w:val="00B14BBF"/>
    <w:rsid w:val="00B14DBE"/>
    <w:rsid w:val="00B1512E"/>
    <w:rsid w:val="00B153BD"/>
    <w:rsid w:val="00B15446"/>
    <w:rsid w:val="00B1558E"/>
    <w:rsid w:val="00B155C5"/>
    <w:rsid w:val="00B15CC5"/>
    <w:rsid w:val="00B15E8B"/>
    <w:rsid w:val="00B15E96"/>
    <w:rsid w:val="00B162EA"/>
    <w:rsid w:val="00B16557"/>
    <w:rsid w:val="00B166A8"/>
    <w:rsid w:val="00B16838"/>
    <w:rsid w:val="00B16924"/>
    <w:rsid w:val="00B16945"/>
    <w:rsid w:val="00B16AA9"/>
    <w:rsid w:val="00B17019"/>
    <w:rsid w:val="00B17169"/>
    <w:rsid w:val="00B17C02"/>
    <w:rsid w:val="00B17CC1"/>
    <w:rsid w:val="00B20131"/>
    <w:rsid w:val="00B20664"/>
    <w:rsid w:val="00B2077B"/>
    <w:rsid w:val="00B207A5"/>
    <w:rsid w:val="00B20D69"/>
    <w:rsid w:val="00B20DF1"/>
    <w:rsid w:val="00B211AB"/>
    <w:rsid w:val="00B2147B"/>
    <w:rsid w:val="00B214D8"/>
    <w:rsid w:val="00B2150D"/>
    <w:rsid w:val="00B216C5"/>
    <w:rsid w:val="00B219F8"/>
    <w:rsid w:val="00B21A9F"/>
    <w:rsid w:val="00B21D68"/>
    <w:rsid w:val="00B21ECB"/>
    <w:rsid w:val="00B21EF9"/>
    <w:rsid w:val="00B21FC8"/>
    <w:rsid w:val="00B225D8"/>
    <w:rsid w:val="00B22DBD"/>
    <w:rsid w:val="00B23291"/>
    <w:rsid w:val="00B23292"/>
    <w:rsid w:val="00B234BD"/>
    <w:rsid w:val="00B2369D"/>
    <w:rsid w:val="00B238C6"/>
    <w:rsid w:val="00B23A85"/>
    <w:rsid w:val="00B23CD9"/>
    <w:rsid w:val="00B23E66"/>
    <w:rsid w:val="00B23FB0"/>
    <w:rsid w:val="00B24754"/>
    <w:rsid w:val="00B24812"/>
    <w:rsid w:val="00B249D0"/>
    <w:rsid w:val="00B24A46"/>
    <w:rsid w:val="00B24AD9"/>
    <w:rsid w:val="00B25002"/>
    <w:rsid w:val="00B250AF"/>
    <w:rsid w:val="00B251F0"/>
    <w:rsid w:val="00B25F41"/>
    <w:rsid w:val="00B260F8"/>
    <w:rsid w:val="00B26CE3"/>
    <w:rsid w:val="00B26D34"/>
    <w:rsid w:val="00B273A9"/>
    <w:rsid w:val="00B27A3D"/>
    <w:rsid w:val="00B27A4D"/>
    <w:rsid w:val="00B27B6B"/>
    <w:rsid w:val="00B27CED"/>
    <w:rsid w:val="00B300D5"/>
    <w:rsid w:val="00B30216"/>
    <w:rsid w:val="00B3097B"/>
    <w:rsid w:val="00B30C28"/>
    <w:rsid w:val="00B3103C"/>
    <w:rsid w:val="00B3149B"/>
    <w:rsid w:val="00B31D29"/>
    <w:rsid w:val="00B31D5F"/>
    <w:rsid w:val="00B31DED"/>
    <w:rsid w:val="00B3206C"/>
    <w:rsid w:val="00B32120"/>
    <w:rsid w:val="00B3248E"/>
    <w:rsid w:val="00B32BFA"/>
    <w:rsid w:val="00B32CDA"/>
    <w:rsid w:val="00B32FC5"/>
    <w:rsid w:val="00B32FEC"/>
    <w:rsid w:val="00B3320D"/>
    <w:rsid w:val="00B335D5"/>
    <w:rsid w:val="00B33705"/>
    <w:rsid w:val="00B33918"/>
    <w:rsid w:val="00B33A27"/>
    <w:rsid w:val="00B33FF2"/>
    <w:rsid w:val="00B34308"/>
    <w:rsid w:val="00B3450E"/>
    <w:rsid w:val="00B3463A"/>
    <w:rsid w:val="00B34A52"/>
    <w:rsid w:val="00B34D26"/>
    <w:rsid w:val="00B34D8B"/>
    <w:rsid w:val="00B35218"/>
    <w:rsid w:val="00B355CF"/>
    <w:rsid w:val="00B35835"/>
    <w:rsid w:val="00B35A63"/>
    <w:rsid w:val="00B35E90"/>
    <w:rsid w:val="00B36426"/>
    <w:rsid w:val="00B3652C"/>
    <w:rsid w:val="00B3673D"/>
    <w:rsid w:val="00B3695E"/>
    <w:rsid w:val="00B36BDB"/>
    <w:rsid w:val="00B36BDF"/>
    <w:rsid w:val="00B3750E"/>
    <w:rsid w:val="00B3757A"/>
    <w:rsid w:val="00B375F5"/>
    <w:rsid w:val="00B37652"/>
    <w:rsid w:val="00B37712"/>
    <w:rsid w:val="00B37844"/>
    <w:rsid w:val="00B37A12"/>
    <w:rsid w:val="00B37B66"/>
    <w:rsid w:val="00B37B90"/>
    <w:rsid w:val="00B37EDE"/>
    <w:rsid w:val="00B40037"/>
    <w:rsid w:val="00B4026F"/>
    <w:rsid w:val="00B403C3"/>
    <w:rsid w:val="00B409E8"/>
    <w:rsid w:val="00B40B0D"/>
    <w:rsid w:val="00B41019"/>
    <w:rsid w:val="00B4123D"/>
    <w:rsid w:val="00B41EBD"/>
    <w:rsid w:val="00B41F7E"/>
    <w:rsid w:val="00B42359"/>
    <w:rsid w:val="00B4236A"/>
    <w:rsid w:val="00B423BC"/>
    <w:rsid w:val="00B4255B"/>
    <w:rsid w:val="00B426B6"/>
    <w:rsid w:val="00B42C5A"/>
    <w:rsid w:val="00B435B7"/>
    <w:rsid w:val="00B435D2"/>
    <w:rsid w:val="00B43678"/>
    <w:rsid w:val="00B436AE"/>
    <w:rsid w:val="00B4373D"/>
    <w:rsid w:val="00B43883"/>
    <w:rsid w:val="00B43C25"/>
    <w:rsid w:val="00B44383"/>
    <w:rsid w:val="00B44595"/>
    <w:rsid w:val="00B448A0"/>
    <w:rsid w:val="00B448EC"/>
    <w:rsid w:val="00B44C43"/>
    <w:rsid w:val="00B44D64"/>
    <w:rsid w:val="00B45288"/>
    <w:rsid w:val="00B45C6D"/>
    <w:rsid w:val="00B462C6"/>
    <w:rsid w:val="00B46811"/>
    <w:rsid w:val="00B46859"/>
    <w:rsid w:val="00B46CCA"/>
    <w:rsid w:val="00B46D59"/>
    <w:rsid w:val="00B46FD9"/>
    <w:rsid w:val="00B47690"/>
    <w:rsid w:val="00B476BC"/>
    <w:rsid w:val="00B47B6A"/>
    <w:rsid w:val="00B47E7F"/>
    <w:rsid w:val="00B47E94"/>
    <w:rsid w:val="00B504B9"/>
    <w:rsid w:val="00B5078E"/>
    <w:rsid w:val="00B50961"/>
    <w:rsid w:val="00B50972"/>
    <w:rsid w:val="00B50D18"/>
    <w:rsid w:val="00B50EBB"/>
    <w:rsid w:val="00B512CA"/>
    <w:rsid w:val="00B51303"/>
    <w:rsid w:val="00B51403"/>
    <w:rsid w:val="00B515B9"/>
    <w:rsid w:val="00B51791"/>
    <w:rsid w:val="00B517B3"/>
    <w:rsid w:val="00B5187B"/>
    <w:rsid w:val="00B51FFC"/>
    <w:rsid w:val="00B52337"/>
    <w:rsid w:val="00B5242D"/>
    <w:rsid w:val="00B524FD"/>
    <w:rsid w:val="00B5271A"/>
    <w:rsid w:val="00B52C3B"/>
    <w:rsid w:val="00B52E71"/>
    <w:rsid w:val="00B530A8"/>
    <w:rsid w:val="00B53478"/>
    <w:rsid w:val="00B53587"/>
    <w:rsid w:val="00B53813"/>
    <w:rsid w:val="00B539EE"/>
    <w:rsid w:val="00B53E79"/>
    <w:rsid w:val="00B53FA4"/>
    <w:rsid w:val="00B540DD"/>
    <w:rsid w:val="00B54780"/>
    <w:rsid w:val="00B54861"/>
    <w:rsid w:val="00B54AFB"/>
    <w:rsid w:val="00B54C97"/>
    <w:rsid w:val="00B54E35"/>
    <w:rsid w:val="00B55245"/>
    <w:rsid w:val="00B554BA"/>
    <w:rsid w:val="00B55A00"/>
    <w:rsid w:val="00B55C30"/>
    <w:rsid w:val="00B5652C"/>
    <w:rsid w:val="00B56584"/>
    <w:rsid w:val="00B56634"/>
    <w:rsid w:val="00B567FE"/>
    <w:rsid w:val="00B56D7F"/>
    <w:rsid w:val="00B56E02"/>
    <w:rsid w:val="00B57319"/>
    <w:rsid w:val="00B57BA8"/>
    <w:rsid w:val="00B57C45"/>
    <w:rsid w:val="00B57D10"/>
    <w:rsid w:val="00B57DE7"/>
    <w:rsid w:val="00B57F11"/>
    <w:rsid w:val="00B601E7"/>
    <w:rsid w:val="00B60628"/>
    <w:rsid w:val="00B6066E"/>
    <w:rsid w:val="00B6079F"/>
    <w:rsid w:val="00B60A7A"/>
    <w:rsid w:val="00B614FF"/>
    <w:rsid w:val="00B621ED"/>
    <w:rsid w:val="00B6237B"/>
    <w:rsid w:val="00B624B8"/>
    <w:rsid w:val="00B626F3"/>
    <w:rsid w:val="00B628A0"/>
    <w:rsid w:val="00B62921"/>
    <w:rsid w:val="00B62BC2"/>
    <w:rsid w:val="00B62C50"/>
    <w:rsid w:val="00B62DF9"/>
    <w:rsid w:val="00B62E03"/>
    <w:rsid w:val="00B630FC"/>
    <w:rsid w:val="00B632DE"/>
    <w:rsid w:val="00B632E9"/>
    <w:rsid w:val="00B63AB2"/>
    <w:rsid w:val="00B63BA0"/>
    <w:rsid w:val="00B63E65"/>
    <w:rsid w:val="00B63FB4"/>
    <w:rsid w:val="00B64112"/>
    <w:rsid w:val="00B6425A"/>
    <w:rsid w:val="00B64424"/>
    <w:rsid w:val="00B646F0"/>
    <w:rsid w:val="00B649EC"/>
    <w:rsid w:val="00B64D61"/>
    <w:rsid w:val="00B651B4"/>
    <w:rsid w:val="00B654C2"/>
    <w:rsid w:val="00B65828"/>
    <w:rsid w:val="00B6585E"/>
    <w:rsid w:val="00B65DDE"/>
    <w:rsid w:val="00B6649C"/>
    <w:rsid w:val="00B6650A"/>
    <w:rsid w:val="00B66550"/>
    <w:rsid w:val="00B66745"/>
    <w:rsid w:val="00B668CE"/>
    <w:rsid w:val="00B6692E"/>
    <w:rsid w:val="00B669FC"/>
    <w:rsid w:val="00B673C0"/>
    <w:rsid w:val="00B67543"/>
    <w:rsid w:val="00B67619"/>
    <w:rsid w:val="00B679D2"/>
    <w:rsid w:val="00B70164"/>
    <w:rsid w:val="00B702A4"/>
    <w:rsid w:val="00B704A5"/>
    <w:rsid w:val="00B70DF4"/>
    <w:rsid w:val="00B70FB3"/>
    <w:rsid w:val="00B7102C"/>
    <w:rsid w:val="00B712B9"/>
    <w:rsid w:val="00B71340"/>
    <w:rsid w:val="00B7136A"/>
    <w:rsid w:val="00B71ABE"/>
    <w:rsid w:val="00B72A81"/>
    <w:rsid w:val="00B72AA9"/>
    <w:rsid w:val="00B72ADE"/>
    <w:rsid w:val="00B72E1E"/>
    <w:rsid w:val="00B72F0D"/>
    <w:rsid w:val="00B733FF"/>
    <w:rsid w:val="00B735C8"/>
    <w:rsid w:val="00B73A36"/>
    <w:rsid w:val="00B73A3D"/>
    <w:rsid w:val="00B73A55"/>
    <w:rsid w:val="00B73DAD"/>
    <w:rsid w:val="00B74169"/>
    <w:rsid w:val="00B7431C"/>
    <w:rsid w:val="00B744C5"/>
    <w:rsid w:val="00B7487F"/>
    <w:rsid w:val="00B748CF"/>
    <w:rsid w:val="00B749AB"/>
    <w:rsid w:val="00B74C48"/>
    <w:rsid w:val="00B74F01"/>
    <w:rsid w:val="00B74FC4"/>
    <w:rsid w:val="00B75161"/>
    <w:rsid w:val="00B7563F"/>
    <w:rsid w:val="00B756E4"/>
    <w:rsid w:val="00B756E5"/>
    <w:rsid w:val="00B75707"/>
    <w:rsid w:val="00B757AA"/>
    <w:rsid w:val="00B7588F"/>
    <w:rsid w:val="00B75BB8"/>
    <w:rsid w:val="00B7610C"/>
    <w:rsid w:val="00B763F0"/>
    <w:rsid w:val="00B76712"/>
    <w:rsid w:val="00B7686B"/>
    <w:rsid w:val="00B76A33"/>
    <w:rsid w:val="00B76C2B"/>
    <w:rsid w:val="00B76F4E"/>
    <w:rsid w:val="00B7707A"/>
    <w:rsid w:val="00B77315"/>
    <w:rsid w:val="00B775C7"/>
    <w:rsid w:val="00B77A36"/>
    <w:rsid w:val="00B77B33"/>
    <w:rsid w:val="00B77F19"/>
    <w:rsid w:val="00B8006E"/>
    <w:rsid w:val="00B807E7"/>
    <w:rsid w:val="00B81060"/>
    <w:rsid w:val="00B810B8"/>
    <w:rsid w:val="00B813AE"/>
    <w:rsid w:val="00B81A2A"/>
    <w:rsid w:val="00B81D29"/>
    <w:rsid w:val="00B81E47"/>
    <w:rsid w:val="00B8222B"/>
    <w:rsid w:val="00B82264"/>
    <w:rsid w:val="00B823F5"/>
    <w:rsid w:val="00B827C7"/>
    <w:rsid w:val="00B829D9"/>
    <w:rsid w:val="00B82B8F"/>
    <w:rsid w:val="00B82C93"/>
    <w:rsid w:val="00B82D53"/>
    <w:rsid w:val="00B82E48"/>
    <w:rsid w:val="00B83C2E"/>
    <w:rsid w:val="00B83F29"/>
    <w:rsid w:val="00B83F4B"/>
    <w:rsid w:val="00B84B7C"/>
    <w:rsid w:val="00B84E07"/>
    <w:rsid w:val="00B84E59"/>
    <w:rsid w:val="00B8534A"/>
    <w:rsid w:val="00B8574E"/>
    <w:rsid w:val="00B85AEE"/>
    <w:rsid w:val="00B85FE2"/>
    <w:rsid w:val="00B86573"/>
    <w:rsid w:val="00B86732"/>
    <w:rsid w:val="00B86C78"/>
    <w:rsid w:val="00B86C85"/>
    <w:rsid w:val="00B86D11"/>
    <w:rsid w:val="00B87372"/>
    <w:rsid w:val="00B875A4"/>
    <w:rsid w:val="00B877F4"/>
    <w:rsid w:val="00B8797F"/>
    <w:rsid w:val="00B904C1"/>
    <w:rsid w:val="00B90634"/>
    <w:rsid w:val="00B90C2E"/>
    <w:rsid w:val="00B90E19"/>
    <w:rsid w:val="00B91025"/>
    <w:rsid w:val="00B91F6F"/>
    <w:rsid w:val="00B9207A"/>
    <w:rsid w:val="00B92123"/>
    <w:rsid w:val="00B921EE"/>
    <w:rsid w:val="00B928D9"/>
    <w:rsid w:val="00B929BC"/>
    <w:rsid w:val="00B929EC"/>
    <w:rsid w:val="00B92C64"/>
    <w:rsid w:val="00B939BA"/>
    <w:rsid w:val="00B93D00"/>
    <w:rsid w:val="00B9405C"/>
    <w:rsid w:val="00B940DF"/>
    <w:rsid w:val="00B940E7"/>
    <w:rsid w:val="00B94169"/>
    <w:rsid w:val="00B9454B"/>
    <w:rsid w:val="00B9464D"/>
    <w:rsid w:val="00B94E27"/>
    <w:rsid w:val="00B9523A"/>
    <w:rsid w:val="00B95A01"/>
    <w:rsid w:val="00B95AA9"/>
    <w:rsid w:val="00B95BBB"/>
    <w:rsid w:val="00B960D7"/>
    <w:rsid w:val="00B961BC"/>
    <w:rsid w:val="00B9633D"/>
    <w:rsid w:val="00B96484"/>
    <w:rsid w:val="00B968FE"/>
    <w:rsid w:val="00B96EAE"/>
    <w:rsid w:val="00B97465"/>
    <w:rsid w:val="00B97535"/>
    <w:rsid w:val="00B9787D"/>
    <w:rsid w:val="00BA004D"/>
    <w:rsid w:val="00BA019D"/>
    <w:rsid w:val="00BA058B"/>
    <w:rsid w:val="00BA0C4C"/>
    <w:rsid w:val="00BA138D"/>
    <w:rsid w:val="00BA18B0"/>
    <w:rsid w:val="00BA1976"/>
    <w:rsid w:val="00BA1A89"/>
    <w:rsid w:val="00BA1BDA"/>
    <w:rsid w:val="00BA1C9F"/>
    <w:rsid w:val="00BA21DB"/>
    <w:rsid w:val="00BA22CB"/>
    <w:rsid w:val="00BA2532"/>
    <w:rsid w:val="00BA2B89"/>
    <w:rsid w:val="00BA3404"/>
    <w:rsid w:val="00BA3458"/>
    <w:rsid w:val="00BA36DD"/>
    <w:rsid w:val="00BA38C8"/>
    <w:rsid w:val="00BA38E4"/>
    <w:rsid w:val="00BA39F7"/>
    <w:rsid w:val="00BA3A6C"/>
    <w:rsid w:val="00BA3B00"/>
    <w:rsid w:val="00BA3D82"/>
    <w:rsid w:val="00BA4029"/>
    <w:rsid w:val="00BA43F7"/>
    <w:rsid w:val="00BA459C"/>
    <w:rsid w:val="00BA46B2"/>
    <w:rsid w:val="00BA4DD2"/>
    <w:rsid w:val="00BA4E72"/>
    <w:rsid w:val="00BA4FFE"/>
    <w:rsid w:val="00BA5629"/>
    <w:rsid w:val="00BA57B2"/>
    <w:rsid w:val="00BA5A5C"/>
    <w:rsid w:val="00BA5A99"/>
    <w:rsid w:val="00BA5D78"/>
    <w:rsid w:val="00BA6262"/>
    <w:rsid w:val="00BA67F1"/>
    <w:rsid w:val="00BA68E1"/>
    <w:rsid w:val="00BA6E60"/>
    <w:rsid w:val="00BA7842"/>
    <w:rsid w:val="00BA7CBF"/>
    <w:rsid w:val="00BA7F96"/>
    <w:rsid w:val="00BB061C"/>
    <w:rsid w:val="00BB0BE4"/>
    <w:rsid w:val="00BB1184"/>
    <w:rsid w:val="00BB1275"/>
    <w:rsid w:val="00BB1900"/>
    <w:rsid w:val="00BB1A63"/>
    <w:rsid w:val="00BB1A8F"/>
    <w:rsid w:val="00BB1B9B"/>
    <w:rsid w:val="00BB1E50"/>
    <w:rsid w:val="00BB21BC"/>
    <w:rsid w:val="00BB22F7"/>
    <w:rsid w:val="00BB2391"/>
    <w:rsid w:val="00BB2DBA"/>
    <w:rsid w:val="00BB36D8"/>
    <w:rsid w:val="00BB3D4C"/>
    <w:rsid w:val="00BB3D8E"/>
    <w:rsid w:val="00BB437B"/>
    <w:rsid w:val="00BB4883"/>
    <w:rsid w:val="00BB4A08"/>
    <w:rsid w:val="00BB4ACF"/>
    <w:rsid w:val="00BB5C41"/>
    <w:rsid w:val="00BB5FEF"/>
    <w:rsid w:val="00BB61CE"/>
    <w:rsid w:val="00BB6868"/>
    <w:rsid w:val="00BB6948"/>
    <w:rsid w:val="00BB69C2"/>
    <w:rsid w:val="00BB69EA"/>
    <w:rsid w:val="00BB6AE9"/>
    <w:rsid w:val="00BB6C8A"/>
    <w:rsid w:val="00BB6CD3"/>
    <w:rsid w:val="00BB7727"/>
    <w:rsid w:val="00BB794E"/>
    <w:rsid w:val="00BB7A0C"/>
    <w:rsid w:val="00BB7A3D"/>
    <w:rsid w:val="00BB7AEC"/>
    <w:rsid w:val="00BB7D8A"/>
    <w:rsid w:val="00BB7E96"/>
    <w:rsid w:val="00BC015A"/>
    <w:rsid w:val="00BC03FF"/>
    <w:rsid w:val="00BC0438"/>
    <w:rsid w:val="00BC0463"/>
    <w:rsid w:val="00BC059A"/>
    <w:rsid w:val="00BC0703"/>
    <w:rsid w:val="00BC0AAF"/>
    <w:rsid w:val="00BC0E95"/>
    <w:rsid w:val="00BC0FAE"/>
    <w:rsid w:val="00BC0FCA"/>
    <w:rsid w:val="00BC14BE"/>
    <w:rsid w:val="00BC187B"/>
    <w:rsid w:val="00BC1B45"/>
    <w:rsid w:val="00BC1B8F"/>
    <w:rsid w:val="00BC1DBF"/>
    <w:rsid w:val="00BC1EE9"/>
    <w:rsid w:val="00BC1FC8"/>
    <w:rsid w:val="00BC2283"/>
    <w:rsid w:val="00BC291C"/>
    <w:rsid w:val="00BC2B03"/>
    <w:rsid w:val="00BC2F1E"/>
    <w:rsid w:val="00BC322F"/>
    <w:rsid w:val="00BC34BE"/>
    <w:rsid w:val="00BC35AC"/>
    <w:rsid w:val="00BC3791"/>
    <w:rsid w:val="00BC3A84"/>
    <w:rsid w:val="00BC3BBE"/>
    <w:rsid w:val="00BC3DB8"/>
    <w:rsid w:val="00BC3F17"/>
    <w:rsid w:val="00BC3F78"/>
    <w:rsid w:val="00BC3FFD"/>
    <w:rsid w:val="00BC40C1"/>
    <w:rsid w:val="00BC4150"/>
    <w:rsid w:val="00BC45BE"/>
    <w:rsid w:val="00BC4705"/>
    <w:rsid w:val="00BC48AB"/>
    <w:rsid w:val="00BC48C6"/>
    <w:rsid w:val="00BC4DD4"/>
    <w:rsid w:val="00BC4E91"/>
    <w:rsid w:val="00BC51BC"/>
    <w:rsid w:val="00BC5219"/>
    <w:rsid w:val="00BC55F5"/>
    <w:rsid w:val="00BC5946"/>
    <w:rsid w:val="00BC59CE"/>
    <w:rsid w:val="00BC5F0A"/>
    <w:rsid w:val="00BC613A"/>
    <w:rsid w:val="00BC6378"/>
    <w:rsid w:val="00BC64BF"/>
    <w:rsid w:val="00BC678E"/>
    <w:rsid w:val="00BC68C2"/>
    <w:rsid w:val="00BC6A08"/>
    <w:rsid w:val="00BC6AEB"/>
    <w:rsid w:val="00BC73AE"/>
    <w:rsid w:val="00BC763D"/>
    <w:rsid w:val="00BC768B"/>
    <w:rsid w:val="00BC772A"/>
    <w:rsid w:val="00BC7829"/>
    <w:rsid w:val="00BC7868"/>
    <w:rsid w:val="00BC788D"/>
    <w:rsid w:val="00BC7BAB"/>
    <w:rsid w:val="00BC7D17"/>
    <w:rsid w:val="00BD01D8"/>
    <w:rsid w:val="00BD023D"/>
    <w:rsid w:val="00BD03BA"/>
    <w:rsid w:val="00BD088E"/>
    <w:rsid w:val="00BD0B76"/>
    <w:rsid w:val="00BD0FE9"/>
    <w:rsid w:val="00BD150B"/>
    <w:rsid w:val="00BD1704"/>
    <w:rsid w:val="00BD18A7"/>
    <w:rsid w:val="00BD1907"/>
    <w:rsid w:val="00BD209D"/>
    <w:rsid w:val="00BD2180"/>
    <w:rsid w:val="00BD2400"/>
    <w:rsid w:val="00BD2493"/>
    <w:rsid w:val="00BD2972"/>
    <w:rsid w:val="00BD2980"/>
    <w:rsid w:val="00BD2B0C"/>
    <w:rsid w:val="00BD2C18"/>
    <w:rsid w:val="00BD2E0F"/>
    <w:rsid w:val="00BD3144"/>
    <w:rsid w:val="00BD383D"/>
    <w:rsid w:val="00BD3A76"/>
    <w:rsid w:val="00BD3C42"/>
    <w:rsid w:val="00BD3CD4"/>
    <w:rsid w:val="00BD3D66"/>
    <w:rsid w:val="00BD4511"/>
    <w:rsid w:val="00BD4556"/>
    <w:rsid w:val="00BD4710"/>
    <w:rsid w:val="00BD490C"/>
    <w:rsid w:val="00BD4A1B"/>
    <w:rsid w:val="00BD4BBA"/>
    <w:rsid w:val="00BD50E7"/>
    <w:rsid w:val="00BD5627"/>
    <w:rsid w:val="00BD579A"/>
    <w:rsid w:val="00BD6143"/>
    <w:rsid w:val="00BD61C4"/>
    <w:rsid w:val="00BD677D"/>
    <w:rsid w:val="00BD6A64"/>
    <w:rsid w:val="00BD7657"/>
    <w:rsid w:val="00BD766F"/>
    <w:rsid w:val="00BD7731"/>
    <w:rsid w:val="00BD7CA0"/>
    <w:rsid w:val="00BD7E9E"/>
    <w:rsid w:val="00BE0272"/>
    <w:rsid w:val="00BE0A0D"/>
    <w:rsid w:val="00BE0A46"/>
    <w:rsid w:val="00BE0D14"/>
    <w:rsid w:val="00BE1089"/>
    <w:rsid w:val="00BE1215"/>
    <w:rsid w:val="00BE152A"/>
    <w:rsid w:val="00BE1855"/>
    <w:rsid w:val="00BE1AE5"/>
    <w:rsid w:val="00BE1EA8"/>
    <w:rsid w:val="00BE1EC5"/>
    <w:rsid w:val="00BE2469"/>
    <w:rsid w:val="00BE2528"/>
    <w:rsid w:val="00BE2816"/>
    <w:rsid w:val="00BE29EB"/>
    <w:rsid w:val="00BE2A46"/>
    <w:rsid w:val="00BE2C7F"/>
    <w:rsid w:val="00BE2CCB"/>
    <w:rsid w:val="00BE3504"/>
    <w:rsid w:val="00BE3A7B"/>
    <w:rsid w:val="00BE3D22"/>
    <w:rsid w:val="00BE3D84"/>
    <w:rsid w:val="00BE3EA4"/>
    <w:rsid w:val="00BE40B7"/>
    <w:rsid w:val="00BE41BD"/>
    <w:rsid w:val="00BE431D"/>
    <w:rsid w:val="00BE46BD"/>
    <w:rsid w:val="00BE4A44"/>
    <w:rsid w:val="00BE4D0D"/>
    <w:rsid w:val="00BE4E1D"/>
    <w:rsid w:val="00BE5240"/>
    <w:rsid w:val="00BE5542"/>
    <w:rsid w:val="00BE55AA"/>
    <w:rsid w:val="00BE5C16"/>
    <w:rsid w:val="00BE5C3F"/>
    <w:rsid w:val="00BE5EB4"/>
    <w:rsid w:val="00BE5FB1"/>
    <w:rsid w:val="00BE6206"/>
    <w:rsid w:val="00BE63A0"/>
    <w:rsid w:val="00BE6579"/>
    <w:rsid w:val="00BE6782"/>
    <w:rsid w:val="00BE6A12"/>
    <w:rsid w:val="00BE6AA9"/>
    <w:rsid w:val="00BE6C2A"/>
    <w:rsid w:val="00BE6C7B"/>
    <w:rsid w:val="00BE6F7E"/>
    <w:rsid w:val="00BE7008"/>
    <w:rsid w:val="00BE7364"/>
    <w:rsid w:val="00BE7503"/>
    <w:rsid w:val="00BE782C"/>
    <w:rsid w:val="00BE7B17"/>
    <w:rsid w:val="00BE7ED9"/>
    <w:rsid w:val="00BF0137"/>
    <w:rsid w:val="00BF08EE"/>
    <w:rsid w:val="00BF0BD8"/>
    <w:rsid w:val="00BF12A4"/>
    <w:rsid w:val="00BF1575"/>
    <w:rsid w:val="00BF158D"/>
    <w:rsid w:val="00BF15BA"/>
    <w:rsid w:val="00BF1713"/>
    <w:rsid w:val="00BF1771"/>
    <w:rsid w:val="00BF1986"/>
    <w:rsid w:val="00BF1BBE"/>
    <w:rsid w:val="00BF1CB1"/>
    <w:rsid w:val="00BF1D2B"/>
    <w:rsid w:val="00BF1DE9"/>
    <w:rsid w:val="00BF2002"/>
    <w:rsid w:val="00BF2354"/>
    <w:rsid w:val="00BF2556"/>
    <w:rsid w:val="00BF2B41"/>
    <w:rsid w:val="00BF2E87"/>
    <w:rsid w:val="00BF2F0E"/>
    <w:rsid w:val="00BF2F5F"/>
    <w:rsid w:val="00BF2F95"/>
    <w:rsid w:val="00BF3E3B"/>
    <w:rsid w:val="00BF4078"/>
    <w:rsid w:val="00BF4608"/>
    <w:rsid w:val="00BF479A"/>
    <w:rsid w:val="00BF4CA2"/>
    <w:rsid w:val="00BF4D0B"/>
    <w:rsid w:val="00BF4F01"/>
    <w:rsid w:val="00BF4F81"/>
    <w:rsid w:val="00BF52E1"/>
    <w:rsid w:val="00BF5368"/>
    <w:rsid w:val="00BF55FF"/>
    <w:rsid w:val="00BF56CC"/>
    <w:rsid w:val="00BF5739"/>
    <w:rsid w:val="00BF5889"/>
    <w:rsid w:val="00BF594E"/>
    <w:rsid w:val="00BF59CD"/>
    <w:rsid w:val="00BF63DC"/>
    <w:rsid w:val="00BF6660"/>
    <w:rsid w:val="00BF6663"/>
    <w:rsid w:val="00BF6722"/>
    <w:rsid w:val="00BF68E0"/>
    <w:rsid w:val="00BF6BB4"/>
    <w:rsid w:val="00BF6E99"/>
    <w:rsid w:val="00BF6F54"/>
    <w:rsid w:val="00BF6FEC"/>
    <w:rsid w:val="00BF701B"/>
    <w:rsid w:val="00BF702B"/>
    <w:rsid w:val="00BF7524"/>
    <w:rsid w:val="00BF7792"/>
    <w:rsid w:val="00BF7900"/>
    <w:rsid w:val="00BF7A9B"/>
    <w:rsid w:val="00BF7BDB"/>
    <w:rsid w:val="00C008D2"/>
    <w:rsid w:val="00C009AF"/>
    <w:rsid w:val="00C00A57"/>
    <w:rsid w:val="00C00EFA"/>
    <w:rsid w:val="00C013C3"/>
    <w:rsid w:val="00C0144E"/>
    <w:rsid w:val="00C01678"/>
    <w:rsid w:val="00C01E82"/>
    <w:rsid w:val="00C01F5F"/>
    <w:rsid w:val="00C02065"/>
    <w:rsid w:val="00C02416"/>
    <w:rsid w:val="00C02585"/>
    <w:rsid w:val="00C0284A"/>
    <w:rsid w:val="00C028A0"/>
    <w:rsid w:val="00C02C54"/>
    <w:rsid w:val="00C02F18"/>
    <w:rsid w:val="00C0317B"/>
    <w:rsid w:val="00C031D2"/>
    <w:rsid w:val="00C0320C"/>
    <w:rsid w:val="00C0323B"/>
    <w:rsid w:val="00C03372"/>
    <w:rsid w:val="00C034E3"/>
    <w:rsid w:val="00C035C2"/>
    <w:rsid w:val="00C03605"/>
    <w:rsid w:val="00C03FA9"/>
    <w:rsid w:val="00C041D0"/>
    <w:rsid w:val="00C04630"/>
    <w:rsid w:val="00C04AAE"/>
    <w:rsid w:val="00C04B8A"/>
    <w:rsid w:val="00C04D60"/>
    <w:rsid w:val="00C04FD8"/>
    <w:rsid w:val="00C05430"/>
    <w:rsid w:val="00C05483"/>
    <w:rsid w:val="00C055E0"/>
    <w:rsid w:val="00C05618"/>
    <w:rsid w:val="00C0563C"/>
    <w:rsid w:val="00C05766"/>
    <w:rsid w:val="00C0581A"/>
    <w:rsid w:val="00C05FE2"/>
    <w:rsid w:val="00C062D4"/>
    <w:rsid w:val="00C06425"/>
    <w:rsid w:val="00C066EF"/>
    <w:rsid w:val="00C06A42"/>
    <w:rsid w:val="00C06C17"/>
    <w:rsid w:val="00C06CA1"/>
    <w:rsid w:val="00C06EAA"/>
    <w:rsid w:val="00C0701B"/>
    <w:rsid w:val="00C0701C"/>
    <w:rsid w:val="00C073F4"/>
    <w:rsid w:val="00C078D5"/>
    <w:rsid w:val="00C07AC4"/>
    <w:rsid w:val="00C07B22"/>
    <w:rsid w:val="00C07CFE"/>
    <w:rsid w:val="00C10567"/>
    <w:rsid w:val="00C1079E"/>
    <w:rsid w:val="00C1086B"/>
    <w:rsid w:val="00C108C2"/>
    <w:rsid w:val="00C11084"/>
    <w:rsid w:val="00C110B3"/>
    <w:rsid w:val="00C11374"/>
    <w:rsid w:val="00C11BC4"/>
    <w:rsid w:val="00C11D15"/>
    <w:rsid w:val="00C11DC3"/>
    <w:rsid w:val="00C11DF3"/>
    <w:rsid w:val="00C11ECD"/>
    <w:rsid w:val="00C121ED"/>
    <w:rsid w:val="00C122F7"/>
    <w:rsid w:val="00C12357"/>
    <w:rsid w:val="00C1246A"/>
    <w:rsid w:val="00C127A7"/>
    <w:rsid w:val="00C12901"/>
    <w:rsid w:val="00C12A54"/>
    <w:rsid w:val="00C12B69"/>
    <w:rsid w:val="00C12C26"/>
    <w:rsid w:val="00C133CF"/>
    <w:rsid w:val="00C1344F"/>
    <w:rsid w:val="00C13908"/>
    <w:rsid w:val="00C1395C"/>
    <w:rsid w:val="00C139C5"/>
    <w:rsid w:val="00C13C44"/>
    <w:rsid w:val="00C13D72"/>
    <w:rsid w:val="00C13E94"/>
    <w:rsid w:val="00C14120"/>
    <w:rsid w:val="00C14306"/>
    <w:rsid w:val="00C14699"/>
    <w:rsid w:val="00C148E6"/>
    <w:rsid w:val="00C14917"/>
    <w:rsid w:val="00C14DA6"/>
    <w:rsid w:val="00C14FCB"/>
    <w:rsid w:val="00C15020"/>
    <w:rsid w:val="00C15AA7"/>
    <w:rsid w:val="00C15CF5"/>
    <w:rsid w:val="00C15D7E"/>
    <w:rsid w:val="00C16311"/>
    <w:rsid w:val="00C163CB"/>
    <w:rsid w:val="00C1644D"/>
    <w:rsid w:val="00C167AF"/>
    <w:rsid w:val="00C16E9B"/>
    <w:rsid w:val="00C17131"/>
    <w:rsid w:val="00C175CF"/>
    <w:rsid w:val="00C17DFF"/>
    <w:rsid w:val="00C17F53"/>
    <w:rsid w:val="00C201C1"/>
    <w:rsid w:val="00C208EA"/>
    <w:rsid w:val="00C20E78"/>
    <w:rsid w:val="00C20EDE"/>
    <w:rsid w:val="00C20F3A"/>
    <w:rsid w:val="00C210AB"/>
    <w:rsid w:val="00C211F5"/>
    <w:rsid w:val="00C214A0"/>
    <w:rsid w:val="00C21B33"/>
    <w:rsid w:val="00C21DCE"/>
    <w:rsid w:val="00C21E26"/>
    <w:rsid w:val="00C21E6E"/>
    <w:rsid w:val="00C21F99"/>
    <w:rsid w:val="00C2227E"/>
    <w:rsid w:val="00C22474"/>
    <w:rsid w:val="00C22569"/>
    <w:rsid w:val="00C226FA"/>
    <w:rsid w:val="00C22817"/>
    <w:rsid w:val="00C22DF9"/>
    <w:rsid w:val="00C22E24"/>
    <w:rsid w:val="00C22F8A"/>
    <w:rsid w:val="00C22FDA"/>
    <w:rsid w:val="00C231FF"/>
    <w:rsid w:val="00C237B9"/>
    <w:rsid w:val="00C239AA"/>
    <w:rsid w:val="00C24338"/>
    <w:rsid w:val="00C246ED"/>
    <w:rsid w:val="00C24726"/>
    <w:rsid w:val="00C24ABB"/>
    <w:rsid w:val="00C24E67"/>
    <w:rsid w:val="00C25447"/>
    <w:rsid w:val="00C2546A"/>
    <w:rsid w:val="00C254B2"/>
    <w:rsid w:val="00C25A29"/>
    <w:rsid w:val="00C25C1A"/>
    <w:rsid w:val="00C263FD"/>
    <w:rsid w:val="00C26B8B"/>
    <w:rsid w:val="00C26CC1"/>
    <w:rsid w:val="00C26D1C"/>
    <w:rsid w:val="00C26DBC"/>
    <w:rsid w:val="00C26F5E"/>
    <w:rsid w:val="00C26FCF"/>
    <w:rsid w:val="00C2703C"/>
    <w:rsid w:val="00C27118"/>
    <w:rsid w:val="00C2713C"/>
    <w:rsid w:val="00C2735D"/>
    <w:rsid w:val="00C27460"/>
    <w:rsid w:val="00C27A9F"/>
    <w:rsid w:val="00C27C99"/>
    <w:rsid w:val="00C27D5B"/>
    <w:rsid w:val="00C27E47"/>
    <w:rsid w:val="00C302D1"/>
    <w:rsid w:val="00C305BF"/>
    <w:rsid w:val="00C30BAB"/>
    <w:rsid w:val="00C3106A"/>
    <w:rsid w:val="00C31077"/>
    <w:rsid w:val="00C311C6"/>
    <w:rsid w:val="00C31224"/>
    <w:rsid w:val="00C3165F"/>
    <w:rsid w:val="00C316A4"/>
    <w:rsid w:val="00C31756"/>
    <w:rsid w:val="00C318FA"/>
    <w:rsid w:val="00C31947"/>
    <w:rsid w:val="00C31AED"/>
    <w:rsid w:val="00C31C37"/>
    <w:rsid w:val="00C31C40"/>
    <w:rsid w:val="00C31F96"/>
    <w:rsid w:val="00C32332"/>
    <w:rsid w:val="00C32375"/>
    <w:rsid w:val="00C323BC"/>
    <w:rsid w:val="00C32401"/>
    <w:rsid w:val="00C32A79"/>
    <w:rsid w:val="00C32B9A"/>
    <w:rsid w:val="00C32C36"/>
    <w:rsid w:val="00C32C69"/>
    <w:rsid w:val="00C32D48"/>
    <w:rsid w:val="00C32E74"/>
    <w:rsid w:val="00C33175"/>
    <w:rsid w:val="00C332D7"/>
    <w:rsid w:val="00C33405"/>
    <w:rsid w:val="00C33557"/>
    <w:rsid w:val="00C336E1"/>
    <w:rsid w:val="00C337DF"/>
    <w:rsid w:val="00C3384D"/>
    <w:rsid w:val="00C33D23"/>
    <w:rsid w:val="00C34034"/>
    <w:rsid w:val="00C3462F"/>
    <w:rsid w:val="00C34702"/>
    <w:rsid w:val="00C34C86"/>
    <w:rsid w:val="00C35A0E"/>
    <w:rsid w:val="00C35BC6"/>
    <w:rsid w:val="00C35D41"/>
    <w:rsid w:val="00C361A8"/>
    <w:rsid w:val="00C36471"/>
    <w:rsid w:val="00C36C95"/>
    <w:rsid w:val="00C36CA0"/>
    <w:rsid w:val="00C36F48"/>
    <w:rsid w:val="00C36FCC"/>
    <w:rsid w:val="00C36FED"/>
    <w:rsid w:val="00C370CA"/>
    <w:rsid w:val="00C37768"/>
    <w:rsid w:val="00C37AB4"/>
    <w:rsid w:val="00C405F6"/>
    <w:rsid w:val="00C40CF8"/>
    <w:rsid w:val="00C41204"/>
    <w:rsid w:val="00C41274"/>
    <w:rsid w:val="00C41370"/>
    <w:rsid w:val="00C413D9"/>
    <w:rsid w:val="00C41693"/>
    <w:rsid w:val="00C419B0"/>
    <w:rsid w:val="00C419EC"/>
    <w:rsid w:val="00C41BDE"/>
    <w:rsid w:val="00C41E8C"/>
    <w:rsid w:val="00C41F5E"/>
    <w:rsid w:val="00C4232E"/>
    <w:rsid w:val="00C42360"/>
    <w:rsid w:val="00C423C7"/>
    <w:rsid w:val="00C4279E"/>
    <w:rsid w:val="00C42A14"/>
    <w:rsid w:val="00C42E37"/>
    <w:rsid w:val="00C430F5"/>
    <w:rsid w:val="00C43422"/>
    <w:rsid w:val="00C4376C"/>
    <w:rsid w:val="00C43778"/>
    <w:rsid w:val="00C43C51"/>
    <w:rsid w:val="00C43E90"/>
    <w:rsid w:val="00C43F30"/>
    <w:rsid w:val="00C43F9B"/>
    <w:rsid w:val="00C440C3"/>
    <w:rsid w:val="00C44247"/>
    <w:rsid w:val="00C4450B"/>
    <w:rsid w:val="00C44555"/>
    <w:rsid w:val="00C451C8"/>
    <w:rsid w:val="00C45217"/>
    <w:rsid w:val="00C45237"/>
    <w:rsid w:val="00C453DB"/>
    <w:rsid w:val="00C45525"/>
    <w:rsid w:val="00C45EAD"/>
    <w:rsid w:val="00C4649B"/>
    <w:rsid w:val="00C46C46"/>
    <w:rsid w:val="00C46F81"/>
    <w:rsid w:val="00C473F0"/>
    <w:rsid w:val="00C474DC"/>
    <w:rsid w:val="00C47672"/>
    <w:rsid w:val="00C478B9"/>
    <w:rsid w:val="00C479D7"/>
    <w:rsid w:val="00C479EF"/>
    <w:rsid w:val="00C47A91"/>
    <w:rsid w:val="00C47D06"/>
    <w:rsid w:val="00C50621"/>
    <w:rsid w:val="00C50816"/>
    <w:rsid w:val="00C5096E"/>
    <w:rsid w:val="00C50C2A"/>
    <w:rsid w:val="00C50D17"/>
    <w:rsid w:val="00C50D22"/>
    <w:rsid w:val="00C50D63"/>
    <w:rsid w:val="00C50E39"/>
    <w:rsid w:val="00C51262"/>
    <w:rsid w:val="00C51951"/>
    <w:rsid w:val="00C52019"/>
    <w:rsid w:val="00C52058"/>
    <w:rsid w:val="00C5205D"/>
    <w:rsid w:val="00C5238C"/>
    <w:rsid w:val="00C52486"/>
    <w:rsid w:val="00C52725"/>
    <w:rsid w:val="00C52A54"/>
    <w:rsid w:val="00C537E2"/>
    <w:rsid w:val="00C541F7"/>
    <w:rsid w:val="00C542ED"/>
    <w:rsid w:val="00C5468A"/>
    <w:rsid w:val="00C54CAB"/>
    <w:rsid w:val="00C550D6"/>
    <w:rsid w:val="00C5516B"/>
    <w:rsid w:val="00C5516C"/>
    <w:rsid w:val="00C55368"/>
    <w:rsid w:val="00C55615"/>
    <w:rsid w:val="00C5573D"/>
    <w:rsid w:val="00C55998"/>
    <w:rsid w:val="00C55FAD"/>
    <w:rsid w:val="00C562D4"/>
    <w:rsid w:val="00C565E6"/>
    <w:rsid w:val="00C567A2"/>
    <w:rsid w:val="00C567B7"/>
    <w:rsid w:val="00C56B58"/>
    <w:rsid w:val="00C56C71"/>
    <w:rsid w:val="00C56F42"/>
    <w:rsid w:val="00C57524"/>
    <w:rsid w:val="00C576DA"/>
    <w:rsid w:val="00C5786F"/>
    <w:rsid w:val="00C57A96"/>
    <w:rsid w:val="00C57D0B"/>
    <w:rsid w:val="00C57F91"/>
    <w:rsid w:val="00C6043A"/>
    <w:rsid w:val="00C60446"/>
    <w:rsid w:val="00C60507"/>
    <w:rsid w:val="00C605DE"/>
    <w:rsid w:val="00C607A9"/>
    <w:rsid w:val="00C60A0B"/>
    <w:rsid w:val="00C60E00"/>
    <w:rsid w:val="00C61347"/>
    <w:rsid w:val="00C61475"/>
    <w:rsid w:val="00C61670"/>
    <w:rsid w:val="00C617BE"/>
    <w:rsid w:val="00C6182E"/>
    <w:rsid w:val="00C61A90"/>
    <w:rsid w:val="00C61D8F"/>
    <w:rsid w:val="00C62BC6"/>
    <w:rsid w:val="00C62F59"/>
    <w:rsid w:val="00C6309E"/>
    <w:rsid w:val="00C6345F"/>
    <w:rsid w:val="00C636C3"/>
    <w:rsid w:val="00C63B43"/>
    <w:rsid w:val="00C644F1"/>
    <w:rsid w:val="00C64CB5"/>
    <w:rsid w:val="00C64D99"/>
    <w:rsid w:val="00C64F30"/>
    <w:rsid w:val="00C6522F"/>
    <w:rsid w:val="00C652EE"/>
    <w:rsid w:val="00C65466"/>
    <w:rsid w:val="00C65776"/>
    <w:rsid w:val="00C65A3A"/>
    <w:rsid w:val="00C65AD1"/>
    <w:rsid w:val="00C65B85"/>
    <w:rsid w:val="00C65CF2"/>
    <w:rsid w:val="00C65ED9"/>
    <w:rsid w:val="00C660A0"/>
    <w:rsid w:val="00C664E7"/>
    <w:rsid w:val="00C6666F"/>
    <w:rsid w:val="00C668BD"/>
    <w:rsid w:val="00C66B33"/>
    <w:rsid w:val="00C66BA4"/>
    <w:rsid w:val="00C67260"/>
    <w:rsid w:val="00C677FD"/>
    <w:rsid w:val="00C67F0C"/>
    <w:rsid w:val="00C70004"/>
    <w:rsid w:val="00C7053D"/>
    <w:rsid w:val="00C7087A"/>
    <w:rsid w:val="00C70DEA"/>
    <w:rsid w:val="00C71658"/>
    <w:rsid w:val="00C71830"/>
    <w:rsid w:val="00C71C7C"/>
    <w:rsid w:val="00C71CF5"/>
    <w:rsid w:val="00C72020"/>
    <w:rsid w:val="00C72062"/>
    <w:rsid w:val="00C723F1"/>
    <w:rsid w:val="00C7241D"/>
    <w:rsid w:val="00C725F5"/>
    <w:rsid w:val="00C726B6"/>
    <w:rsid w:val="00C72820"/>
    <w:rsid w:val="00C72CA8"/>
    <w:rsid w:val="00C73D1F"/>
    <w:rsid w:val="00C749B3"/>
    <w:rsid w:val="00C74E42"/>
    <w:rsid w:val="00C75439"/>
    <w:rsid w:val="00C7563D"/>
    <w:rsid w:val="00C757F2"/>
    <w:rsid w:val="00C75985"/>
    <w:rsid w:val="00C75E03"/>
    <w:rsid w:val="00C75EDF"/>
    <w:rsid w:val="00C76004"/>
    <w:rsid w:val="00C76221"/>
    <w:rsid w:val="00C76245"/>
    <w:rsid w:val="00C76356"/>
    <w:rsid w:val="00C763AB"/>
    <w:rsid w:val="00C76734"/>
    <w:rsid w:val="00C76BC0"/>
    <w:rsid w:val="00C77481"/>
    <w:rsid w:val="00C77503"/>
    <w:rsid w:val="00C778B9"/>
    <w:rsid w:val="00C7790A"/>
    <w:rsid w:val="00C77BA6"/>
    <w:rsid w:val="00C77BE5"/>
    <w:rsid w:val="00C77E1E"/>
    <w:rsid w:val="00C77E4C"/>
    <w:rsid w:val="00C80072"/>
    <w:rsid w:val="00C801C3"/>
    <w:rsid w:val="00C802B3"/>
    <w:rsid w:val="00C809D6"/>
    <w:rsid w:val="00C80AB7"/>
    <w:rsid w:val="00C80CBC"/>
    <w:rsid w:val="00C81106"/>
    <w:rsid w:val="00C81140"/>
    <w:rsid w:val="00C81180"/>
    <w:rsid w:val="00C816F1"/>
    <w:rsid w:val="00C8178F"/>
    <w:rsid w:val="00C81AC1"/>
    <w:rsid w:val="00C81CB7"/>
    <w:rsid w:val="00C826EE"/>
    <w:rsid w:val="00C827FE"/>
    <w:rsid w:val="00C829DA"/>
    <w:rsid w:val="00C82D85"/>
    <w:rsid w:val="00C82DCA"/>
    <w:rsid w:val="00C82E03"/>
    <w:rsid w:val="00C82F60"/>
    <w:rsid w:val="00C83068"/>
    <w:rsid w:val="00C831AF"/>
    <w:rsid w:val="00C831DF"/>
    <w:rsid w:val="00C83861"/>
    <w:rsid w:val="00C83A0F"/>
    <w:rsid w:val="00C83C3E"/>
    <w:rsid w:val="00C83D3B"/>
    <w:rsid w:val="00C8423D"/>
    <w:rsid w:val="00C8447F"/>
    <w:rsid w:val="00C84797"/>
    <w:rsid w:val="00C8496E"/>
    <w:rsid w:val="00C84AC5"/>
    <w:rsid w:val="00C84D66"/>
    <w:rsid w:val="00C84EE8"/>
    <w:rsid w:val="00C85490"/>
    <w:rsid w:val="00C8550B"/>
    <w:rsid w:val="00C85606"/>
    <w:rsid w:val="00C859BA"/>
    <w:rsid w:val="00C85C22"/>
    <w:rsid w:val="00C86003"/>
    <w:rsid w:val="00C860FF"/>
    <w:rsid w:val="00C8610A"/>
    <w:rsid w:val="00C864F2"/>
    <w:rsid w:val="00C86927"/>
    <w:rsid w:val="00C869B4"/>
    <w:rsid w:val="00C86BC2"/>
    <w:rsid w:val="00C86D6A"/>
    <w:rsid w:val="00C86EAA"/>
    <w:rsid w:val="00C86ED7"/>
    <w:rsid w:val="00C8747B"/>
    <w:rsid w:val="00C90103"/>
    <w:rsid w:val="00C901CE"/>
    <w:rsid w:val="00C9022C"/>
    <w:rsid w:val="00C90322"/>
    <w:rsid w:val="00C90BF8"/>
    <w:rsid w:val="00C90E1B"/>
    <w:rsid w:val="00C90F76"/>
    <w:rsid w:val="00C91552"/>
    <w:rsid w:val="00C9235E"/>
    <w:rsid w:val="00C923B8"/>
    <w:rsid w:val="00C92578"/>
    <w:rsid w:val="00C9279B"/>
    <w:rsid w:val="00C92CC6"/>
    <w:rsid w:val="00C932E3"/>
    <w:rsid w:val="00C938EB"/>
    <w:rsid w:val="00C939F2"/>
    <w:rsid w:val="00C93BDC"/>
    <w:rsid w:val="00C94086"/>
    <w:rsid w:val="00C94152"/>
    <w:rsid w:val="00C9435A"/>
    <w:rsid w:val="00C9451D"/>
    <w:rsid w:val="00C94664"/>
    <w:rsid w:val="00C946E5"/>
    <w:rsid w:val="00C948D6"/>
    <w:rsid w:val="00C949D7"/>
    <w:rsid w:val="00C94BFF"/>
    <w:rsid w:val="00C94DB0"/>
    <w:rsid w:val="00C94EFE"/>
    <w:rsid w:val="00C94F1A"/>
    <w:rsid w:val="00C95635"/>
    <w:rsid w:val="00C9568B"/>
    <w:rsid w:val="00C956BC"/>
    <w:rsid w:val="00C95CC2"/>
    <w:rsid w:val="00C95E0F"/>
    <w:rsid w:val="00C961CD"/>
    <w:rsid w:val="00C96234"/>
    <w:rsid w:val="00C9631A"/>
    <w:rsid w:val="00C9638C"/>
    <w:rsid w:val="00C9648A"/>
    <w:rsid w:val="00C969C6"/>
    <w:rsid w:val="00C96C40"/>
    <w:rsid w:val="00C96DB7"/>
    <w:rsid w:val="00C97367"/>
    <w:rsid w:val="00C97807"/>
    <w:rsid w:val="00C97C4B"/>
    <w:rsid w:val="00C97DB0"/>
    <w:rsid w:val="00C97F38"/>
    <w:rsid w:val="00C97FB7"/>
    <w:rsid w:val="00CA0144"/>
    <w:rsid w:val="00CA0538"/>
    <w:rsid w:val="00CA096B"/>
    <w:rsid w:val="00CA0F46"/>
    <w:rsid w:val="00CA18A1"/>
    <w:rsid w:val="00CA1C43"/>
    <w:rsid w:val="00CA1D04"/>
    <w:rsid w:val="00CA211D"/>
    <w:rsid w:val="00CA22DE"/>
    <w:rsid w:val="00CA259B"/>
    <w:rsid w:val="00CA26DE"/>
    <w:rsid w:val="00CA2B74"/>
    <w:rsid w:val="00CA332E"/>
    <w:rsid w:val="00CA345A"/>
    <w:rsid w:val="00CA3771"/>
    <w:rsid w:val="00CA38F8"/>
    <w:rsid w:val="00CA390C"/>
    <w:rsid w:val="00CA393D"/>
    <w:rsid w:val="00CA3D16"/>
    <w:rsid w:val="00CA3D96"/>
    <w:rsid w:val="00CA3FCE"/>
    <w:rsid w:val="00CA4010"/>
    <w:rsid w:val="00CA438C"/>
    <w:rsid w:val="00CA45F2"/>
    <w:rsid w:val="00CA47D3"/>
    <w:rsid w:val="00CA4BF8"/>
    <w:rsid w:val="00CA4E24"/>
    <w:rsid w:val="00CA5036"/>
    <w:rsid w:val="00CA50C9"/>
    <w:rsid w:val="00CA56C1"/>
    <w:rsid w:val="00CA596D"/>
    <w:rsid w:val="00CA60EC"/>
    <w:rsid w:val="00CA64D4"/>
    <w:rsid w:val="00CA66DB"/>
    <w:rsid w:val="00CA6A75"/>
    <w:rsid w:val="00CA6F13"/>
    <w:rsid w:val="00CA7608"/>
    <w:rsid w:val="00CA784D"/>
    <w:rsid w:val="00CB0126"/>
    <w:rsid w:val="00CB0363"/>
    <w:rsid w:val="00CB0665"/>
    <w:rsid w:val="00CB06CB"/>
    <w:rsid w:val="00CB08B0"/>
    <w:rsid w:val="00CB09AA"/>
    <w:rsid w:val="00CB0E0F"/>
    <w:rsid w:val="00CB0E70"/>
    <w:rsid w:val="00CB1025"/>
    <w:rsid w:val="00CB105F"/>
    <w:rsid w:val="00CB129B"/>
    <w:rsid w:val="00CB1597"/>
    <w:rsid w:val="00CB1E64"/>
    <w:rsid w:val="00CB1F62"/>
    <w:rsid w:val="00CB2111"/>
    <w:rsid w:val="00CB23E4"/>
    <w:rsid w:val="00CB24E9"/>
    <w:rsid w:val="00CB2575"/>
    <w:rsid w:val="00CB2964"/>
    <w:rsid w:val="00CB2BAB"/>
    <w:rsid w:val="00CB2F83"/>
    <w:rsid w:val="00CB2FC2"/>
    <w:rsid w:val="00CB325B"/>
    <w:rsid w:val="00CB3286"/>
    <w:rsid w:val="00CB346F"/>
    <w:rsid w:val="00CB3841"/>
    <w:rsid w:val="00CB3996"/>
    <w:rsid w:val="00CB3D51"/>
    <w:rsid w:val="00CB3DC2"/>
    <w:rsid w:val="00CB3F2E"/>
    <w:rsid w:val="00CB47B0"/>
    <w:rsid w:val="00CB4B15"/>
    <w:rsid w:val="00CB4F35"/>
    <w:rsid w:val="00CB4FE2"/>
    <w:rsid w:val="00CB53AF"/>
    <w:rsid w:val="00CB5731"/>
    <w:rsid w:val="00CB5803"/>
    <w:rsid w:val="00CB5C5E"/>
    <w:rsid w:val="00CB61E1"/>
    <w:rsid w:val="00CB63DB"/>
    <w:rsid w:val="00CB667E"/>
    <w:rsid w:val="00CB6AE7"/>
    <w:rsid w:val="00CB6E47"/>
    <w:rsid w:val="00CB6F82"/>
    <w:rsid w:val="00CB6FB4"/>
    <w:rsid w:val="00CB71DF"/>
    <w:rsid w:val="00CB7383"/>
    <w:rsid w:val="00CB78CD"/>
    <w:rsid w:val="00CB799B"/>
    <w:rsid w:val="00CB7AC1"/>
    <w:rsid w:val="00CC00BB"/>
    <w:rsid w:val="00CC01B9"/>
    <w:rsid w:val="00CC0791"/>
    <w:rsid w:val="00CC0C43"/>
    <w:rsid w:val="00CC128F"/>
    <w:rsid w:val="00CC148B"/>
    <w:rsid w:val="00CC14A5"/>
    <w:rsid w:val="00CC1738"/>
    <w:rsid w:val="00CC18D3"/>
    <w:rsid w:val="00CC18DC"/>
    <w:rsid w:val="00CC1991"/>
    <w:rsid w:val="00CC19FE"/>
    <w:rsid w:val="00CC1C4D"/>
    <w:rsid w:val="00CC1DE5"/>
    <w:rsid w:val="00CC1FB5"/>
    <w:rsid w:val="00CC2520"/>
    <w:rsid w:val="00CC2576"/>
    <w:rsid w:val="00CC26D0"/>
    <w:rsid w:val="00CC2949"/>
    <w:rsid w:val="00CC2ED9"/>
    <w:rsid w:val="00CC3A23"/>
    <w:rsid w:val="00CC3AF9"/>
    <w:rsid w:val="00CC3B76"/>
    <w:rsid w:val="00CC3E1E"/>
    <w:rsid w:val="00CC4048"/>
    <w:rsid w:val="00CC406C"/>
    <w:rsid w:val="00CC414A"/>
    <w:rsid w:val="00CC44FD"/>
    <w:rsid w:val="00CC4620"/>
    <w:rsid w:val="00CC48BD"/>
    <w:rsid w:val="00CC48FC"/>
    <w:rsid w:val="00CC4F94"/>
    <w:rsid w:val="00CC5199"/>
    <w:rsid w:val="00CC540A"/>
    <w:rsid w:val="00CC5500"/>
    <w:rsid w:val="00CC5CAA"/>
    <w:rsid w:val="00CC609D"/>
    <w:rsid w:val="00CC60B2"/>
    <w:rsid w:val="00CC61D8"/>
    <w:rsid w:val="00CC647E"/>
    <w:rsid w:val="00CC65EE"/>
    <w:rsid w:val="00CC66B5"/>
    <w:rsid w:val="00CC6703"/>
    <w:rsid w:val="00CC6995"/>
    <w:rsid w:val="00CC6EA8"/>
    <w:rsid w:val="00CC72E5"/>
    <w:rsid w:val="00CC7559"/>
    <w:rsid w:val="00CC79D0"/>
    <w:rsid w:val="00CC7E16"/>
    <w:rsid w:val="00CD0147"/>
    <w:rsid w:val="00CD0238"/>
    <w:rsid w:val="00CD076B"/>
    <w:rsid w:val="00CD0866"/>
    <w:rsid w:val="00CD0A2E"/>
    <w:rsid w:val="00CD0F06"/>
    <w:rsid w:val="00CD1128"/>
    <w:rsid w:val="00CD120E"/>
    <w:rsid w:val="00CD1229"/>
    <w:rsid w:val="00CD1408"/>
    <w:rsid w:val="00CD177C"/>
    <w:rsid w:val="00CD17F5"/>
    <w:rsid w:val="00CD18CC"/>
    <w:rsid w:val="00CD1C15"/>
    <w:rsid w:val="00CD1D6F"/>
    <w:rsid w:val="00CD1E15"/>
    <w:rsid w:val="00CD2188"/>
    <w:rsid w:val="00CD26A5"/>
    <w:rsid w:val="00CD272E"/>
    <w:rsid w:val="00CD2A44"/>
    <w:rsid w:val="00CD2C52"/>
    <w:rsid w:val="00CD2C81"/>
    <w:rsid w:val="00CD3389"/>
    <w:rsid w:val="00CD34E4"/>
    <w:rsid w:val="00CD3806"/>
    <w:rsid w:val="00CD38B7"/>
    <w:rsid w:val="00CD3C0E"/>
    <w:rsid w:val="00CD3D74"/>
    <w:rsid w:val="00CD3DBF"/>
    <w:rsid w:val="00CD3E4A"/>
    <w:rsid w:val="00CD3E93"/>
    <w:rsid w:val="00CD4095"/>
    <w:rsid w:val="00CD409E"/>
    <w:rsid w:val="00CD42DA"/>
    <w:rsid w:val="00CD4411"/>
    <w:rsid w:val="00CD4AEF"/>
    <w:rsid w:val="00CD4C92"/>
    <w:rsid w:val="00CD4CCD"/>
    <w:rsid w:val="00CD4E65"/>
    <w:rsid w:val="00CD5365"/>
    <w:rsid w:val="00CD5853"/>
    <w:rsid w:val="00CD6427"/>
    <w:rsid w:val="00CD648F"/>
    <w:rsid w:val="00CD6D15"/>
    <w:rsid w:val="00CD6D31"/>
    <w:rsid w:val="00CD6E28"/>
    <w:rsid w:val="00CD6FD8"/>
    <w:rsid w:val="00CD736B"/>
    <w:rsid w:val="00CD7D27"/>
    <w:rsid w:val="00CE02C8"/>
    <w:rsid w:val="00CE0404"/>
    <w:rsid w:val="00CE04BE"/>
    <w:rsid w:val="00CE0608"/>
    <w:rsid w:val="00CE09D1"/>
    <w:rsid w:val="00CE0BDF"/>
    <w:rsid w:val="00CE0C54"/>
    <w:rsid w:val="00CE0D19"/>
    <w:rsid w:val="00CE0E36"/>
    <w:rsid w:val="00CE0E5C"/>
    <w:rsid w:val="00CE100F"/>
    <w:rsid w:val="00CE12A6"/>
    <w:rsid w:val="00CE1374"/>
    <w:rsid w:val="00CE1966"/>
    <w:rsid w:val="00CE1C89"/>
    <w:rsid w:val="00CE1ED0"/>
    <w:rsid w:val="00CE2117"/>
    <w:rsid w:val="00CE2278"/>
    <w:rsid w:val="00CE2502"/>
    <w:rsid w:val="00CE25A4"/>
    <w:rsid w:val="00CE3250"/>
    <w:rsid w:val="00CE33AC"/>
    <w:rsid w:val="00CE34DA"/>
    <w:rsid w:val="00CE3867"/>
    <w:rsid w:val="00CE3893"/>
    <w:rsid w:val="00CE3F54"/>
    <w:rsid w:val="00CE40AA"/>
    <w:rsid w:val="00CE539B"/>
    <w:rsid w:val="00CE5401"/>
    <w:rsid w:val="00CE5475"/>
    <w:rsid w:val="00CE573A"/>
    <w:rsid w:val="00CE5929"/>
    <w:rsid w:val="00CE5C37"/>
    <w:rsid w:val="00CE5D8B"/>
    <w:rsid w:val="00CE5DAE"/>
    <w:rsid w:val="00CE5EFC"/>
    <w:rsid w:val="00CE6457"/>
    <w:rsid w:val="00CE64E4"/>
    <w:rsid w:val="00CE67D6"/>
    <w:rsid w:val="00CE6E1B"/>
    <w:rsid w:val="00CE7092"/>
    <w:rsid w:val="00CE73C2"/>
    <w:rsid w:val="00CE744F"/>
    <w:rsid w:val="00CE74DB"/>
    <w:rsid w:val="00CE7807"/>
    <w:rsid w:val="00CE78CA"/>
    <w:rsid w:val="00CE7B50"/>
    <w:rsid w:val="00CF03DC"/>
    <w:rsid w:val="00CF06BA"/>
    <w:rsid w:val="00CF082A"/>
    <w:rsid w:val="00CF0CEF"/>
    <w:rsid w:val="00CF103C"/>
    <w:rsid w:val="00CF111E"/>
    <w:rsid w:val="00CF1251"/>
    <w:rsid w:val="00CF14DF"/>
    <w:rsid w:val="00CF18A8"/>
    <w:rsid w:val="00CF1F3E"/>
    <w:rsid w:val="00CF1F6B"/>
    <w:rsid w:val="00CF2015"/>
    <w:rsid w:val="00CF2247"/>
    <w:rsid w:val="00CF234A"/>
    <w:rsid w:val="00CF235C"/>
    <w:rsid w:val="00CF288F"/>
    <w:rsid w:val="00CF2A64"/>
    <w:rsid w:val="00CF2D79"/>
    <w:rsid w:val="00CF2DC1"/>
    <w:rsid w:val="00CF2E52"/>
    <w:rsid w:val="00CF30A4"/>
    <w:rsid w:val="00CF31C1"/>
    <w:rsid w:val="00CF3218"/>
    <w:rsid w:val="00CF32DC"/>
    <w:rsid w:val="00CF335C"/>
    <w:rsid w:val="00CF346E"/>
    <w:rsid w:val="00CF3494"/>
    <w:rsid w:val="00CF3740"/>
    <w:rsid w:val="00CF38F9"/>
    <w:rsid w:val="00CF3DF2"/>
    <w:rsid w:val="00CF405A"/>
    <w:rsid w:val="00CF416C"/>
    <w:rsid w:val="00CF42B8"/>
    <w:rsid w:val="00CF42C3"/>
    <w:rsid w:val="00CF42DF"/>
    <w:rsid w:val="00CF48FC"/>
    <w:rsid w:val="00CF4968"/>
    <w:rsid w:val="00CF4B04"/>
    <w:rsid w:val="00CF4B56"/>
    <w:rsid w:val="00CF508A"/>
    <w:rsid w:val="00CF528E"/>
    <w:rsid w:val="00CF52C7"/>
    <w:rsid w:val="00CF5932"/>
    <w:rsid w:val="00CF5B6B"/>
    <w:rsid w:val="00CF5B9A"/>
    <w:rsid w:val="00CF5E09"/>
    <w:rsid w:val="00CF618F"/>
    <w:rsid w:val="00CF61A7"/>
    <w:rsid w:val="00CF6756"/>
    <w:rsid w:val="00CF69C6"/>
    <w:rsid w:val="00CF6E2E"/>
    <w:rsid w:val="00CF7655"/>
    <w:rsid w:val="00CF7750"/>
    <w:rsid w:val="00CF78CA"/>
    <w:rsid w:val="00CF7C6E"/>
    <w:rsid w:val="00D00038"/>
    <w:rsid w:val="00D002A3"/>
    <w:rsid w:val="00D00D86"/>
    <w:rsid w:val="00D012E2"/>
    <w:rsid w:val="00D0191E"/>
    <w:rsid w:val="00D01C1B"/>
    <w:rsid w:val="00D01D45"/>
    <w:rsid w:val="00D02297"/>
    <w:rsid w:val="00D02AF0"/>
    <w:rsid w:val="00D02C7F"/>
    <w:rsid w:val="00D02DD1"/>
    <w:rsid w:val="00D02F55"/>
    <w:rsid w:val="00D032AC"/>
    <w:rsid w:val="00D03826"/>
    <w:rsid w:val="00D04692"/>
    <w:rsid w:val="00D04947"/>
    <w:rsid w:val="00D04BE0"/>
    <w:rsid w:val="00D04D5E"/>
    <w:rsid w:val="00D04E44"/>
    <w:rsid w:val="00D04E71"/>
    <w:rsid w:val="00D0556F"/>
    <w:rsid w:val="00D0561E"/>
    <w:rsid w:val="00D05646"/>
    <w:rsid w:val="00D05AAE"/>
    <w:rsid w:val="00D05CB6"/>
    <w:rsid w:val="00D05D68"/>
    <w:rsid w:val="00D05D6A"/>
    <w:rsid w:val="00D061C7"/>
    <w:rsid w:val="00D069C9"/>
    <w:rsid w:val="00D069DC"/>
    <w:rsid w:val="00D06A4C"/>
    <w:rsid w:val="00D06C78"/>
    <w:rsid w:val="00D06F47"/>
    <w:rsid w:val="00D07440"/>
    <w:rsid w:val="00D0776C"/>
    <w:rsid w:val="00D0778C"/>
    <w:rsid w:val="00D07A4A"/>
    <w:rsid w:val="00D07D71"/>
    <w:rsid w:val="00D1043D"/>
    <w:rsid w:val="00D10A16"/>
    <w:rsid w:val="00D10C26"/>
    <w:rsid w:val="00D11339"/>
    <w:rsid w:val="00D1155C"/>
    <w:rsid w:val="00D11594"/>
    <w:rsid w:val="00D11983"/>
    <w:rsid w:val="00D11AFB"/>
    <w:rsid w:val="00D11D11"/>
    <w:rsid w:val="00D1217E"/>
    <w:rsid w:val="00D12A33"/>
    <w:rsid w:val="00D12F3D"/>
    <w:rsid w:val="00D12F70"/>
    <w:rsid w:val="00D13044"/>
    <w:rsid w:val="00D13169"/>
    <w:rsid w:val="00D132DF"/>
    <w:rsid w:val="00D134E3"/>
    <w:rsid w:val="00D13963"/>
    <w:rsid w:val="00D13C6E"/>
    <w:rsid w:val="00D13DF4"/>
    <w:rsid w:val="00D140C6"/>
    <w:rsid w:val="00D141BC"/>
    <w:rsid w:val="00D143FF"/>
    <w:rsid w:val="00D14511"/>
    <w:rsid w:val="00D14538"/>
    <w:rsid w:val="00D14D42"/>
    <w:rsid w:val="00D14DA5"/>
    <w:rsid w:val="00D150B1"/>
    <w:rsid w:val="00D158D5"/>
    <w:rsid w:val="00D1595F"/>
    <w:rsid w:val="00D15BCB"/>
    <w:rsid w:val="00D15DD0"/>
    <w:rsid w:val="00D16E24"/>
    <w:rsid w:val="00D17107"/>
    <w:rsid w:val="00D17221"/>
    <w:rsid w:val="00D17742"/>
    <w:rsid w:val="00D178B7"/>
    <w:rsid w:val="00D17AD7"/>
    <w:rsid w:val="00D17DEB"/>
    <w:rsid w:val="00D17F4E"/>
    <w:rsid w:val="00D20258"/>
    <w:rsid w:val="00D203F8"/>
    <w:rsid w:val="00D208D4"/>
    <w:rsid w:val="00D2099A"/>
    <w:rsid w:val="00D20B8E"/>
    <w:rsid w:val="00D20C73"/>
    <w:rsid w:val="00D20D5F"/>
    <w:rsid w:val="00D20E16"/>
    <w:rsid w:val="00D211F7"/>
    <w:rsid w:val="00D21D6E"/>
    <w:rsid w:val="00D221A2"/>
    <w:rsid w:val="00D224AF"/>
    <w:rsid w:val="00D227A7"/>
    <w:rsid w:val="00D22803"/>
    <w:rsid w:val="00D228EE"/>
    <w:rsid w:val="00D22CE9"/>
    <w:rsid w:val="00D22F5F"/>
    <w:rsid w:val="00D23803"/>
    <w:rsid w:val="00D24017"/>
    <w:rsid w:val="00D240FF"/>
    <w:rsid w:val="00D2413E"/>
    <w:rsid w:val="00D24568"/>
    <w:rsid w:val="00D246B3"/>
    <w:rsid w:val="00D2493C"/>
    <w:rsid w:val="00D24B71"/>
    <w:rsid w:val="00D24CE7"/>
    <w:rsid w:val="00D24ECE"/>
    <w:rsid w:val="00D24F67"/>
    <w:rsid w:val="00D25066"/>
    <w:rsid w:val="00D2563B"/>
    <w:rsid w:val="00D261EC"/>
    <w:rsid w:val="00D26406"/>
    <w:rsid w:val="00D26764"/>
    <w:rsid w:val="00D26A13"/>
    <w:rsid w:val="00D26CA7"/>
    <w:rsid w:val="00D26F32"/>
    <w:rsid w:val="00D27218"/>
    <w:rsid w:val="00D272C9"/>
    <w:rsid w:val="00D275E5"/>
    <w:rsid w:val="00D275EF"/>
    <w:rsid w:val="00D277C9"/>
    <w:rsid w:val="00D27888"/>
    <w:rsid w:val="00D27A7F"/>
    <w:rsid w:val="00D27FA9"/>
    <w:rsid w:val="00D303F9"/>
    <w:rsid w:val="00D305BC"/>
    <w:rsid w:val="00D3083E"/>
    <w:rsid w:val="00D30A36"/>
    <w:rsid w:val="00D30AF0"/>
    <w:rsid w:val="00D30CAC"/>
    <w:rsid w:val="00D30ED3"/>
    <w:rsid w:val="00D310E0"/>
    <w:rsid w:val="00D31684"/>
    <w:rsid w:val="00D31CA7"/>
    <w:rsid w:val="00D3221D"/>
    <w:rsid w:val="00D322C8"/>
    <w:rsid w:val="00D324E0"/>
    <w:rsid w:val="00D32585"/>
    <w:rsid w:val="00D328C5"/>
    <w:rsid w:val="00D3293D"/>
    <w:rsid w:val="00D32D9A"/>
    <w:rsid w:val="00D32E91"/>
    <w:rsid w:val="00D33114"/>
    <w:rsid w:val="00D33120"/>
    <w:rsid w:val="00D336DB"/>
    <w:rsid w:val="00D337BD"/>
    <w:rsid w:val="00D34093"/>
    <w:rsid w:val="00D3412F"/>
    <w:rsid w:val="00D342A2"/>
    <w:rsid w:val="00D34466"/>
    <w:rsid w:val="00D34506"/>
    <w:rsid w:val="00D34582"/>
    <w:rsid w:val="00D34680"/>
    <w:rsid w:val="00D347BC"/>
    <w:rsid w:val="00D349EF"/>
    <w:rsid w:val="00D34A46"/>
    <w:rsid w:val="00D34B50"/>
    <w:rsid w:val="00D34BB7"/>
    <w:rsid w:val="00D34CCB"/>
    <w:rsid w:val="00D34E8D"/>
    <w:rsid w:val="00D34F7F"/>
    <w:rsid w:val="00D35261"/>
    <w:rsid w:val="00D35326"/>
    <w:rsid w:val="00D3558A"/>
    <w:rsid w:val="00D35A38"/>
    <w:rsid w:val="00D35AD2"/>
    <w:rsid w:val="00D35B63"/>
    <w:rsid w:val="00D35C07"/>
    <w:rsid w:val="00D35D89"/>
    <w:rsid w:val="00D35EC4"/>
    <w:rsid w:val="00D36373"/>
    <w:rsid w:val="00D36423"/>
    <w:rsid w:val="00D36626"/>
    <w:rsid w:val="00D36A50"/>
    <w:rsid w:val="00D36CA1"/>
    <w:rsid w:val="00D371B2"/>
    <w:rsid w:val="00D37258"/>
    <w:rsid w:val="00D374E9"/>
    <w:rsid w:val="00D37529"/>
    <w:rsid w:val="00D378E8"/>
    <w:rsid w:val="00D37C80"/>
    <w:rsid w:val="00D37F47"/>
    <w:rsid w:val="00D400CA"/>
    <w:rsid w:val="00D4028C"/>
    <w:rsid w:val="00D40383"/>
    <w:rsid w:val="00D40789"/>
    <w:rsid w:val="00D407A3"/>
    <w:rsid w:val="00D4088E"/>
    <w:rsid w:val="00D40B01"/>
    <w:rsid w:val="00D40BA9"/>
    <w:rsid w:val="00D40C17"/>
    <w:rsid w:val="00D40CC0"/>
    <w:rsid w:val="00D41006"/>
    <w:rsid w:val="00D4121D"/>
    <w:rsid w:val="00D41495"/>
    <w:rsid w:val="00D41526"/>
    <w:rsid w:val="00D416AB"/>
    <w:rsid w:val="00D41866"/>
    <w:rsid w:val="00D41A3B"/>
    <w:rsid w:val="00D41BF8"/>
    <w:rsid w:val="00D41CDF"/>
    <w:rsid w:val="00D41FAB"/>
    <w:rsid w:val="00D422DA"/>
    <w:rsid w:val="00D42381"/>
    <w:rsid w:val="00D426BF"/>
    <w:rsid w:val="00D4284C"/>
    <w:rsid w:val="00D42A2B"/>
    <w:rsid w:val="00D42FCF"/>
    <w:rsid w:val="00D43081"/>
    <w:rsid w:val="00D43132"/>
    <w:rsid w:val="00D4345D"/>
    <w:rsid w:val="00D435C2"/>
    <w:rsid w:val="00D435EC"/>
    <w:rsid w:val="00D4365D"/>
    <w:rsid w:val="00D439E5"/>
    <w:rsid w:val="00D43BF2"/>
    <w:rsid w:val="00D43DA9"/>
    <w:rsid w:val="00D43EEA"/>
    <w:rsid w:val="00D44037"/>
    <w:rsid w:val="00D440EC"/>
    <w:rsid w:val="00D4412E"/>
    <w:rsid w:val="00D443F6"/>
    <w:rsid w:val="00D448EC"/>
    <w:rsid w:val="00D44A5E"/>
    <w:rsid w:val="00D44B4E"/>
    <w:rsid w:val="00D44C57"/>
    <w:rsid w:val="00D44E7D"/>
    <w:rsid w:val="00D44FCC"/>
    <w:rsid w:val="00D453D8"/>
    <w:rsid w:val="00D45778"/>
    <w:rsid w:val="00D45784"/>
    <w:rsid w:val="00D459A2"/>
    <w:rsid w:val="00D45A93"/>
    <w:rsid w:val="00D45B67"/>
    <w:rsid w:val="00D45FD5"/>
    <w:rsid w:val="00D4660B"/>
    <w:rsid w:val="00D46B6D"/>
    <w:rsid w:val="00D46CA8"/>
    <w:rsid w:val="00D47820"/>
    <w:rsid w:val="00D47998"/>
    <w:rsid w:val="00D47D34"/>
    <w:rsid w:val="00D47DE1"/>
    <w:rsid w:val="00D47F00"/>
    <w:rsid w:val="00D502CD"/>
    <w:rsid w:val="00D50458"/>
    <w:rsid w:val="00D50615"/>
    <w:rsid w:val="00D508EC"/>
    <w:rsid w:val="00D50C09"/>
    <w:rsid w:val="00D5103F"/>
    <w:rsid w:val="00D5111B"/>
    <w:rsid w:val="00D515DF"/>
    <w:rsid w:val="00D516DB"/>
    <w:rsid w:val="00D51998"/>
    <w:rsid w:val="00D519C5"/>
    <w:rsid w:val="00D519EA"/>
    <w:rsid w:val="00D51A43"/>
    <w:rsid w:val="00D51E1A"/>
    <w:rsid w:val="00D51FB2"/>
    <w:rsid w:val="00D520C8"/>
    <w:rsid w:val="00D5245B"/>
    <w:rsid w:val="00D53053"/>
    <w:rsid w:val="00D530DA"/>
    <w:rsid w:val="00D53189"/>
    <w:rsid w:val="00D532A0"/>
    <w:rsid w:val="00D536B6"/>
    <w:rsid w:val="00D53779"/>
    <w:rsid w:val="00D538F4"/>
    <w:rsid w:val="00D54020"/>
    <w:rsid w:val="00D545AB"/>
    <w:rsid w:val="00D5462F"/>
    <w:rsid w:val="00D5470A"/>
    <w:rsid w:val="00D54A0C"/>
    <w:rsid w:val="00D54C95"/>
    <w:rsid w:val="00D54CFA"/>
    <w:rsid w:val="00D5515E"/>
    <w:rsid w:val="00D55A91"/>
    <w:rsid w:val="00D5637E"/>
    <w:rsid w:val="00D56570"/>
    <w:rsid w:val="00D568BB"/>
    <w:rsid w:val="00D56C39"/>
    <w:rsid w:val="00D56D4C"/>
    <w:rsid w:val="00D56D5D"/>
    <w:rsid w:val="00D57019"/>
    <w:rsid w:val="00D5729A"/>
    <w:rsid w:val="00D572C6"/>
    <w:rsid w:val="00D575E9"/>
    <w:rsid w:val="00D5790B"/>
    <w:rsid w:val="00D57941"/>
    <w:rsid w:val="00D57A78"/>
    <w:rsid w:val="00D57B9B"/>
    <w:rsid w:val="00D57BD1"/>
    <w:rsid w:val="00D57D8C"/>
    <w:rsid w:val="00D57F6B"/>
    <w:rsid w:val="00D601D9"/>
    <w:rsid w:val="00D60358"/>
    <w:rsid w:val="00D60411"/>
    <w:rsid w:val="00D605ED"/>
    <w:rsid w:val="00D606A3"/>
    <w:rsid w:val="00D60B62"/>
    <w:rsid w:val="00D60DA5"/>
    <w:rsid w:val="00D61046"/>
    <w:rsid w:val="00D6119E"/>
    <w:rsid w:val="00D615E0"/>
    <w:rsid w:val="00D61676"/>
    <w:rsid w:val="00D61883"/>
    <w:rsid w:val="00D619CB"/>
    <w:rsid w:val="00D61D8E"/>
    <w:rsid w:val="00D62040"/>
    <w:rsid w:val="00D623B7"/>
    <w:rsid w:val="00D6274D"/>
    <w:rsid w:val="00D62782"/>
    <w:rsid w:val="00D62903"/>
    <w:rsid w:val="00D62AAB"/>
    <w:rsid w:val="00D62B0F"/>
    <w:rsid w:val="00D62B93"/>
    <w:rsid w:val="00D62C06"/>
    <w:rsid w:val="00D62C9B"/>
    <w:rsid w:val="00D62F97"/>
    <w:rsid w:val="00D62F99"/>
    <w:rsid w:val="00D63250"/>
    <w:rsid w:val="00D6325B"/>
    <w:rsid w:val="00D633CC"/>
    <w:rsid w:val="00D635D9"/>
    <w:rsid w:val="00D63B87"/>
    <w:rsid w:val="00D63C1A"/>
    <w:rsid w:val="00D63CBC"/>
    <w:rsid w:val="00D6406B"/>
    <w:rsid w:val="00D640ED"/>
    <w:rsid w:val="00D64248"/>
    <w:rsid w:val="00D642B4"/>
    <w:rsid w:val="00D6456E"/>
    <w:rsid w:val="00D648CB"/>
    <w:rsid w:val="00D64BAD"/>
    <w:rsid w:val="00D651E3"/>
    <w:rsid w:val="00D651EF"/>
    <w:rsid w:val="00D6552B"/>
    <w:rsid w:val="00D65555"/>
    <w:rsid w:val="00D657D6"/>
    <w:rsid w:val="00D660FF"/>
    <w:rsid w:val="00D667E7"/>
    <w:rsid w:val="00D667F6"/>
    <w:rsid w:val="00D669CB"/>
    <w:rsid w:val="00D66C47"/>
    <w:rsid w:val="00D66EF2"/>
    <w:rsid w:val="00D66F91"/>
    <w:rsid w:val="00D67161"/>
    <w:rsid w:val="00D6719A"/>
    <w:rsid w:val="00D67371"/>
    <w:rsid w:val="00D67413"/>
    <w:rsid w:val="00D6754B"/>
    <w:rsid w:val="00D67A93"/>
    <w:rsid w:val="00D67B13"/>
    <w:rsid w:val="00D7039D"/>
    <w:rsid w:val="00D703E5"/>
    <w:rsid w:val="00D70CFA"/>
    <w:rsid w:val="00D70DDB"/>
    <w:rsid w:val="00D71000"/>
    <w:rsid w:val="00D71005"/>
    <w:rsid w:val="00D71148"/>
    <w:rsid w:val="00D711AA"/>
    <w:rsid w:val="00D7131E"/>
    <w:rsid w:val="00D71410"/>
    <w:rsid w:val="00D71543"/>
    <w:rsid w:val="00D715F9"/>
    <w:rsid w:val="00D71846"/>
    <w:rsid w:val="00D719A1"/>
    <w:rsid w:val="00D71C0E"/>
    <w:rsid w:val="00D71FE0"/>
    <w:rsid w:val="00D72449"/>
    <w:rsid w:val="00D72F92"/>
    <w:rsid w:val="00D730A2"/>
    <w:rsid w:val="00D730F3"/>
    <w:rsid w:val="00D73611"/>
    <w:rsid w:val="00D73776"/>
    <w:rsid w:val="00D73892"/>
    <w:rsid w:val="00D73962"/>
    <w:rsid w:val="00D73B16"/>
    <w:rsid w:val="00D73E17"/>
    <w:rsid w:val="00D7404A"/>
    <w:rsid w:val="00D7406F"/>
    <w:rsid w:val="00D74165"/>
    <w:rsid w:val="00D7432A"/>
    <w:rsid w:val="00D746AC"/>
    <w:rsid w:val="00D7488F"/>
    <w:rsid w:val="00D74CDD"/>
    <w:rsid w:val="00D7512E"/>
    <w:rsid w:val="00D755FF"/>
    <w:rsid w:val="00D756BC"/>
    <w:rsid w:val="00D757D9"/>
    <w:rsid w:val="00D758A2"/>
    <w:rsid w:val="00D762D4"/>
    <w:rsid w:val="00D7634A"/>
    <w:rsid w:val="00D763A8"/>
    <w:rsid w:val="00D76430"/>
    <w:rsid w:val="00D764D9"/>
    <w:rsid w:val="00D768F4"/>
    <w:rsid w:val="00D76FBF"/>
    <w:rsid w:val="00D76FEC"/>
    <w:rsid w:val="00D770F6"/>
    <w:rsid w:val="00D77294"/>
    <w:rsid w:val="00D775D9"/>
    <w:rsid w:val="00D77B14"/>
    <w:rsid w:val="00D77BC2"/>
    <w:rsid w:val="00D8013C"/>
    <w:rsid w:val="00D80158"/>
    <w:rsid w:val="00D802FE"/>
    <w:rsid w:val="00D8053C"/>
    <w:rsid w:val="00D80AA9"/>
    <w:rsid w:val="00D80CBD"/>
    <w:rsid w:val="00D80E72"/>
    <w:rsid w:val="00D815A0"/>
    <w:rsid w:val="00D815E5"/>
    <w:rsid w:val="00D81680"/>
    <w:rsid w:val="00D818E9"/>
    <w:rsid w:val="00D819F3"/>
    <w:rsid w:val="00D81B18"/>
    <w:rsid w:val="00D81F78"/>
    <w:rsid w:val="00D821A6"/>
    <w:rsid w:val="00D828CC"/>
    <w:rsid w:val="00D82A11"/>
    <w:rsid w:val="00D83841"/>
    <w:rsid w:val="00D83CCF"/>
    <w:rsid w:val="00D83E21"/>
    <w:rsid w:val="00D84487"/>
    <w:rsid w:val="00D844E5"/>
    <w:rsid w:val="00D8464B"/>
    <w:rsid w:val="00D848F9"/>
    <w:rsid w:val="00D84A31"/>
    <w:rsid w:val="00D84A94"/>
    <w:rsid w:val="00D84F9A"/>
    <w:rsid w:val="00D85271"/>
    <w:rsid w:val="00D85E3A"/>
    <w:rsid w:val="00D86038"/>
    <w:rsid w:val="00D86180"/>
    <w:rsid w:val="00D8654A"/>
    <w:rsid w:val="00D865D0"/>
    <w:rsid w:val="00D866D0"/>
    <w:rsid w:val="00D86780"/>
    <w:rsid w:val="00D86B20"/>
    <w:rsid w:val="00D86C64"/>
    <w:rsid w:val="00D8700E"/>
    <w:rsid w:val="00D875C2"/>
    <w:rsid w:val="00D87761"/>
    <w:rsid w:val="00D87A74"/>
    <w:rsid w:val="00D87D41"/>
    <w:rsid w:val="00D87DCC"/>
    <w:rsid w:val="00D902E2"/>
    <w:rsid w:val="00D9043E"/>
    <w:rsid w:val="00D907E9"/>
    <w:rsid w:val="00D90829"/>
    <w:rsid w:val="00D908C9"/>
    <w:rsid w:val="00D90974"/>
    <w:rsid w:val="00D9099B"/>
    <w:rsid w:val="00D90DC6"/>
    <w:rsid w:val="00D9130F"/>
    <w:rsid w:val="00D91931"/>
    <w:rsid w:val="00D91E7D"/>
    <w:rsid w:val="00D9230B"/>
    <w:rsid w:val="00D92599"/>
    <w:rsid w:val="00D92A46"/>
    <w:rsid w:val="00D92B0C"/>
    <w:rsid w:val="00D92D04"/>
    <w:rsid w:val="00D935FF"/>
    <w:rsid w:val="00D93D57"/>
    <w:rsid w:val="00D94050"/>
    <w:rsid w:val="00D94139"/>
    <w:rsid w:val="00D942F5"/>
    <w:rsid w:val="00D943E9"/>
    <w:rsid w:val="00D94485"/>
    <w:rsid w:val="00D944B6"/>
    <w:rsid w:val="00D9452C"/>
    <w:rsid w:val="00D94862"/>
    <w:rsid w:val="00D9492C"/>
    <w:rsid w:val="00D94D85"/>
    <w:rsid w:val="00D95009"/>
    <w:rsid w:val="00D957C4"/>
    <w:rsid w:val="00D958DF"/>
    <w:rsid w:val="00D95902"/>
    <w:rsid w:val="00D95B2A"/>
    <w:rsid w:val="00D95EE7"/>
    <w:rsid w:val="00D9600A"/>
    <w:rsid w:val="00D9635E"/>
    <w:rsid w:val="00D96474"/>
    <w:rsid w:val="00D96818"/>
    <w:rsid w:val="00D968A3"/>
    <w:rsid w:val="00D968AA"/>
    <w:rsid w:val="00D96925"/>
    <w:rsid w:val="00D96AA6"/>
    <w:rsid w:val="00D96AAC"/>
    <w:rsid w:val="00D96EDA"/>
    <w:rsid w:val="00D97411"/>
    <w:rsid w:val="00D9741D"/>
    <w:rsid w:val="00D978CE"/>
    <w:rsid w:val="00D97AA2"/>
    <w:rsid w:val="00DA0299"/>
    <w:rsid w:val="00DA057B"/>
    <w:rsid w:val="00DA0870"/>
    <w:rsid w:val="00DA0BBB"/>
    <w:rsid w:val="00DA0E70"/>
    <w:rsid w:val="00DA10FE"/>
    <w:rsid w:val="00DA1795"/>
    <w:rsid w:val="00DA1B16"/>
    <w:rsid w:val="00DA20DA"/>
    <w:rsid w:val="00DA2648"/>
    <w:rsid w:val="00DA27F1"/>
    <w:rsid w:val="00DA27FB"/>
    <w:rsid w:val="00DA2848"/>
    <w:rsid w:val="00DA2A87"/>
    <w:rsid w:val="00DA2AA5"/>
    <w:rsid w:val="00DA2BF2"/>
    <w:rsid w:val="00DA2E25"/>
    <w:rsid w:val="00DA34B7"/>
    <w:rsid w:val="00DA37AC"/>
    <w:rsid w:val="00DA3878"/>
    <w:rsid w:val="00DA391D"/>
    <w:rsid w:val="00DA3B1B"/>
    <w:rsid w:val="00DA3BC8"/>
    <w:rsid w:val="00DA3BDC"/>
    <w:rsid w:val="00DA45A6"/>
    <w:rsid w:val="00DA484A"/>
    <w:rsid w:val="00DA4C61"/>
    <w:rsid w:val="00DA4DA4"/>
    <w:rsid w:val="00DA54D4"/>
    <w:rsid w:val="00DA5597"/>
    <w:rsid w:val="00DA5CB9"/>
    <w:rsid w:val="00DA5F28"/>
    <w:rsid w:val="00DA659B"/>
    <w:rsid w:val="00DA6928"/>
    <w:rsid w:val="00DA6AAF"/>
    <w:rsid w:val="00DA6BAD"/>
    <w:rsid w:val="00DA6C9B"/>
    <w:rsid w:val="00DA70A1"/>
    <w:rsid w:val="00DA7213"/>
    <w:rsid w:val="00DA73BB"/>
    <w:rsid w:val="00DA7492"/>
    <w:rsid w:val="00DA74A5"/>
    <w:rsid w:val="00DA7523"/>
    <w:rsid w:val="00DA7555"/>
    <w:rsid w:val="00DA770E"/>
    <w:rsid w:val="00DA7849"/>
    <w:rsid w:val="00DA7BB3"/>
    <w:rsid w:val="00DA7C64"/>
    <w:rsid w:val="00DA7DF6"/>
    <w:rsid w:val="00DA7ECB"/>
    <w:rsid w:val="00DB03C6"/>
    <w:rsid w:val="00DB05C3"/>
    <w:rsid w:val="00DB0B8D"/>
    <w:rsid w:val="00DB153C"/>
    <w:rsid w:val="00DB15CA"/>
    <w:rsid w:val="00DB17CC"/>
    <w:rsid w:val="00DB191A"/>
    <w:rsid w:val="00DB2106"/>
    <w:rsid w:val="00DB2519"/>
    <w:rsid w:val="00DB2618"/>
    <w:rsid w:val="00DB272F"/>
    <w:rsid w:val="00DB28A7"/>
    <w:rsid w:val="00DB2B2F"/>
    <w:rsid w:val="00DB3122"/>
    <w:rsid w:val="00DB321B"/>
    <w:rsid w:val="00DB3394"/>
    <w:rsid w:val="00DB33B5"/>
    <w:rsid w:val="00DB3461"/>
    <w:rsid w:val="00DB3491"/>
    <w:rsid w:val="00DB35FB"/>
    <w:rsid w:val="00DB3EE0"/>
    <w:rsid w:val="00DB3F7E"/>
    <w:rsid w:val="00DB430E"/>
    <w:rsid w:val="00DB44D6"/>
    <w:rsid w:val="00DB4649"/>
    <w:rsid w:val="00DB48AB"/>
    <w:rsid w:val="00DB4B0B"/>
    <w:rsid w:val="00DB4B18"/>
    <w:rsid w:val="00DB4B2A"/>
    <w:rsid w:val="00DB50D3"/>
    <w:rsid w:val="00DB517E"/>
    <w:rsid w:val="00DB56A2"/>
    <w:rsid w:val="00DB580D"/>
    <w:rsid w:val="00DB5C02"/>
    <w:rsid w:val="00DB5DA0"/>
    <w:rsid w:val="00DB676C"/>
    <w:rsid w:val="00DB67A0"/>
    <w:rsid w:val="00DB6884"/>
    <w:rsid w:val="00DB6895"/>
    <w:rsid w:val="00DB6E79"/>
    <w:rsid w:val="00DB6F46"/>
    <w:rsid w:val="00DB77B8"/>
    <w:rsid w:val="00DB7CC1"/>
    <w:rsid w:val="00DC0054"/>
    <w:rsid w:val="00DC0654"/>
    <w:rsid w:val="00DC09D8"/>
    <w:rsid w:val="00DC0AC6"/>
    <w:rsid w:val="00DC0BD4"/>
    <w:rsid w:val="00DC1172"/>
    <w:rsid w:val="00DC13E3"/>
    <w:rsid w:val="00DC16E2"/>
    <w:rsid w:val="00DC1786"/>
    <w:rsid w:val="00DC1BA5"/>
    <w:rsid w:val="00DC2100"/>
    <w:rsid w:val="00DC237C"/>
    <w:rsid w:val="00DC2527"/>
    <w:rsid w:val="00DC2789"/>
    <w:rsid w:val="00DC284F"/>
    <w:rsid w:val="00DC339F"/>
    <w:rsid w:val="00DC36D2"/>
    <w:rsid w:val="00DC36FC"/>
    <w:rsid w:val="00DC3B1F"/>
    <w:rsid w:val="00DC426D"/>
    <w:rsid w:val="00DC4F1E"/>
    <w:rsid w:val="00DC51A7"/>
    <w:rsid w:val="00DC5488"/>
    <w:rsid w:val="00DC5499"/>
    <w:rsid w:val="00DC58E9"/>
    <w:rsid w:val="00DC60A4"/>
    <w:rsid w:val="00DC60C8"/>
    <w:rsid w:val="00DC62EA"/>
    <w:rsid w:val="00DC638D"/>
    <w:rsid w:val="00DC65E5"/>
    <w:rsid w:val="00DC6945"/>
    <w:rsid w:val="00DC6C2D"/>
    <w:rsid w:val="00DC6DC3"/>
    <w:rsid w:val="00DC6DCD"/>
    <w:rsid w:val="00DC736F"/>
    <w:rsid w:val="00DC740F"/>
    <w:rsid w:val="00DC760D"/>
    <w:rsid w:val="00DC7678"/>
    <w:rsid w:val="00DC76B3"/>
    <w:rsid w:val="00DC7B59"/>
    <w:rsid w:val="00DC7CCD"/>
    <w:rsid w:val="00DC7D56"/>
    <w:rsid w:val="00DC7DC5"/>
    <w:rsid w:val="00DC7E8A"/>
    <w:rsid w:val="00DC7FC2"/>
    <w:rsid w:val="00DD0167"/>
    <w:rsid w:val="00DD0ADD"/>
    <w:rsid w:val="00DD0D72"/>
    <w:rsid w:val="00DD122C"/>
    <w:rsid w:val="00DD16EF"/>
    <w:rsid w:val="00DD1905"/>
    <w:rsid w:val="00DD194E"/>
    <w:rsid w:val="00DD1C93"/>
    <w:rsid w:val="00DD1DB2"/>
    <w:rsid w:val="00DD1E0F"/>
    <w:rsid w:val="00DD217C"/>
    <w:rsid w:val="00DD233B"/>
    <w:rsid w:val="00DD2370"/>
    <w:rsid w:val="00DD2404"/>
    <w:rsid w:val="00DD2F84"/>
    <w:rsid w:val="00DD3213"/>
    <w:rsid w:val="00DD3364"/>
    <w:rsid w:val="00DD3BDD"/>
    <w:rsid w:val="00DD3C10"/>
    <w:rsid w:val="00DD3DB1"/>
    <w:rsid w:val="00DD4078"/>
    <w:rsid w:val="00DD41ED"/>
    <w:rsid w:val="00DD45BD"/>
    <w:rsid w:val="00DD45EC"/>
    <w:rsid w:val="00DD4653"/>
    <w:rsid w:val="00DD483A"/>
    <w:rsid w:val="00DD4C71"/>
    <w:rsid w:val="00DD4EF9"/>
    <w:rsid w:val="00DD50EF"/>
    <w:rsid w:val="00DD5112"/>
    <w:rsid w:val="00DD58ED"/>
    <w:rsid w:val="00DD58F5"/>
    <w:rsid w:val="00DD59AB"/>
    <w:rsid w:val="00DD5C06"/>
    <w:rsid w:val="00DD6120"/>
    <w:rsid w:val="00DD61EC"/>
    <w:rsid w:val="00DD6386"/>
    <w:rsid w:val="00DD63D5"/>
    <w:rsid w:val="00DD7053"/>
    <w:rsid w:val="00DD742A"/>
    <w:rsid w:val="00DD74AD"/>
    <w:rsid w:val="00DD774B"/>
    <w:rsid w:val="00DD78D8"/>
    <w:rsid w:val="00DD7A63"/>
    <w:rsid w:val="00DD7C48"/>
    <w:rsid w:val="00DE0049"/>
    <w:rsid w:val="00DE018A"/>
    <w:rsid w:val="00DE01B4"/>
    <w:rsid w:val="00DE01CF"/>
    <w:rsid w:val="00DE033B"/>
    <w:rsid w:val="00DE0687"/>
    <w:rsid w:val="00DE0BA0"/>
    <w:rsid w:val="00DE0D70"/>
    <w:rsid w:val="00DE0ED8"/>
    <w:rsid w:val="00DE0F1A"/>
    <w:rsid w:val="00DE0FFF"/>
    <w:rsid w:val="00DE14D6"/>
    <w:rsid w:val="00DE169D"/>
    <w:rsid w:val="00DE192D"/>
    <w:rsid w:val="00DE196B"/>
    <w:rsid w:val="00DE1D7F"/>
    <w:rsid w:val="00DE1DBE"/>
    <w:rsid w:val="00DE1E62"/>
    <w:rsid w:val="00DE1EA3"/>
    <w:rsid w:val="00DE1F43"/>
    <w:rsid w:val="00DE2227"/>
    <w:rsid w:val="00DE22D9"/>
    <w:rsid w:val="00DE265E"/>
    <w:rsid w:val="00DE2EDA"/>
    <w:rsid w:val="00DE31BB"/>
    <w:rsid w:val="00DE39E4"/>
    <w:rsid w:val="00DE39F0"/>
    <w:rsid w:val="00DE3CEE"/>
    <w:rsid w:val="00DE3DD2"/>
    <w:rsid w:val="00DE41C3"/>
    <w:rsid w:val="00DE44A0"/>
    <w:rsid w:val="00DE45E1"/>
    <w:rsid w:val="00DE46B4"/>
    <w:rsid w:val="00DE4A05"/>
    <w:rsid w:val="00DE4DEA"/>
    <w:rsid w:val="00DE4E1B"/>
    <w:rsid w:val="00DE4F03"/>
    <w:rsid w:val="00DE4FA9"/>
    <w:rsid w:val="00DE51AC"/>
    <w:rsid w:val="00DE53C5"/>
    <w:rsid w:val="00DE5550"/>
    <w:rsid w:val="00DE5FF7"/>
    <w:rsid w:val="00DE601A"/>
    <w:rsid w:val="00DE684F"/>
    <w:rsid w:val="00DE68E5"/>
    <w:rsid w:val="00DE6F16"/>
    <w:rsid w:val="00DE718A"/>
    <w:rsid w:val="00DF0684"/>
    <w:rsid w:val="00DF07E8"/>
    <w:rsid w:val="00DF0872"/>
    <w:rsid w:val="00DF09F0"/>
    <w:rsid w:val="00DF0A22"/>
    <w:rsid w:val="00DF139D"/>
    <w:rsid w:val="00DF168B"/>
    <w:rsid w:val="00DF19A4"/>
    <w:rsid w:val="00DF1AED"/>
    <w:rsid w:val="00DF27B5"/>
    <w:rsid w:val="00DF27EF"/>
    <w:rsid w:val="00DF2A81"/>
    <w:rsid w:val="00DF2D9C"/>
    <w:rsid w:val="00DF2EA4"/>
    <w:rsid w:val="00DF317E"/>
    <w:rsid w:val="00DF3655"/>
    <w:rsid w:val="00DF36C3"/>
    <w:rsid w:val="00DF3B4B"/>
    <w:rsid w:val="00DF3B8B"/>
    <w:rsid w:val="00DF3C0C"/>
    <w:rsid w:val="00DF3FE8"/>
    <w:rsid w:val="00DF43B3"/>
    <w:rsid w:val="00DF4840"/>
    <w:rsid w:val="00DF4E43"/>
    <w:rsid w:val="00DF517B"/>
    <w:rsid w:val="00DF53F5"/>
    <w:rsid w:val="00DF53FE"/>
    <w:rsid w:val="00DF5592"/>
    <w:rsid w:val="00DF55B6"/>
    <w:rsid w:val="00DF560F"/>
    <w:rsid w:val="00DF5A99"/>
    <w:rsid w:val="00DF5BC0"/>
    <w:rsid w:val="00DF606F"/>
    <w:rsid w:val="00DF647E"/>
    <w:rsid w:val="00DF6778"/>
    <w:rsid w:val="00DF6862"/>
    <w:rsid w:val="00DF6CB1"/>
    <w:rsid w:val="00DF74BC"/>
    <w:rsid w:val="00DF7674"/>
    <w:rsid w:val="00DF7967"/>
    <w:rsid w:val="00DF7A37"/>
    <w:rsid w:val="00DF7DF1"/>
    <w:rsid w:val="00DF7F92"/>
    <w:rsid w:val="00DF7FA7"/>
    <w:rsid w:val="00E0019C"/>
    <w:rsid w:val="00E001AD"/>
    <w:rsid w:val="00E003A7"/>
    <w:rsid w:val="00E004F7"/>
    <w:rsid w:val="00E00629"/>
    <w:rsid w:val="00E00654"/>
    <w:rsid w:val="00E0073B"/>
    <w:rsid w:val="00E00C92"/>
    <w:rsid w:val="00E00CCB"/>
    <w:rsid w:val="00E00DAA"/>
    <w:rsid w:val="00E00DD2"/>
    <w:rsid w:val="00E00FC1"/>
    <w:rsid w:val="00E00FD4"/>
    <w:rsid w:val="00E01037"/>
    <w:rsid w:val="00E010D6"/>
    <w:rsid w:val="00E01110"/>
    <w:rsid w:val="00E02327"/>
    <w:rsid w:val="00E02715"/>
    <w:rsid w:val="00E02A26"/>
    <w:rsid w:val="00E0316C"/>
    <w:rsid w:val="00E031C8"/>
    <w:rsid w:val="00E034CD"/>
    <w:rsid w:val="00E03F85"/>
    <w:rsid w:val="00E04451"/>
    <w:rsid w:val="00E048E2"/>
    <w:rsid w:val="00E04F60"/>
    <w:rsid w:val="00E050C6"/>
    <w:rsid w:val="00E053E4"/>
    <w:rsid w:val="00E054D8"/>
    <w:rsid w:val="00E05529"/>
    <w:rsid w:val="00E05539"/>
    <w:rsid w:val="00E05B4F"/>
    <w:rsid w:val="00E05DFF"/>
    <w:rsid w:val="00E05FB4"/>
    <w:rsid w:val="00E06B3A"/>
    <w:rsid w:val="00E06DCE"/>
    <w:rsid w:val="00E06E43"/>
    <w:rsid w:val="00E06E6F"/>
    <w:rsid w:val="00E07217"/>
    <w:rsid w:val="00E0778E"/>
    <w:rsid w:val="00E07DF0"/>
    <w:rsid w:val="00E07F9C"/>
    <w:rsid w:val="00E10065"/>
    <w:rsid w:val="00E1040F"/>
    <w:rsid w:val="00E105C1"/>
    <w:rsid w:val="00E108B0"/>
    <w:rsid w:val="00E11418"/>
    <w:rsid w:val="00E1159D"/>
    <w:rsid w:val="00E11A65"/>
    <w:rsid w:val="00E11ACC"/>
    <w:rsid w:val="00E11B3E"/>
    <w:rsid w:val="00E11E54"/>
    <w:rsid w:val="00E12080"/>
    <w:rsid w:val="00E12237"/>
    <w:rsid w:val="00E123ED"/>
    <w:rsid w:val="00E12630"/>
    <w:rsid w:val="00E126ED"/>
    <w:rsid w:val="00E12882"/>
    <w:rsid w:val="00E12B6B"/>
    <w:rsid w:val="00E12EF5"/>
    <w:rsid w:val="00E139FC"/>
    <w:rsid w:val="00E13A61"/>
    <w:rsid w:val="00E13C63"/>
    <w:rsid w:val="00E13C95"/>
    <w:rsid w:val="00E13EB2"/>
    <w:rsid w:val="00E140DC"/>
    <w:rsid w:val="00E14564"/>
    <w:rsid w:val="00E15136"/>
    <w:rsid w:val="00E153C5"/>
    <w:rsid w:val="00E156F0"/>
    <w:rsid w:val="00E15738"/>
    <w:rsid w:val="00E158A3"/>
    <w:rsid w:val="00E162DD"/>
    <w:rsid w:val="00E16312"/>
    <w:rsid w:val="00E16351"/>
    <w:rsid w:val="00E169CE"/>
    <w:rsid w:val="00E16B19"/>
    <w:rsid w:val="00E16B72"/>
    <w:rsid w:val="00E17043"/>
    <w:rsid w:val="00E1722D"/>
    <w:rsid w:val="00E17241"/>
    <w:rsid w:val="00E173C2"/>
    <w:rsid w:val="00E17860"/>
    <w:rsid w:val="00E179E0"/>
    <w:rsid w:val="00E17E18"/>
    <w:rsid w:val="00E17F74"/>
    <w:rsid w:val="00E20072"/>
    <w:rsid w:val="00E201F9"/>
    <w:rsid w:val="00E2032D"/>
    <w:rsid w:val="00E20493"/>
    <w:rsid w:val="00E2078F"/>
    <w:rsid w:val="00E20874"/>
    <w:rsid w:val="00E21446"/>
    <w:rsid w:val="00E2150C"/>
    <w:rsid w:val="00E219AA"/>
    <w:rsid w:val="00E21F48"/>
    <w:rsid w:val="00E224CF"/>
    <w:rsid w:val="00E228A4"/>
    <w:rsid w:val="00E2315B"/>
    <w:rsid w:val="00E23187"/>
    <w:rsid w:val="00E232A2"/>
    <w:rsid w:val="00E233CD"/>
    <w:rsid w:val="00E233F7"/>
    <w:rsid w:val="00E2369B"/>
    <w:rsid w:val="00E236C3"/>
    <w:rsid w:val="00E23779"/>
    <w:rsid w:val="00E237C9"/>
    <w:rsid w:val="00E23909"/>
    <w:rsid w:val="00E239D0"/>
    <w:rsid w:val="00E23A28"/>
    <w:rsid w:val="00E23A4A"/>
    <w:rsid w:val="00E23D31"/>
    <w:rsid w:val="00E2444C"/>
    <w:rsid w:val="00E244D1"/>
    <w:rsid w:val="00E2461B"/>
    <w:rsid w:val="00E2503A"/>
    <w:rsid w:val="00E253A2"/>
    <w:rsid w:val="00E2552F"/>
    <w:rsid w:val="00E25558"/>
    <w:rsid w:val="00E25976"/>
    <w:rsid w:val="00E25A68"/>
    <w:rsid w:val="00E25CA6"/>
    <w:rsid w:val="00E25E1C"/>
    <w:rsid w:val="00E265AC"/>
    <w:rsid w:val="00E26602"/>
    <w:rsid w:val="00E27127"/>
    <w:rsid w:val="00E272CD"/>
    <w:rsid w:val="00E27609"/>
    <w:rsid w:val="00E27839"/>
    <w:rsid w:val="00E27D03"/>
    <w:rsid w:val="00E30879"/>
    <w:rsid w:val="00E30A68"/>
    <w:rsid w:val="00E30D79"/>
    <w:rsid w:val="00E30F38"/>
    <w:rsid w:val="00E3105C"/>
    <w:rsid w:val="00E31063"/>
    <w:rsid w:val="00E3115A"/>
    <w:rsid w:val="00E313DB"/>
    <w:rsid w:val="00E3170F"/>
    <w:rsid w:val="00E3177D"/>
    <w:rsid w:val="00E31852"/>
    <w:rsid w:val="00E31C73"/>
    <w:rsid w:val="00E31CBD"/>
    <w:rsid w:val="00E31F10"/>
    <w:rsid w:val="00E327CB"/>
    <w:rsid w:val="00E32C2C"/>
    <w:rsid w:val="00E32C6C"/>
    <w:rsid w:val="00E32FFF"/>
    <w:rsid w:val="00E332AB"/>
    <w:rsid w:val="00E33682"/>
    <w:rsid w:val="00E3368D"/>
    <w:rsid w:val="00E34044"/>
    <w:rsid w:val="00E3530B"/>
    <w:rsid w:val="00E35491"/>
    <w:rsid w:val="00E35A90"/>
    <w:rsid w:val="00E35CEE"/>
    <w:rsid w:val="00E35D07"/>
    <w:rsid w:val="00E36481"/>
    <w:rsid w:val="00E36DC7"/>
    <w:rsid w:val="00E370E7"/>
    <w:rsid w:val="00E37156"/>
    <w:rsid w:val="00E3733D"/>
    <w:rsid w:val="00E375F4"/>
    <w:rsid w:val="00E37947"/>
    <w:rsid w:val="00E37A51"/>
    <w:rsid w:val="00E37C21"/>
    <w:rsid w:val="00E37C61"/>
    <w:rsid w:val="00E37C69"/>
    <w:rsid w:val="00E37D3A"/>
    <w:rsid w:val="00E37E2C"/>
    <w:rsid w:val="00E37EE1"/>
    <w:rsid w:val="00E401E9"/>
    <w:rsid w:val="00E40369"/>
    <w:rsid w:val="00E40545"/>
    <w:rsid w:val="00E40A2B"/>
    <w:rsid w:val="00E40B91"/>
    <w:rsid w:val="00E4102D"/>
    <w:rsid w:val="00E41033"/>
    <w:rsid w:val="00E4130D"/>
    <w:rsid w:val="00E41E40"/>
    <w:rsid w:val="00E420B4"/>
    <w:rsid w:val="00E42471"/>
    <w:rsid w:val="00E42630"/>
    <w:rsid w:val="00E426D7"/>
    <w:rsid w:val="00E4276D"/>
    <w:rsid w:val="00E427B8"/>
    <w:rsid w:val="00E428AB"/>
    <w:rsid w:val="00E428E0"/>
    <w:rsid w:val="00E4295B"/>
    <w:rsid w:val="00E42A95"/>
    <w:rsid w:val="00E42C47"/>
    <w:rsid w:val="00E42CC6"/>
    <w:rsid w:val="00E42D43"/>
    <w:rsid w:val="00E42D77"/>
    <w:rsid w:val="00E42DE9"/>
    <w:rsid w:val="00E42E25"/>
    <w:rsid w:val="00E42E97"/>
    <w:rsid w:val="00E42EDF"/>
    <w:rsid w:val="00E42F7E"/>
    <w:rsid w:val="00E432E1"/>
    <w:rsid w:val="00E43321"/>
    <w:rsid w:val="00E43AD5"/>
    <w:rsid w:val="00E43DEF"/>
    <w:rsid w:val="00E44075"/>
    <w:rsid w:val="00E4452E"/>
    <w:rsid w:val="00E44C7A"/>
    <w:rsid w:val="00E44C99"/>
    <w:rsid w:val="00E44C9D"/>
    <w:rsid w:val="00E44D64"/>
    <w:rsid w:val="00E44FEB"/>
    <w:rsid w:val="00E452DF"/>
    <w:rsid w:val="00E4577B"/>
    <w:rsid w:val="00E45DCC"/>
    <w:rsid w:val="00E45F6C"/>
    <w:rsid w:val="00E4650F"/>
    <w:rsid w:val="00E46649"/>
    <w:rsid w:val="00E46775"/>
    <w:rsid w:val="00E46926"/>
    <w:rsid w:val="00E46C32"/>
    <w:rsid w:val="00E46E64"/>
    <w:rsid w:val="00E472F5"/>
    <w:rsid w:val="00E474A1"/>
    <w:rsid w:val="00E47505"/>
    <w:rsid w:val="00E47D3F"/>
    <w:rsid w:val="00E50074"/>
    <w:rsid w:val="00E501E8"/>
    <w:rsid w:val="00E50311"/>
    <w:rsid w:val="00E50369"/>
    <w:rsid w:val="00E505B1"/>
    <w:rsid w:val="00E50640"/>
    <w:rsid w:val="00E50BAD"/>
    <w:rsid w:val="00E51AA2"/>
    <w:rsid w:val="00E51AB0"/>
    <w:rsid w:val="00E525CD"/>
    <w:rsid w:val="00E52711"/>
    <w:rsid w:val="00E52805"/>
    <w:rsid w:val="00E52816"/>
    <w:rsid w:val="00E52B7F"/>
    <w:rsid w:val="00E5344B"/>
    <w:rsid w:val="00E5345A"/>
    <w:rsid w:val="00E534EF"/>
    <w:rsid w:val="00E53642"/>
    <w:rsid w:val="00E536DE"/>
    <w:rsid w:val="00E53976"/>
    <w:rsid w:val="00E53E9E"/>
    <w:rsid w:val="00E53ECB"/>
    <w:rsid w:val="00E540FB"/>
    <w:rsid w:val="00E54335"/>
    <w:rsid w:val="00E544C0"/>
    <w:rsid w:val="00E546BE"/>
    <w:rsid w:val="00E546D4"/>
    <w:rsid w:val="00E54A55"/>
    <w:rsid w:val="00E54AFD"/>
    <w:rsid w:val="00E54D2E"/>
    <w:rsid w:val="00E54D4D"/>
    <w:rsid w:val="00E54EBC"/>
    <w:rsid w:val="00E54EC8"/>
    <w:rsid w:val="00E5526E"/>
    <w:rsid w:val="00E553A8"/>
    <w:rsid w:val="00E55714"/>
    <w:rsid w:val="00E55DA6"/>
    <w:rsid w:val="00E56042"/>
    <w:rsid w:val="00E5680A"/>
    <w:rsid w:val="00E56928"/>
    <w:rsid w:val="00E5693C"/>
    <w:rsid w:val="00E56B69"/>
    <w:rsid w:val="00E56B89"/>
    <w:rsid w:val="00E56CE1"/>
    <w:rsid w:val="00E56E72"/>
    <w:rsid w:val="00E56EED"/>
    <w:rsid w:val="00E5726C"/>
    <w:rsid w:val="00E57799"/>
    <w:rsid w:val="00E60258"/>
    <w:rsid w:val="00E6034B"/>
    <w:rsid w:val="00E60754"/>
    <w:rsid w:val="00E61070"/>
    <w:rsid w:val="00E6126A"/>
    <w:rsid w:val="00E615A0"/>
    <w:rsid w:val="00E61920"/>
    <w:rsid w:val="00E61ECE"/>
    <w:rsid w:val="00E61F22"/>
    <w:rsid w:val="00E61F58"/>
    <w:rsid w:val="00E62525"/>
    <w:rsid w:val="00E625ED"/>
    <w:rsid w:val="00E62880"/>
    <w:rsid w:val="00E62C8B"/>
    <w:rsid w:val="00E631BE"/>
    <w:rsid w:val="00E63232"/>
    <w:rsid w:val="00E6359F"/>
    <w:rsid w:val="00E63618"/>
    <w:rsid w:val="00E63756"/>
    <w:rsid w:val="00E6386D"/>
    <w:rsid w:val="00E638C6"/>
    <w:rsid w:val="00E63A8D"/>
    <w:rsid w:val="00E63B4F"/>
    <w:rsid w:val="00E63EE8"/>
    <w:rsid w:val="00E63EEF"/>
    <w:rsid w:val="00E640A8"/>
    <w:rsid w:val="00E642BA"/>
    <w:rsid w:val="00E644F3"/>
    <w:rsid w:val="00E644F5"/>
    <w:rsid w:val="00E64727"/>
    <w:rsid w:val="00E647F1"/>
    <w:rsid w:val="00E6487E"/>
    <w:rsid w:val="00E649CB"/>
    <w:rsid w:val="00E649E2"/>
    <w:rsid w:val="00E64A8C"/>
    <w:rsid w:val="00E6507A"/>
    <w:rsid w:val="00E65112"/>
    <w:rsid w:val="00E65141"/>
    <w:rsid w:val="00E65339"/>
    <w:rsid w:val="00E65388"/>
    <w:rsid w:val="00E65395"/>
    <w:rsid w:val="00E65453"/>
    <w:rsid w:val="00E655A7"/>
    <w:rsid w:val="00E65BC3"/>
    <w:rsid w:val="00E660CB"/>
    <w:rsid w:val="00E66150"/>
    <w:rsid w:val="00E665D4"/>
    <w:rsid w:val="00E66BC8"/>
    <w:rsid w:val="00E66C37"/>
    <w:rsid w:val="00E66E95"/>
    <w:rsid w:val="00E670AF"/>
    <w:rsid w:val="00E6754F"/>
    <w:rsid w:val="00E677B9"/>
    <w:rsid w:val="00E67B8D"/>
    <w:rsid w:val="00E67CD0"/>
    <w:rsid w:val="00E67D52"/>
    <w:rsid w:val="00E67D69"/>
    <w:rsid w:val="00E67F23"/>
    <w:rsid w:val="00E7011D"/>
    <w:rsid w:val="00E704FA"/>
    <w:rsid w:val="00E70800"/>
    <w:rsid w:val="00E71247"/>
    <w:rsid w:val="00E715B3"/>
    <w:rsid w:val="00E719DC"/>
    <w:rsid w:val="00E71B50"/>
    <w:rsid w:val="00E71CCA"/>
    <w:rsid w:val="00E722B2"/>
    <w:rsid w:val="00E7237D"/>
    <w:rsid w:val="00E72599"/>
    <w:rsid w:val="00E72750"/>
    <w:rsid w:val="00E72800"/>
    <w:rsid w:val="00E72918"/>
    <w:rsid w:val="00E72949"/>
    <w:rsid w:val="00E72DAD"/>
    <w:rsid w:val="00E73223"/>
    <w:rsid w:val="00E73943"/>
    <w:rsid w:val="00E73C54"/>
    <w:rsid w:val="00E73CB0"/>
    <w:rsid w:val="00E73DDF"/>
    <w:rsid w:val="00E742E3"/>
    <w:rsid w:val="00E74A35"/>
    <w:rsid w:val="00E74B30"/>
    <w:rsid w:val="00E74CD4"/>
    <w:rsid w:val="00E74DE8"/>
    <w:rsid w:val="00E74F9B"/>
    <w:rsid w:val="00E751E3"/>
    <w:rsid w:val="00E7583D"/>
    <w:rsid w:val="00E758DE"/>
    <w:rsid w:val="00E75A98"/>
    <w:rsid w:val="00E75C61"/>
    <w:rsid w:val="00E75D6D"/>
    <w:rsid w:val="00E75DCC"/>
    <w:rsid w:val="00E76915"/>
    <w:rsid w:val="00E76C05"/>
    <w:rsid w:val="00E76CE2"/>
    <w:rsid w:val="00E76D14"/>
    <w:rsid w:val="00E76FB4"/>
    <w:rsid w:val="00E77101"/>
    <w:rsid w:val="00E8024C"/>
    <w:rsid w:val="00E8042C"/>
    <w:rsid w:val="00E80666"/>
    <w:rsid w:val="00E806E1"/>
    <w:rsid w:val="00E80EC6"/>
    <w:rsid w:val="00E80EE5"/>
    <w:rsid w:val="00E80F5A"/>
    <w:rsid w:val="00E80FB8"/>
    <w:rsid w:val="00E8118B"/>
    <w:rsid w:val="00E815C9"/>
    <w:rsid w:val="00E81931"/>
    <w:rsid w:val="00E81CE8"/>
    <w:rsid w:val="00E81CEC"/>
    <w:rsid w:val="00E8213A"/>
    <w:rsid w:val="00E827E7"/>
    <w:rsid w:val="00E82AE9"/>
    <w:rsid w:val="00E82E2A"/>
    <w:rsid w:val="00E831A6"/>
    <w:rsid w:val="00E83747"/>
    <w:rsid w:val="00E83CF2"/>
    <w:rsid w:val="00E83ED3"/>
    <w:rsid w:val="00E8442C"/>
    <w:rsid w:val="00E8459D"/>
    <w:rsid w:val="00E848D1"/>
    <w:rsid w:val="00E84AC5"/>
    <w:rsid w:val="00E84C82"/>
    <w:rsid w:val="00E84DC9"/>
    <w:rsid w:val="00E84E4F"/>
    <w:rsid w:val="00E84EC2"/>
    <w:rsid w:val="00E84F99"/>
    <w:rsid w:val="00E856EB"/>
    <w:rsid w:val="00E85786"/>
    <w:rsid w:val="00E8582D"/>
    <w:rsid w:val="00E8589C"/>
    <w:rsid w:val="00E85DE1"/>
    <w:rsid w:val="00E85EAB"/>
    <w:rsid w:val="00E860AB"/>
    <w:rsid w:val="00E8621B"/>
    <w:rsid w:val="00E8628A"/>
    <w:rsid w:val="00E862E0"/>
    <w:rsid w:val="00E86635"/>
    <w:rsid w:val="00E86B0F"/>
    <w:rsid w:val="00E86D5B"/>
    <w:rsid w:val="00E8704F"/>
    <w:rsid w:val="00E87136"/>
    <w:rsid w:val="00E875DC"/>
    <w:rsid w:val="00E87927"/>
    <w:rsid w:val="00E9048C"/>
    <w:rsid w:val="00E906A7"/>
    <w:rsid w:val="00E90C77"/>
    <w:rsid w:val="00E910EA"/>
    <w:rsid w:val="00E91459"/>
    <w:rsid w:val="00E91506"/>
    <w:rsid w:val="00E91C6A"/>
    <w:rsid w:val="00E920D4"/>
    <w:rsid w:val="00E922AF"/>
    <w:rsid w:val="00E924AB"/>
    <w:rsid w:val="00E9256C"/>
    <w:rsid w:val="00E92809"/>
    <w:rsid w:val="00E92817"/>
    <w:rsid w:val="00E92B04"/>
    <w:rsid w:val="00E9302F"/>
    <w:rsid w:val="00E93C4A"/>
    <w:rsid w:val="00E93DA2"/>
    <w:rsid w:val="00E942AB"/>
    <w:rsid w:val="00E94416"/>
    <w:rsid w:val="00E94576"/>
    <w:rsid w:val="00E9481A"/>
    <w:rsid w:val="00E9482A"/>
    <w:rsid w:val="00E948D7"/>
    <w:rsid w:val="00E9543D"/>
    <w:rsid w:val="00E9564F"/>
    <w:rsid w:val="00E95A99"/>
    <w:rsid w:val="00E960F9"/>
    <w:rsid w:val="00E96482"/>
    <w:rsid w:val="00E97008"/>
    <w:rsid w:val="00E9738A"/>
    <w:rsid w:val="00E974AA"/>
    <w:rsid w:val="00E977C4"/>
    <w:rsid w:val="00E97A66"/>
    <w:rsid w:val="00E97A6A"/>
    <w:rsid w:val="00E97A6B"/>
    <w:rsid w:val="00EA0278"/>
    <w:rsid w:val="00EA029A"/>
    <w:rsid w:val="00EA036C"/>
    <w:rsid w:val="00EA03DD"/>
    <w:rsid w:val="00EA0885"/>
    <w:rsid w:val="00EA09A2"/>
    <w:rsid w:val="00EA0A64"/>
    <w:rsid w:val="00EA0A8A"/>
    <w:rsid w:val="00EA0B32"/>
    <w:rsid w:val="00EA0E22"/>
    <w:rsid w:val="00EA0EF8"/>
    <w:rsid w:val="00EA116A"/>
    <w:rsid w:val="00EA116C"/>
    <w:rsid w:val="00EA132E"/>
    <w:rsid w:val="00EA1395"/>
    <w:rsid w:val="00EA1435"/>
    <w:rsid w:val="00EA165E"/>
    <w:rsid w:val="00EA1737"/>
    <w:rsid w:val="00EA1837"/>
    <w:rsid w:val="00EA1B2B"/>
    <w:rsid w:val="00EA1BAB"/>
    <w:rsid w:val="00EA1BE1"/>
    <w:rsid w:val="00EA1E72"/>
    <w:rsid w:val="00EA1FE5"/>
    <w:rsid w:val="00EA20B4"/>
    <w:rsid w:val="00EA2113"/>
    <w:rsid w:val="00EA25BB"/>
    <w:rsid w:val="00EA26DD"/>
    <w:rsid w:val="00EA276C"/>
    <w:rsid w:val="00EA289D"/>
    <w:rsid w:val="00EA2A7A"/>
    <w:rsid w:val="00EA2C3A"/>
    <w:rsid w:val="00EA2D27"/>
    <w:rsid w:val="00EA30A4"/>
    <w:rsid w:val="00EA316C"/>
    <w:rsid w:val="00EA3708"/>
    <w:rsid w:val="00EA3A41"/>
    <w:rsid w:val="00EA3B6D"/>
    <w:rsid w:val="00EA3D28"/>
    <w:rsid w:val="00EA3F08"/>
    <w:rsid w:val="00EA401A"/>
    <w:rsid w:val="00EA4146"/>
    <w:rsid w:val="00EA41AE"/>
    <w:rsid w:val="00EA4456"/>
    <w:rsid w:val="00EA4684"/>
    <w:rsid w:val="00EA4806"/>
    <w:rsid w:val="00EA4E81"/>
    <w:rsid w:val="00EA5515"/>
    <w:rsid w:val="00EA5C4B"/>
    <w:rsid w:val="00EA5DF4"/>
    <w:rsid w:val="00EA6167"/>
    <w:rsid w:val="00EA6467"/>
    <w:rsid w:val="00EA6765"/>
    <w:rsid w:val="00EA67D5"/>
    <w:rsid w:val="00EA683C"/>
    <w:rsid w:val="00EA6878"/>
    <w:rsid w:val="00EA6D8A"/>
    <w:rsid w:val="00EA6ED9"/>
    <w:rsid w:val="00EA71B6"/>
    <w:rsid w:val="00EA7738"/>
    <w:rsid w:val="00EA7B5A"/>
    <w:rsid w:val="00EA7E0F"/>
    <w:rsid w:val="00EB02F0"/>
    <w:rsid w:val="00EB0573"/>
    <w:rsid w:val="00EB07B6"/>
    <w:rsid w:val="00EB1003"/>
    <w:rsid w:val="00EB10E0"/>
    <w:rsid w:val="00EB1300"/>
    <w:rsid w:val="00EB1566"/>
    <w:rsid w:val="00EB1574"/>
    <w:rsid w:val="00EB158F"/>
    <w:rsid w:val="00EB1906"/>
    <w:rsid w:val="00EB1926"/>
    <w:rsid w:val="00EB1C92"/>
    <w:rsid w:val="00EB1C99"/>
    <w:rsid w:val="00EB1EAB"/>
    <w:rsid w:val="00EB2288"/>
    <w:rsid w:val="00EB2356"/>
    <w:rsid w:val="00EB2412"/>
    <w:rsid w:val="00EB24CF"/>
    <w:rsid w:val="00EB2895"/>
    <w:rsid w:val="00EB2990"/>
    <w:rsid w:val="00EB2A65"/>
    <w:rsid w:val="00EB34B4"/>
    <w:rsid w:val="00EB3552"/>
    <w:rsid w:val="00EB3559"/>
    <w:rsid w:val="00EB360F"/>
    <w:rsid w:val="00EB36ED"/>
    <w:rsid w:val="00EB3A59"/>
    <w:rsid w:val="00EB3DB1"/>
    <w:rsid w:val="00EB40A9"/>
    <w:rsid w:val="00EB41D2"/>
    <w:rsid w:val="00EB430D"/>
    <w:rsid w:val="00EB4465"/>
    <w:rsid w:val="00EB46BF"/>
    <w:rsid w:val="00EB5107"/>
    <w:rsid w:val="00EB5658"/>
    <w:rsid w:val="00EB57EB"/>
    <w:rsid w:val="00EB5806"/>
    <w:rsid w:val="00EB5AC6"/>
    <w:rsid w:val="00EB5B11"/>
    <w:rsid w:val="00EB5C24"/>
    <w:rsid w:val="00EB5CA0"/>
    <w:rsid w:val="00EB62DF"/>
    <w:rsid w:val="00EB6894"/>
    <w:rsid w:val="00EB68FB"/>
    <w:rsid w:val="00EB6CD0"/>
    <w:rsid w:val="00EB7191"/>
    <w:rsid w:val="00EB71CB"/>
    <w:rsid w:val="00EB7281"/>
    <w:rsid w:val="00EB728B"/>
    <w:rsid w:val="00EB75F5"/>
    <w:rsid w:val="00EB7848"/>
    <w:rsid w:val="00EC05E0"/>
    <w:rsid w:val="00EC06BD"/>
    <w:rsid w:val="00EC0A4D"/>
    <w:rsid w:val="00EC0ACE"/>
    <w:rsid w:val="00EC0B82"/>
    <w:rsid w:val="00EC0DD9"/>
    <w:rsid w:val="00EC0E6A"/>
    <w:rsid w:val="00EC11DE"/>
    <w:rsid w:val="00EC121E"/>
    <w:rsid w:val="00EC1344"/>
    <w:rsid w:val="00EC13FA"/>
    <w:rsid w:val="00EC1484"/>
    <w:rsid w:val="00EC157B"/>
    <w:rsid w:val="00EC17C0"/>
    <w:rsid w:val="00EC189F"/>
    <w:rsid w:val="00EC21E1"/>
    <w:rsid w:val="00EC2262"/>
    <w:rsid w:val="00EC22F9"/>
    <w:rsid w:val="00EC237A"/>
    <w:rsid w:val="00EC24C1"/>
    <w:rsid w:val="00EC2D86"/>
    <w:rsid w:val="00EC2F32"/>
    <w:rsid w:val="00EC2FDE"/>
    <w:rsid w:val="00EC3261"/>
    <w:rsid w:val="00EC38DA"/>
    <w:rsid w:val="00EC3F42"/>
    <w:rsid w:val="00EC3FE2"/>
    <w:rsid w:val="00EC429F"/>
    <w:rsid w:val="00EC4465"/>
    <w:rsid w:val="00EC474D"/>
    <w:rsid w:val="00EC4D5F"/>
    <w:rsid w:val="00EC4EED"/>
    <w:rsid w:val="00EC565E"/>
    <w:rsid w:val="00EC5845"/>
    <w:rsid w:val="00EC5963"/>
    <w:rsid w:val="00EC5BEE"/>
    <w:rsid w:val="00EC5D0C"/>
    <w:rsid w:val="00EC5F05"/>
    <w:rsid w:val="00EC5F9D"/>
    <w:rsid w:val="00EC6116"/>
    <w:rsid w:val="00EC62EE"/>
    <w:rsid w:val="00EC644E"/>
    <w:rsid w:val="00EC67E6"/>
    <w:rsid w:val="00EC68D4"/>
    <w:rsid w:val="00EC6CC3"/>
    <w:rsid w:val="00EC71A5"/>
    <w:rsid w:val="00EC77C7"/>
    <w:rsid w:val="00EC7FF6"/>
    <w:rsid w:val="00ED0329"/>
    <w:rsid w:val="00ED043E"/>
    <w:rsid w:val="00ED0496"/>
    <w:rsid w:val="00ED0962"/>
    <w:rsid w:val="00ED1109"/>
    <w:rsid w:val="00ED135C"/>
    <w:rsid w:val="00ED1755"/>
    <w:rsid w:val="00ED1AEA"/>
    <w:rsid w:val="00ED1C2A"/>
    <w:rsid w:val="00ED1E37"/>
    <w:rsid w:val="00ED1F47"/>
    <w:rsid w:val="00ED2157"/>
    <w:rsid w:val="00ED295B"/>
    <w:rsid w:val="00ED2F8D"/>
    <w:rsid w:val="00ED30FD"/>
    <w:rsid w:val="00ED3750"/>
    <w:rsid w:val="00ED3CD3"/>
    <w:rsid w:val="00ED3EA4"/>
    <w:rsid w:val="00ED3FAB"/>
    <w:rsid w:val="00ED4470"/>
    <w:rsid w:val="00ED4481"/>
    <w:rsid w:val="00ED4657"/>
    <w:rsid w:val="00ED46D2"/>
    <w:rsid w:val="00ED4AB0"/>
    <w:rsid w:val="00ED548B"/>
    <w:rsid w:val="00ED5547"/>
    <w:rsid w:val="00ED5A9C"/>
    <w:rsid w:val="00ED5E25"/>
    <w:rsid w:val="00ED623B"/>
    <w:rsid w:val="00ED6332"/>
    <w:rsid w:val="00ED6747"/>
    <w:rsid w:val="00ED67E2"/>
    <w:rsid w:val="00ED6A05"/>
    <w:rsid w:val="00ED6CDF"/>
    <w:rsid w:val="00ED7473"/>
    <w:rsid w:val="00ED750C"/>
    <w:rsid w:val="00ED7DE6"/>
    <w:rsid w:val="00EE00C8"/>
    <w:rsid w:val="00EE04C8"/>
    <w:rsid w:val="00EE0631"/>
    <w:rsid w:val="00EE0F6D"/>
    <w:rsid w:val="00EE0FDF"/>
    <w:rsid w:val="00EE11A4"/>
    <w:rsid w:val="00EE135F"/>
    <w:rsid w:val="00EE16A1"/>
    <w:rsid w:val="00EE17D0"/>
    <w:rsid w:val="00EE1823"/>
    <w:rsid w:val="00EE1828"/>
    <w:rsid w:val="00EE184E"/>
    <w:rsid w:val="00EE1A3A"/>
    <w:rsid w:val="00EE1C11"/>
    <w:rsid w:val="00EE2061"/>
    <w:rsid w:val="00EE20DF"/>
    <w:rsid w:val="00EE25CA"/>
    <w:rsid w:val="00EE2851"/>
    <w:rsid w:val="00EE28CF"/>
    <w:rsid w:val="00EE28F0"/>
    <w:rsid w:val="00EE2B0F"/>
    <w:rsid w:val="00EE2B30"/>
    <w:rsid w:val="00EE2D39"/>
    <w:rsid w:val="00EE2EA6"/>
    <w:rsid w:val="00EE3419"/>
    <w:rsid w:val="00EE3754"/>
    <w:rsid w:val="00EE3787"/>
    <w:rsid w:val="00EE3CD1"/>
    <w:rsid w:val="00EE42DD"/>
    <w:rsid w:val="00EE46F1"/>
    <w:rsid w:val="00EE4A0F"/>
    <w:rsid w:val="00EE50DD"/>
    <w:rsid w:val="00EE50EA"/>
    <w:rsid w:val="00EE5133"/>
    <w:rsid w:val="00EE5301"/>
    <w:rsid w:val="00EE535A"/>
    <w:rsid w:val="00EE5993"/>
    <w:rsid w:val="00EE5A17"/>
    <w:rsid w:val="00EE5C44"/>
    <w:rsid w:val="00EE5E29"/>
    <w:rsid w:val="00EE5E6C"/>
    <w:rsid w:val="00EE62E8"/>
    <w:rsid w:val="00EE63D6"/>
    <w:rsid w:val="00EE6896"/>
    <w:rsid w:val="00EE6939"/>
    <w:rsid w:val="00EE71F0"/>
    <w:rsid w:val="00EE74F5"/>
    <w:rsid w:val="00EE7558"/>
    <w:rsid w:val="00EE7CFC"/>
    <w:rsid w:val="00EF00BC"/>
    <w:rsid w:val="00EF02AD"/>
    <w:rsid w:val="00EF0393"/>
    <w:rsid w:val="00EF05B9"/>
    <w:rsid w:val="00EF0B50"/>
    <w:rsid w:val="00EF0C17"/>
    <w:rsid w:val="00EF0E3F"/>
    <w:rsid w:val="00EF18AF"/>
    <w:rsid w:val="00EF1A5A"/>
    <w:rsid w:val="00EF1C55"/>
    <w:rsid w:val="00EF1E99"/>
    <w:rsid w:val="00EF1EA3"/>
    <w:rsid w:val="00EF1EB2"/>
    <w:rsid w:val="00EF2054"/>
    <w:rsid w:val="00EF20C7"/>
    <w:rsid w:val="00EF21D2"/>
    <w:rsid w:val="00EF228A"/>
    <w:rsid w:val="00EF23E8"/>
    <w:rsid w:val="00EF260C"/>
    <w:rsid w:val="00EF276A"/>
    <w:rsid w:val="00EF2D1F"/>
    <w:rsid w:val="00EF31E3"/>
    <w:rsid w:val="00EF322A"/>
    <w:rsid w:val="00EF390D"/>
    <w:rsid w:val="00EF3C4E"/>
    <w:rsid w:val="00EF3D17"/>
    <w:rsid w:val="00EF3DA6"/>
    <w:rsid w:val="00EF4385"/>
    <w:rsid w:val="00EF4397"/>
    <w:rsid w:val="00EF4431"/>
    <w:rsid w:val="00EF44C3"/>
    <w:rsid w:val="00EF46AC"/>
    <w:rsid w:val="00EF46E4"/>
    <w:rsid w:val="00EF4E35"/>
    <w:rsid w:val="00EF4F2D"/>
    <w:rsid w:val="00EF4FD4"/>
    <w:rsid w:val="00EF5150"/>
    <w:rsid w:val="00EF51DE"/>
    <w:rsid w:val="00EF5243"/>
    <w:rsid w:val="00EF56BE"/>
    <w:rsid w:val="00EF57E4"/>
    <w:rsid w:val="00EF5BEA"/>
    <w:rsid w:val="00EF5C3E"/>
    <w:rsid w:val="00EF7133"/>
    <w:rsid w:val="00EF7A93"/>
    <w:rsid w:val="00F00397"/>
    <w:rsid w:val="00F00744"/>
    <w:rsid w:val="00F008B9"/>
    <w:rsid w:val="00F008C2"/>
    <w:rsid w:val="00F008D1"/>
    <w:rsid w:val="00F01010"/>
    <w:rsid w:val="00F01158"/>
    <w:rsid w:val="00F01542"/>
    <w:rsid w:val="00F015FC"/>
    <w:rsid w:val="00F019EC"/>
    <w:rsid w:val="00F01C1A"/>
    <w:rsid w:val="00F01DA9"/>
    <w:rsid w:val="00F023E7"/>
    <w:rsid w:val="00F023EA"/>
    <w:rsid w:val="00F024CC"/>
    <w:rsid w:val="00F02A5D"/>
    <w:rsid w:val="00F02E79"/>
    <w:rsid w:val="00F02E7A"/>
    <w:rsid w:val="00F02F40"/>
    <w:rsid w:val="00F02FEE"/>
    <w:rsid w:val="00F0317B"/>
    <w:rsid w:val="00F0341B"/>
    <w:rsid w:val="00F037A1"/>
    <w:rsid w:val="00F04052"/>
    <w:rsid w:val="00F04081"/>
    <w:rsid w:val="00F04624"/>
    <w:rsid w:val="00F04773"/>
    <w:rsid w:val="00F0478E"/>
    <w:rsid w:val="00F047FA"/>
    <w:rsid w:val="00F0519D"/>
    <w:rsid w:val="00F051E7"/>
    <w:rsid w:val="00F057BD"/>
    <w:rsid w:val="00F0584E"/>
    <w:rsid w:val="00F05B63"/>
    <w:rsid w:val="00F05CA2"/>
    <w:rsid w:val="00F05FF9"/>
    <w:rsid w:val="00F0637B"/>
    <w:rsid w:val="00F0670C"/>
    <w:rsid w:val="00F06D46"/>
    <w:rsid w:val="00F06E9B"/>
    <w:rsid w:val="00F0719B"/>
    <w:rsid w:val="00F0747B"/>
    <w:rsid w:val="00F07766"/>
    <w:rsid w:val="00F07F71"/>
    <w:rsid w:val="00F1033E"/>
    <w:rsid w:val="00F10431"/>
    <w:rsid w:val="00F105B0"/>
    <w:rsid w:val="00F10637"/>
    <w:rsid w:val="00F10824"/>
    <w:rsid w:val="00F10929"/>
    <w:rsid w:val="00F10A21"/>
    <w:rsid w:val="00F10E1E"/>
    <w:rsid w:val="00F1159B"/>
    <w:rsid w:val="00F116D4"/>
    <w:rsid w:val="00F11A05"/>
    <w:rsid w:val="00F11AA1"/>
    <w:rsid w:val="00F11B23"/>
    <w:rsid w:val="00F11D89"/>
    <w:rsid w:val="00F11EA1"/>
    <w:rsid w:val="00F11FFA"/>
    <w:rsid w:val="00F12172"/>
    <w:rsid w:val="00F1278E"/>
    <w:rsid w:val="00F12AEF"/>
    <w:rsid w:val="00F12F39"/>
    <w:rsid w:val="00F13045"/>
    <w:rsid w:val="00F130CE"/>
    <w:rsid w:val="00F131F2"/>
    <w:rsid w:val="00F13355"/>
    <w:rsid w:val="00F13E84"/>
    <w:rsid w:val="00F13EC4"/>
    <w:rsid w:val="00F140DF"/>
    <w:rsid w:val="00F14546"/>
    <w:rsid w:val="00F148A0"/>
    <w:rsid w:val="00F14949"/>
    <w:rsid w:val="00F149E3"/>
    <w:rsid w:val="00F14C52"/>
    <w:rsid w:val="00F14DD5"/>
    <w:rsid w:val="00F14F27"/>
    <w:rsid w:val="00F150B0"/>
    <w:rsid w:val="00F154B0"/>
    <w:rsid w:val="00F15BBB"/>
    <w:rsid w:val="00F15F00"/>
    <w:rsid w:val="00F16B5C"/>
    <w:rsid w:val="00F171D9"/>
    <w:rsid w:val="00F17209"/>
    <w:rsid w:val="00F17336"/>
    <w:rsid w:val="00F174C3"/>
    <w:rsid w:val="00F17606"/>
    <w:rsid w:val="00F17997"/>
    <w:rsid w:val="00F20199"/>
    <w:rsid w:val="00F20209"/>
    <w:rsid w:val="00F20232"/>
    <w:rsid w:val="00F206CB"/>
    <w:rsid w:val="00F20905"/>
    <w:rsid w:val="00F20953"/>
    <w:rsid w:val="00F209E2"/>
    <w:rsid w:val="00F20FF1"/>
    <w:rsid w:val="00F21116"/>
    <w:rsid w:val="00F217FD"/>
    <w:rsid w:val="00F21925"/>
    <w:rsid w:val="00F22298"/>
    <w:rsid w:val="00F224A3"/>
    <w:rsid w:val="00F22E59"/>
    <w:rsid w:val="00F234FD"/>
    <w:rsid w:val="00F2351E"/>
    <w:rsid w:val="00F23681"/>
    <w:rsid w:val="00F23793"/>
    <w:rsid w:val="00F23C6D"/>
    <w:rsid w:val="00F249EB"/>
    <w:rsid w:val="00F25001"/>
    <w:rsid w:val="00F25104"/>
    <w:rsid w:val="00F2515F"/>
    <w:rsid w:val="00F256FB"/>
    <w:rsid w:val="00F2591B"/>
    <w:rsid w:val="00F25BA4"/>
    <w:rsid w:val="00F25BCD"/>
    <w:rsid w:val="00F261B8"/>
    <w:rsid w:val="00F2631E"/>
    <w:rsid w:val="00F26CE9"/>
    <w:rsid w:val="00F26DF9"/>
    <w:rsid w:val="00F26EF9"/>
    <w:rsid w:val="00F27107"/>
    <w:rsid w:val="00F2730E"/>
    <w:rsid w:val="00F2733D"/>
    <w:rsid w:val="00F273E2"/>
    <w:rsid w:val="00F27716"/>
    <w:rsid w:val="00F27AA6"/>
    <w:rsid w:val="00F27C6A"/>
    <w:rsid w:val="00F30141"/>
    <w:rsid w:val="00F302F3"/>
    <w:rsid w:val="00F3044B"/>
    <w:rsid w:val="00F308C9"/>
    <w:rsid w:val="00F311A8"/>
    <w:rsid w:val="00F31459"/>
    <w:rsid w:val="00F31785"/>
    <w:rsid w:val="00F317A6"/>
    <w:rsid w:val="00F31834"/>
    <w:rsid w:val="00F3234A"/>
    <w:rsid w:val="00F3239A"/>
    <w:rsid w:val="00F3249B"/>
    <w:rsid w:val="00F3276F"/>
    <w:rsid w:val="00F32A25"/>
    <w:rsid w:val="00F32CB4"/>
    <w:rsid w:val="00F331E4"/>
    <w:rsid w:val="00F33518"/>
    <w:rsid w:val="00F335DC"/>
    <w:rsid w:val="00F33731"/>
    <w:rsid w:val="00F33955"/>
    <w:rsid w:val="00F33B32"/>
    <w:rsid w:val="00F33F21"/>
    <w:rsid w:val="00F34245"/>
    <w:rsid w:val="00F34540"/>
    <w:rsid w:val="00F3482D"/>
    <w:rsid w:val="00F3498E"/>
    <w:rsid w:val="00F349BA"/>
    <w:rsid w:val="00F34B5D"/>
    <w:rsid w:val="00F34BB8"/>
    <w:rsid w:val="00F34C75"/>
    <w:rsid w:val="00F356F4"/>
    <w:rsid w:val="00F357A8"/>
    <w:rsid w:val="00F35AA6"/>
    <w:rsid w:val="00F35C19"/>
    <w:rsid w:val="00F35C4F"/>
    <w:rsid w:val="00F3613F"/>
    <w:rsid w:val="00F364AF"/>
    <w:rsid w:val="00F364FE"/>
    <w:rsid w:val="00F36600"/>
    <w:rsid w:val="00F368DB"/>
    <w:rsid w:val="00F36D59"/>
    <w:rsid w:val="00F36DEC"/>
    <w:rsid w:val="00F3708C"/>
    <w:rsid w:val="00F37309"/>
    <w:rsid w:val="00F3746F"/>
    <w:rsid w:val="00F37481"/>
    <w:rsid w:val="00F3754B"/>
    <w:rsid w:val="00F37771"/>
    <w:rsid w:val="00F37C11"/>
    <w:rsid w:val="00F37F4E"/>
    <w:rsid w:val="00F4031C"/>
    <w:rsid w:val="00F40902"/>
    <w:rsid w:val="00F40F0E"/>
    <w:rsid w:val="00F410D0"/>
    <w:rsid w:val="00F411A5"/>
    <w:rsid w:val="00F41429"/>
    <w:rsid w:val="00F41791"/>
    <w:rsid w:val="00F418D8"/>
    <w:rsid w:val="00F41A99"/>
    <w:rsid w:val="00F41AA2"/>
    <w:rsid w:val="00F41AAD"/>
    <w:rsid w:val="00F41CF3"/>
    <w:rsid w:val="00F41EC4"/>
    <w:rsid w:val="00F41F8E"/>
    <w:rsid w:val="00F41FE5"/>
    <w:rsid w:val="00F4215E"/>
    <w:rsid w:val="00F42194"/>
    <w:rsid w:val="00F423FD"/>
    <w:rsid w:val="00F4287A"/>
    <w:rsid w:val="00F42CD0"/>
    <w:rsid w:val="00F4368F"/>
    <w:rsid w:val="00F43732"/>
    <w:rsid w:val="00F43758"/>
    <w:rsid w:val="00F43960"/>
    <w:rsid w:val="00F43A17"/>
    <w:rsid w:val="00F43C50"/>
    <w:rsid w:val="00F43DE1"/>
    <w:rsid w:val="00F43F4A"/>
    <w:rsid w:val="00F44399"/>
    <w:rsid w:val="00F44518"/>
    <w:rsid w:val="00F44F05"/>
    <w:rsid w:val="00F45487"/>
    <w:rsid w:val="00F45EC3"/>
    <w:rsid w:val="00F460F1"/>
    <w:rsid w:val="00F466D8"/>
    <w:rsid w:val="00F466FD"/>
    <w:rsid w:val="00F467E7"/>
    <w:rsid w:val="00F46CD4"/>
    <w:rsid w:val="00F46FF9"/>
    <w:rsid w:val="00F47177"/>
    <w:rsid w:val="00F47292"/>
    <w:rsid w:val="00F47361"/>
    <w:rsid w:val="00F47530"/>
    <w:rsid w:val="00F47C22"/>
    <w:rsid w:val="00F50146"/>
    <w:rsid w:val="00F501D7"/>
    <w:rsid w:val="00F50783"/>
    <w:rsid w:val="00F5086C"/>
    <w:rsid w:val="00F50F75"/>
    <w:rsid w:val="00F51433"/>
    <w:rsid w:val="00F515CD"/>
    <w:rsid w:val="00F517A8"/>
    <w:rsid w:val="00F518EA"/>
    <w:rsid w:val="00F51911"/>
    <w:rsid w:val="00F51D71"/>
    <w:rsid w:val="00F51E1B"/>
    <w:rsid w:val="00F52221"/>
    <w:rsid w:val="00F524E0"/>
    <w:rsid w:val="00F527AD"/>
    <w:rsid w:val="00F52AD0"/>
    <w:rsid w:val="00F52F78"/>
    <w:rsid w:val="00F53290"/>
    <w:rsid w:val="00F533CE"/>
    <w:rsid w:val="00F535C4"/>
    <w:rsid w:val="00F53928"/>
    <w:rsid w:val="00F539CC"/>
    <w:rsid w:val="00F53BCB"/>
    <w:rsid w:val="00F53F11"/>
    <w:rsid w:val="00F5444E"/>
    <w:rsid w:val="00F54682"/>
    <w:rsid w:val="00F54D8F"/>
    <w:rsid w:val="00F55226"/>
    <w:rsid w:val="00F5575E"/>
    <w:rsid w:val="00F55A98"/>
    <w:rsid w:val="00F55E40"/>
    <w:rsid w:val="00F5647B"/>
    <w:rsid w:val="00F566D9"/>
    <w:rsid w:val="00F567CF"/>
    <w:rsid w:val="00F56A0A"/>
    <w:rsid w:val="00F56D63"/>
    <w:rsid w:val="00F56F04"/>
    <w:rsid w:val="00F576A4"/>
    <w:rsid w:val="00F60485"/>
    <w:rsid w:val="00F60771"/>
    <w:rsid w:val="00F60773"/>
    <w:rsid w:val="00F60812"/>
    <w:rsid w:val="00F60B65"/>
    <w:rsid w:val="00F60C9C"/>
    <w:rsid w:val="00F61244"/>
    <w:rsid w:val="00F6131D"/>
    <w:rsid w:val="00F61913"/>
    <w:rsid w:val="00F61F02"/>
    <w:rsid w:val="00F62D33"/>
    <w:rsid w:val="00F62E1A"/>
    <w:rsid w:val="00F62F80"/>
    <w:rsid w:val="00F632C4"/>
    <w:rsid w:val="00F63A87"/>
    <w:rsid w:val="00F64280"/>
    <w:rsid w:val="00F6461E"/>
    <w:rsid w:val="00F64AEC"/>
    <w:rsid w:val="00F64ECC"/>
    <w:rsid w:val="00F65327"/>
    <w:rsid w:val="00F6561E"/>
    <w:rsid w:val="00F6598C"/>
    <w:rsid w:val="00F65BB8"/>
    <w:rsid w:val="00F65E77"/>
    <w:rsid w:val="00F662A5"/>
    <w:rsid w:val="00F6663E"/>
    <w:rsid w:val="00F666D5"/>
    <w:rsid w:val="00F66775"/>
    <w:rsid w:val="00F667D5"/>
    <w:rsid w:val="00F66C18"/>
    <w:rsid w:val="00F66D4F"/>
    <w:rsid w:val="00F67308"/>
    <w:rsid w:val="00F674FD"/>
    <w:rsid w:val="00F677CD"/>
    <w:rsid w:val="00F67C20"/>
    <w:rsid w:val="00F70719"/>
    <w:rsid w:val="00F7072F"/>
    <w:rsid w:val="00F70F91"/>
    <w:rsid w:val="00F71508"/>
    <w:rsid w:val="00F71509"/>
    <w:rsid w:val="00F71623"/>
    <w:rsid w:val="00F7176C"/>
    <w:rsid w:val="00F717EB"/>
    <w:rsid w:val="00F71986"/>
    <w:rsid w:val="00F720CC"/>
    <w:rsid w:val="00F724E8"/>
    <w:rsid w:val="00F72538"/>
    <w:rsid w:val="00F725C3"/>
    <w:rsid w:val="00F72679"/>
    <w:rsid w:val="00F7270F"/>
    <w:rsid w:val="00F72805"/>
    <w:rsid w:val="00F72A48"/>
    <w:rsid w:val="00F72C85"/>
    <w:rsid w:val="00F72E7D"/>
    <w:rsid w:val="00F72F8D"/>
    <w:rsid w:val="00F730ED"/>
    <w:rsid w:val="00F736F1"/>
    <w:rsid w:val="00F73845"/>
    <w:rsid w:val="00F7399C"/>
    <w:rsid w:val="00F73AFF"/>
    <w:rsid w:val="00F73D20"/>
    <w:rsid w:val="00F73E85"/>
    <w:rsid w:val="00F73EC7"/>
    <w:rsid w:val="00F73F05"/>
    <w:rsid w:val="00F743C2"/>
    <w:rsid w:val="00F74678"/>
    <w:rsid w:val="00F74746"/>
    <w:rsid w:val="00F7491C"/>
    <w:rsid w:val="00F74993"/>
    <w:rsid w:val="00F74BD3"/>
    <w:rsid w:val="00F75060"/>
    <w:rsid w:val="00F755F7"/>
    <w:rsid w:val="00F756FF"/>
    <w:rsid w:val="00F75793"/>
    <w:rsid w:val="00F758FD"/>
    <w:rsid w:val="00F75A40"/>
    <w:rsid w:val="00F75CBF"/>
    <w:rsid w:val="00F76098"/>
    <w:rsid w:val="00F76403"/>
    <w:rsid w:val="00F76417"/>
    <w:rsid w:val="00F765BB"/>
    <w:rsid w:val="00F766B8"/>
    <w:rsid w:val="00F766F9"/>
    <w:rsid w:val="00F76C16"/>
    <w:rsid w:val="00F76EDA"/>
    <w:rsid w:val="00F77422"/>
    <w:rsid w:val="00F77C79"/>
    <w:rsid w:val="00F77CCB"/>
    <w:rsid w:val="00F8004D"/>
    <w:rsid w:val="00F802FF"/>
    <w:rsid w:val="00F8051A"/>
    <w:rsid w:val="00F80526"/>
    <w:rsid w:val="00F805A4"/>
    <w:rsid w:val="00F80764"/>
    <w:rsid w:val="00F80C59"/>
    <w:rsid w:val="00F80C64"/>
    <w:rsid w:val="00F81468"/>
    <w:rsid w:val="00F81767"/>
    <w:rsid w:val="00F819BB"/>
    <w:rsid w:val="00F81B60"/>
    <w:rsid w:val="00F82170"/>
    <w:rsid w:val="00F826D1"/>
    <w:rsid w:val="00F82906"/>
    <w:rsid w:val="00F82B4B"/>
    <w:rsid w:val="00F82E82"/>
    <w:rsid w:val="00F830E3"/>
    <w:rsid w:val="00F831C4"/>
    <w:rsid w:val="00F83728"/>
    <w:rsid w:val="00F838E5"/>
    <w:rsid w:val="00F83B5D"/>
    <w:rsid w:val="00F841B5"/>
    <w:rsid w:val="00F84290"/>
    <w:rsid w:val="00F8429D"/>
    <w:rsid w:val="00F844D1"/>
    <w:rsid w:val="00F84CCF"/>
    <w:rsid w:val="00F84DBD"/>
    <w:rsid w:val="00F84F38"/>
    <w:rsid w:val="00F84F62"/>
    <w:rsid w:val="00F84FFB"/>
    <w:rsid w:val="00F85046"/>
    <w:rsid w:val="00F8538B"/>
    <w:rsid w:val="00F85A87"/>
    <w:rsid w:val="00F85A92"/>
    <w:rsid w:val="00F85AAC"/>
    <w:rsid w:val="00F85E18"/>
    <w:rsid w:val="00F86295"/>
    <w:rsid w:val="00F865D6"/>
    <w:rsid w:val="00F8677B"/>
    <w:rsid w:val="00F867B3"/>
    <w:rsid w:val="00F8694F"/>
    <w:rsid w:val="00F86C1F"/>
    <w:rsid w:val="00F8778A"/>
    <w:rsid w:val="00F87C79"/>
    <w:rsid w:val="00F87CC2"/>
    <w:rsid w:val="00F901C7"/>
    <w:rsid w:val="00F903B3"/>
    <w:rsid w:val="00F90DD7"/>
    <w:rsid w:val="00F910FD"/>
    <w:rsid w:val="00F911C5"/>
    <w:rsid w:val="00F9154F"/>
    <w:rsid w:val="00F91930"/>
    <w:rsid w:val="00F924F0"/>
    <w:rsid w:val="00F92545"/>
    <w:rsid w:val="00F92D55"/>
    <w:rsid w:val="00F92DA1"/>
    <w:rsid w:val="00F92DB2"/>
    <w:rsid w:val="00F933DF"/>
    <w:rsid w:val="00F937C9"/>
    <w:rsid w:val="00F93915"/>
    <w:rsid w:val="00F93E95"/>
    <w:rsid w:val="00F94044"/>
    <w:rsid w:val="00F94370"/>
    <w:rsid w:val="00F945AD"/>
    <w:rsid w:val="00F94D81"/>
    <w:rsid w:val="00F94F2C"/>
    <w:rsid w:val="00F950D1"/>
    <w:rsid w:val="00F953C9"/>
    <w:rsid w:val="00F957F3"/>
    <w:rsid w:val="00F9592B"/>
    <w:rsid w:val="00F95A85"/>
    <w:rsid w:val="00F95CE8"/>
    <w:rsid w:val="00F95E29"/>
    <w:rsid w:val="00F95F26"/>
    <w:rsid w:val="00F9615F"/>
    <w:rsid w:val="00F962B0"/>
    <w:rsid w:val="00F969A9"/>
    <w:rsid w:val="00F96B62"/>
    <w:rsid w:val="00F96BD9"/>
    <w:rsid w:val="00F96D32"/>
    <w:rsid w:val="00F970BE"/>
    <w:rsid w:val="00F979BF"/>
    <w:rsid w:val="00F97A48"/>
    <w:rsid w:val="00F97A66"/>
    <w:rsid w:val="00F97B48"/>
    <w:rsid w:val="00F97CB5"/>
    <w:rsid w:val="00FA001F"/>
    <w:rsid w:val="00FA0113"/>
    <w:rsid w:val="00FA013F"/>
    <w:rsid w:val="00FA0265"/>
    <w:rsid w:val="00FA0522"/>
    <w:rsid w:val="00FA099F"/>
    <w:rsid w:val="00FA0C53"/>
    <w:rsid w:val="00FA0C75"/>
    <w:rsid w:val="00FA0D4E"/>
    <w:rsid w:val="00FA0FE1"/>
    <w:rsid w:val="00FA115B"/>
    <w:rsid w:val="00FA14BA"/>
    <w:rsid w:val="00FA1532"/>
    <w:rsid w:val="00FA163D"/>
    <w:rsid w:val="00FA17F9"/>
    <w:rsid w:val="00FA1902"/>
    <w:rsid w:val="00FA1B85"/>
    <w:rsid w:val="00FA1EFA"/>
    <w:rsid w:val="00FA252D"/>
    <w:rsid w:val="00FA2635"/>
    <w:rsid w:val="00FA278C"/>
    <w:rsid w:val="00FA27EC"/>
    <w:rsid w:val="00FA2CA1"/>
    <w:rsid w:val="00FA2CC9"/>
    <w:rsid w:val="00FA347F"/>
    <w:rsid w:val="00FA3789"/>
    <w:rsid w:val="00FA37B9"/>
    <w:rsid w:val="00FA3947"/>
    <w:rsid w:val="00FA3BDD"/>
    <w:rsid w:val="00FA3CD2"/>
    <w:rsid w:val="00FA48B0"/>
    <w:rsid w:val="00FA4AD4"/>
    <w:rsid w:val="00FA4DB5"/>
    <w:rsid w:val="00FA5231"/>
    <w:rsid w:val="00FA5999"/>
    <w:rsid w:val="00FA5A93"/>
    <w:rsid w:val="00FA5DE4"/>
    <w:rsid w:val="00FA63A6"/>
    <w:rsid w:val="00FA649C"/>
    <w:rsid w:val="00FA67A1"/>
    <w:rsid w:val="00FA692F"/>
    <w:rsid w:val="00FA693E"/>
    <w:rsid w:val="00FA6A2A"/>
    <w:rsid w:val="00FA6CA8"/>
    <w:rsid w:val="00FA6E9A"/>
    <w:rsid w:val="00FA6EDE"/>
    <w:rsid w:val="00FA7038"/>
    <w:rsid w:val="00FA7094"/>
    <w:rsid w:val="00FA70A9"/>
    <w:rsid w:val="00FA7548"/>
    <w:rsid w:val="00FA7647"/>
    <w:rsid w:val="00FA76CE"/>
    <w:rsid w:val="00FA7A98"/>
    <w:rsid w:val="00FA7C17"/>
    <w:rsid w:val="00FB010B"/>
    <w:rsid w:val="00FB0879"/>
    <w:rsid w:val="00FB0971"/>
    <w:rsid w:val="00FB0C5C"/>
    <w:rsid w:val="00FB0E8C"/>
    <w:rsid w:val="00FB0F05"/>
    <w:rsid w:val="00FB10CA"/>
    <w:rsid w:val="00FB1160"/>
    <w:rsid w:val="00FB1684"/>
    <w:rsid w:val="00FB1989"/>
    <w:rsid w:val="00FB19A8"/>
    <w:rsid w:val="00FB1B45"/>
    <w:rsid w:val="00FB1CB3"/>
    <w:rsid w:val="00FB2341"/>
    <w:rsid w:val="00FB23D9"/>
    <w:rsid w:val="00FB255D"/>
    <w:rsid w:val="00FB2602"/>
    <w:rsid w:val="00FB2772"/>
    <w:rsid w:val="00FB2A88"/>
    <w:rsid w:val="00FB2D78"/>
    <w:rsid w:val="00FB2F56"/>
    <w:rsid w:val="00FB314B"/>
    <w:rsid w:val="00FB32CE"/>
    <w:rsid w:val="00FB3339"/>
    <w:rsid w:val="00FB36D0"/>
    <w:rsid w:val="00FB3E56"/>
    <w:rsid w:val="00FB3FA7"/>
    <w:rsid w:val="00FB40B4"/>
    <w:rsid w:val="00FB421E"/>
    <w:rsid w:val="00FB429C"/>
    <w:rsid w:val="00FB4437"/>
    <w:rsid w:val="00FB4546"/>
    <w:rsid w:val="00FB473F"/>
    <w:rsid w:val="00FB4750"/>
    <w:rsid w:val="00FB47FD"/>
    <w:rsid w:val="00FB4918"/>
    <w:rsid w:val="00FB495E"/>
    <w:rsid w:val="00FB4A57"/>
    <w:rsid w:val="00FB4CC9"/>
    <w:rsid w:val="00FB4D01"/>
    <w:rsid w:val="00FB4EE1"/>
    <w:rsid w:val="00FB50EB"/>
    <w:rsid w:val="00FB5952"/>
    <w:rsid w:val="00FB5A43"/>
    <w:rsid w:val="00FB5DBC"/>
    <w:rsid w:val="00FB6297"/>
    <w:rsid w:val="00FB62E0"/>
    <w:rsid w:val="00FB655E"/>
    <w:rsid w:val="00FB6783"/>
    <w:rsid w:val="00FB685B"/>
    <w:rsid w:val="00FB6C45"/>
    <w:rsid w:val="00FB6F44"/>
    <w:rsid w:val="00FB7AE2"/>
    <w:rsid w:val="00FB7DD0"/>
    <w:rsid w:val="00FB7E89"/>
    <w:rsid w:val="00FC0480"/>
    <w:rsid w:val="00FC08A3"/>
    <w:rsid w:val="00FC08AA"/>
    <w:rsid w:val="00FC1242"/>
    <w:rsid w:val="00FC12CF"/>
    <w:rsid w:val="00FC148B"/>
    <w:rsid w:val="00FC1795"/>
    <w:rsid w:val="00FC17BD"/>
    <w:rsid w:val="00FC17F8"/>
    <w:rsid w:val="00FC1A94"/>
    <w:rsid w:val="00FC1BA0"/>
    <w:rsid w:val="00FC1DBA"/>
    <w:rsid w:val="00FC1DC1"/>
    <w:rsid w:val="00FC1DCE"/>
    <w:rsid w:val="00FC1E06"/>
    <w:rsid w:val="00FC2258"/>
    <w:rsid w:val="00FC2427"/>
    <w:rsid w:val="00FC242A"/>
    <w:rsid w:val="00FC2584"/>
    <w:rsid w:val="00FC25F9"/>
    <w:rsid w:val="00FC2730"/>
    <w:rsid w:val="00FC29E1"/>
    <w:rsid w:val="00FC3209"/>
    <w:rsid w:val="00FC328E"/>
    <w:rsid w:val="00FC3866"/>
    <w:rsid w:val="00FC3C7E"/>
    <w:rsid w:val="00FC3CBE"/>
    <w:rsid w:val="00FC405B"/>
    <w:rsid w:val="00FC45EF"/>
    <w:rsid w:val="00FC47CC"/>
    <w:rsid w:val="00FC48FE"/>
    <w:rsid w:val="00FC4916"/>
    <w:rsid w:val="00FC4B4B"/>
    <w:rsid w:val="00FC525E"/>
    <w:rsid w:val="00FC5369"/>
    <w:rsid w:val="00FC596E"/>
    <w:rsid w:val="00FC5EC5"/>
    <w:rsid w:val="00FC6042"/>
    <w:rsid w:val="00FC6287"/>
    <w:rsid w:val="00FC6365"/>
    <w:rsid w:val="00FC6FE1"/>
    <w:rsid w:val="00FC7094"/>
    <w:rsid w:val="00FC7289"/>
    <w:rsid w:val="00FC73A2"/>
    <w:rsid w:val="00FC757A"/>
    <w:rsid w:val="00FC75F7"/>
    <w:rsid w:val="00FC78A4"/>
    <w:rsid w:val="00FC7F0F"/>
    <w:rsid w:val="00FD0001"/>
    <w:rsid w:val="00FD014C"/>
    <w:rsid w:val="00FD04FD"/>
    <w:rsid w:val="00FD09AC"/>
    <w:rsid w:val="00FD0E32"/>
    <w:rsid w:val="00FD154E"/>
    <w:rsid w:val="00FD1740"/>
    <w:rsid w:val="00FD17E4"/>
    <w:rsid w:val="00FD1874"/>
    <w:rsid w:val="00FD1E61"/>
    <w:rsid w:val="00FD1EEE"/>
    <w:rsid w:val="00FD2141"/>
    <w:rsid w:val="00FD23CA"/>
    <w:rsid w:val="00FD263C"/>
    <w:rsid w:val="00FD28CF"/>
    <w:rsid w:val="00FD291A"/>
    <w:rsid w:val="00FD296A"/>
    <w:rsid w:val="00FD2AFD"/>
    <w:rsid w:val="00FD2B6F"/>
    <w:rsid w:val="00FD2EE9"/>
    <w:rsid w:val="00FD2FB8"/>
    <w:rsid w:val="00FD35DE"/>
    <w:rsid w:val="00FD3702"/>
    <w:rsid w:val="00FD371A"/>
    <w:rsid w:val="00FD3C49"/>
    <w:rsid w:val="00FD3FF3"/>
    <w:rsid w:val="00FD4052"/>
    <w:rsid w:val="00FD42A4"/>
    <w:rsid w:val="00FD439D"/>
    <w:rsid w:val="00FD449B"/>
    <w:rsid w:val="00FD479F"/>
    <w:rsid w:val="00FD4AB3"/>
    <w:rsid w:val="00FD4E45"/>
    <w:rsid w:val="00FD505D"/>
    <w:rsid w:val="00FD56AD"/>
    <w:rsid w:val="00FD5B7E"/>
    <w:rsid w:val="00FD5BF9"/>
    <w:rsid w:val="00FD600E"/>
    <w:rsid w:val="00FD648B"/>
    <w:rsid w:val="00FD6591"/>
    <w:rsid w:val="00FD681A"/>
    <w:rsid w:val="00FD6D9C"/>
    <w:rsid w:val="00FD7549"/>
    <w:rsid w:val="00FD754F"/>
    <w:rsid w:val="00FD75FB"/>
    <w:rsid w:val="00FD76B1"/>
    <w:rsid w:val="00FD7884"/>
    <w:rsid w:val="00FD7A29"/>
    <w:rsid w:val="00FD7A5A"/>
    <w:rsid w:val="00FD7ADD"/>
    <w:rsid w:val="00FE04B8"/>
    <w:rsid w:val="00FE0513"/>
    <w:rsid w:val="00FE05D6"/>
    <w:rsid w:val="00FE069A"/>
    <w:rsid w:val="00FE06E0"/>
    <w:rsid w:val="00FE086D"/>
    <w:rsid w:val="00FE0A1D"/>
    <w:rsid w:val="00FE0AE2"/>
    <w:rsid w:val="00FE0B9E"/>
    <w:rsid w:val="00FE120E"/>
    <w:rsid w:val="00FE1414"/>
    <w:rsid w:val="00FE166E"/>
    <w:rsid w:val="00FE21B3"/>
    <w:rsid w:val="00FE2333"/>
    <w:rsid w:val="00FE2789"/>
    <w:rsid w:val="00FE27F4"/>
    <w:rsid w:val="00FE29DB"/>
    <w:rsid w:val="00FE2A6B"/>
    <w:rsid w:val="00FE2E9F"/>
    <w:rsid w:val="00FE30F6"/>
    <w:rsid w:val="00FE3186"/>
    <w:rsid w:val="00FE3231"/>
    <w:rsid w:val="00FE3877"/>
    <w:rsid w:val="00FE3ABA"/>
    <w:rsid w:val="00FE3AF1"/>
    <w:rsid w:val="00FE3FF7"/>
    <w:rsid w:val="00FE4297"/>
    <w:rsid w:val="00FE44C9"/>
    <w:rsid w:val="00FE4A51"/>
    <w:rsid w:val="00FE4A60"/>
    <w:rsid w:val="00FE4C3C"/>
    <w:rsid w:val="00FE4CD8"/>
    <w:rsid w:val="00FE4D9B"/>
    <w:rsid w:val="00FE4DE3"/>
    <w:rsid w:val="00FE4E8D"/>
    <w:rsid w:val="00FE5540"/>
    <w:rsid w:val="00FE560B"/>
    <w:rsid w:val="00FE5743"/>
    <w:rsid w:val="00FE5B80"/>
    <w:rsid w:val="00FE5F3B"/>
    <w:rsid w:val="00FE6021"/>
    <w:rsid w:val="00FE60FD"/>
    <w:rsid w:val="00FE6300"/>
    <w:rsid w:val="00FE634B"/>
    <w:rsid w:val="00FE63FD"/>
    <w:rsid w:val="00FE6D6E"/>
    <w:rsid w:val="00FE6E67"/>
    <w:rsid w:val="00FE6EB2"/>
    <w:rsid w:val="00FE7FD9"/>
    <w:rsid w:val="00FF0061"/>
    <w:rsid w:val="00FF0A05"/>
    <w:rsid w:val="00FF0CFB"/>
    <w:rsid w:val="00FF0DA2"/>
    <w:rsid w:val="00FF0EE0"/>
    <w:rsid w:val="00FF1095"/>
    <w:rsid w:val="00FF1163"/>
    <w:rsid w:val="00FF13DC"/>
    <w:rsid w:val="00FF16BE"/>
    <w:rsid w:val="00FF1A1A"/>
    <w:rsid w:val="00FF1B48"/>
    <w:rsid w:val="00FF1CC5"/>
    <w:rsid w:val="00FF1EDE"/>
    <w:rsid w:val="00FF208B"/>
    <w:rsid w:val="00FF2163"/>
    <w:rsid w:val="00FF2237"/>
    <w:rsid w:val="00FF241E"/>
    <w:rsid w:val="00FF2ADE"/>
    <w:rsid w:val="00FF2BD7"/>
    <w:rsid w:val="00FF2D1C"/>
    <w:rsid w:val="00FF2D24"/>
    <w:rsid w:val="00FF2D9D"/>
    <w:rsid w:val="00FF2FCA"/>
    <w:rsid w:val="00FF3528"/>
    <w:rsid w:val="00FF360A"/>
    <w:rsid w:val="00FF3804"/>
    <w:rsid w:val="00FF3B0B"/>
    <w:rsid w:val="00FF3B8E"/>
    <w:rsid w:val="00FF3E48"/>
    <w:rsid w:val="00FF4083"/>
    <w:rsid w:val="00FF4194"/>
    <w:rsid w:val="00FF4B37"/>
    <w:rsid w:val="00FF4F6A"/>
    <w:rsid w:val="00FF5327"/>
    <w:rsid w:val="00FF54AF"/>
    <w:rsid w:val="00FF56E1"/>
    <w:rsid w:val="00FF5AFE"/>
    <w:rsid w:val="00FF61C6"/>
    <w:rsid w:val="00FF64E7"/>
    <w:rsid w:val="00FF65A5"/>
    <w:rsid w:val="00FF65BA"/>
    <w:rsid w:val="00FF6B87"/>
    <w:rsid w:val="00FF6BBB"/>
    <w:rsid w:val="00FF6E19"/>
    <w:rsid w:val="00FF701E"/>
    <w:rsid w:val="00FF744F"/>
    <w:rsid w:val="00FF7535"/>
    <w:rsid w:val="00FF7713"/>
    <w:rsid w:val="00FF782A"/>
    <w:rsid w:val="00FF7B0E"/>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o:shapelayout v:ext="edit">
      <o:idmap v:ext="edit" data="1"/>
    </o:shapelayout>
  </w:shapeDefaults>
  <w:decimalSymbol w:val=","/>
  <w:listSeparator w:val=";"/>
  <w14:docId w14:val="78CA0BBC"/>
  <w15:docId w15:val="{A1374678-BEC0-455C-B887-FF70DA02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4"/>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90451"/>
    <w:rPr>
      <w:sz w:val="24"/>
      <w:szCs w:val="24"/>
    </w:rPr>
  </w:style>
  <w:style w:type="paragraph" w:styleId="Titolo1">
    <w:name w:val="heading 1"/>
    <w:basedOn w:val="Normale"/>
    <w:next w:val="Normale"/>
    <w:link w:val="Titolo1Carattere"/>
    <w:uiPriority w:val="99"/>
    <w:qFormat/>
    <w:rsid w:val="00BC3FFD"/>
    <w:pPr>
      <w:keepNext/>
      <w:spacing w:after="120"/>
      <w:jc w:val="both"/>
      <w:outlineLvl w:val="0"/>
    </w:pPr>
    <w:rPr>
      <w:rFonts w:ascii="Cambria" w:hAnsi="Cambria"/>
      <w:b/>
      <w:kern w:val="32"/>
      <w:sz w:val="32"/>
    </w:rPr>
  </w:style>
  <w:style w:type="paragraph" w:styleId="Titolo2">
    <w:name w:val="heading 2"/>
    <w:basedOn w:val="Normale"/>
    <w:next w:val="Normale"/>
    <w:link w:val="Titolo2Carattere"/>
    <w:semiHidden/>
    <w:unhideWhenUsed/>
    <w:qFormat/>
    <w:locked/>
    <w:rsid w:val="00BF702B"/>
    <w:pPr>
      <w:keepNext/>
      <w:spacing w:before="240" w:after="60"/>
      <w:outlineLvl w:val="1"/>
    </w:pPr>
    <w:rPr>
      <w:rFonts w:ascii="Cambria" w:hAnsi="Cambria"/>
      <w:b/>
      <w:bCs/>
      <w:i/>
      <w:iCs/>
      <w:sz w:val="28"/>
      <w:szCs w:val="28"/>
    </w:rPr>
  </w:style>
  <w:style w:type="paragraph" w:styleId="Titolo4">
    <w:name w:val="heading 4"/>
    <w:basedOn w:val="Normale"/>
    <w:next w:val="Normale"/>
    <w:link w:val="Titolo4Carattere"/>
    <w:qFormat/>
    <w:locked/>
    <w:rsid w:val="00CD17F5"/>
    <w:pPr>
      <w:keepNext/>
      <w:keepLines/>
      <w:spacing w:before="200"/>
      <w:outlineLvl w:val="3"/>
    </w:pPr>
    <w:rPr>
      <w:rFonts w:ascii="Cambria" w:hAnsi="Cambria"/>
      <w:b/>
      <w:bCs/>
      <w:i/>
      <w:iCs/>
      <w:color w:val="4F81BD"/>
    </w:rPr>
  </w:style>
  <w:style w:type="paragraph" w:styleId="Titolo8">
    <w:name w:val="heading 8"/>
    <w:basedOn w:val="Normale"/>
    <w:next w:val="Normale"/>
    <w:link w:val="Titolo8Carattere"/>
    <w:semiHidden/>
    <w:unhideWhenUsed/>
    <w:qFormat/>
    <w:locked/>
    <w:rsid w:val="003A6105"/>
    <w:pPr>
      <w:spacing w:before="240" w:after="60"/>
      <w:outlineLvl w:val="7"/>
    </w:pPr>
    <w:rPr>
      <w:rFonts w:ascii="Calibri" w:hAnsi="Calibri"/>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rsid w:val="00BC3FFD"/>
    <w:pPr>
      <w:tabs>
        <w:tab w:val="center" w:pos="4818"/>
        <w:tab w:val="right" w:pos="9637"/>
      </w:tabs>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spacing w:beforeAutospacing="1" w:afterAutospacing="1"/>
    </w:pPr>
  </w:style>
  <w:style w:type="paragraph" w:styleId="PreformattatoHTML">
    <w:name w:val="HTML Preformatted"/>
    <w:basedOn w:val="Normale"/>
    <w:link w:val="PreformattatoHTMLCarattere"/>
    <w:uiPriority w:val="99"/>
    <w:rsid w:val="0090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5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aliases w:val="Testo nota a piè di pagina Carattere Carattere,Testo nota a piè di pagina Carattere Carattere Carattere Carattere Carattere Carattere"/>
    <w:basedOn w:val="Normale"/>
    <w:link w:val="TestonotaapidipaginaCarattere"/>
    <w:uiPriority w:val="99"/>
    <w:rsid w:val="006C145B"/>
  </w:style>
  <w:style w:type="character" w:customStyle="1" w:styleId="TestonotaapidipaginaCarattere">
    <w:name w:val="Testo nota a piè di pagina Carattere"/>
    <w:aliases w:val="Testo nota a piè di pagina Carattere Carattere Carattere,Testo nota a piè di pagina Carattere Carattere Carattere Carattere Carattere Carattere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E338F3"/>
    <w:rPr>
      <w:sz w:val="20"/>
      <w:szCs w:val="20"/>
    </w:rPr>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nhideWhenUsed/>
    <w:rsid w:val="00407D29"/>
    <w:rPr>
      <w:b/>
      <w:bCs/>
    </w:rPr>
  </w:style>
  <w:style w:type="character" w:customStyle="1" w:styleId="SoggettocommentoCarattere">
    <w:name w:val="Soggetto commento Carattere"/>
    <w:link w:val="Soggettocommento"/>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spacing w:line="288" w:lineRule="auto"/>
      <w:textAlignment w:val="center"/>
    </w:pPr>
    <w:rPr>
      <w:rFonts w:ascii="Times-Roman" w:hAnsi="Times-Roman" w:cs="Times-Roman"/>
      <w:color w:val="000000"/>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E53642"/>
    <w:pPr>
      <w:pBdr>
        <w:bottom w:val="single" w:sz="18" w:space="1" w:color="E31C18"/>
      </w:pBdr>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E53642"/>
    <w:rPr>
      <w:rFonts w:ascii="Calibri" w:hAnsi="Calibri" w:cs="Arial"/>
      <w:b/>
      <w:bCs/>
      <w:caps/>
      <w:color w:val="000000"/>
      <w:kern w:val="32"/>
      <w:sz w:val="26"/>
      <w:szCs w:val="28"/>
    </w:rPr>
  </w:style>
  <w:style w:type="paragraph" w:customStyle="1" w:styleId="00TitoGra1">
    <w:name w:val="00TitoGra1"/>
    <w:basedOn w:val="Normale"/>
    <w:qFormat/>
    <w:rsid w:val="00E53642"/>
    <w:pPr>
      <w:spacing w:line="280" w:lineRule="exact"/>
    </w:pPr>
    <w:rPr>
      <w:rFonts w:ascii="Calibri" w:hAnsi="Calibri" w:cs="Arial"/>
      <w:b/>
      <w:color w:val="D90B13"/>
      <w:sz w:val="28"/>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unhideWhenUsed/>
    <w:rsid w:val="00A53D09"/>
    <w:pPr>
      <w:spacing w:after="120"/>
      <w:ind w:left="283"/>
    </w:pPr>
  </w:style>
  <w:style w:type="character" w:customStyle="1" w:styleId="RientrocorpodeltestoCarattere">
    <w:name w:val="Rientro corpo del testo Carattere"/>
    <w:link w:val="Rientrocorpodeltesto"/>
    <w:uiPriority w:val="99"/>
    <w:rsid w:val="00A53D09"/>
    <w:rPr>
      <w:kern w:val="28"/>
    </w:rPr>
  </w:style>
  <w:style w:type="character" w:customStyle="1" w:styleId="st">
    <w:name w:val="st"/>
    <w:rsid w:val="00431975"/>
  </w:style>
  <w:style w:type="paragraph" w:styleId="Corpodeltesto3">
    <w:name w:val="Body Text 3"/>
    <w:basedOn w:val="Normale"/>
    <w:link w:val="Corpodeltesto3Carattere"/>
    <w:rsid w:val="000B233D"/>
    <w:pPr>
      <w:spacing w:after="120"/>
    </w:pPr>
    <w:rPr>
      <w:sz w:val="16"/>
      <w:szCs w:val="16"/>
    </w:rPr>
  </w:style>
  <w:style w:type="character" w:customStyle="1" w:styleId="Corpodeltesto3Carattere">
    <w:name w:val="Corpo del testo 3 Carattere"/>
    <w:link w:val="Corpodeltesto3"/>
    <w:rsid w:val="000B233D"/>
    <w:rPr>
      <w:sz w:val="16"/>
      <w:szCs w:val="16"/>
    </w:rPr>
  </w:style>
  <w:style w:type="paragraph" w:customStyle="1" w:styleId="Corpotesto1">
    <w:name w:val="Corpo testo1"/>
    <w:basedOn w:val="Normale"/>
    <w:rsid w:val="00AE6AE5"/>
    <w:pPr>
      <w:jc w:val="both"/>
    </w:pPr>
    <w:rPr>
      <w:b/>
      <w:lang w:val="en-US" w:eastAsia="en-US"/>
    </w:rPr>
  </w:style>
  <w:style w:type="paragraph" w:styleId="Corpodeltesto2">
    <w:name w:val="Body Text 2"/>
    <w:basedOn w:val="Normale"/>
    <w:link w:val="Corpodeltesto2Carattere"/>
    <w:rsid w:val="00833A77"/>
    <w:pPr>
      <w:spacing w:after="120" w:line="480" w:lineRule="auto"/>
    </w:pPr>
  </w:style>
  <w:style w:type="character" w:customStyle="1" w:styleId="Corpodeltesto2Carattere">
    <w:name w:val="Corpo del testo 2 Carattere"/>
    <w:link w:val="Corpodeltesto2"/>
    <w:rsid w:val="00833A77"/>
    <w:rPr>
      <w:kern w:val="28"/>
    </w:rPr>
  </w:style>
  <w:style w:type="paragraph" w:customStyle="1" w:styleId="Corpodeltesto1">
    <w:name w:val="Corpo del testo1"/>
    <w:basedOn w:val="Normale"/>
    <w:rsid w:val="00833A77"/>
    <w:pPr>
      <w:jc w:val="both"/>
    </w:pPr>
    <w:rPr>
      <w:b/>
    </w:rPr>
  </w:style>
  <w:style w:type="character" w:customStyle="1" w:styleId="Titolo2Carattere">
    <w:name w:val="Titolo 2 Carattere"/>
    <w:link w:val="Titolo2"/>
    <w:semiHidden/>
    <w:rsid w:val="00BF702B"/>
    <w:rPr>
      <w:rFonts w:ascii="Cambria" w:eastAsia="Times New Roman" w:hAnsi="Cambria" w:cs="Times New Roman"/>
      <w:b/>
      <w:bCs/>
      <w:i/>
      <w:iCs/>
      <w:kern w:val="28"/>
      <w:sz w:val="28"/>
      <w:szCs w:val="28"/>
    </w:rPr>
  </w:style>
  <w:style w:type="paragraph" w:customStyle="1" w:styleId="Rientrocorpodeltesto31">
    <w:name w:val="Rientro corpo del testo 31"/>
    <w:basedOn w:val="Normale"/>
    <w:uiPriority w:val="99"/>
    <w:rsid w:val="000A2E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lang w:eastAsia="ar-SA"/>
    </w:rPr>
  </w:style>
  <w:style w:type="paragraph" w:styleId="Paragrafoelenco">
    <w:name w:val="List Paragraph"/>
    <w:basedOn w:val="Normale"/>
    <w:link w:val="ParagrafoelencoCarattere"/>
    <w:uiPriority w:val="34"/>
    <w:qFormat/>
    <w:rsid w:val="000A2EFD"/>
    <w:pPr>
      <w:tabs>
        <w:tab w:val="left" w:pos="426"/>
      </w:tabs>
      <w:spacing w:after="120"/>
      <w:ind w:left="720"/>
      <w:contextualSpacing/>
      <w:jc w:val="both"/>
    </w:pPr>
    <w:rPr>
      <w:rFonts w:ascii="Calibri" w:hAnsi="Calibri" w:cs="Calibri"/>
      <w:color w:val="000000"/>
      <w:lang w:eastAsia="zh-CN"/>
    </w:rPr>
  </w:style>
  <w:style w:type="character" w:customStyle="1" w:styleId="ParagrafoelencoCarattere">
    <w:name w:val="Paragrafo elenco Carattere"/>
    <w:link w:val="Paragrafoelenco"/>
    <w:uiPriority w:val="34"/>
    <w:rsid w:val="000A2EFD"/>
    <w:rPr>
      <w:rFonts w:ascii="Calibri" w:hAnsi="Calibri" w:cs="Calibri"/>
      <w:color w:val="000000"/>
      <w:sz w:val="24"/>
      <w:szCs w:val="24"/>
      <w:lang w:eastAsia="zh-CN"/>
    </w:rPr>
  </w:style>
  <w:style w:type="table" w:styleId="Sfondomedio2-Colore5">
    <w:name w:val="Medium Shading 2 Accent 5"/>
    <w:basedOn w:val="Tabellanormale"/>
    <w:uiPriority w:val="64"/>
    <w:rsid w:val="000A2EFD"/>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olo8Carattere">
    <w:name w:val="Titolo 8 Carattere"/>
    <w:link w:val="Titolo8"/>
    <w:semiHidden/>
    <w:rsid w:val="003A6105"/>
    <w:rPr>
      <w:rFonts w:ascii="Calibri" w:eastAsia="Times New Roman" w:hAnsi="Calibri" w:cs="Times New Roman"/>
      <w:i/>
      <w:iCs/>
      <w:kern w:val="28"/>
      <w:sz w:val="24"/>
      <w:szCs w:val="24"/>
    </w:rPr>
  </w:style>
  <w:style w:type="character" w:styleId="Collegamentovisitato">
    <w:name w:val="FollowedHyperlink"/>
    <w:uiPriority w:val="99"/>
    <w:semiHidden/>
    <w:unhideWhenUsed/>
    <w:rsid w:val="00A72740"/>
    <w:rPr>
      <w:color w:val="800080"/>
      <w:u w:val="single"/>
    </w:rPr>
  </w:style>
  <w:style w:type="paragraph" w:styleId="Revisione">
    <w:name w:val="Revision"/>
    <w:hidden/>
    <w:uiPriority w:val="71"/>
    <w:rsid w:val="005301CF"/>
    <w:rPr>
      <w:kern w:val="28"/>
    </w:rPr>
  </w:style>
  <w:style w:type="character" w:customStyle="1" w:styleId="seocontent">
    <w:name w:val="seocontent"/>
    <w:basedOn w:val="Carpredefinitoparagrafo"/>
    <w:rsid w:val="00EF7A93"/>
  </w:style>
  <w:style w:type="character" w:customStyle="1" w:styleId="object">
    <w:name w:val="object"/>
    <w:basedOn w:val="Carpredefinitoparagrafo"/>
    <w:rsid w:val="00A80789"/>
  </w:style>
  <w:style w:type="paragraph" w:customStyle="1" w:styleId="A">
    <w:name w:val="A"/>
    <w:basedOn w:val="Normale"/>
    <w:next w:val="Corpotesto"/>
    <w:uiPriority w:val="99"/>
    <w:rsid w:val="00282B90"/>
    <w:pPr>
      <w:jc w:val="both"/>
    </w:pPr>
    <w:rPr>
      <w:b/>
      <w:lang w:eastAsia="ar-SA"/>
    </w:rPr>
  </w:style>
  <w:style w:type="character" w:customStyle="1" w:styleId="markedcontent">
    <w:name w:val="markedcontent"/>
    <w:basedOn w:val="Carpredefinitoparagrafo"/>
    <w:rsid w:val="00C1395C"/>
  </w:style>
  <w:style w:type="paragraph" w:customStyle="1" w:styleId="Testocorrente">
    <w:name w:val="Testo corrente"/>
    <w:basedOn w:val="Titolo2"/>
    <w:rsid w:val="006F6BD9"/>
    <w:pPr>
      <w:spacing w:before="0"/>
      <w:jc w:val="both"/>
    </w:pPr>
    <w:rPr>
      <w:rFonts w:ascii="Times New Roman" w:hAnsi="Times New Roman"/>
      <w:bCs w:val="0"/>
      <w:iCs w:val="0"/>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81610097">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63055204">
      <w:bodyDiv w:val="1"/>
      <w:marLeft w:val="0"/>
      <w:marRight w:val="0"/>
      <w:marTop w:val="0"/>
      <w:marBottom w:val="0"/>
      <w:divBdr>
        <w:top w:val="none" w:sz="0" w:space="0" w:color="auto"/>
        <w:left w:val="none" w:sz="0" w:space="0" w:color="auto"/>
        <w:bottom w:val="none" w:sz="0" w:space="0" w:color="auto"/>
        <w:right w:val="none" w:sz="0" w:space="0" w:color="auto"/>
      </w:divBdr>
      <w:divsChild>
        <w:div w:id="72774841">
          <w:marLeft w:val="0"/>
          <w:marRight w:val="0"/>
          <w:marTop w:val="0"/>
          <w:marBottom w:val="0"/>
          <w:divBdr>
            <w:top w:val="none" w:sz="0" w:space="0" w:color="auto"/>
            <w:left w:val="none" w:sz="0" w:space="0" w:color="auto"/>
            <w:bottom w:val="none" w:sz="0" w:space="0" w:color="auto"/>
            <w:right w:val="none" w:sz="0" w:space="0" w:color="auto"/>
          </w:divBdr>
        </w:div>
        <w:div w:id="112676843">
          <w:marLeft w:val="0"/>
          <w:marRight w:val="0"/>
          <w:marTop w:val="0"/>
          <w:marBottom w:val="0"/>
          <w:divBdr>
            <w:top w:val="none" w:sz="0" w:space="0" w:color="auto"/>
            <w:left w:val="none" w:sz="0" w:space="0" w:color="auto"/>
            <w:bottom w:val="none" w:sz="0" w:space="0" w:color="auto"/>
            <w:right w:val="none" w:sz="0" w:space="0" w:color="auto"/>
          </w:divBdr>
        </w:div>
        <w:div w:id="135799169">
          <w:marLeft w:val="0"/>
          <w:marRight w:val="0"/>
          <w:marTop w:val="0"/>
          <w:marBottom w:val="0"/>
          <w:divBdr>
            <w:top w:val="none" w:sz="0" w:space="0" w:color="auto"/>
            <w:left w:val="none" w:sz="0" w:space="0" w:color="auto"/>
            <w:bottom w:val="none" w:sz="0" w:space="0" w:color="auto"/>
            <w:right w:val="none" w:sz="0" w:space="0" w:color="auto"/>
          </w:divBdr>
        </w:div>
        <w:div w:id="1033112804">
          <w:marLeft w:val="0"/>
          <w:marRight w:val="0"/>
          <w:marTop w:val="0"/>
          <w:marBottom w:val="0"/>
          <w:divBdr>
            <w:top w:val="none" w:sz="0" w:space="0" w:color="auto"/>
            <w:left w:val="none" w:sz="0" w:space="0" w:color="auto"/>
            <w:bottom w:val="none" w:sz="0" w:space="0" w:color="auto"/>
            <w:right w:val="none" w:sz="0" w:space="0" w:color="auto"/>
          </w:divBdr>
        </w:div>
        <w:div w:id="1521511708">
          <w:marLeft w:val="0"/>
          <w:marRight w:val="0"/>
          <w:marTop w:val="0"/>
          <w:marBottom w:val="0"/>
          <w:divBdr>
            <w:top w:val="none" w:sz="0" w:space="0" w:color="auto"/>
            <w:left w:val="none" w:sz="0" w:space="0" w:color="auto"/>
            <w:bottom w:val="none" w:sz="0" w:space="0" w:color="auto"/>
            <w:right w:val="none" w:sz="0" w:space="0" w:color="auto"/>
          </w:divBdr>
        </w:div>
      </w:divsChild>
    </w:div>
    <w:div w:id="190270577">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00484480">
      <w:bodyDiv w:val="1"/>
      <w:marLeft w:val="0"/>
      <w:marRight w:val="0"/>
      <w:marTop w:val="0"/>
      <w:marBottom w:val="0"/>
      <w:divBdr>
        <w:top w:val="none" w:sz="0" w:space="0" w:color="auto"/>
        <w:left w:val="none" w:sz="0" w:space="0" w:color="auto"/>
        <w:bottom w:val="none" w:sz="0" w:space="0" w:color="auto"/>
        <w:right w:val="none" w:sz="0" w:space="0" w:color="auto"/>
      </w:divBdr>
      <w:divsChild>
        <w:div w:id="160703322">
          <w:marLeft w:val="0"/>
          <w:marRight w:val="0"/>
          <w:marTop w:val="0"/>
          <w:marBottom w:val="0"/>
          <w:divBdr>
            <w:top w:val="none" w:sz="0" w:space="0" w:color="auto"/>
            <w:left w:val="none" w:sz="0" w:space="0" w:color="auto"/>
            <w:bottom w:val="none" w:sz="0" w:space="0" w:color="auto"/>
            <w:right w:val="none" w:sz="0" w:space="0" w:color="auto"/>
          </w:divBdr>
        </w:div>
        <w:div w:id="506092020">
          <w:marLeft w:val="0"/>
          <w:marRight w:val="0"/>
          <w:marTop w:val="0"/>
          <w:marBottom w:val="0"/>
          <w:divBdr>
            <w:top w:val="none" w:sz="0" w:space="0" w:color="auto"/>
            <w:left w:val="none" w:sz="0" w:space="0" w:color="auto"/>
            <w:bottom w:val="none" w:sz="0" w:space="0" w:color="auto"/>
            <w:right w:val="none" w:sz="0" w:space="0" w:color="auto"/>
          </w:divBdr>
        </w:div>
        <w:div w:id="1243643572">
          <w:marLeft w:val="0"/>
          <w:marRight w:val="0"/>
          <w:marTop w:val="0"/>
          <w:marBottom w:val="0"/>
          <w:divBdr>
            <w:top w:val="none" w:sz="0" w:space="0" w:color="auto"/>
            <w:left w:val="none" w:sz="0" w:space="0" w:color="auto"/>
            <w:bottom w:val="none" w:sz="0" w:space="0" w:color="auto"/>
            <w:right w:val="none" w:sz="0" w:space="0" w:color="auto"/>
          </w:divBdr>
        </w:div>
        <w:div w:id="1941789296">
          <w:marLeft w:val="0"/>
          <w:marRight w:val="0"/>
          <w:marTop w:val="0"/>
          <w:marBottom w:val="0"/>
          <w:divBdr>
            <w:top w:val="none" w:sz="0" w:space="0" w:color="auto"/>
            <w:left w:val="none" w:sz="0" w:space="0" w:color="auto"/>
            <w:bottom w:val="none" w:sz="0" w:space="0" w:color="auto"/>
            <w:right w:val="none" w:sz="0" w:space="0" w:color="auto"/>
          </w:divBdr>
        </w:div>
      </w:divsChild>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4365864">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55229352">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01976649">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413269">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499349390">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41558061">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36885099">
      <w:bodyDiv w:val="1"/>
      <w:marLeft w:val="0"/>
      <w:marRight w:val="0"/>
      <w:marTop w:val="0"/>
      <w:marBottom w:val="0"/>
      <w:divBdr>
        <w:top w:val="none" w:sz="0" w:space="0" w:color="auto"/>
        <w:left w:val="none" w:sz="0" w:space="0" w:color="auto"/>
        <w:bottom w:val="none" w:sz="0" w:space="0" w:color="auto"/>
        <w:right w:val="none" w:sz="0" w:space="0" w:color="auto"/>
      </w:divBdr>
      <w:divsChild>
        <w:div w:id="40323292">
          <w:marLeft w:val="0"/>
          <w:marRight w:val="0"/>
          <w:marTop w:val="0"/>
          <w:marBottom w:val="0"/>
          <w:divBdr>
            <w:top w:val="none" w:sz="0" w:space="0" w:color="auto"/>
            <w:left w:val="none" w:sz="0" w:space="0" w:color="auto"/>
            <w:bottom w:val="none" w:sz="0" w:space="0" w:color="auto"/>
            <w:right w:val="none" w:sz="0" w:space="0" w:color="auto"/>
          </w:divBdr>
        </w:div>
        <w:div w:id="1174302731">
          <w:marLeft w:val="0"/>
          <w:marRight w:val="0"/>
          <w:marTop w:val="0"/>
          <w:marBottom w:val="0"/>
          <w:divBdr>
            <w:top w:val="none" w:sz="0" w:space="0" w:color="auto"/>
            <w:left w:val="none" w:sz="0" w:space="0" w:color="auto"/>
            <w:bottom w:val="none" w:sz="0" w:space="0" w:color="auto"/>
            <w:right w:val="none" w:sz="0" w:space="0" w:color="auto"/>
          </w:divBdr>
        </w:div>
        <w:div w:id="1244686340">
          <w:marLeft w:val="0"/>
          <w:marRight w:val="0"/>
          <w:marTop w:val="0"/>
          <w:marBottom w:val="0"/>
          <w:divBdr>
            <w:top w:val="none" w:sz="0" w:space="0" w:color="auto"/>
            <w:left w:val="none" w:sz="0" w:space="0" w:color="auto"/>
            <w:bottom w:val="none" w:sz="0" w:space="0" w:color="auto"/>
            <w:right w:val="none" w:sz="0" w:space="0" w:color="auto"/>
          </w:divBdr>
        </w:div>
        <w:div w:id="1561744909">
          <w:marLeft w:val="0"/>
          <w:marRight w:val="0"/>
          <w:marTop w:val="0"/>
          <w:marBottom w:val="0"/>
          <w:divBdr>
            <w:top w:val="none" w:sz="0" w:space="0" w:color="auto"/>
            <w:left w:val="none" w:sz="0" w:space="0" w:color="auto"/>
            <w:bottom w:val="none" w:sz="0" w:space="0" w:color="auto"/>
            <w:right w:val="none" w:sz="0" w:space="0" w:color="auto"/>
          </w:divBdr>
        </w:div>
        <w:div w:id="1659992699">
          <w:marLeft w:val="0"/>
          <w:marRight w:val="0"/>
          <w:marTop w:val="0"/>
          <w:marBottom w:val="0"/>
          <w:divBdr>
            <w:top w:val="none" w:sz="0" w:space="0" w:color="auto"/>
            <w:left w:val="none" w:sz="0" w:space="0" w:color="auto"/>
            <w:bottom w:val="none" w:sz="0" w:space="0" w:color="auto"/>
            <w:right w:val="none" w:sz="0" w:space="0" w:color="auto"/>
          </w:divBdr>
        </w:div>
      </w:divsChild>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5472990">
      <w:bodyDiv w:val="1"/>
      <w:marLeft w:val="0"/>
      <w:marRight w:val="0"/>
      <w:marTop w:val="0"/>
      <w:marBottom w:val="0"/>
      <w:divBdr>
        <w:top w:val="none" w:sz="0" w:space="0" w:color="auto"/>
        <w:left w:val="none" w:sz="0" w:space="0" w:color="auto"/>
        <w:bottom w:val="none" w:sz="0" w:space="0" w:color="auto"/>
        <w:right w:val="none" w:sz="0" w:space="0" w:color="auto"/>
      </w:divBdr>
    </w:div>
    <w:div w:id="2128350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tat.it/it/archivio/268002" TargetMode="External"/><Relationship Id="rId18" Type="http://schemas.openxmlformats.org/officeDocument/2006/relationships/hyperlink" Target="http://www.istat.it/it/congiuntura" TargetMode="External"/><Relationship Id="rId26" Type="http://schemas.openxmlformats.org/officeDocument/2006/relationships/footer" Target="footer1.xml"/><Relationship Id="rId39" Type="http://schemas.openxmlformats.org/officeDocument/2006/relationships/hyperlink" Target="https://www.coeweb.istat.it/" TargetMode="External"/><Relationship Id="rId21" Type="http://schemas.openxmlformats.org/officeDocument/2006/relationships/chart" Target="charts/chart2.xml"/><Relationship Id="rId34" Type="http://schemas.openxmlformats.org/officeDocument/2006/relationships/header" Target="header4.xml"/><Relationship Id="rId42" Type="http://schemas.openxmlformats.org/officeDocument/2006/relationships/hyperlink" Target="https://www.istat.it/it/informazioni-e-servizi/per-i-giornalisti/appuntamenti/calendario-diffusioni-ed-eventi" TargetMode="External"/><Relationship Id="rId47" Type="http://schemas.openxmlformats.org/officeDocument/2006/relationships/hyperlink" Target="http://www.istat.it/it/archivio/esportazioni+delle+regioni" TargetMode="External"/><Relationship Id="rId50" Type="http://schemas.openxmlformats.org/officeDocument/2006/relationships/hyperlink" Target="http://www.istat.it/it/archivio/45225" TargetMode="External"/><Relationship Id="rId55" Type="http://schemas.openxmlformats.org/officeDocument/2006/relationships/hyperlink" Target="mailto:causo@istat.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eader" Target="header5.xml"/><Relationship Id="rId40" Type="http://schemas.openxmlformats.org/officeDocument/2006/relationships/hyperlink" Target="https://ec.europa.eu/eurostat/data/metadata/covid-19-support-for-statisticians" TargetMode="External"/><Relationship Id="rId45" Type="http://schemas.openxmlformats.org/officeDocument/2006/relationships/hyperlink" Target="http://www.istat.it/it/archivio/commercio+estero+e+prezzi+import" TargetMode="External"/><Relationship Id="rId53" Type="http://schemas.openxmlformats.org/officeDocument/2006/relationships/hyperlink" Target="https://www.istat.it/it/files/2018/05/nota_informativa_prezzi_import.pdf" TargetMode="External"/><Relationship Id="rId58" Type="http://schemas.openxmlformats.org/officeDocument/2006/relationships/hyperlink" Target="mailto:lodorazi@istat.it"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www.coeweb.istat.it/" TargetMode="Externa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header" Target="header2.xml"/><Relationship Id="rId30" Type="http://schemas.openxmlformats.org/officeDocument/2006/relationships/chart" Target="charts/chart7.xml"/><Relationship Id="rId35" Type="http://schemas.openxmlformats.org/officeDocument/2006/relationships/hyperlink" Target="https://unstats.un.org/unsd/cr/registry/docs/i4_SNA.pdf" TargetMode="External"/><Relationship Id="rId43" Type="http://schemas.openxmlformats.org/officeDocument/2006/relationships/hyperlink" Target="http://www.istat.it/it/congiuntura/revisioni" TargetMode="External"/><Relationship Id="rId48" Type="http://schemas.openxmlformats.org/officeDocument/2006/relationships/hyperlink" Target="http://ec.europa.eu/eurostat/data/database" TargetMode="External"/><Relationship Id="rId56" Type="http://schemas.openxmlformats.org/officeDocument/2006/relationships/hyperlink" Target="mailto:vendetti@istat.it" TargetMode="External"/><Relationship Id="rId8" Type="http://schemas.openxmlformats.org/officeDocument/2006/relationships/styles" Target="styles.xml"/><Relationship Id="rId51" Type="http://schemas.openxmlformats.org/officeDocument/2006/relationships/hyperlink" Target="http://www.istat.it/it/files/2016/02/Prezzi-all-importazione-dei-prodotti-industriali-Nota-informativa.pdf?title=Prezzi+all%E2%80%99importazione+dei+prodotti+industriali+-+16%2Ffeb%2F2016+-+Nota+informativa.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dati.istat.it/" TargetMode="External"/><Relationship Id="rId25" Type="http://schemas.openxmlformats.org/officeDocument/2006/relationships/header" Target="header1.xml"/><Relationship Id="rId33" Type="http://schemas.openxmlformats.org/officeDocument/2006/relationships/header" Target="header3.xml"/><Relationship Id="rId38" Type="http://schemas.openxmlformats.org/officeDocument/2006/relationships/hyperlink" Target="https://www.istat.it/it/archivio/268002" TargetMode="External"/><Relationship Id="rId46" Type="http://schemas.openxmlformats.org/officeDocument/2006/relationships/hyperlink" Target="http://www.istat.it/it/archivio/commercio+estero+extra+ue" TargetMode="External"/><Relationship Id="rId59" Type="http://schemas.openxmlformats.org/officeDocument/2006/relationships/header" Target="header6.xml"/><Relationship Id="rId20" Type="http://schemas.openxmlformats.org/officeDocument/2006/relationships/chart" Target="charts/chart1.xml"/><Relationship Id="rId41" Type="http://schemas.openxmlformats.org/officeDocument/2006/relationships/hyperlink" Target="https://www.istat.it/it/istituto-nazionale-di-statistica/organizzazione/normativa" TargetMode="External"/><Relationship Id="rId54" Type="http://schemas.openxmlformats.org/officeDocument/2006/relationships/hyperlink" Target="https://www.istat.it/it/files/2020/12/nota_informativa_revisioni_commercio_estero.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chart" Target="charts/chart5.xml"/><Relationship Id="rId36" Type="http://schemas.openxmlformats.org/officeDocument/2006/relationships/hyperlink" Target="http://ec.europa.eu/eurostat/documents/3859598/5902521/KS-RA-07-015-EN.PDF" TargetMode="External"/><Relationship Id="rId49" Type="http://schemas.openxmlformats.org/officeDocument/2006/relationships/hyperlink" Target="https://www.istat.it/it/files/2011/03/testointegrale20080225.pdf" TargetMode="External"/><Relationship Id="rId57" Type="http://schemas.openxmlformats.org/officeDocument/2006/relationships/hyperlink" Target="mailto:sibio@istat.it" TargetMode="External"/><Relationship Id="rId10" Type="http://schemas.openxmlformats.org/officeDocument/2006/relationships/webSettings" Target="webSettings.xml"/><Relationship Id="rId31" Type="http://schemas.openxmlformats.org/officeDocument/2006/relationships/chart" Target="charts/chart8.xml"/><Relationship Id="rId44" Type="http://schemas.openxmlformats.org/officeDocument/2006/relationships/hyperlink" Target="http://www.istat.it/it/files/2016/07/scheda-CommercioEstero-e-prezzi-allimport-dei-prodotti-industriali.pdf" TargetMode="External"/><Relationship Id="rId52" Type="http://schemas.openxmlformats.org/officeDocument/2006/relationships/hyperlink" Target="http://www.istat.it/it/files/2015/11/Ricostruzione-serie-indici-2005-2009.pdf?title=Prezzi+all%27importazione+dei+prodotti+industriali+-+17%2Fnov%2F2015+-+Ricostruzione+serie.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Gennaio_2022\coe_pi_mondo_12022_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Gennaio_2022\coe_pi_mondo_12022_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Gennaio_2022\coe_pi_mondo_12022_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Gennaio_2022\coe_pi_mondo_12022_n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Gennaio_2022\coe_pi_mondo_12022_n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Gennaio_2022\coe_pi_mondo_12022_n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Gennaio_2022\coe_pi_mondo_12022_n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repo1\share2\COE_documentazione_servizio\DIFFUSIONE\COMUNICATO%20STAMPA\CS%20Mondo\CS_COE_PI_Gennaio_2022\coe_pi_mondo_12022_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4"/>
          <c:tx>
            <c:strRef>
              <c:f>'figura 1'!$G$4</c:f>
              <c:strCache>
                <c:ptCount val="1"/>
                <c:pt idx="0">
                  <c:v>Saldi (scala destra)</c:v>
                </c:pt>
              </c:strCache>
            </c:strRef>
          </c:tx>
          <c:spPr>
            <a:solidFill>
              <a:srgbClr val="A6A6A6"/>
            </a:solidFill>
            <a:ln w="6350" cap="flat" cmpd="sng" algn="ctr">
              <a:solidFill>
                <a:schemeClr val="bg1"/>
              </a:solidFill>
              <a:prstDash val="solid"/>
              <a:round/>
              <a:headEnd type="none" w="med" len="med"/>
              <a:tailEnd type="none" w="med" len="med"/>
            </a:ln>
            <a:effectLst/>
          </c:spPr>
          <c:invertIfNegative val="0"/>
          <c:val>
            <c:numRef>
              <c:f>'figura 1'!$G$65:$G$136</c:f>
              <c:numCache>
                <c:formatCode>0</c:formatCode>
                <c:ptCount val="72"/>
                <c:pt idx="0">
                  <c:v>4374</c:v>
                </c:pt>
                <c:pt idx="1">
                  <c:v>3009</c:v>
                </c:pt>
                <c:pt idx="2">
                  <c:v>4454</c:v>
                </c:pt>
                <c:pt idx="3">
                  <c:v>3909</c:v>
                </c:pt>
                <c:pt idx="4">
                  <c:v>3444</c:v>
                </c:pt>
                <c:pt idx="5">
                  <c:v>3635</c:v>
                </c:pt>
                <c:pt idx="6">
                  <c:v>3300</c:v>
                </c:pt>
                <c:pt idx="7">
                  <c:v>4096</c:v>
                </c:pt>
                <c:pt idx="8">
                  <c:v>5132</c:v>
                </c:pt>
                <c:pt idx="9">
                  <c:v>4204</c:v>
                </c:pt>
                <c:pt idx="10">
                  <c:v>4233</c:v>
                </c:pt>
                <c:pt idx="11">
                  <c:v>4212</c:v>
                </c:pt>
                <c:pt idx="12">
                  <c:v>3929</c:v>
                </c:pt>
                <c:pt idx="13">
                  <c:v>4028</c:v>
                </c:pt>
                <c:pt idx="14">
                  <c:v>3803</c:v>
                </c:pt>
                <c:pt idx="15">
                  <c:v>3425</c:v>
                </c:pt>
                <c:pt idx="16">
                  <c:v>2380</c:v>
                </c:pt>
                <c:pt idx="17">
                  <c:v>4170</c:v>
                </c:pt>
                <c:pt idx="18">
                  <c:v>2846</c:v>
                </c:pt>
                <c:pt idx="19">
                  <c:v>3713</c:v>
                </c:pt>
                <c:pt idx="20">
                  <c:v>2480</c:v>
                </c:pt>
                <c:pt idx="21">
                  <c:v>2837</c:v>
                </c:pt>
                <c:pt idx="22">
                  <c:v>3630</c:v>
                </c:pt>
                <c:pt idx="23">
                  <c:v>1903</c:v>
                </c:pt>
                <c:pt idx="24">
                  <c:v>4767</c:v>
                </c:pt>
                <c:pt idx="25">
                  <c:v>4440</c:v>
                </c:pt>
                <c:pt idx="26">
                  <c:v>4566</c:v>
                </c:pt>
                <c:pt idx="27">
                  <c:v>3941</c:v>
                </c:pt>
                <c:pt idx="28">
                  <c:v>4064</c:v>
                </c:pt>
                <c:pt idx="29">
                  <c:v>5129</c:v>
                </c:pt>
                <c:pt idx="30">
                  <c:v>4701</c:v>
                </c:pt>
                <c:pt idx="31">
                  <c:v>4356</c:v>
                </c:pt>
                <c:pt idx="32">
                  <c:v>4545</c:v>
                </c:pt>
                <c:pt idx="33">
                  <c:v>6884</c:v>
                </c:pt>
                <c:pt idx="34">
                  <c:v>4842</c:v>
                </c:pt>
                <c:pt idx="35">
                  <c:v>4935</c:v>
                </c:pt>
                <c:pt idx="36">
                  <c:v>4523</c:v>
                </c:pt>
                <c:pt idx="37">
                  <c:v>6234</c:v>
                </c:pt>
                <c:pt idx="38">
                  <c:v>5533</c:v>
                </c:pt>
                <c:pt idx="39">
                  <c:v>-1100</c:v>
                </c:pt>
                <c:pt idx="40">
                  <c:v>5187</c:v>
                </c:pt>
                <c:pt idx="41">
                  <c:v>5519</c:v>
                </c:pt>
                <c:pt idx="42">
                  <c:v>5986</c:v>
                </c:pt>
                <c:pt idx="43">
                  <c:v>6051</c:v>
                </c:pt>
                <c:pt idx="44">
                  <c:v>7151</c:v>
                </c:pt>
                <c:pt idx="45">
                  <c:v>5980</c:v>
                </c:pt>
                <c:pt idx="46">
                  <c:v>6645</c:v>
                </c:pt>
                <c:pt idx="47">
                  <c:v>5781</c:v>
                </c:pt>
                <c:pt idx="48">
                  <c:v>6092</c:v>
                </c:pt>
                <c:pt idx="49">
                  <c:v>5757</c:v>
                </c:pt>
                <c:pt idx="50">
                  <c:v>4811</c:v>
                </c:pt>
                <c:pt idx="51">
                  <c:v>5517</c:v>
                </c:pt>
                <c:pt idx="52">
                  <c:v>4742</c:v>
                </c:pt>
                <c:pt idx="53">
                  <c:v>4469</c:v>
                </c:pt>
                <c:pt idx="54">
                  <c:v>5073</c:v>
                </c:pt>
                <c:pt idx="55">
                  <c:v>3274</c:v>
                </c:pt>
                <c:pt idx="56">
                  <c:v>3400</c:v>
                </c:pt>
                <c:pt idx="57">
                  <c:v>2933</c:v>
                </c:pt>
                <c:pt idx="58">
                  <c:v>3266</c:v>
                </c:pt>
                <c:pt idx="59">
                  <c:v>-575</c:v>
                </c:pt>
                <c:pt idx="60">
                  <c:v>931</c:v>
                </c:pt>
              </c:numCache>
            </c:numRef>
          </c:val>
          <c:extLst>
            <c:ext xmlns:c16="http://schemas.microsoft.com/office/drawing/2014/chart" uri="{C3380CC4-5D6E-409C-BE32-E72D297353CC}">
              <c16:uniqueId val="{00000000-97DF-455F-B1AF-D2B4E20ED4A3}"/>
            </c:ext>
          </c:extLst>
        </c:ser>
        <c:dLbls>
          <c:showLegendKey val="0"/>
          <c:showVal val="0"/>
          <c:showCatName val="0"/>
          <c:showSerName val="0"/>
          <c:showPercent val="0"/>
          <c:showBubbleSize val="0"/>
        </c:dLbls>
        <c:gapWidth val="0"/>
        <c:axId val="204585296"/>
        <c:axId val="204584736"/>
      </c:barChart>
      <c:lineChart>
        <c:grouping val="standard"/>
        <c:varyColors val="0"/>
        <c:ser>
          <c:idx val="2"/>
          <c:order val="0"/>
          <c:tx>
            <c:strRef>
              <c:f>'figura 1'!$C$4</c:f>
              <c:strCache>
                <c:ptCount val="1"/>
                <c:pt idx="0">
                  <c:v>Export - mensile</c:v>
                </c:pt>
              </c:strCache>
            </c:strRef>
          </c:tx>
          <c:spPr>
            <a:ln w="12700" cap="flat" cmpd="sng" algn="ctr">
              <a:solidFill>
                <a:srgbClr val="003B5C"/>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1'!$C$65:$C$136</c:f>
              <c:numCache>
                <c:formatCode>0</c:formatCode>
                <c:ptCount val="72"/>
                <c:pt idx="0">
                  <c:v>36904</c:v>
                </c:pt>
                <c:pt idx="1">
                  <c:v>36410</c:v>
                </c:pt>
                <c:pt idx="2">
                  <c:v>37879</c:v>
                </c:pt>
                <c:pt idx="3">
                  <c:v>36888</c:v>
                </c:pt>
                <c:pt idx="4">
                  <c:v>37760</c:v>
                </c:pt>
                <c:pt idx="5">
                  <c:v>37322</c:v>
                </c:pt>
                <c:pt idx="6">
                  <c:v>37047</c:v>
                </c:pt>
                <c:pt idx="7">
                  <c:v>38319</c:v>
                </c:pt>
                <c:pt idx="8">
                  <c:v>37736</c:v>
                </c:pt>
                <c:pt idx="9">
                  <c:v>37950</c:v>
                </c:pt>
                <c:pt idx="10">
                  <c:v>38833</c:v>
                </c:pt>
                <c:pt idx="11">
                  <c:v>39854</c:v>
                </c:pt>
                <c:pt idx="12">
                  <c:v>37778</c:v>
                </c:pt>
                <c:pt idx="13">
                  <c:v>37917</c:v>
                </c:pt>
                <c:pt idx="14">
                  <c:v>38316</c:v>
                </c:pt>
                <c:pt idx="15">
                  <c:v>38455</c:v>
                </c:pt>
                <c:pt idx="16">
                  <c:v>37707</c:v>
                </c:pt>
                <c:pt idx="17">
                  <c:v>39702</c:v>
                </c:pt>
                <c:pt idx="18">
                  <c:v>39332</c:v>
                </c:pt>
                <c:pt idx="19">
                  <c:v>39839</c:v>
                </c:pt>
                <c:pt idx="20">
                  <c:v>38493</c:v>
                </c:pt>
                <c:pt idx="21">
                  <c:v>39831</c:v>
                </c:pt>
                <c:pt idx="22">
                  <c:v>39896</c:v>
                </c:pt>
                <c:pt idx="23">
                  <c:v>38587</c:v>
                </c:pt>
                <c:pt idx="24">
                  <c:v>39796</c:v>
                </c:pt>
                <c:pt idx="25">
                  <c:v>39515</c:v>
                </c:pt>
                <c:pt idx="26">
                  <c:v>40094</c:v>
                </c:pt>
                <c:pt idx="27">
                  <c:v>39761</c:v>
                </c:pt>
                <c:pt idx="28">
                  <c:v>40659</c:v>
                </c:pt>
                <c:pt idx="29">
                  <c:v>40822</c:v>
                </c:pt>
                <c:pt idx="30">
                  <c:v>40260</c:v>
                </c:pt>
                <c:pt idx="31">
                  <c:v>39556</c:v>
                </c:pt>
                <c:pt idx="32">
                  <c:v>40734</c:v>
                </c:pt>
                <c:pt idx="33">
                  <c:v>41571</c:v>
                </c:pt>
                <c:pt idx="34">
                  <c:v>39006</c:v>
                </c:pt>
                <c:pt idx="35">
                  <c:v>40293</c:v>
                </c:pt>
                <c:pt idx="36">
                  <c:v>40457</c:v>
                </c:pt>
                <c:pt idx="37">
                  <c:v>40582</c:v>
                </c:pt>
                <c:pt idx="38">
                  <c:v>33820</c:v>
                </c:pt>
                <c:pt idx="39">
                  <c:v>21888</c:v>
                </c:pt>
                <c:pt idx="40">
                  <c:v>30612</c:v>
                </c:pt>
                <c:pt idx="41">
                  <c:v>34893</c:v>
                </c:pt>
                <c:pt idx="42">
                  <c:v>37289</c:v>
                </c:pt>
                <c:pt idx="43">
                  <c:v>38107</c:v>
                </c:pt>
                <c:pt idx="44">
                  <c:v>39439</c:v>
                </c:pt>
                <c:pt idx="45">
                  <c:v>39014</c:v>
                </c:pt>
                <c:pt idx="46">
                  <c:v>40584</c:v>
                </c:pt>
                <c:pt idx="47">
                  <c:v>39128</c:v>
                </c:pt>
                <c:pt idx="48">
                  <c:v>39489</c:v>
                </c:pt>
                <c:pt idx="49">
                  <c:v>40041</c:v>
                </c:pt>
                <c:pt idx="50">
                  <c:v>41305</c:v>
                </c:pt>
                <c:pt idx="51">
                  <c:v>42843</c:v>
                </c:pt>
                <c:pt idx="52">
                  <c:v>41939</c:v>
                </c:pt>
                <c:pt idx="53">
                  <c:v>42621</c:v>
                </c:pt>
                <c:pt idx="54">
                  <c:v>43764</c:v>
                </c:pt>
                <c:pt idx="55">
                  <c:v>44028</c:v>
                </c:pt>
                <c:pt idx="56">
                  <c:v>43546</c:v>
                </c:pt>
                <c:pt idx="57">
                  <c:v>44242</c:v>
                </c:pt>
                <c:pt idx="58">
                  <c:v>45507</c:v>
                </c:pt>
                <c:pt idx="59">
                  <c:v>45055</c:v>
                </c:pt>
                <c:pt idx="60">
                  <c:v>47434</c:v>
                </c:pt>
              </c:numCache>
            </c:numRef>
          </c:val>
          <c:smooth val="0"/>
          <c:extLst>
            <c:ext xmlns:c16="http://schemas.microsoft.com/office/drawing/2014/chart" uri="{C3380CC4-5D6E-409C-BE32-E72D297353CC}">
              <c16:uniqueId val="{00000001-97DF-455F-B1AF-D2B4E20ED4A3}"/>
            </c:ext>
          </c:extLst>
        </c:ser>
        <c:ser>
          <c:idx val="4"/>
          <c:order val="1"/>
          <c:tx>
            <c:strRef>
              <c:f>'figura 1'!$D$4</c:f>
              <c:strCache>
                <c:ptCount val="1"/>
                <c:pt idx="0">
                  <c:v>Export - media 3m</c:v>
                </c:pt>
              </c:strCache>
            </c:strRef>
          </c:tx>
          <c:spPr>
            <a:ln w="28575" cap="rnd">
              <a:solidFill>
                <a:srgbClr val="003B5C"/>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1'!$D$65:$D$136</c:f>
              <c:numCache>
                <c:formatCode>0</c:formatCode>
                <c:ptCount val="72"/>
                <c:pt idx="0">
                  <c:v>36664</c:v>
                </c:pt>
                <c:pt idx="1">
                  <c:v>37064.333333333328</c:v>
                </c:pt>
                <c:pt idx="2">
                  <c:v>37059</c:v>
                </c:pt>
                <c:pt idx="3">
                  <c:v>37509</c:v>
                </c:pt>
                <c:pt idx="4">
                  <c:v>37323.333333333336</c:v>
                </c:pt>
                <c:pt idx="5">
                  <c:v>37376.333333333336</c:v>
                </c:pt>
                <c:pt idx="6">
                  <c:v>37562.666666666664</c:v>
                </c:pt>
                <c:pt idx="7">
                  <c:v>37700.666666666672</c:v>
                </c:pt>
                <c:pt idx="8">
                  <c:v>38001.666666666672</c:v>
                </c:pt>
                <c:pt idx="9">
                  <c:v>38173</c:v>
                </c:pt>
                <c:pt idx="10">
                  <c:v>38879</c:v>
                </c:pt>
                <c:pt idx="11">
                  <c:v>38821.666666666672</c:v>
                </c:pt>
                <c:pt idx="12">
                  <c:v>38516.333333333336</c:v>
                </c:pt>
                <c:pt idx="13">
                  <c:v>38003.666666666672</c:v>
                </c:pt>
                <c:pt idx="14">
                  <c:v>38229.333333333328</c:v>
                </c:pt>
                <c:pt idx="15">
                  <c:v>38159.333333333328</c:v>
                </c:pt>
                <c:pt idx="16">
                  <c:v>38621.333333333328</c:v>
                </c:pt>
                <c:pt idx="17">
                  <c:v>38913.666666666672</c:v>
                </c:pt>
                <c:pt idx="18">
                  <c:v>39624.333333333328</c:v>
                </c:pt>
                <c:pt idx="19">
                  <c:v>39221.333333333328</c:v>
                </c:pt>
                <c:pt idx="20">
                  <c:v>39387.666666666672</c:v>
                </c:pt>
                <c:pt idx="21">
                  <c:v>39406.666666666672</c:v>
                </c:pt>
                <c:pt idx="22">
                  <c:v>39438</c:v>
                </c:pt>
                <c:pt idx="23">
                  <c:v>39426.333333333328</c:v>
                </c:pt>
                <c:pt idx="24">
                  <c:v>39299.333333333336</c:v>
                </c:pt>
                <c:pt idx="25">
                  <c:v>39801.666666666672</c:v>
                </c:pt>
                <c:pt idx="26">
                  <c:v>39790</c:v>
                </c:pt>
                <c:pt idx="27">
                  <c:v>40171.333333333336</c:v>
                </c:pt>
                <c:pt idx="28">
                  <c:v>40414</c:v>
                </c:pt>
                <c:pt idx="29">
                  <c:v>40580.333333333336</c:v>
                </c:pt>
                <c:pt idx="30">
                  <c:v>40212.666666666664</c:v>
                </c:pt>
                <c:pt idx="31">
                  <c:v>40183.333333333328</c:v>
                </c:pt>
                <c:pt idx="32">
                  <c:v>40620.333333333328</c:v>
                </c:pt>
                <c:pt idx="33">
                  <c:v>40437</c:v>
                </c:pt>
                <c:pt idx="34">
                  <c:v>40290</c:v>
                </c:pt>
                <c:pt idx="35">
                  <c:v>39918.666666666664</c:v>
                </c:pt>
                <c:pt idx="36">
                  <c:v>40444</c:v>
                </c:pt>
                <c:pt idx="37">
                  <c:v>38286.333333333328</c:v>
                </c:pt>
                <c:pt idx="38">
                  <c:v>32096.666666666668</c:v>
                </c:pt>
                <c:pt idx="39">
                  <c:v>28773.333333333336</c:v>
                </c:pt>
                <c:pt idx="40">
                  <c:v>29131</c:v>
                </c:pt>
                <c:pt idx="41">
                  <c:v>34264.666666666664</c:v>
                </c:pt>
                <c:pt idx="42">
                  <c:v>36763</c:v>
                </c:pt>
                <c:pt idx="43">
                  <c:v>38278.333333333336</c:v>
                </c:pt>
                <c:pt idx="44">
                  <c:v>38853.333333333328</c:v>
                </c:pt>
                <c:pt idx="45">
                  <c:v>39679</c:v>
                </c:pt>
                <c:pt idx="46">
                  <c:v>39575.333333333328</c:v>
                </c:pt>
                <c:pt idx="47">
                  <c:v>39733.666666666664</c:v>
                </c:pt>
                <c:pt idx="48">
                  <c:v>39552.666666666672</c:v>
                </c:pt>
                <c:pt idx="49">
                  <c:v>40278.333333333336</c:v>
                </c:pt>
                <c:pt idx="50">
                  <c:v>41396.333333333336</c:v>
                </c:pt>
                <c:pt idx="51">
                  <c:v>42029</c:v>
                </c:pt>
                <c:pt idx="52">
                  <c:v>42467.666666666664</c:v>
                </c:pt>
                <c:pt idx="53">
                  <c:v>42774.666666666664</c:v>
                </c:pt>
                <c:pt idx="54">
                  <c:v>43471</c:v>
                </c:pt>
                <c:pt idx="55">
                  <c:v>43779.333333333336</c:v>
                </c:pt>
                <c:pt idx="56">
                  <c:v>43938.666666666664</c:v>
                </c:pt>
                <c:pt idx="57">
                  <c:v>44431.666666666672</c:v>
                </c:pt>
                <c:pt idx="58">
                  <c:v>44934.666666666672</c:v>
                </c:pt>
                <c:pt idx="59">
                  <c:v>45998.666666666664</c:v>
                </c:pt>
              </c:numCache>
            </c:numRef>
          </c:val>
          <c:smooth val="0"/>
          <c:extLst>
            <c:ext xmlns:c16="http://schemas.microsoft.com/office/drawing/2014/chart" uri="{C3380CC4-5D6E-409C-BE32-E72D297353CC}">
              <c16:uniqueId val="{00000002-97DF-455F-B1AF-D2B4E20ED4A3}"/>
            </c:ext>
          </c:extLst>
        </c:ser>
        <c:ser>
          <c:idx val="1"/>
          <c:order val="2"/>
          <c:tx>
            <c:strRef>
              <c:f>'figura 1'!$E$4</c:f>
              <c:strCache>
                <c:ptCount val="1"/>
                <c:pt idx="0">
                  <c:v>Import - mensile</c:v>
                </c:pt>
              </c:strCache>
            </c:strRef>
          </c:tx>
          <c:spPr>
            <a:ln w="12700" cap="flat" cmpd="sng" algn="ctr">
              <a:solidFill>
                <a:srgbClr val="D22630"/>
              </a:solidFill>
              <a:prstDash val="sysDash"/>
              <a:round/>
              <a:headEnd type="none" w="med" len="med"/>
              <a:tailEnd type="none" w="med" len="me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1'!$E$65:$E$136</c:f>
              <c:numCache>
                <c:formatCode>0</c:formatCode>
                <c:ptCount val="72"/>
                <c:pt idx="0">
                  <c:v>32530</c:v>
                </c:pt>
                <c:pt idx="1">
                  <c:v>33401</c:v>
                </c:pt>
                <c:pt idx="2">
                  <c:v>33425</c:v>
                </c:pt>
                <c:pt idx="3">
                  <c:v>32979</c:v>
                </c:pt>
                <c:pt idx="4">
                  <c:v>34316</c:v>
                </c:pt>
                <c:pt idx="5">
                  <c:v>33687</c:v>
                </c:pt>
                <c:pt idx="6">
                  <c:v>33747</c:v>
                </c:pt>
                <c:pt idx="7">
                  <c:v>34223</c:v>
                </c:pt>
                <c:pt idx="8">
                  <c:v>32604</c:v>
                </c:pt>
                <c:pt idx="9">
                  <c:v>33746</c:v>
                </c:pt>
                <c:pt idx="10">
                  <c:v>34600</c:v>
                </c:pt>
                <c:pt idx="11">
                  <c:v>35642</c:v>
                </c:pt>
                <c:pt idx="12">
                  <c:v>33849</c:v>
                </c:pt>
                <c:pt idx="13">
                  <c:v>33889</c:v>
                </c:pt>
                <c:pt idx="14">
                  <c:v>34513</c:v>
                </c:pt>
                <c:pt idx="15">
                  <c:v>35030</c:v>
                </c:pt>
                <c:pt idx="16">
                  <c:v>35327</c:v>
                </c:pt>
                <c:pt idx="17">
                  <c:v>35532</c:v>
                </c:pt>
                <c:pt idx="18">
                  <c:v>36486</c:v>
                </c:pt>
                <c:pt idx="19">
                  <c:v>36126</c:v>
                </c:pt>
                <c:pt idx="20">
                  <c:v>36013</c:v>
                </c:pt>
                <c:pt idx="21">
                  <c:v>36994</c:v>
                </c:pt>
                <c:pt idx="22">
                  <c:v>36266</c:v>
                </c:pt>
                <c:pt idx="23">
                  <c:v>36684</c:v>
                </c:pt>
                <c:pt idx="24">
                  <c:v>35029</c:v>
                </c:pt>
                <c:pt idx="25">
                  <c:v>35075</c:v>
                </c:pt>
                <c:pt idx="26">
                  <c:v>35528</c:v>
                </c:pt>
                <c:pt idx="27">
                  <c:v>35820</c:v>
                </c:pt>
                <c:pt idx="28">
                  <c:v>36595</c:v>
                </c:pt>
                <c:pt idx="29">
                  <c:v>35693</c:v>
                </c:pt>
                <c:pt idx="30">
                  <c:v>35559</c:v>
                </c:pt>
                <c:pt idx="31">
                  <c:v>35200</c:v>
                </c:pt>
                <c:pt idx="32">
                  <c:v>36189</c:v>
                </c:pt>
                <c:pt idx="33">
                  <c:v>34687</c:v>
                </c:pt>
                <c:pt idx="34">
                  <c:v>34164</c:v>
                </c:pt>
                <c:pt idx="35">
                  <c:v>35358</c:v>
                </c:pt>
                <c:pt idx="36">
                  <c:v>35934</c:v>
                </c:pt>
                <c:pt idx="37">
                  <c:v>34348</c:v>
                </c:pt>
                <c:pt idx="38">
                  <c:v>28287</c:v>
                </c:pt>
                <c:pt idx="39">
                  <c:v>22988</c:v>
                </c:pt>
                <c:pt idx="40">
                  <c:v>25425</c:v>
                </c:pt>
                <c:pt idx="41">
                  <c:v>29374</c:v>
                </c:pt>
                <c:pt idx="42">
                  <c:v>31303</c:v>
                </c:pt>
                <c:pt idx="43">
                  <c:v>32056</c:v>
                </c:pt>
                <c:pt idx="44">
                  <c:v>32288</c:v>
                </c:pt>
                <c:pt idx="45">
                  <c:v>33034</c:v>
                </c:pt>
                <c:pt idx="46">
                  <c:v>33939</c:v>
                </c:pt>
                <c:pt idx="47">
                  <c:v>33347</c:v>
                </c:pt>
                <c:pt idx="48">
                  <c:v>33397</c:v>
                </c:pt>
                <c:pt idx="49">
                  <c:v>34284</c:v>
                </c:pt>
                <c:pt idx="50">
                  <c:v>36494</c:v>
                </c:pt>
                <c:pt idx="51">
                  <c:v>37326</c:v>
                </c:pt>
                <c:pt idx="52">
                  <c:v>37197</c:v>
                </c:pt>
                <c:pt idx="53">
                  <c:v>38152</c:v>
                </c:pt>
                <c:pt idx="54">
                  <c:v>38691</c:v>
                </c:pt>
                <c:pt idx="55">
                  <c:v>40754</c:v>
                </c:pt>
                <c:pt idx="56">
                  <c:v>40146</c:v>
                </c:pt>
                <c:pt idx="57">
                  <c:v>41309</c:v>
                </c:pt>
                <c:pt idx="58">
                  <c:v>42241</c:v>
                </c:pt>
                <c:pt idx="59">
                  <c:v>45630</c:v>
                </c:pt>
                <c:pt idx="60">
                  <c:v>46503</c:v>
                </c:pt>
              </c:numCache>
            </c:numRef>
          </c:val>
          <c:smooth val="0"/>
          <c:extLst>
            <c:ext xmlns:c16="http://schemas.microsoft.com/office/drawing/2014/chart" uri="{C3380CC4-5D6E-409C-BE32-E72D297353CC}">
              <c16:uniqueId val="{00000003-97DF-455F-B1AF-D2B4E20ED4A3}"/>
            </c:ext>
          </c:extLst>
        </c:ser>
        <c:ser>
          <c:idx val="3"/>
          <c:order val="3"/>
          <c:tx>
            <c:strRef>
              <c:f>'figura 1'!$F$4</c:f>
              <c:strCache>
                <c:ptCount val="1"/>
                <c:pt idx="0">
                  <c:v>Import - media 3m</c:v>
                </c:pt>
              </c:strCache>
            </c:strRef>
          </c:tx>
          <c:spPr>
            <a:ln w="28575" cap="rnd">
              <a:solidFill>
                <a:srgbClr val="D22630"/>
              </a:solidFill>
              <a:round/>
            </a:ln>
            <a:effectLst/>
          </c:spPr>
          <c:marker>
            <c:symbol val="none"/>
          </c:marker>
          <c:cat>
            <c:numRef>
              <c:f>'figura 1'!$B$65:$B$136</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'figura 1'!$F$65:$F$136</c:f>
              <c:numCache>
                <c:formatCode>0</c:formatCode>
                <c:ptCount val="72"/>
                <c:pt idx="0">
                  <c:v>32779.333333333336</c:v>
                </c:pt>
                <c:pt idx="1">
                  <c:v>33118.666666666664</c:v>
                </c:pt>
                <c:pt idx="2">
                  <c:v>33268.333333333336</c:v>
                </c:pt>
                <c:pt idx="3">
                  <c:v>33573.333333333328</c:v>
                </c:pt>
                <c:pt idx="4">
                  <c:v>33660.666666666664</c:v>
                </c:pt>
                <c:pt idx="5">
                  <c:v>33916.666666666664</c:v>
                </c:pt>
                <c:pt idx="6">
                  <c:v>33885.666666666672</c:v>
                </c:pt>
                <c:pt idx="7">
                  <c:v>33524.666666666672</c:v>
                </c:pt>
                <c:pt idx="8">
                  <c:v>33524.333333333328</c:v>
                </c:pt>
                <c:pt idx="9">
                  <c:v>33650</c:v>
                </c:pt>
                <c:pt idx="10">
                  <c:v>34662.666666666664</c:v>
                </c:pt>
                <c:pt idx="11">
                  <c:v>34697</c:v>
                </c:pt>
                <c:pt idx="12">
                  <c:v>34460</c:v>
                </c:pt>
                <c:pt idx="13">
                  <c:v>34083.666666666664</c:v>
                </c:pt>
                <c:pt idx="14">
                  <c:v>34477.333333333328</c:v>
                </c:pt>
                <c:pt idx="15">
                  <c:v>34956.666666666672</c:v>
                </c:pt>
                <c:pt idx="16">
                  <c:v>35296.333333333328</c:v>
                </c:pt>
                <c:pt idx="17">
                  <c:v>35781.666666666664</c:v>
                </c:pt>
                <c:pt idx="18">
                  <c:v>36048</c:v>
                </c:pt>
                <c:pt idx="19">
                  <c:v>36208.333333333328</c:v>
                </c:pt>
                <c:pt idx="20">
                  <c:v>36377.666666666664</c:v>
                </c:pt>
                <c:pt idx="21">
                  <c:v>36424.333333333336</c:v>
                </c:pt>
                <c:pt idx="22">
                  <c:v>36648</c:v>
                </c:pt>
                <c:pt idx="23">
                  <c:v>35993</c:v>
                </c:pt>
                <c:pt idx="24">
                  <c:v>35596</c:v>
                </c:pt>
                <c:pt idx="25">
                  <c:v>35210.666666666664</c:v>
                </c:pt>
                <c:pt idx="26">
                  <c:v>35474.333333333336</c:v>
                </c:pt>
                <c:pt idx="27">
                  <c:v>35981</c:v>
                </c:pt>
                <c:pt idx="28">
                  <c:v>36036</c:v>
                </c:pt>
                <c:pt idx="29">
                  <c:v>35949</c:v>
                </c:pt>
                <c:pt idx="30">
                  <c:v>35484</c:v>
                </c:pt>
                <c:pt idx="31">
                  <c:v>35649.333333333336</c:v>
                </c:pt>
                <c:pt idx="32">
                  <c:v>35358.666666666672</c:v>
                </c:pt>
                <c:pt idx="33">
                  <c:v>35013.333333333336</c:v>
                </c:pt>
                <c:pt idx="34">
                  <c:v>34736.333333333328</c:v>
                </c:pt>
                <c:pt idx="35">
                  <c:v>35152</c:v>
                </c:pt>
                <c:pt idx="36">
                  <c:v>35213.333333333336</c:v>
                </c:pt>
                <c:pt idx="37">
                  <c:v>32856.333333333336</c:v>
                </c:pt>
                <c:pt idx="38">
                  <c:v>28541</c:v>
                </c:pt>
                <c:pt idx="39">
                  <c:v>25566.666666666664</c:v>
                </c:pt>
                <c:pt idx="40">
                  <c:v>25929</c:v>
                </c:pt>
                <c:pt idx="41">
                  <c:v>28700.666666666664</c:v>
                </c:pt>
                <c:pt idx="42">
                  <c:v>30911</c:v>
                </c:pt>
                <c:pt idx="43">
                  <c:v>31882.333333333336</c:v>
                </c:pt>
                <c:pt idx="44">
                  <c:v>32459.333333333336</c:v>
                </c:pt>
                <c:pt idx="45">
                  <c:v>33087</c:v>
                </c:pt>
                <c:pt idx="46">
                  <c:v>33440</c:v>
                </c:pt>
                <c:pt idx="47">
                  <c:v>33561</c:v>
                </c:pt>
                <c:pt idx="48">
                  <c:v>33676</c:v>
                </c:pt>
                <c:pt idx="49">
                  <c:v>34725</c:v>
                </c:pt>
                <c:pt idx="50">
                  <c:v>36034.666666666664</c:v>
                </c:pt>
                <c:pt idx="51">
                  <c:v>37005.666666666664</c:v>
                </c:pt>
                <c:pt idx="52">
                  <c:v>37558.333333333336</c:v>
                </c:pt>
                <c:pt idx="53">
                  <c:v>38013.333333333328</c:v>
                </c:pt>
                <c:pt idx="54">
                  <c:v>39199</c:v>
                </c:pt>
                <c:pt idx="55">
                  <c:v>39863.666666666664</c:v>
                </c:pt>
                <c:pt idx="56">
                  <c:v>40736.333333333336</c:v>
                </c:pt>
                <c:pt idx="57">
                  <c:v>41232</c:v>
                </c:pt>
                <c:pt idx="58">
                  <c:v>43060</c:v>
                </c:pt>
                <c:pt idx="59">
                  <c:v>44791.333333333328</c:v>
                </c:pt>
              </c:numCache>
            </c:numRef>
          </c:val>
          <c:smooth val="0"/>
          <c:extLst>
            <c:ext xmlns:c16="http://schemas.microsoft.com/office/drawing/2014/chart" uri="{C3380CC4-5D6E-409C-BE32-E72D297353CC}">
              <c16:uniqueId val="{00000004-97DF-455F-B1AF-D2B4E20ED4A3}"/>
            </c:ext>
          </c:extLst>
        </c:ser>
        <c:dLbls>
          <c:showLegendKey val="0"/>
          <c:showVal val="0"/>
          <c:showCatName val="0"/>
          <c:showSerName val="0"/>
          <c:showPercent val="0"/>
          <c:showBubbleSize val="0"/>
        </c:dLbls>
        <c:marker val="1"/>
        <c:smooth val="0"/>
        <c:axId val="204583616"/>
        <c:axId val="204584176"/>
      </c:lineChart>
      <c:catAx>
        <c:axId val="204583616"/>
        <c:scaling>
          <c:orientation val="minMax"/>
        </c:scaling>
        <c:delete val="0"/>
        <c:axPos val="b"/>
        <c:majorGridlines>
          <c:spPr>
            <a:ln w="6350" cap="flat" cmpd="sng" algn="ctr">
              <a:solidFill>
                <a:srgbClr val="FFFFFF"/>
              </a:solidFill>
              <a:prstDash val="solid"/>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a:ea typeface="Arial Narrow"/>
                <a:cs typeface="Arial Narrow"/>
              </a:defRPr>
            </a:pPr>
            <a:endParaRPr lang="it-IT"/>
          </a:p>
        </c:txPr>
        <c:crossAx val="204584176"/>
        <c:crosses val="autoZero"/>
        <c:auto val="1"/>
        <c:lblAlgn val="ctr"/>
        <c:lblOffset val="0"/>
        <c:tickMarkSkip val="3"/>
        <c:noMultiLvlLbl val="0"/>
      </c:catAx>
      <c:valAx>
        <c:axId val="204584176"/>
        <c:scaling>
          <c:orientation val="minMax"/>
          <c:max val="50000"/>
          <c:min val="20000"/>
        </c:scaling>
        <c:delete val="0"/>
        <c:axPos val="l"/>
        <c:majorGridlines>
          <c:spPr>
            <a:ln w="9525" cap="flat" cmpd="sng" algn="ctr">
              <a:solidFill>
                <a:srgbClr val="FFFFFF">
                  <a:lumMod val="100000"/>
                </a:srgbClr>
              </a:solidFill>
              <a:round/>
            </a:ln>
            <a:effectLst/>
          </c:spPr>
        </c:majorGridlines>
        <c:numFmt formatCode="0" sourceLinked="1"/>
        <c:majorTickMark val="none"/>
        <c:minorTickMark val="none"/>
        <c:tickLblPos val="nextTo"/>
        <c:spPr>
          <a:noFill/>
          <a:ln>
            <a:noFill/>
          </a:ln>
          <a:effectLst/>
          <a:extLs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04583616"/>
        <c:crosses val="autoZero"/>
        <c:crossBetween val="between"/>
        <c:dispUnits>
          <c:builtInUnit val="thousands"/>
        </c:dispUnits>
      </c:valAx>
      <c:valAx>
        <c:axId val="204584736"/>
        <c:scaling>
          <c:orientation val="minMax"/>
          <c:max val="8000"/>
          <c:min val="-2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crossAx val="204585296"/>
        <c:crosses val="max"/>
        <c:crossBetween val="between"/>
        <c:majorUnit val="1000"/>
        <c:dispUnits>
          <c:builtInUnit val="thousands"/>
        </c:dispUnits>
      </c:valAx>
      <c:catAx>
        <c:axId val="204585296"/>
        <c:scaling>
          <c:orientation val="minMax"/>
        </c:scaling>
        <c:delete val="1"/>
        <c:axPos val="b"/>
        <c:majorGridlines>
          <c:spPr>
            <a:ln w="15875" cap="flat" cmpd="sng" algn="ctr">
              <a:solidFill>
                <a:schemeClr val="bg1"/>
              </a:solidFill>
              <a:round/>
            </a:ln>
            <a:effectLst/>
          </c:spPr>
        </c:majorGridlines>
        <c:majorTickMark val="out"/>
        <c:minorTickMark val="none"/>
        <c:tickLblPos val="nextTo"/>
        <c:crossAx val="204584736"/>
        <c:crossesAt val="0"/>
        <c:auto val="1"/>
        <c:lblAlgn val="ctr"/>
        <c:lblOffset val="100"/>
        <c:tickMarkSkip val="12"/>
        <c:noMultiLvlLbl val="0"/>
      </c:catAx>
      <c:spPr>
        <a:solidFill>
          <a:srgbClr val="DDDDDD"/>
        </a:solidFill>
        <a:ln w="9525" cap="flat" cmpd="sng" algn="ctr">
          <a:solidFill>
            <a:schemeClr val="bg1"/>
          </a:solidFill>
          <a:prstDash val="solid"/>
          <a:round/>
          <a:headEnd type="none" w="med" len="med"/>
          <a:tailEnd type="none" w="med" len="med"/>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a:ea typeface="Arial Narrow"/>
              <a:cs typeface="Arial Narrow"/>
            </a:defRPr>
          </a:pPr>
          <a:endParaRPr lang="it-IT"/>
        </a:p>
      </c:txPr>
    </c:legend>
    <c:plotVisOnly val="1"/>
    <c:dispBlanksAs val="gap"/>
    <c:showDLblsOverMax val="0"/>
  </c:chart>
  <c:spPr>
    <a:solidFill>
      <a:srgbClr val="DDDDDD"/>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a:ea typeface="Arial Narrow"/>
          <a:cs typeface="Arial Narrow"/>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0"/>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'!$C$67:$C$138</c:f>
              <c:numCache>
                <c:formatCode>0</c:formatCode>
                <c:ptCount val="72"/>
                <c:pt idx="0">
                  <c:v>18417</c:v>
                </c:pt>
                <c:pt idx="1">
                  <c:v>18483</c:v>
                </c:pt>
                <c:pt idx="2">
                  <c:v>18838</c:v>
                </c:pt>
                <c:pt idx="3">
                  <c:v>18895</c:v>
                </c:pt>
                <c:pt idx="4">
                  <c:v>19231</c:v>
                </c:pt>
                <c:pt idx="5">
                  <c:v>19062</c:v>
                </c:pt>
                <c:pt idx="6">
                  <c:v>18868</c:v>
                </c:pt>
                <c:pt idx="7">
                  <c:v>19650</c:v>
                </c:pt>
                <c:pt idx="8">
                  <c:v>18884</c:v>
                </c:pt>
                <c:pt idx="9">
                  <c:v>19621</c:v>
                </c:pt>
                <c:pt idx="10">
                  <c:v>19361</c:v>
                </c:pt>
                <c:pt idx="11">
                  <c:v>20156</c:v>
                </c:pt>
                <c:pt idx="12">
                  <c:v>19543</c:v>
                </c:pt>
                <c:pt idx="13">
                  <c:v>19898</c:v>
                </c:pt>
                <c:pt idx="14">
                  <c:v>19535</c:v>
                </c:pt>
                <c:pt idx="15">
                  <c:v>19805</c:v>
                </c:pt>
                <c:pt idx="16">
                  <c:v>19485</c:v>
                </c:pt>
                <c:pt idx="17">
                  <c:v>20165</c:v>
                </c:pt>
                <c:pt idx="18">
                  <c:v>20370</c:v>
                </c:pt>
                <c:pt idx="19">
                  <c:v>20527</c:v>
                </c:pt>
                <c:pt idx="20">
                  <c:v>20027</c:v>
                </c:pt>
                <c:pt idx="21">
                  <c:v>20420</c:v>
                </c:pt>
                <c:pt idx="22">
                  <c:v>20197</c:v>
                </c:pt>
                <c:pt idx="23">
                  <c:v>19897</c:v>
                </c:pt>
                <c:pt idx="24">
                  <c:v>20270</c:v>
                </c:pt>
                <c:pt idx="25">
                  <c:v>20213</c:v>
                </c:pt>
                <c:pt idx="26">
                  <c:v>20467</c:v>
                </c:pt>
                <c:pt idx="27">
                  <c:v>20650</c:v>
                </c:pt>
                <c:pt idx="28">
                  <c:v>21108</c:v>
                </c:pt>
                <c:pt idx="29">
                  <c:v>20713</c:v>
                </c:pt>
                <c:pt idx="30">
                  <c:v>20665</c:v>
                </c:pt>
                <c:pt idx="31">
                  <c:v>20105</c:v>
                </c:pt>
                <c:pt idx="32">
                  <c:v>20785</c:v>
                </c:pt>
                <c:pt idx="33">
                  <c:v>20644</c:v>
                </c:pt>
                <c:pt idx="34">
                  <c:v>20029</c:v>
                </c:pt>
                <c:pt idx="35">
                  <c:v>20774</c:v>
                </c:pt>
                <c:pt idx="36">
                  <c:v>20335</c:v>
                </c:pt>
                <c:pt idx="37">
                  <c:v>20368</c:v>
                </c:pt>
                <c:pt idx="38">
                  <c:v>17281</c:v>
                </c:pt>
                <c:pt idx="39">
                  <c:v>11655</c:v>
                </c:pt>
                <c:pt idx="40">
                  <c:v>16302</c:v>
                </c:pt>
                <c:pt idx="41">
                  <c:v>18295</c:v>
                </c:pt>
                <c:pt idx="42">
                  <c:v>19290</c:v>
                </c:pt>
                <c:pt idx="43">
                  <c:v>20090</c:v>
                </c:pt>
                <c:pt idx="44">
                  <c:v>19971</c:v>
                </c:pt>
                <c:pt idx="45">
                  <c:v>19924</c:v>
                </c:pt>
                <c:pt idx="46">
                  <c:v>20863</c:v>
                </c:pt>
                <c:pt idx="47">
                  <c:v>20173</c:v>
                </c:pt>
                <c:pt idx="48">
                  <c:v>20483</c:v>
                </c:pt>
                <c:pt idx="49">
                  <c:v>21066</c:v>
                </c:pt>
                <c:pt idx="50">
                  <c:v>21807</c:v>
                </c:pt>
                <c:pt idx="51">
                  <c:v>21869</c:v>
                </c:pt>
                <c:pt idx="52">
                  <c:v>21813</c:v>
                </c:pt>
                <c:pt idx="53">
                  <c:v>22403</c:v>
                </c:pt>
                <c:pt idx="54">
                  <c:v>22022</c:v>
                </c:pt>
                <c:pt idx="55">
                  <c:v>23361</c:v>
                </c:pt>
                <c:pt idx="56">
                  <c:v>23070</c:v>
                </c:pt>
                <c:pt idx="57">
                  <c:v>23425</c:v>
                </c:pt>
                <c:pt idx="58">
                  <c:v>24065</c:v>
                </c:pt>
                <c:pt idx="59">
                  <c:v>24048</c:v>
                </c:pt>
                <c:pt idx="60">
                  <c:v>25283</c:v>
                </c:pt>
              </c:numCache>
            </c:numRef>
          </c:val>
          <c:smooth val="0"/>
          <c:extLst>
            <c:ext xmlns:c16="http://schemas.microsoft.com/office/drawing/2014/chart" uri="{C3380CC4-5D6E-409C-BE32-E72D297353CC}">
              <c16:uniqueId val="{00000000-FF95-46E0-B31F-642640DA9ADA}"/>
            </c:ext>
          </c:extLst>
        </c:ser>
        <c:ser>
          <c:idx val="1"/>
          <c:order val="1"/>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'!$D$67:$D$138</c:f>
              <c:numCache>
                <c:formatCode>0</c:formatCode>
                <c:ptCount val="72"/>
                <c:pt idx="0">
                  <c:v>17984</c:v>
                </c:pt>
                <c:pt idx="1">
                  <c:v>18775</c:v>
                </c:pt>
                <c:pt idx="2">
                  <c:v>18879</c:v>
                </c:pt>
                <c:pt idx="3">
                  <c:v>18629</c:v>
                </c:pt>
                <c:pt idx="4">
                  <c:v>19304</c:v>
                </c:pt>
                <c:pt idx="5">
                  <c:v>19322</c:v>
                </c:pt>
                <c:pt idx="6">
                  <c:v>19776</c:v>
                </c:pt>
                <c:pt idx="7">
                  <c:v>19974</c:v>
                </c:pt>
                <c:pt idx="8">
                  <c:v>19085</c:v>
                </c:pt>
                <c:pt idx="9">
                  <c:v>19817</c:v>
                </c:pt>
                <c:pt idx="10">
                  <c:v>19845</c:v>
                </c:pt>
                <c:pt idx="11">
                  <c:v>20663</c:v>
                </c:pt>
                <c:pt idx="12">
                  <c:v>19663</c:v>
                </c:pt>
                <c:pt idx="13">
                  <c:v>19271</c:v>
                </c:pt>
                <c:pt idx="14">
                  <c:v>19611</c:v>
                </c:pt>
                <c:pt idx="15">
                  <c:v>19583</c:v>
                </c:pt>
                <c:pt idx="16">
                  <c:v>19923</c:v>
                </c:pt>
                <c:pt idx="17">
                  <c:v>19916</c:v>
                </c:pt>
                <c:pt idx="18">
                  <c:v>20564</c:v>
                </c:pt>
                <c:pt idx="19">
                  <c:v>20310</c:v>
                </c:pt>
                <c:pt idx="20">
                  <c:v>19676</c:v>
                </c:pt>
                <c:pt idx="21">
                  <c:v>20492</c:v>
                </c:pt>
                <c:pt idx="22">
                  <c:v>20053</c:v>
                </c:pt>
                <c:pt idx="23">
                  <c:v>20707</c:v>
                </c:pt>
                <c:pt idx="24">
                  <c:v>19873</c:v>
                </c:pt>
                <c:pt idx="25">
                  <c:v>19898</c:v>
                </c:pt>
                <c:pt idx="26">
                  <c:v>20095</c:v>
                </c:pt>
                <c:pt idx="27">
                  <c:v>20424</c:v>
                </c:pt>
                <c:pt idx="28">
                  <c:v>20744</c:v>
                </c:pt>
                <c:pt idx="29">
                  <c:v>20099</c:v>
                </c:pt>
                <c:pt idx="30">
                  <c:v>20138</c:v>
                </c:pt>
                <c:pt idx="31">
                  <c:v>20034</c:v>
                </c:pt>
                <c:pt idx="32">
                  <c:v>20526</c:v>
                </c:pt>
                <c:pt idx="33">
                  <c:v>19913</c:v>
                </c:pt>
                <c:pt idx="34">
                  <c:v>19675</c:v>
                </c:pt>
                <c:pt idx="35">
                  <c:v>20854</c:v>
                </c:pt>
                <c:pt idx="36">
                  <c:v>20413</c:v>
                </c:pt>
                <c:pt idx="37">
                  <c:v>20115</c:v>
                </c:pt>
                <c:pt idx="38">
                  <c:v>16402</c:v>
                </c:pt>
                <c:pt idx="39">
                  <c:v>12696</c:v>
                </c:pt>
                <c:pt idx="40">
                  <c:v>14884</c:v>
                </c:pt>
                <c:pt idx="41">
                  <c:v>16904</c:v>
                </c:pt>
                <c:pt idx="42">
                  <c:v>18288</c:v>
                </c:pt>
                <c:pt idx="43">
                  <c:v>19007</c:v>
                </c:pt>
                <c:pt idx="44">
                  <c:v>19326</c:v>
                </c:pt>
                <c:pt idx="45">
                  <c:v>19614</c:v>
                </c:pt>
                <c:pt idx="46">
                  <c:v>20069</c:v>
                </c:pt>
                <c:pt idx="47">
                  <c:v>19815</c:v>
                </c:pt>
                <c:pt idx="48">
                  <c:v>20015</c:v>
                </c:pt>
                <c:pt idx="49">
                  <c:v>20150</c:v>
                </c:pt>
                <c:pt idx="50">
                  <c:v>21282</c:v>
                </c:pt>
                <c:pt idx="51">
                  <c:v>21292</c:v>
                </c:pt>
                <c:pt idx="52">
                  <c:v>21464</c:v>
                </c:pt>
                <c:pt idx="53">
                  <c:v>22055</c:v>
                </c:pt>
                <c:pt idx="54">
                  <c:v>22149</c:v>
                </c:pt>
                <c:pt idx="55">
                  <c:v>23220</c:v>
                </c:pt>
                <c:pt idx="56">
                  <c:v>22471</c:v>
                </c:pt>
                <c:pt idx="57">
                  <c:v>23065</c:v>
                </c:pt>
                <c:pt idx="58">
                  <c:v>23715</c:v>
                </c:pt>
                <c:pt idx="59">
                  <c:v>26215</c:v>
                </c:pt>
                <c:pt idx="60">
                  <c:v>25092</c:v>
                </c:pt>
              </c:numCache>
            </c:numRef>
          </c:val>
          <c:smooth val="0"/>
          <c:extLst>
            <c:ext xmlns:c16="http://schemas.microsoft.com/office/drawing/2014/chart" uri="{C3380CC4-5D6E-409C-BE32-E72D297353CC}">
              <c16:uniqueId val="{00000001-FF95-46E0-B31F-642640DA9ADA}"/>
            </c:ext>
          </c:extLst>
        </c:ser>
        <c:ser>
          <c:idx val="2"/>
          <c:order val="2"/>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'!$E$67:$E$138</c:f>
              <c:numCache>
                <c:formatCode>0</c:formatCode>
                <c:ptCount val="72"/>
                <c:pt idx="0">
                  <c:v>18458</c:v>
                </c:pt>
                <c:pt idx="1">
                  <c:v>18579.333333333332</c:v>
                </c:pt>
                <c:pt idx="2">
                  <c:v>18738.666666666668</c:v>
                </c:pt>
                <c:pt idx="3">
                  <c:v>18988</c:v>
                </c:pt>
                <c:pt idx="4">
                  <c:v>19062.666666666668</c:v>
                </c:pt>
                <c:pt idx="5">
                  <c:v>19053.666666666668</c:v>
                </c:pt>
                <c:pt idx="6">
                  <c:v>19193.333333333332</c:v>
                </c:pt>
                <c:pt idx="7">
                  <c:v>19134</c:v>
                </c:pt>
                <c:pt idx="8">
                  <c:v>19385</c:v>
                </c:pt>
                <c:pt idx="9">
                  <c:v>19288.666666666668</c:v>
                </c:pt>
                <c:pt idx="10">
                  <c:v>19712.666666666668</c:v>
                </c:pt>
                <c:pt idx="11">
                  <c:v>19686.666666666668</c:v>
                </c:pt>
                <c:pt idx="12">
                  <c:v>19865.666666666668</c:v>
                </c:pt>
                <c:pt idx="13">
                  <c:v>19658.666666666668</c:v>
                </c:pt>
                <c:pt idx="14">
                  <c:v>19746</c:v>
                </c:pt>
                <c:pt idx="15">
                  <c:v>19608.333333333332</c:v>
                </c:pt>
                <c:pt idx="16">
                  <c:v>19818.333333333332</c:v>
                </c:pt>
                <c:pt idx="17">
                  <c:v>20006.666666666668</c:v>
                </c:pt>
                <c:pt idx="18">
                  <c:v>20354</c:v>
                </c:pt>
                <c:pt idx="19">
                  <c:v>20308</c:v>
                </c:pt>
                <c:pt idx="20">
                  <c:v>20324.666666666668</c:v>
                </c:pt>
                <c:pt idx="21">
                  <c:v>20214.666666666668</c:v>
                </c:pt>
                <c:pt idx="22">
                  <c:v>20171.333333333332</c:v>
                </c:pt>
                <c:pt idx="23">
                  <c:v>20121.333333333332</c:v>
                </c:pt>
                <c:pt idx="24">
                  <c:v>20126.666666666668</c:v>
                </c:pt>
                <c:pt idx="25">
                  <c:v>20316.666666666668</c:v>
                </c:pt>
                <c:pt idx="26">
                  <c:v>20443.333333333332</c:v>
                </c:pt>
                <c:pt idx="27">
                  <c:v>20741.666666666668</c:v>
                </c:pt>
                <c:pt idx="28">
                  <c:v>20823.666666666668</c:v>
                </c:pt>
                <c:pt idx="29">
                  <c:v>20828.666666666668</c:v>
                </c:pt>
                <c:pt idx="30">
                  <c:v>20494.333333333332</c:v>
                </c:pt>
                <c:pt idx="31">
                  <c:v>20518.333333333332</c:v>
                </c:pt>
                <c:pt idx="32">
                  <c:v>20511.333333333332</c:v>
                </c:pt>
                <c:pt idx="33">
                  <c:v>20486</c:v>
                </c:pt>
                <c:pt idx="34">
                  <c:v>20482.333333333332</c:v>
                </c:pt>
                <c:pt idx="35">
                  <c:v>20379.333333333332</c:v>
                </c:pt>
                <c:pt idx="36">
                  <c:v>20492.333333333332</c:v>
                </c:pt>
                <c:pt idx="37">
                  <c:v>19328</c:v>
                </c:pt>
                <c:pt idx="38">
                  <c:v>16434.666666666668</c:v>
                </c:pt>
                <c:pt idx="39">
                  <c:v>15079.333333333334</c:v>
                </c:pt>
                <c:pt idx="40">
                  <c:v>15417.333333333334</c:v>
                </c:pt>
                <c:pt idx="41">
                  <c:v>17962.333333333332</c:v>
                </c:pt>
                <c:pt idx="42">
                  <c:v>19225</c:v>
                </c:pt>
                <c:pt idx="43">
                  <c:v>19783.666666666668</c:v>
                </c:pt>
                <c:pt idx="44">
                  <c:v>19995</c:v>
                </c:pt>
                <c:pt idx="45">
                  <c:v>20252.666666666668</c:v>
                </c:pt>
                <c:pt idx="46">
                  <c:v>20320</c:v>
                </c:pt>
                <c:pt idx="47">
                  <c:v>20506.333333333332</c:v>
                </c:pt>
                <c:pt idx="48">
                  <c:v>20574</c:v>
                </c:pt>
                <c:pt idx="49">
                  <c:v>21118.666666666668</c:v>
                </c:pt>
                <c:pt idx="50">
                  <c:v>21580.666666666668</c:v>
                </c:pt>
                <c:pt idx="51">
                  <c:v>21829.666666666668</c:v>
                </c:pt>
                <c:pt idx="52">
                  <c:v>22028.333333333332</c:v>
                </c:pt>
                <c:pt idx="53">
                  <c:v>22079.333333333332</c:v>
                </c:pt>
                <c:pt idx="54">
                  <c:v>22595.333333333332</c:v>
                </c:pt>
                <c:pt idx="55">
                  <c:v>22817.666666666668</c:v>
                </c:pt>
                <c:pt idx="56">
                  <c:v>23285.333333333332</c:v>
                </c:pt>
                <c:pt idx="57">
                  <c:v>23520</c:v>
                </c:pt>
                <c:pt idx="58">
                  <c:v>23846</c:v>
                </c:pt>
                <c:pt idx="59">
                  <c:v>24465.333333333332</c:v>
                </c:pt>
              </c:numCache>
            </c:numRef>
          </c:val>
          <c:smooth val="0"/>
          <c:extLst>
            <c:ext xmlns:c16="http://schemas.microsoft.com/office/drawing/2014/chart" uri="{C3380CC4-5D6E-409C-BE32-E72D297353CC}">
              <c16:uniqueId val="{00000002-FF95-46E0-B31F-642640DA9ADA}"/>
            </c:ext>
          </c:extLst>
        </c:ser>
        <c:ser>
          <c:idx val="3"/>
          <c:order val="3"/>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'!$F$67:$F$138</c:f>
              <c:numCache>
                <c:formatCode>0</c:formatCode>
                <c:ptCount val="72"/>
                <c:pt idx="0">
                  <c:v>18337</c:v>
                </c:pt>
                <c:pt idx="1">
                  <c:v>18546</c:v>
                </c:pt>
                <c:pt idx="2">
                  <c:v>18761</c:v>
                </c:pt>
                <c:pt idx="3">
                  <c:v>18937.333333333332</c:v>
                </c:pt>
                <c:pt idx="4">
                  <c:v>19085</c:v>
                </c:pt>
                <c:pt idx="5">
                  <c:v>19467.333333333332</c:v>
                </c:pt>
                <c:pt idx="6">
                  <c:v>19690.666666666668</c:v>
                </c:pt>
                <c:pt idx="7">
                  <c:v>19611.666666666668</c:v>
                </c:pt>
                <c:pt idx="8">
                  <c:v>19625.333333333332</c:v>
                </c:pt>
                <c:pt idx="9">
                  <c:v>19582.333333333332</c:v>
                </c:pt>
                <c:pt idx="10">
                  <c:v>20108.333333333332</c:v>
                </c:pt>
                <c:pt idx="11">
                  <c:v>20057</c:v>
                </c:pt>
                <c:pt idx="12">
                  <c:v>19865.666666666668</c:v>
                </c:pt>
                <c:pt idx="13">
                  <c:v>19515</c:v>
                </c:pt>
                <c:pt idx="14">
                  <c:v>19488.333333333332</c:v>
                </c:pt>
                <c:pt idx="15">
                  <c:v>19705.666666666668</c:v>
                </c:pt>
                <c:pt idx="16">
                  <c:v>19807.333333333332</c:v>
                </c:pt>
                <c:pt idx="17">
                  <c:v>20134.333333333332</c:v>
                </c:pt>
                <c:pt idx="18">
                  <c:v>20263.333333333332</c:v>
                </c:pt>
                <c:pt idx="19">
                  <c:v>20183.333333333332</c:v>
                </c:pt>
                <c:pt idx="20">
                  <c:v>20159.333333333332</c:v>
                </c:pt>
                <c:pt idx="21">
                  <c:v>20073.666666666668</c:v>
                </c:pt>
                <c:pt idx="22">
                  <c:v>20417.333333333332</c:v>
                </c:pt>
                <c:pt idx="23">
                  <c:v>20211</c:v>
                </c:pt>
                <c:pt idx="24">
                  <c:v>20159.333333333332</c:v>
                </c:pt>
                <c:pt idx="25">
                  <c:v>19955.333333333332</c:v>
                </c:pt>
                <c:pt idx="26">
                  <c:v>20139</c:v>
                </c:pt>
                <c:pt idx="27">
                  <c:v>20421</c:v>
                </c:pt>
                <c:pt idx="28">
                  <c:v>20422.333333333332</c:v>
                </c:pt>
                <c:pt idx="29">
                  <c:v>20327</c:v>
                </c:pt>
                <c:pt idx="30">
                  <c:v>20090.333333333332</c:v>
                </c:pt>
                <c:pt idx="31">
                  <c:v>20232.666666666668</c:v>
                </c:pt>
                <c:pt idx="32">
                  <c:v>20157.666666666668</c:v>
                </c:pt>
                <c:pt idx="33">
                  <c:v>20038</c:v>
                </c:pt>
                <c:pt idx="34">
                  <c:v>20147.333333333332</c:v>
                </c:pt>
                <c:pt idx="35">
                  <c:v>20314</c:v>
                </c:pt>
                <c:pt idx="36">
                  <c:v>20460.666666666668</c:v>
                </c:pt>
                <c:pt idx="37">
                  <c:v>18976.666666666668</c:v>
                </c:pt>
                <c:pt idx="38">
                  <c:v>16404.333333333332</c:v>
                </c:pt>
                <c:pt idx="39">
                  <c:v>14660.666666666666</c:v>
                </c:pt>
                <c:pt idx="40">
                  <c:v>14828</c:v>
                </c:pt>
                <c:pt idx="41">
                  <c:v>16692</c:v>
                </c:pt>
                <c:pt idx="42">
                  <c:v>18066.333333333332</c:v>
                </c:pt>
                <c:pt idx="43">
                  <c:v>18873.666666666668</c:v>
                </c:pt>
                <c:pt idx="44">
                  <c:v>19315.666666666668</c:v>
                </c:pt>
                <c:pt idx="45">
                  <c:v>19669.666666666668</c:v>
                </c:pt>
                <c:pt idx="46">
                  <c:v>19832.666666666668</c:v>
                </c:pt>
                <c:pt idx="47">
                  <c:v>19966.333333333332</c:v>
                </c:pt>
                <c:pt idx="48">
                  <c:v>19993.333333333332</c:v>
                </c:pt>
                <c:pt idx="49">
                  <c:v>20482.333333333332</c:v>
                </c:pt>
                <c:pt idx="50">
                  <c:v>20908</c:v>
                </c:pt>
                <c:pt idx="51">
                  <c:v>21346</c:v>
                </c:pt>
                <c:pt idx="52">
                  <c:v>21603.666666666668</c:v>
                </c:pt>
                <c:pt idx="53">
                  <c:v>21889.333333333332</c:v>
                </c:pt>
                <c:pt idx="54">
                  <c:v>22474.666666666668</c:v>
                </c:pt>
                <c:pt idx="55">
                  <c:v>22613.333333333332</c:v>
                </c:pt>
                <c:pt idx="56">
                  <c:v>22918.666666666668</c:v>
                </c:pt>
                <c:pt idx="57">
                  <c:v>23083.666666666668</c:v>
                </c:pt>
                <c:pt idx="58">
                  <c:v>24331.666666666668</c:v>
                </c:pt>
                <c:pt idx="59">
                  <c:v>25007.333333333332</c:v>
                </c:pt>
              </c:numCache>
            </c:numRef>
          </c:val>
          <c:smooth val="0"/>
          <c:extLst>
            <c:ext xmlns:c16="http://schemas.microsoft.com/office/drawing/2014/chart" uri="{C3380CC4-5D6E-409C-BE32-E72D297353CC}">
              <c16:uniqueId val="{00000003-FF95-46E0-B31F-642640DA9ADA}"/>
            </c:ext>
          </c:extLst>
        </c:ser>
        <c:dLbls>
          <c:showLegendKey val="0"/>
          <c:showVal val="0"/>
          <c:showCatName val="0"/>
          <c:showSerName val="0"/>
          <c:showPercent val="0"/>
          <c:showBubbleSize val="0"/>
        </c:dLbls>
        <c:marker val="1"/>
        <c:smooth val="0"/>
        <c:axId val="209412192"/>
        <c:axId val="209412752"/>
      </c:lineChart>
      <c:lineChart>
        <c:grouping val="standard"/>
        <c:varyColors val="0"/>
        <c:ser>
          <c:idx val="4"/>
          <c:order val="4"/>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4-FF95-46E0-B31F-642640DA9ADA}"/>
            </c:ext>
          </c:extLst>
        </c:ser>
        <c:dLbls>
          <c:showLegendKey val="0"/>
          <c:showVal val="0"/>
          <c:showCatName val="0"/>
          <c:showSerName val="0"/>
          <c:showPercent val="0"/>
          <c:showBubbleSize val="0"/>
        </c:dLbls>
        <c:marker val="1"/>
        <c:smooth val="0"/>
        <c:axId val="209413872"/>
        <c:axId val="209413312"/>
      </c:lineChart>
      <c:catAx>
        <c:axId val="20941219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412752"/>
        <c:crosses val="autoZero"/>
        <c:auto val="1"/>
        <c:lblAlgn val="l"/>
        <c:lblOffset val="0"/>
        <c:tickMarkSkip val="3"/>
        <c:noMultiLvlLbl val="0"/>
      </c:catAx>
      <c:valAx>
        <c:axId val="209412752"/>
        <c:scaling>
          <c:orientation val="minMax"/>
          <c:max val="28000"/>
          <c:min val="10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412192"/>
        <c:crosses val="autoZero"/>
        <c:crossBetween val="between"/>
        <c:dispUnits>
          <c:builtInUnit val="thousands"/>
        </c:dispUnits>
      </c:valAx>
      <c:valAx>
        <c:axId val="209413312"/>
        <c:scaling>
          <c:orientation val="minMax"/>
        </c:scaling>
        <c:delete val="1"/>
        <c:axPos val="r"/>
        <c:numFmt formatCode="General" sourceLinked="1"/>
        <c:majorTickMark val="out"/>
        <c:minorTickMark val="none"/>
        <c:tickLblPos val="nextTo"/>
        <c:crossAx val="209413872"/>
        <c:crosses val="max"/>
        <c:crossBetween val="between"/>
      </c:valAx>
      <c:catAx>
        <c:axId val="209413872"/>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0941331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4"/>
        <c:delete val="1"/>
      </c:legendEntry>
      <c:layout>
        <c:manualLayout>
          <c:xMode val="edge"/>
          <c:yMode val="edge"/>
          <c:x val="0.17755877059552952"/>
          <c:y val="0"/>
          <c:w val="0.63421706965332536"/>
          <c:h val="8.978371300007030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09703152988609E-2"/>
          <c:y val="0.11942609975251388"/>
          <c:w val="0.92470376179061697"/>
          <c:h val="0.76081558939600014"/>
        </c:manualLayout>
      </c:layout>
      <c:lineChart>
        <c:grouping val="standard"/>
        <c:varyColors val="0"/>
        <c:ser>
          <c:idx val="5"/>
          <c:order val="0"/>
          <c:tx>
            <c:strRef>
              <c:f>'figure 2 e 3 '!$C$4</c:f>
              <c:strCache>
                <c:ptCount val="1"/>
                <c:pt idx="0">
                  <c:v>esportazioni</c:v>
                </c:pt>
              </c:strCache>
            </c:strRef>
          </c:tx>
          <c:spPr>
            <a:ln w="12700" cap="rnd" cmpd="sng" algn="ctr">
              <a:solidFill>
                <a:srgbClr val="003B5C"/>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'!$G$67:$G$138</c:f>
              <c:numCache>
                <c:formatCode>0</c:formatCode>
                <c:ptCount val="72"/>
                <c:pt idx="0">
                  <c:v>18487</c:v>
                </c:pt>
                <c:pt idx="1">
                  <c:v>17927</c:v>
                </c:pt>
                <c:pt idx="2">
                  <c:v>19041</c:v>
                </c:pt>
                <c:pt idx="3">
                  <c:v>17993</c:v>
                </c:pt>
                <c:pt idx="4">
                  <c:v>18529</c:v>
                </c:pt>
                <c:pt idx="5">
                  <c:v>18260</c:v>
                </c:pt>
                <c:pt idx="6">
                  <c:v>18179</c:v>
                </c:pt>
                <c:pt idx="7">
                  <c:v>18669</c:v>
                </c:pt>
                <c:pt idx="8">
                  <c:v>18852</c:v>
                </c:pt>
                <c:pt idx="9">
                  <c:v>18329</c:v>
                </c:pt>
                <c:pt idx="10">
                  <c:v>19472</c:v>
                </c:pt>
                <c:pt idx="11">
                  <c:v>19698</c:v>
                </c:pt>
                <c:pt idx="12">
                  <c:v>18235</c:v>
                </c:pt>
                <c:pt idx="13">
                  <c:v>18019</c:v>
                </c:pt>
                <c:pt idx="14">
                  <c:v>18781</c:v>
                </c:pt>
                <c:pt idx="15">
                  <c:v>18650</c:v>
                </c:pt>
                <c:pt idx="16">
                  <c:v>18222</c:v>
                </c:pt>
                <c:pt idx="17">
                  <c:v>19537</c:v>
                </c:pt>
                <c:pt idx="18">
                  <c:v>18962</c:v>
                </c:pt>
                <c:pt idx="19">
                  <c:v>19312</c:v>
                </c:pt>
                <c:pt idx="20">
                  <c:v>18466</c:v>
                </c:pt>
                <c:pt idx="21">
                  <c:v>19411</c:v>
                </c:pt>
                <c:pt idx="22">
                  <c:v>19699</c:v>
                </c:pt>
                <c:pt idx="23">
                  <c:v>18690</c:v>
                </c:pt>
                <c:pt idx="24">
                  <c:v>19526</c:v>
                </c:pt>
                <c:pt idx="25">
                  <c:v>19302</c:v>
                </c:pt>
                <c:pt idx="26">
                  <c:v>19627</c:v>
                </c:pt>
                <c:pt idx="27">
                  <c:v>19111</c:v>
                </c:pt>
                <c:pt idx="28">
                  <c:v>19551</c:v>
                </c:pt>
                <c:pt idx="29">
                  <c:v>20109</c:v>
                </c:pt>
                <c:pt idx="30">
                  <c:v>19595</c:v>
                </c:pt>
                <c:pt idx="31">
                  <c:v>19451</c:v>
                </c:pt>
                <c:pt idx="32">
                  <c:v>19949</c:v>
                </c:pt>
                <c:pt idx="33">
                  <c:v>20927</c:v>
                </c:pt>
                <c:pt idx="34">
                  <c:v>18977</c:v>
                </c:pt>
                <c:pt idx="35">
                  <c:v>19519</c:v>
                </c:pt>
                <c:pt idx="36">
                  <c:v>20122</c:v>
                </c:pt>
                <c:pt idx="37">
                  <c:v>20214</c:v>
                </c:pt>
                <c:pt idx="38">
                  <c:v>16539</c:v>
                </c:pt>
                <c:pt idx="39">
                  <c:v>10233</c:v>
                </c:pt>
                <c:pt idx="40">
                  <c:v>14310</c:v>
                </c:pt>
                <c:pt idx="41">
                  <c:v>16598</c:v>
                </c:pt>
                <c:pt idx="42">
                  <c:v>17999</c:v>
                </c:pt>
                <c:pt idx="43">
                  <c:v>18017</c:v>
                </c:pt>
                <c:pt idx="44">
                  <c:v>19468</c:v>
                </c:pt>
                <c:pt idx="45">
                  <c:v>19090</c:v>
                </c:pt>
                <c:pt idx="46">
                  <c:v>19721</c:v>
                </c:pt>
                <c:pt idx="47">
                  <c:v>18955</c:v>
                </c:pt>
                <c:pt idx="48">
                  <c:v>19006</c:v>
                </c:pt>
                <c:pt idx="49">
                  <c:v>18975</c:v>
                </c:pt>
                <c:pt idx="50">
                  <c:v>19498</c:v>
                </c:pt>
                <c:pt idx="51">
                  <c:v>20974</c:v>
                </c:pt>
                <c:pt idx="52">
                  <c:v>20126</c:v>
                </c:pt>
                <c:pt idx="53">
                  <c:v>20218</c:v>
                </c:pt>
                <c:pt idx="54">
                  <c:v>21742</c:v>
                </c:pt>
                <c:pt idx="55">
                  <c:v>20667</c:v>
                </c:pt>
                <c:pt idx="56">
                  <c:v>20476</c:v>
                </c:pt>
                <c:pt idx="57">
                  <c:v>20817</c:v>
                </c:pt>
                <c:pt idx="58">
                  <c:v>21442</c:v>
                </c:pt>
                <c:pt idx="59">
                  <c:v>21007</c:v>
                </c:pt>
                <c:pt idx="60">
                  <c:v>22151</c:v>
                </c:pt>
              </c:numCache>
            </c:numRef>
          </c:val>
          <c:smooth val="0"/>
          <c:extLst>
            <c:ext xmlns:c16="http://schemas.microsoft.com/office/drawing/2014/chart" uri="{C3380CC4-5D6E-409C-BE32-E72D297353CC}">
              <c16:uniqueId val="{00000000-057F-492E-9C35-F31B59664C97}"/>
            </c:ext>
          </c:extLst>
        </c:ser>
        <c:ser>
          <c:idx val="7"/>
          <c:order val="1"/>
          <c:tx>
            <c:strRef>
              <c:f>'figure 2 e 3 '!$E$4</c:f>
              <c:strCache>
                <c:ptCount val="1"/>
                <c:pt idx="0">
                  <c:v>mm3mesi export</c:v>
                </c:pt>
              </c:strCache>
            </c:strRef>
          </c:tx>
          <c:spPr>
            <a:ln w="28575" cap="rnd" cmpd="sng" algn="ctr">
              <a:solidFill>
                <a:srgbClr val="003B5C"/>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'!$I$67:$I$138</c:f>
              <c:numCache>
                <c:formatCode>0</c:formatCode>
                <c:ptCount val="72"/>
                <c:pt idx="0">
                  <c:v>18206</c:v>
                </c:pt>
                <c:pt idx="1">
                  <c:v>18485</c:v>
                </c:pt>
                <c:pt idx="2">
                  <c:v>18320.333333333332</c:v>
                </c:pt>
                <c:pt idx="3">
                  <c:v>18521</c:v>
                </c:pt>
                <c:pt idx="4">
                  <c:v>18260.666666666668</c:v>
                </c:pt>
                <c:pt idx="5">
                  <c:v>18322.666666666668</c:v>
                </c:pt>
                <c:pt idx="6">
                  <c:v>18369.333333333332</c:v>
                </c:pt>
                <c:pt idx="7">
                  <c:v>18566.666666666668</c:v>
                </c:pt>
                <c:pt idx="8">
                  <c:v>18616.666666666668</c:v>
                </c:pt>
                <c:pt idx="9">
                  <c:v>18884.333333333332</c:v>
                </c:pt>
                <c:pt idx="10">
                  <c:v>19166.333333333332</c:v>
                </c:pt>
                <c:pt idx="11">
                  <c:v>19135</c:v>
                </c:pt>
                <c:pt idx="12">
                  <c:v>18650.666666666668</c:v>
                </c:pt>
                <c:pt idx="13">
                  <c:v>18345</c:v>
                </c:pt>
                <c:pt idx="14">
                  <c:v>18483.333333333332</c:v>
                </c:pt>
                <c:pt idx="15">
                  <c:v>18551</c:v>
                </c:pt>
                <c:pt idx="16">
                  <c:v>18803</c:v>
                </c:pt>
                <c:pt idx="17">
                  <c:v>18907</c:v>
                </c:pt>
                <c:pt idx="18">
                  <c:v>19270.333333333332</c:v>
                </c:pt>
                <c:pt idx="19">
                  <c:v>18913.333333333332</c:v>
                </c:pt>
                <c:pt idx="20">
                  <c:v>19063</c:v>
                </c:pt>
                <c:pt idx="21">
                  <c:v>19192</c:v>
                </c:pt>
                <c:pt idx="22">
                  <c:v>19266.666666666668</c:v>
                </c:pt>
                <c:pt idx="23">
                  <c:v>19305</c:v>
                </c:pt>
                <c:pt idx="24">
                  <c:v>19172.666666666668</c:v>
                </c:pt>
                <c:pt idx="25">
                  <c:v>19485</c:v>
                </c:pt>
                <c:pt idx="26">
                  <c:v>19346.666666666668</c:v>
                </c:pt>
                <c:pt idx="27">
                  <c:v>19429.666666666668</c:v>
                </c:pt>
                <c:pt idx="28">
                  <c:v>19590.333333333332</c:v>
                </c:pt>
                <c:pt idx="29">
                  <c:v>19751.666666666668</c:v>
                </c:pt>
                <c:pt idx="30">
                  <c:v>19718.333333333332</c:v>
                </c:pt>
                <c:pt idx="31">
                  <c:v>19665</c:v>
                </c:pt>
                <c:pt idx="32">
                  <c:v>20109</c:v>
                </c:pt>
                <c:pt idx="33">
                  <c:v>19951</c:v>
                </c:pt>
                <c:pt idx="34">
                  <c:v>19807.666666666668</c:v>
                </c:pt>
                <c:pt idx="35">
                  <c:v>19539.333333333332</c:v>
                </c:pt>
                <c:pt idx="36">
                  <c:v>19951.666666666668</c:v>
                </c:pt>
                <c:pt idx="37">
                  <c:v>18958.333333333332</c:v>
                </c:pt>
                <c:pt idx="38">
                  <c:v>15662</c:v>
                </c:pt>
                <c:pt idx="39">
                  <c:v>13694</c:v>
                </c:pt>
                <c:pt idx="40">
                  <c:v>13713.666666666666</c:v>
                </c:pt>
                <c:pt idx="41">
                  <c:v>16302.333333333334</c:v>
                </c:pt>
                <c:pt idx="42">
                  <c:v>17538</c:v>
                </c:pt>
                <c:pt idx="43">
                  <c:v>18494.666666666668</c:v>
                </c:pt>
                <c:pt idx="44">
                  <c:v>18858.333333333332</c:v>
                </c:pt>
                <c:pt idx="45">
                  <c:v>19426.333333333332</c:v>
                </c:pt>
                <c:pt idx="46">
                  <c:v>19255.333333333332</c:v>
                </c:pt>
                <c:pt idx="47">
                  <c:v>19227.333333333332</c:v>
                </c:pt>
                <c:pt idx="48">
                  <c:v>18978.666666666668</c:v>
                </c:pt>
                <c:pt idx="49">
                  <c:v>19159.666666666668</c:v>
                </c:pt>
                <c:pt idx="50">
                  <c:v>19815.666666666668</c:v>
                </c:pt>
                <c:pt idx="51">
                  <c:v>20199.333333333332</c:v>
                </c:pt>
                <c:pt idx="52">
                  <c:v>20439.333333333332</c:v>
                </c:pt>
                <c:pt idx="53">
                  <c:v>20695.333333333332</c:v>
                </c:pt>
                <c:pt idx="54">
                  <c:v>20875.666666666668</c:v>
                </c:pt>
                <c:pt idx="55">
                  <c:v>20961.666666666668</c:v>
                </c:pt>
                <c:pt idx="56">
                  <c:v>20653.333333333332</c:v>
                </c:pt>
                <c:pt idx="57">
                  <c:v>20911.666666666668</c:v>
                </c:pt>
                <c:pt idx="58">
                  <c:v>21088.666666666668</c:v>
                </c:pt>
                <c:pt idx="59">
                  <c:v>21533.333333333332</c:v>
                </c:pt>
              </c:numCache>
            </c:numRef>
          </c:val>
          <c:smooth val="0"/>
          <c:extLst>
            <c:ext xmlns:c16="http://schemas.microsoft.com/office/drawing/2014/chart" uri="{C3380CC4-5D6E-409C-BE32-E72D297353CC}">
              <c16:uniqueId val="{00000001-057F-492E-9C35-F31B59664C97}"/>
            </c:ext>
          </c:extLst>
        </c:ser>
        <c:ser>
          <c:idx val="9"/>
          <c:order val="2"/>
          <c:spPr>
            <a:ln w="28575" cap="rnd">
              <a:solidFill>
                <a:srgbClr val="FFFFFF"/>
              </a:solidFill>
              <a:roun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'!$FO$1:$FO$74</c:f>
              <c:numCache>
                <c:formatCode>General</c:formatCode>
                <c:ptCount val="74"/>
              </c:numCache>
            </c:numRef>
          </c:val>
          <c:smooth val="0"/>
          <c:extLst>
            <c:ext xmlns:c16="http://schemas.microsoft.com/office/drawing/2014/chart" uri="{C3380CC4-5D6E-409C-BE32-E72D297353CC}">
              <c16:uniqueId val="{00000002-057F-492E-9C35-F31B59664C97}"/>
            </c:ext>
          </c:extLst>
        </c:ser>
        <c:ser>
          <c:idx val="1"/>
          <c:order val="3"/>
          <c:tx>
            <c:strRef>
              <c:f>'figure 2 e 3 '!$D$4</c:f>
              <c:strCache>
                <c:ptCount val="1"/>
                <c:pt idx="0">
                  <c:v>importazioni</c:v>
                </c:pt>
              </c:strCache>
            </c:strRef>
          </c:tx>
          <c:spPr>
            <a:ln w="12700" cap="rnd" cmpd="sng" algn="ctr">
              <a:solidFill>
                <a:srgbClr val="D22630"/>
              </a:solidFill>
              <a:prstDash val="sysDash"/>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'!$H$67:$H$138</c:f>
              <c:numCache>
                <c:formatCode>0</c:formatCode>
                <c:ptCount val="72"/>
                <c:pt idx="0">
                  <c:v>14546</c:v>
                </c:pt>
                <c:pt idx="1">
                  <c:v>14626</c:v>
                </c:pt>
                <c:pt idx="2">
                  <c:v>14546</c:v>
                </c:pt>
                <c:pt idx="3">
                  <c:v>14350</c:v>
                </c:pt>
                <c:pt idx="4">
                  <c:v>15012</c:v>
                </c:pt>
                <c:pt idx="5">
                  <c:v>14365</c:v>
                </c:pt>
                <c:pt idx="6">
                  <c:v>13971</c:v>
                </c:pt>
                <c:pt idx="7">
                  <c:v>14249</c:v>
                </c:pt>
                <c:pt idx="8">
                  <c:v>13519</c:v>
                </c:pt>
                <c:pt idx="9">
                  <c:v>13929</c:v>
                </c:pt>
                <c:pt idx="10">
                  <c:v>14755</c:v>
                </c:pt>
                <c:pt idx="11">
                  <c:v>14979</c:v>
                </c:pt>
                <c:pt idx="12">
                  <c:v>14186</c:v>
                </c:pt>
                <c:pt idx="13">
                  <c:v>14618</c:v>
                </c:pt>
                <c:pt idx="14">
                  <c:v>14902</c:v>
                </c:pt>
                <c:pt idx="15">
                  <c:v>15447</c:v>
                </c:pt>
                <c:pt idx="16">
                  <c:v>15404</c:v>
                </c:pt>
                <c:pt idx="17">
                  <c:v>15616</c:v>
                </c:pt>
                <c:pt idx="18">
                  <c:v>15922</c:v>
                </c:pt>
                <c:pt idx="19">
                  <c:v>15816</c:v>
                </c:pt>
                <c:pt idx="20">
                  <c:v>16337</c:v>
                </c:pt>
                <c:pt idx="21">
                  <c:v>16502</c:v>
                </c:pt>
                <c:pt idx="22">
                  <c:v>16213</c:v>
                </c:pt>
                <c:pt idx="23">
                  <c:v>15977</c:v>
                </c:pt>
                <c:pt idx="24">
                  <c:v>15156</c:v>
                </c:pt>
                <c:pt idx="25">
                  <c:v>15177</c:v>
                </c:pt>
                <c:pt idx="26">
                  <c:v>15433</c:v>
                </c:pt>
                <c:pt idx="27">
                  <c:v>15396</c:v>
                </c:pt>
                <c:pt idx="28">
                  <c:v>15851</c:v>
                </c:pt>
                <c:pt idx="29">
                  <c:v>15594</c:v>
                </c:pt>
                <c:pt idx="30">
                  <c:v>15421</c:v>
                </c:pt>
                <c:pt idx="31">
                  <c:v>15166</c:v>
                </c:pt>
                <c:pt idx="32">
                  <c:v>15663</c:v>
                </c:pt>
                <c:pt idx="33">
                  <c:v>14774</c:v>
                </c:pt>
                <c:pt idx="34">
                  <c:v>14489</c:v>
                </c:pt>
                <c:pt idx="35">
                  <c:v>14504</c:v>
                </c:pt>
                <c:pt idx="36">
                  <c:v>15521</c:v>
                </c:pt>
                <c:pt idx="37">
                  <c:v>14233</c:v>
                </c:pt>
                <c:pt idx="38">
                  <c:v>11885</c:v>
                </c:pt>
                <c:pt idx="39">
                  <c:v>10292</c:v>
                </c:pt>
                <c:pt idx="40">
                  <c:v>10541</c:v>
                </c:pt>
                <c:pt idx="41">
                  <c:v>12470</c:v>
                </c:pt>
                <c:pt idx="42">
                  <c:v>13015</c:v>
                </c:pt>
                <c:pt idx="43">
                  <c:v>13049</c:v>
                </c:pt>
                <c:pt idx="44">
                  <c:v>12962</c:v>
                </c:pt>
                <c:pt idx="45">
                  <c:v>13420</c:v>
                </c:pt>
                <c:pt idx="46">
                  <c:v>13870</c:v>
                </c:pt>
                <c:pt idx="47">
                  <c:v>13532</c:v>
                </c:pt>
                <c:pt idx="48">
                  <c:v>13382</c:v>
                </c:pt>
                <c:pt idx="49">
                  <c:v>14134</c:v>
                </c:pt>
                <c:pt idx="50">
                  <c:v>15212</c:v>
                </c:pt>
                <c:pt idx="51">
                  <c:v>16034</c:v>
                </c:pt>
                <c:pt idx="52">
                  <c:v>15733</c:v>
                </c:pt>
                <c:pt idx="53">
                  <c:v>16097</c:v>
                </c:pt>
                <c:pt idx="54">
                  <c:v>16542</c:v>
                </c:pt>
                <c:pt idx="55">
                  <c:v>17534</c:v>
                </c:pt>
                <c:pt idx="56">
                  <c:v>17675</c:v>
                </c:pt>
                <c:pt idx="57">
                  <c:v>18244</c:v>
                </c:pt>
                <c:pt idx="58">
                  <c:v>18526</c:v>
                </c:pt>
                <c:pt idx="59">
                  <c:v>19415</c:v>
                </c:pt>
                <c:pt idx="60">
                  <c:v>21411</c:v>
                </c:pt>
              </c:numCache>
            </c:numRef>
          </c:val>
          <c:smooth val="0"/>
          <c:extLst>
            <c:ext xmlns:c16="http://schemas.microsoft.com/office/drawing/2014/chart" uri="{C3380CC4-5D6E-409C-BE32-E72D297353CC}">
              <c16:uniqueId val="{00000003-057F-492E-9C35-F31B59664C97}"/>
            </c:ext>
          </c:extLst>
        </c:ser>
        <c:ser>
          <c:idx val="3"/>
          <c:order val="4"/>
          <c:tx>
            <c:strRef>
              <c:f>'figure 2 e 3 '!$F$4</c:f>
              <c:strCache>
                <c:ptCount val="1"/>
                <c:pt idx="0">
                  <c:v>mm3mesi import</c:v>
                </c:pt>
              </c:strCache>
            </c:strRef>
          </c:tx>
          <c:spPr>
            <a:ln w="28575" cap="rnd" cmpd="sng" algn="ctr">
              <a:solidFill>
                <a:srgbClr val="D22630"/>
              </a:solidFill>
              <a:prstDash val="solid"/>
              <a:round/>
              <a:headEnd type="none" w="med" len="med"/>
              <a:tailEnd type="none" w="med" len="med"/>
            </a:ln>
            <a:effectLst/>
          </c:spPr>
          <c:marker>
            <c:symbol val="none"/>
          </c:marker>
          <c:cat>
            <c:numRef>
              <c:f>'figure 2 e 3 '!$B$67:$B$138</c:f>
              <c:numCache>
                <c:formatCode>General</c:formatCode>
                <c:ptCount val="72"/>
                <c:pt idx="5" formatCode="0">
                  <c:v>2017</c:v>
                </c:pt>
                <c:pt idx="17" formatCode="0">
                  <c:v>2018</c:v>
                </c:pt>
                <c:pt idx="29" formatCode="0">
                  <c:v>2019</c:v>
                </c:pt>
                <c:pt idx="41" formatCode="0">
                  <c:v>2020</c:v>
                </c:pt>
                <c:pt idx="53" formatCode="0">
                  <c:v>2021</c:v>
                </c:pt>
                <c:pt idx="65" formatCode="0">
                  <c:v>2022</c:v>
                </c:pt>
              </c:numCache>
            </c:numRef>
          </c:cat>
          <c:val>
            <c:numRef>
              <c:f>'figure 2 e 3 '!$J$67:$J$138</c:f>
              <c:numCache>
                <c:formatCode>0</c:formatCode>
                <c:ptCount val="72"/>
                <c:pt idx="0">
                  <c:v>14442.333333333334</c:v>
                </c:pt>
                <c:pt idx="1">
                  <c:v>14572.666666666666</c:v>
                </c:pt>
                <c:pt idx="2">
                  <c:v>14507.333333333334</c:v>
                </c:pt>
                <c:pt idx="3">
                  <c:v>14636</c:v>
                </c:pt>
                <c:pt idx="4">
                  <c:v>14575.666666666666</c:v>
                </c:pt>
                <c:pt idx="5">
                  <c:v>14449.333333333334</c:v>
                </c:pt>
                <c:pt idx="6">
                  <c:v>14195</c:v>
                </c:pt>
                <c:pt idx="7">
                  <c:v>13913</c:v>
                </c:pt>
                <c:pt idx="8">
                  <c:v>13899</c:v>
                </c:pt>
                <c:pt idx="9">
                  <c:v>14067.666666666666</c:v>
                </c:pt>
                <c:pt idx="10">
                  <c:v>14554.333333333334</c:v>
                </c:pt>
                <c:pt idx="11">
                  <c:v>14640</c:v>
                </c:pt>
                <c:pt idx="12">
                  <c:v>14594.333333333334</c:v>
                </c:pt>
                <c:pt idx="13">
                  <c:v>14568.666666666666</c:v>
                </c:pt>
                <c:pt idx="14">
                  <c:v>14989</c:v>
                </c:pt>
                <c:pt idx="15">
                  <c:v>15251</c:v>
                </c:pt>
                <c:pt idx="16">
                  <c:v>15489</c:v>
                </c:pt>
                <c:pt idx="17">
                  <c:v>15647.333333333334</c:v>
                </c:pt>
                <c:pt idx="18">
                  <c:v>15784.666666666666</c:v>
                </c:pt>
                <c:pt idx="19">
                  <c:v>16025</c:v>
                </c:pt>
                <c:pt idx="20">
                  <c:v>16218.333333333334</c:v>
                </c:pt>
                <c:pt idx="21">
                  <c:v>16350.666666666666</c:v>
                </c:pt>
                <c:pt idx="22">
                  <c:v>16230.666666666666</c:v>
                </c:pt>
                <c:pt idx="23">
                  <c:v>15782</c:v>
                </c:pt>
                <c:pt idx="24">
                  <c:v>15436.666666666666</c:v>
                </c:pt>
                <c:pt idx="25">
                  <c:v>15255.333333333334</c:v>
                </c:pt>
                <c:pt idx="26">
                  <c:v>15335.333333333334</c:v>
                </c:pt>
                <c:pt idx="27">
                  <c:v>15560</c:v>
                </c:pt>
                <c:pt idx="28">
                  <c:v>15613.666666666666</c:v>
                </c:pt>
                <c:pt idx="29">
                  <c:v>15622</c:v>
                </c:pt>
                <c:pt idx="30">
                  <c:v>15393.666666666666</c:v>
                </c:pt>
                <c:pt idx="31">
                  <c:v>15416.666666666666</c:v>
                </c:pt>
                <c:pt idx="32">
                  <c:v>15201</c:v>
                </c:pt>
                <c:pt idx="33">
                  <c:v>14975.333333333334</c:v>
                </c:pt>
                <c:pt idx="34">
                  <c:v>14589</c:v>
                </c:pt>
                <c:pt idx="35">
                  <c:v>14838</c:v>
                </c:pt>
                <c:pt idx="36">
                  <c:v>14752.666666666666</c:v>
                </c:pt>
                <c:pt idx="37">
                  <c:v>13879.666666666666</c:v>
                </c:pt>
                <c:pt idx="38">
                  <c:v>12136.666666666666</c:v>
                </c:pt>
                <c:pt idx="39">
                  <c:v>10906</c:v>
                </c:pt>
                <c:pt idx="40">
                  <c:v>11101</c:v>
                </c:pt>
                <c:pt idx="41">
                  <c:v>12008.666666666666</c:v>
                </c:pt>
                <c:pt idx="42">
                  <c:v>12844.666666666666</c:v>
                </c:pt>
                <c:pt idx="43">
                  <c:v>13008.666666666666</c:v>
                </c:pt>
                <c:pt idx="44">
                  <c:v>13143.666666666666</c:v>
                </c:pt>
                <c:pt idx="45">
                  <c:v>13417.333333333334</c:v>
                </c:pt>
                <c:pt idx="46">
                  <c:v>13607.333333333334</c:v>
                </c:pt>
                <c:pt idx="47">
                  <c:v>13594.666666666666</c:v>
                </c:pt>
                <c:pt idx="48">
                  <c:v>13682.666666666666</c:v>
                </c:pt>
                <c:pt idx="49">
                  <c:v>14242.666666666666</c:v>
                </c:pt>
                <c:pt idx="50">
                  <c:v>15126.666666666666</c:v>
                </c:pt>
                <c:pt idx="51">
                  <c:v>15659.666666666666</c:v>
                </c:pt>
                <c:pt idx="52">
                  <c:v>15954.666666666666</c:v>
                </c:pt>
                <c:pt idx="53">
                  <c:v>16124</c:v>
                </c:pt>
                <c:pt idx="54">
                  <c:v>16724.333333333332</c:v>
                </c:pt>
                <c:pt idx="55">
                  <c:v>17250.333333333332</c:v>
                </c:pt>
                <c:pt idx="56">
                  <c:v>17817.666666666668</c:v>
                </c:pt>
                <c:pt idx="57">
                  <c:v>18148.333333333332</c:v>
                </c:pt>
                <c:pt idx="58">
                  <c:v>18728.333333333332</c:v>
                </c:pt>
                <c:pt idx="59">
                  <c:v>19784</c:v>
                </c:pt>
              </c:numCache>
            </c:numRef>
          </c:val>
          <c:smooth val="0"/>
          <c:extLst>
            <c:ext xmlns:c16="http://schemas.microsoft.com/office/drawing/2014/chart" uri="{C3380CC4-5D6E-409C-BE32-E72D297353CC}">
              <c16:uniqueId val="{00000004-057F-492E-9C35-F31B59664C97}"/>
            </c:ext>
          </c:extLst>
        </c:ser>
        <c:dLbls>
          <c:showLegendKey val="0"/>
          <c:showVal val="0"/>
          <c:showCatName val="0"/>
          <c:showSerName val="0"/>
          <c:showPercent val="0"/>
          <c:showBubbleSize val="0"/>
        </c:dLbls>
        <c:marker val="1"/>
        <c:smooth val="0"/>
        <c:axId val="209418912"/>
        <c:axId val="209419472"/>
      </c:lineChart>
      <c:lineChart>
        <c:grouping val="standard"/>
        <c:varyColors val="0"/>
        <c:ser>
          <c:idx val="4"/>
          <c:order val="5"/>
          <c:spPr>
            <a:ln w="28575" cap="rnd">
              <a:solidFill>
                <a:srgbClr val="FFFFFF"/>
              </a:solidFill>
              <a:round/>
            </a:ln>
            <a:effectLst/>
          </c:spPr>
          <c:marker>
            <c:symbol val="none"/>
          </c:marker>
          <c:val>
            <c:numRef>
              <c:f>'figure 2 e 3 '!$FO$1:$FO$74</c:f>
              <c:numCache>
                <c:formatCode>General</c:formatCode>
                <c:ptCount val="74"/>
              </c:numCache>
            </c:numRef>
          </c:val>
          <c:smooth val="0"/>
          <c:extLst>
            <c:ext xmlns:c16="http://schemas.microsoft.com/office/drawing/2014/chart" uri="{C3380CC4-5D6E-409C-BE32-E72D297353CC}">
              <c16:uniqueId val="{00000005-057F-492E-9C35-F31B59664C97}"/>
            </c:ext>
          </c:extLst>
        </c:ser>
        <c:dLbls>
          <c:showLegendKey val="0"/>
          <c:showVal val="0"/>
          <c:showCatName val="0"/>
          <c:showSerName val="0"/>
          <c:showPercent val="0"/>
          <c:showBubbleSize val="0"/>
        </c:dLbls>
        <c:marker val="1"/>
        <c:smooth val="0"/>
        <c:axId val="209420592"/>
        <c:axId val="209420032"/>
      </c:lineChart>
      <c:catAx>
        <c:axId val="20941891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419472"/>
        <c:crosses val="autoZero"/>
        <c:auto val="1"/>
        <c:lblAlgn val="l"/>
        <c:lblOffset val="0"/>
        <c:tickMarkSkip val="3"/>
        <c:noMultiLvlLbl val="0"/>
      </c:catAx>
      <c:valAx>
        <c:axId val="209419472"/>
        <c:scaling>
          <c:orientation val="minMax"/>
          <c:max val="28000"/>
          <c:min val="1000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418912"/>
        <c:crosses val="autoZero"/>
        <c:crossBetween val="between"/>
        <c:majorUnit val="2000"/>
        <c:dispUnits>
          <c:builtInUnit val="thousands"/>
        </c:dispUnits>
      </c:valAx>
      <c:valAx>
        <c:axId val="209420032"/>
        <c:scaling>
          <c:orientation val="minMax"/>
        </c:scaling>
        <c:delete val="1"/>
        <c:axPos val="r"/>
        <c:numFmt formatCode="General" sourceLinked="1"/>
        <c:majorTickMark val="out"/>
        <c:minorTickMark val="none"/>
        <c:tickLblPos val="nextTo"/>
        <c:crossAx val="209420592"/>
        <c:crosses val="max"/>
        <c:crossBetween val="between"/>
      </c:valAx>
      <c:catAx>
        <c:axId val="209420592"/>
        <c:scaling>
          <c:orientation val="minMax"/>
        </c:scaling>
        <c:delete val="1"/>
        <c:axPos val="t"/>
        <c:majorGridlines>
          <c:spPr>
            <a:ln w="12700" cap="flat" cmpd="sng" algn="ctr">
              <a:solidFill>
                <a:srgbClr val="A6A6A6"/>
              </a:solidFill>
              <a:prstDash val="solid"/>
              <a:round/>
              <a:headEnd type="none" w="med" len="med"/>
              <a:tailEnd type="none" w="med" len="med"/>
            </a:ln>
            <a:effectLst/>
          </c:spPr>
        </c:majorGridlines>
        <c:majorTickMark val="out"/>
        <c:minorTickMark val="none"/>
        <c:tickLblPos val="nextTo"/>
        <c:crossAx val="209420032"/>
        <c:crosses val="max"/>
        <c:auto val="1"/>
        <c:lblAlgn val="ctr"/>
        <c:lblOffset val="100"/>
        <c:tickMarkSkip val="12"/>
        <c:noMultiLvlLbl val="0"/>
      </c:catAx>
      <c:spPr>
        <a:solidFill>
          <a:srgbClr val="FFFFFF"/>
        </a:solidFill>
        <a:ln w="9525" cap="flat" cmpd="sng" algn="ctr">
          <a:solidFill>
            <a:schemeClr val="bg1">
              <a:lumMod val="85000"/>
            </a:schemeClr>
          </a:solidFill>
          <a:prstDash val="solid"/>
          <a:round/>
          <a:headEnd type="none" w="med" len="med"/>
          <a:tailEnd type="none" w="med" len="med"/>
        </a:ln>
        <a:effectLst/>
      </c:spPr>
    </c:plotArea>
    <c:legend>
      <c:legendPos val="t"/>
      <c:legendEntry>
        <c:idx val="2"/>
        <c:delete val="1"/>
      </c:legendEntry>
      <c:legendEntry>
        <c:idx val="5"/>
        <c:delete val="1"/>
      </c:legendEntry>
      <c:layout>
        <c:manualLayout>
          <c:xMode val="edge"/>
          <c:yMode val="edge"/>
          <c:x val="0.14132322163401495"/>
          <c:y val="0"/>
          <c:w val="0.78025629739952906"/>
          <c:h val="9.111012017569285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0" cap="flat" cmpd="sng" algn="ctr">
      <a:noFill/>
      <a:round/>
    </a:ln>
    <a:effectLs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200031242677498E-2"/>
          <c:y val="0.12410404855160488"/>
          <c:w val="0.92273205198300878"/>
          <c:h val="0.77953332753771654"/>
        </c:manualLayout>
      </c:layout>
      <c:lineChart>
        <c:grouping val="standard"/>
        <c:varyColors val="0"/>
        <c:ser>
          <c:idx val="0"/>
          <c:order val="0"/>
          <c:tx>
            <c:strRef>
              <c:f>'figura 4'!$F$4</c:f>
              <c:strCache>
                <c:ptCount val="1"/>
                <c:pt idx="0">
                  <c:v>Export</c:v>
                </c:pt>
              </c:strCache>
            </c:strRef>
          </c:tx>
          <c:spPr>
            <a:ln w="19050" cap="rnd">
              <a:solidFill>
                <a:srgbClr val="003B5C"/>
              </a:solidFill>
              <a:round/>
            </a:ln>
            <a:effectLst/>
          </c:spPr>
          <c:marker>
            <c:symbol val="none"/>
          </c:marker>
          <c:cat>
            <c:numRef>
              <c:f>'figura 4'!$B$77:$B$136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4'!$F$77:$F$136</c:f>
              <c:numCache>
                <c:formatCode>0.0</c:formatCode>
                <c:ptCount val="60"/>
                <c:pt idx="0">
                  <c:v>9.4952009093222109</c:v>
                </c:pt>
                <c:pt idx="1">
                  <c:v>4.2015988254071157</c:v>
                </c:pt>
                <c:pt idx="2">
                  <c:v>-1.3234102622182831</c:v>
                </c:pt>
                <c:pt idx="3">
                  <c:v>7.2027344421919492</c:v>
                </c:pt>
                <c:pt idx="4">
                  <c:v>-0.93951501399373027</c:v>
                </c:pt>
                <c:pt idx="5">
                  <c:v>6.7915399190423775</c:v>
                </c:pt>
                <c:pt idx="6">
                  <c:v>7.3687364762480945</c:v>
                </c:pt>
                <c:pt idx="7">
                  <c:v>4.6220522481957849</c:v>
                </c:pt>
                <c:pt idx="8">
                  <c:v>-2.3949109746485342</c:v>
                </c:pt>
                <c:pt idx="9">
                  <c:v>10.339816054625551</c:v>
                </c:pt>
                <c:pt idx="10">
                  <c:v>1.8283947769259568</c:v>
                </c:pt>
                <c:pt idx="11">
                  <c:v>-2.1550341855868571</c:v>
                </c:pt>
                <c:pt idx="12">
                  <c:v>3.6893959110131158</c:v>
                </c:pt>
                <c:pt idx="13">
                  <c:v>4.1153285081400481</c:v>
                </c:pt>
                <c:pt idx="14">
                  <c:v>0.45361148350655522</c:v>
                </c:pt>
                <c:pt idx="15">
                  <c:v>6.2122269245504125</c:v>
                </c:pt>
                <c:pt idx="16">
                  <c:v>8.2579182056991662</c:v>
                </c:pt>
                <c:pt idx="17">
                  <c:v>-2.8755264014559745</c:v>
                </c:pt>
                <c:pt idx="18">
                  <c:v>6.7599343267634726</c:v>
                </c:pt>
                <c:pt idx="19">
                  <c:v>-2.9346107104233132</c:v>
                </c:pt>
                <c:pt idx="20">
                  <c:v>7.025573507578331</c:v>
                </c:pt>
                <c:pt idx="21">
                  <c:v>5.2489112563056661</c:v>
                </c:pt>
                <c:pt idx="22">
                  <c:v>-2.4395719004043248</c:v>
                </c:pt>
                <c:pt idx="23">
                  <c:v>4.751155855401068</c:v>
                </c:pt>
                <c:pt idx="24">
                  <c:v>1.8800433360849578</c:v>
                </c:pt>
                <c:pt idx="25">
                  <c:v>4.9702980985989687</c:v>
                </c:pt>
                <c:pt idx="26">
                  <c:v>-14.640764481952806</c:v>
                </c:pt>
                <c:pt idx="27">
                  <c:v>-42.780657555504995</c:v>
                </c:pt>
                <c:pt idx="28">
                  <c:v>-29.737216021294554</c:v>
                </c:pt>
                <c:pt idx="29">
                  <c:v>-11.887566105596004</c:v>
                </c:pt>
                <c:pt idx="30">
                  <c:v>-7.4953761702297506</c:v>
                </c:pt>
                <c:pt idx="31">
                  <c:v>-6.1552712860193477</c:v>
                </c:pt>
                <c:pt idx="32">
                  <c:v>2.3123459229232424</c:v>
                </c:pt>
                <c:pt idx="33">
                  <c:v>-7.41523126636634</c:v>
                </c:pt>
                <c:pt idx="34">
                  <c:v>2.1966259269010635</c:v>
                </c:pt>
                <c:pt idx="35">
                  <c:v>3.9519551567386291</c:v>
                </c:pt>
                <c:pt idx="36">
                  <c:v>-9.1965453204260861</c:v>
                </c:pt>
                <c:pt idx="37">
                  <c:v>-3.3671364424356254</c:v>
                </c:pt>
                <c:pt idx="38">
                  <c:v>27.819751238798716</c:v>
                </c:pt>
                <c:pt idx="39">
                  <c:v>96.7008264887818</c:v>
                </c:pt>
                <c:pt idx="40">
                  <c:v>40.485824292305786</c:v>
                </c:pt>
                <c:pt idx="41">
                  <c:v>24.035057143238348</c:v>
                </c:pt>
                <c:pt idx="42">
                  <c:v>14.727756461491449</c:v>
                </c:pt>
                <c:pt idx="43">
                  <c:v>16.708708977561358</c:v>
                </c:pt>
                <c:pt idx="44">
                  <c:v>10.325454453760251</c:v>
                </c:pt>
                <c:pt idx="45">
                  <c:v>7.353057369343019</c:v>
                </c:pt>
                <c:pt idx="46">
                  <c:v>16.802570759670221</c:v>
                </c:pt>
                <c:pt idx="47">
                  <c:v>16.162966842928771</c:v>
                </c:pt>
                <c:pt idx="48">
                  <c:v>22.612115701885969</c:v>
                </c:pt>
              </c:numCache>
            </c:numRef>
          </c:val>
          <c:smooth val="0"/>
          <c:extLst>
            <c:ext xmlns:c16="http://schemas.microsoft.com/office/drawing/2014/chart" uri="{C3380CC4-5D6E-409C-BE32-E72D297353CC}">
              <c16:uniqueId val="{00000000-40AB-4C5A-9865-0DB12FDE8568}"/>
            </c:ext>
          </c:extLst>
        </c:ser>
        <c:ser>
          <c:idx val="1"/>
          <c:order val="1"/>
          <c:tx>
            <c:strRef>
              <c:f>'figura 4'!$G$4</c:f>
              <c:strCache>
                <c:ptCount val="1"/>
                <c:pt idx="0">
                  <c:v>Import</c:v>
                </c:pt>
              </c:strCache>
            </c:strRef>
          </c:tx>
          <c:spPr>
            <a:ln w="19050" cap="rnd">
              <a:solidFill>
                <a:srgbClr val="D22630"/>
              </a:solidFill>
              <a:round/>
            </a:ln>
            <a:effectLst/>
          </c:spPr>
          <c:marker>
            <c:symbol val="none"/>
          </c:marker>
          <c:cat>
            <c:numRef>
              <c:f>'figura 4'!$B$77:$B$136</c:f>
              <c:numCache>
                <c:formatCode>General</c:formatCode>
                <c:ptCount val="60"/>
                <c:pt idx="5" formatCode="0">
                  <c:v>2018</c:v>
                </c:pt>
                <c:pt idx="17" formatCode="0">
                  <c:v>2019</c:v>
                </c:pt>
                <c:pt idx="29" formatCode="0">
                  <c:v>2020</c:v>
                </c:pt>
                <c:pt idx="41" formatCode="0">
                  <c:v>2021</c:v>
                </c:pt>
                <c:pt idx="53" formatCode="0">
                  <c:v>2022</c:v>
                </c:pt>
              </c:numCache>
            </c:numRef>
          </c:cat>
          <c:val>
            <c:numRef>
              <c:f>'figura 4'!$G$77:$G$136</c:f>
              <c:numCache>
                <c:formatCode>0.0</c:formatCode>
                <c:ptCount val="60"/>
                <c:pt idx="0">
                  <c:v>9.3585323900492021</c:v>
                </c:pt>
                <c:pt idx="1">
                  <c:v>1.1410739067599485</c:v>
                </c:pt>
                <c:pt idx="2">
                  <c:v>4.4519567312928388E-2</c:v>
                </c:pt>
                <c:pt idx="3">
                  <c:v>10.472357148378887</c:v>
                </c:pt>
                <c:pt idx="4">
                  <c:v>1.4112621243217882</c:v>
                </c:pt>
                <c:pt idx="5">
                  <c:v>5.1877864735496715</c:v>
                </c:pt>
                <c:pt idx="6">
                  <c:v>10.365327608827846</c:v>
                </c:pt>
                <c:pt idx="7">
                  <c:v>6.8977930817439859</c:v>
                </c:pt>
                <c:pt idx="8">
                  <c:v>6.3093492173381005</c:v>
                </c:pt>
                <c:pt idx="9">
                  <c:v>14.899817051238973</c:v>
                </c:pt>
                <c:pt idx="10">
                  <c:v>3.9846728827007238</c:v>
                </c:pt>
                <c:pt idx="11">
                  <c:v>4.7622310301687065</c:v>
                </c:pt>
                <c:pt idx="12">
                  <c:v>1.7974203489770746</c:v>
                </c:pt>
                <c:pt idx="13">
                  <c:v>3.3671484676422558</c:v>
                </c:pt>
                <c:pt idx="14">
                  <c:v>-0.30391450663055375</c:v>
                </c:pt>
                <c:pt idx="15">
                  <c:v>5.9600184893007224</c:v>
                </c:pt>
                <c:pt idx="16">
                  <c:v>2.9051136422940882</c:v>
                </c:pt>
                <c:pt idx="17">
                  <c:v>-5.0013365453943637</c:v>
                </c:pt>
                <c:pt idx="18">
                  <c:v>2.0196905690953226</c:v>
                </c:pt>
                <c:pt idx="19">
                  <c:v>-4.3266090148819547</c:v>
                </c:pt>
                <c:pt idx="20">
                  <c:v>2.3097377266630081</c:v>
                </c:pt>
                <c:pt idx="21">
                  <c:v>-5.5647338883738744</c:v>
                </c:pt>
                <c:pt idx="22">
                  <c:v>-5.957468451488845</c:v>
                </c:pt>
                <c:pt idx="23">
                  <c:v>-1.7308275803805118</c:v>
                </c:pt>
                <c:pt idx="24">
                  <c:v>1.5603249438599587</c:v>
                </c:pt>
                <c:pt idx="25">
                  <c:v>-0.56977080719227136</c:v>
                </c:pt>
                <c:pt idx="26">
                  <c:v>-18.418281818700756</c:v>
                </c:pt>
                <c:pt idx="27">
                  <c:v>-34.482629327281956</c:v>
                </c:pt>
                <c:pt idx="28">
                  <c:v>-34.069251315824211</c:v>
                </c:pt>
                <c:pt idx="29">
                  <c:v>-14.868866323421736</c:v>
                </c:pt>
                <c:pt idx="30">
                  <c:v>-13.137895129981668</c:v>
                </c:pt>
                <c:pt idx="31">
                  <c:v>-10.861708572397655</c:v>
                </c:pt>
                <c:pt idx="32">
                  <c:v>-5.7938134289781225</c:v>
                </c:pt>
                <c:pt idx="33">
                  <c:v>-6.9792940012951776</c:v>
                </c:pt>
                <c:pt idx="34">
                  <c:v>-2.2030400885427737</c:v>
                </c:pt>
                <c:pt idx="35">
                  <c:v>-0.73834932259302377</c:v>
                </c:pt>
                <c:pt idx="36">
                  <c:v>-12.200830096026493</c:v>
                </c:pt>
                <c:pt idx="37">
                  <c:v>-1.4465219149669584</c:v>
                </c:pt>
                <c:pt idx="38">
                  <c:v>34.443947008155718</c:v>
                </c:pt>
                <c:pt idx="39">
                  <c:v>62.021732877064231</c:v>
                </c:pt>
                <c:pt idx="40">
                  <c:v>49.773252572811558</c:v>
                </c:pt>
                <c:pt idx="41">
                  <c:v>30.983661732177548</c:v>
                </c:pt>
                <c:pt idx="42">
                  <c:v>21.297443829184282</c:v>
                </c:pt>
                <c:pt idx="43">
                  <c:v>30.063927820431747</c:v>
                </c:pt>
                <c:pt idx="44">
                  <c:v>22.531157220644648</c:v>
                </c:pt>
                <c:pt idx="45">
                  <c:v>19.405817927589109</c:v>
                </c:pt>
                <c:pt idx="46">
                  <c:v>27.928125425439411</c:v>
                </c:pt>
                <c:pt idx="47">
                  <c:v>37.674907517580003</c:v>
                </c:pt>
                <c:pt idx="48">
                  <c:v>44.459106334968411</c:v>
                </c:pt>
              </c:numCache>
            </c:numRef>
          </c:val>
          <c:smooth val="0"/>
          <c:extLst>
            <c:ext xmlns:c16="http://schemas.microsoft.com/office/drawing/2014/chart" uri="{C3380CC4-5D6E-409C-BE32-E72D297353CC}">
              <c16:uniqueId val="{00000001-40AB-4C5A-9865-0DB12FDE8568}"/>
            </c:ext>
          </c:extLst>
        </c:ser>
        <c:dLbls>
          <c:showLegendKey val="0"/>
          <c:showVal val="0"/>
          <c:showCatName val="0"/>
          <c:showSerName val="0"/>
          <c:showPercent val="0"/>
          <c:showBubbleSize val="0"/>
        </c:dLbls>
        <c:smooth val="0"/>
        <c:axId val="209964144"/>
        <c:axId val="209063776"/>
      </c:lineChart>
      <c:catAx>
        <c:axId val="209964144"/>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a:ex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09063776"/>
        <c:crosses val="autoZero"/>
        <c:auto val="1"/>
        <c:lblAlgn val="l"/>
        <c:lblOffset val="0"/>
        <c:tickMarkSkip val="3"/>
        <c:noMultiLvlLbl val="0"/>
      </c:catAx>
      <c:valAx>
        <c:axId val="209063776"/>
        <c:scaling>
          <c:orientation val="minMax"/>
          <c:max val="100"/>
          <c:min val="-5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1.8995495495495493E-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09964144"/>
        <c:crosses val="autoZero"/>
        <c:crossBetween val="between"/>
        <c:majorUnit val="25"/>
      </c:valAx>
    </c:plotArea>
    <c:legend>
      <c:legendPos val="t"/>
      <c:layout>
        <c:manualLayout>
          <c:xMode val="edge"/>
          <c:yMode val="edge"/>
          <c:x val="0.29322274226593525"/>
          <c:y val="0"/>
          <c:w val="0.39102989683908218"/>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6350" cap="flat" cmpd="sng" algn="ctr">
      <a:noFill/>
      <a:round/>
    </a:ln>
    <a:effec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000600600600591E-2"/>
          <c:y val="0.11227175925925927"/>
          <c:w val="0.91781336336336339"/>
          <c:h val="0.44112500000000004"/>
        </c:manualLayout>
      </c:layout>
      <c:barChart>
        <c:barDir val="col"/>
        <c:grouping val="clustered"/>
        <c:varyColors val="0"/>
        <c:ser>
          <c:idx val="1"/>
          <c:order val="0"/>
          <c:tx>
            <c:strRef>
              <c:f>'figg. 6 e 7'!$D$42</c:f>
              <c:strCache>
                <c:ptCount val="1"/>
                <c:pt idx="0">
                  <c:v>Contributi alla var. (punti perc. - sinistra)</c:v>
                </c:pt>
              </c:strCache>
            </c:strRef>
          </c:tx>
          <c:spPr>
            <a:solidFill>
              <a:srgbClr val="003B5C"/>
            </a:solidFill>
            <a:ln>
              <a:solidFill>
                <a:schemeClr val="bg1"/>
              </a:solidFill>
            </a:ln>
            <a:effectLst/>
          </c:spPr>
          <c:invertIfNegative val="0"/>
          <c:cat>
            <c:strRef>
              <c:f>'figg. 6 e 7'!$P$44:$P$61</c:f>
              <c:strCache>
                <c:ptCount val="18"/>
                <c:pt idx="0">
                  <c:v>Metalli</c:v>
                </c:pt>
                <c:pt idx="1">
                  <c:v>Altri mezzi trasporto</c:v>
                </c:pt>
                <c:pt idx="2">
                  <c:v>Farmaceutica</c:v>
                </c:pt>
                <c:pt idx="3">
                  <c:v>Raffinazione</c:v>
                </c:pt>
                <c:pt idx="4">
                  <c:v>Chimica</c:v>
                </c:pt>
                <c:pt idx="5">
                  <c:v>Alimentari</c:v>
                </c:pt>
                <c:pt idx="6">
                  <c:v>Macchinari</c:v>
                </c:pt>
                <c:pt idx="7">
                  <c:v>Abbigliamento</c:v>
                </c:pt>
                <c:pt idx="8">
                  <c:v>Altra manifattura</c:v>
                </c:pt>
                <c:pt idx="9">
                  <c:v>Gomma-plastica</c:v>
                </c:pt>
                <c:pt idx="10">
                  <c:v>Apparecchi elettrici</c:v>
                </c:pt>
                <c:pt idx="11">
                  <c:v>Pelletteria</c:v>
                </c:pt>
                <c:pt idx="12">
                  <c:v>Elettronica</c:v>
                </c:pt>
                <c:pt idx="13">
                  <c:v>Minerali non metalliferi</c:v>
                </c:pt>
                <c:pt idx="14">
                  <c:v>Tessili</c:v>
                </c:pt>
                <c:pt idx="15">
                  <c:v>Mobili</c:v>
                </c:pt>
                <c:pt idx="16">
                  <c:v>Agricoltura</c:v>
                </c:pt>
                <c:pt idx="17">
                  <c:v>Autoveicoli</c:v>
                </c:pt>
              </c:strCache>
            </c:strRef>
          </c:cat>
          <c:val>
            <c:numRef>
              <c:f>'figg. 6 e 7'!$D$44:$D$61</c:f>
              <c:numCache>
                <c:formatCode>0.00</c:formatCode>
                <c:ptCount val="18"/>
                <c:pt idx="0">
                  <c:v>3.2545839634598055</c:v>
                </c:pt>
                <c:pt idx="1">
                  <c:v>2.847904107691412</c:v>
                </c:pt>
                <c:pt idx="2">
                  <c:v>1.8673799715026314</c:v>
                </c:pt>
                <c:pt idx="3">
                  <c:v>1.7968640325783449</c:v>
                </c:pt>
                <c:pt idx="4">
                  <c:v>1.7924771548785849</c:v>
                </c:pt>
                <c:pt idx="5">
                  <c:v>1.6763792378112494</c:v>
                </c:pt>
                <c:pt idx="6">
                  <c:v>1.1649919281250616</c:v>
                </c:pt>
                <c:pt idx="7">
                  <c:v>1.0770258977059513</c:v>
                </c:pt>
                <c:pt idx="8">
                  <c:v>0.85613894415489655</c:v>
                </c:pt>
                <c:pt idx="9">
                  <c:v>0.81151581340044165</c:v>
                </c:pt>
                <c:pt idx="10">
                  <c:v>0.80927171097650519</c:v>
                </c:pt>
                <c:pt idx="11">
                  <c:v>0.73165454407789188</c:v>
                </c:pt>
                <c:pt idx="12">
                  <c:v>0.61414204406900286</c:v>
                </c:pt>
                <c:pt idx="13">
                  <c:v>0.50173191732181743</c:v>
                </c:pt>
                <c:pt idx="14">
                  <c:v>0.46200808587862102</c:v>
                </c:pt>
                <c:pt idx="15">
                  <c:v>0.40923810062605576</c:v>
                </c:pt>
                <c:pt idx="16">
                  <c:v>0.17332443369119219</c:v>
                </c:pt>
                <c:pt idx="17">
                  <c:v>-7.9412471457422543E-2</c:v>
                </c:pt>
              </c:numCache>
            </c:numRef>
          </c:val>
          <c:extLst>
            <c:ext xmlns:c16="http://schemas.microsoft.com/office/drawing/2014/chart" uri="{C3380CC4-5D6E-409C-BE32-E72D297353CC}">
              <c16:uniqueId val="{00000000-13EB-48C4-B7DE-6D31CF3153E6}"/>
            </c:ext>
          </c:extLst>
        </c:ser>
        <c:dLbls>
          <c:showLegendKey val="0"/>
          <c:showVal val="0"/>
          <c:showCatName val="0"/>
          <c:showSerName val="0"/>
          <c:showPercent val="0"/>
          <c:showBubbleSize val="0"/>
        </c:dLbls>
        <c:gapWidth val="0"/>
        <c:axId val="235970992"/>
        <c:axId val="235971552"/>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2402151419221509E-2"/>
                  <c:y val="-5.474114111727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EB-48C4-B7DE-6D31CF3153E6}"/>
                </c:ext>
              </c:extLst>
            </c:dLbl>
            <c:dLbl>
              <c:idx val="1"/>
              <c:layout>
                <c:manualLayout>
                  <c:x val="-3.0498878540650639E-2"/>
                  <c:y val="-4.8049799724779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EB-48C4-B7DE-6D31CF3153E6}"/>
                </c:ext>
              </c:extLst>
            </c:dLbl>
            <c:dLbl>
              <c:idx val="2"/>
              <c:layout>
                <c:manualLayout>
                  <c:x val="-2.8620432260998745E-2"/>
                  <c:y val="-5.3531634094102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EB-48C4-B7DE-6D31CF3153E6}"/>
                </c:ext>
              </c:extLst>
            </c:dLbl>
            <c:dLbl>
              <c:idx val="3"/>
              <c:layout>
                <c:manualLayout>
                  <c:x val="-3.0511590955759782E-2"/>
                  <c:y val="-4.9673762681990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EB-48C4-B7DE-6D31CF3153E6}"/>
                </c:ext>
              </c:extLst>
            </c:dLbl>
            <c:dLbl>
              <c:idx val="4"/>
              <c:layout>
                <c:manualLayout>
                  <c:x val="-3.4313663663663667E-2"/>
                  <c:y val="-4.984467592592592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484069069069069E-2"/>
                      <c:h val="6.4299999999999982E-2"/>
                    </c:manualLayout>
                  </c15:layout>
                </c:ext>
                <c:ext xmlns:c16="http://schemas.microsoft.com/office/drawing/2014/chart" uri="{C3380CC4-5D6E-409C-BE32-E72D297353CC}">
                  <c16:uniqueId val="{00000005-13EB-48C4-B7DE-6D31CF3153E6}"/>
                </c:ext>
              </c:extLst>
            </c:dLbl>
            <c:dLbl>
              <c:idx val="5"/>
              <c:layout>
                <c:manualLayout>
                  <c:x val="-2.867162162162162E-2"/>
                  <c:y val="-6.176064814814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EB-48C4-B7DE-6D31CF3153E6}"/>
                </c:ext>
              </c:extLst>
            </c:dLbl>
            <c:dLbl>
              <c:idx val="6"/>
              <c:layout>
                <c:manualLayout>
                  <c:x val="-3.0570217623086534E-2"/>
                  <c:y val="-5.8515940751763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EB-48C4-B7DE-6D31CF3153E6}"/>
                </c:ext>
              </c:extLst>
            </c:dLbl>
            <c:dLbl>
              <c:idx val="7"/>
              <c:layout>
                <c:manualLayout>
                  <c:x val="-3.0561094595772938E-2"/>
                  <c:y val="-5.3853537232409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EB-48C4-B7DE-6D31CF3153E6}"/>
                </c:ext>
              </c:extLst>
            </c:dLbl>
            <c:dLbl>
              <c:idx val="8"/>
              <c:layout>
                <c:manualLayout>
                  <c:x val="-3.0611645140559678E-2"/>
                  <c:y val="-4.8030386211529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EB-48C4-B7DE-6D31CF3153E6}"/>
                </c:ext>
              </c:extLst>
            </c:dLbl>
            <c:dLbl>
              <c:idx val="9"/>
              <c:layout>
                <c:manualLayout>
                  <c:x val="-3.0597138031552812E-2"/>
                  <c:y val="-4.8368091046668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EB-48C4-B7DE-6D31CF3153E6}"/>
                </c:ext>
              </c:extLst>
            </c:dLbl>
            <c:dLbl>
              <c:idx val="10"/>
              <c:layout>
                <c:manualLayout>
                  <c:x val="-3.2508337474838764E-2"/>
                  <c:y val="-5.8907822833181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3EB-48C4-B7DE-6D31CF3153E6}"/>
                </c:ext>
              </c:extLst>
            </c:dLbl>
            <c:dLbl>
              <c:idx val="11"/>
              <c:layout>
                <c:manualLayout>
                  <c:x val="-2.6779375437550042E-2"/>
                  <c:y val="-5.3104536802603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3EB-48C4-B7DE-6D31CF3153E6}"/>
                </c:ext>
              </c:extLst>
            </c:dLbl>
            <c:dLbl>
              <c:idx val="12"/>
              <c:layout>
                <c:manualLayout>
                  <c:x val="-3.0570068065261649E-2"/>
                  <c:y val="-5.321514868042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3EB-48C4-B7DE-6D31CF3153E6}"/>
                </c:ext>
              </c:extLst>
            </c:dLbl>
            <c:dLbl>
              <c:idx val="13"/>
              <c:layout>
                <c:manualLayout>
                  <c:x val="-2.8650493383786169E-2"/>
                  <c:y val="-5.789877162123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3EB-48C4-B7DE-6D31CF3153E6}"/>
                </c:ext>
              </c:extLst>
            </c:dLbl>
            <c:dLbl>
              <c:idx val="14"/>
              <c:layout>
                <c:manualLayout>
                  <c:x val="-3.9101743739546842E-2"/>
                  <c:y val="-4.5529880557231034E-2"/>
                </c:manualLayout>
              </c:layout>
              <c:spPr>
                <a:noFill/>
                <a:ln>
                  <a:noFill/>
                </a:ln>
                <a:effectLst/>
              </c:spPr>
              <c:txPr>
                <a:bodyPr wrap="square" lIns="38100" tIns="19050" rIns="38100" bIns="19050" anchor="ctr">
                  <a:noAutofit/>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5.6916230686408151E-2"/>
                      <c:h val="8.4297402541367319E-2"/>
                    </c:manualLayout>
                  </c15:layout>
                </c:ext>
                <c:ext xmlns:c16="http://schemas.microsoft.com/office/drawing/2014/chart" uri="{C3380CC4-5D6E-409C-BE32-E72D297353CC}">
                  <c16:uniqueId val="{0000000F-13EB-48C4-B7DE-6D31CF3153E6}"/>
                </c:ext>
              </c:extLst>
            </c:dLbl>
            <c:dLbl>
              <c:idx val="15"/>
              <c:layout>
                <c:manualLayout>
                  <c:x val="-2.8611411411411412E-2"/>
                  <c:y val="-5.3669444444444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3EB-48C4-B7DE-6D31CF3153E6}"/>
                </c:ext>
              </c:extLst>
            </c:dLbl>
            <c:dLbl>
              <c:idx val="16"/>
              <c:layout>
                <c:manualLayout>
                  <c:x val="-2.6806456456456455E-2"/>
                  <c:y val="-6.2985648148148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3EB-48C4-B7DE-6D31CF3153E6}"/>
                </c:ext>
              </c:extLst>
            </c:dLbl>
            <c:dLbl>
              <c:idx val="17"/>
              <c:layout>
                <c:manualLayout>
                  <c:x val="-3.2436186186186183E-2"/>
                  <c:y val="4.1676388888888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3EB-48C4-B7DE-6D31CF3153E6}"/>
                </c:ext>
              </c:extLst>
            </c:dLbl>
            <c:dLbl>
              <c:idx val="18"/>
              <c:layout>
                <c:manualLayout>
                  <c:x val="-3.8156504823624024E-2"/>
                  <c:y val="7.658101851851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3EB-48C4-B7DE-6D31CF3153E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7'!$P$44:$P$61</c:f>
              <c:strCache>
                <c:ptCount val="18"/>
                <c:pt idx="0">
                  <c:v>Metalli</c:v>
                </c:pt>
                <c:pt idx="1">
                  <c:v>Altri mezzi trasporto</c:v>
                </c:pt>
                <c:pt idx="2">
                  <c:v>Farmaceutica</c:v>
                </c:pt>
                <c:pt idx="3">
                  <c:v>Raffinazione</c:v>
                </c:pt>
                <c:pt idx="4">
                  <c:v>Chimica</c:v>
                </c:pt>
                <c:pt idx="5">
                  <c:v>Alimentari</c:v>
                </c:pt>
                <c:pt idx="6">
                  <c:v>Macchinari</c:v>
                </c:pt>
                <c:pt idx="7">
                  <c:v>Abbigliamento</c:v>
                </c:pt>
                <c:pt idx="8">
                  <c:v>Altra manifattura</c:v>
                </c:pt>
                <c:pt idx="9">
                  <c:v>Gomma-plastica</c:v>
                </c:pt>
                <c:pt idx="10">
                  <c:v>Apparecchi elettrici</c:v>
                </c:pt>
                <c:pt idx="11">
                  <c:v>Pelletteria</c:v>
                </c:pt>
                <c:pt idx="12">
                  <c:v>Elettronica</c:v>
                </c:pt>
                <c:pt idx="13">
                  <c:v>Minerali non metalliferi</c:v>
                </c:pt>
                <c:pt idx="14">
                  <c:v>Tessili</c:v>
                </c:pt>
                <c:pt idx="15">
                  <c:v>Mobili</c:v>
                </c:pt>
                <c:pt idx="16">
                  <c:v>Agricoltura</c:v>
                </c:pt>
                <c:pt idx="17">
                  <c:v>Autoveicoli</c:v>
                </c:pt>
              </c:strCache>
            </c:strRef>
          </c:cat>
          <c:val>
            <c:numRef>
              <c:f>'figg. 6 e 7'!$B$44:$B$61</c:f>
              <c:numCache>
                <c:formatCode>0.0</c:formatCode>
                <c:ptCount val="18"/>
                <c:pt idx="0">
                  <c:v>27.117165256915712</c:v>
                </c:pt>
                <c:pt idx="1">
                  <c:v>57.630311363453217</c:v>
                </c:pt>
                <c:pt idx="2">
                  <c:v>25.908808726174996</c:v>
                </c:pt>
                <c:pt idx="3">
                  <c:v>87.255795732357882</c:v>
                </c:pt>
                <c:pt idx="4">
                  <c:v>25.248942008316035</c:v>
                </c:pt>
                <c:pt idx="5">
                  <c:v>20.032020002992638</c:v>
                </c:pt>
                <c:pt idx="6">
                  <c:v>7.4694061377260255</c:v>
                </c:pt>
                <c:pt idx="7">
                  <c:v>23.19604458705156</c:v>
                </c:pt>
                <c:pt idx="8">
                  <c:v>26.274376663265201</c:v>
                </c:pt>
                <c:pt idx="9">
                  <c:v>21.601229322277376</c:v>
                </c:pt>
                <c:pt idx="10">
                  <c:v>15.077350877479802</c:v>
                </c:pt>
                <c:pt idx="11">
                  <c:v>15.072512445782536</c:v>
                </c:pt>
                <c:pt idx="12">
                  <c:v>16.765819255474696</c:v>
                </c:pt>
                <c:pt idx="13">
                  <c:v>23.501603293666477</c:v>
                </c:pt>
                <c:pt idx="14">
                  <c:v>27.356378624250851</c:v>
                </c:pt>
                <c:pt idx="15">
                  <c:v>21.643327897663227</c:v>
                </c:pt>
                <c:pt idx="16">
                  <c:v>9.1995457437577386</c:v>
                </c:pt>
                <c:pt idx="17">
                  <c:v>-1.6926755010859011</c:v>
                </c:pt>
              </c:numCache>
            </c:numRef>
          </c:val>
          <c:smooth val="0"/>
          <c:extLst>
            <c:ext xmlns:c16="http://schemas.microsoft.com/office/drawing/2014/chart" uri="{C3380CC4-5D6E-409C-BE32-E72D297353CC}">
              <c16:uniqueId val="{00000014-13EB-48C4-B7DE-6D31CF3153E6}"/>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5972672"/>
        <c:axId val="235972112"/>
      </c:lineChart>
      <c:catAx>
        <c:axId val="23597099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5971552"/>
        <c:crosses val="autoZero"/>
        <c:auto val="1"/>
        <c:lblAlgn val="ctr"/>
        <c:lblOffset val="0"/>
        <c:noMultiLvlLbl val="0"/>
      </c:catAx>
      <c:valAx>
        <c:axId val="235971552"/>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6948843843843846"/>
              <c:y val="3.7319444444444444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0992"/>
        <c:crosses val="autoZero"/>
        <c:crossBetween val="between"/>
        <c:majorUnit val="5"/>
      </c:valAx>
      <c:valAx>
        <c:axId val="235972112"/>
        <c:scaling>
          <c:orientation val="minMax"/>
          <c:max val="400"/>
          <c:min val="-400"/>
        </c:scaling>
        <c:delete val="0"/>
        <c:axPos val="r"/>
        <c:numFmt formatCode="0" sourceLinked="0"/>
        <c:majorTickMark val="out"/>
        <c:minorTickMark val="none"/>
        <c:tickLblPos val="nextTo"/>
        <c:crossAx val="235972672"/>
        <c:crosses val="max"/>
        <c:crossBetween val="between"/>
        <c:majorUnit val="200"/>
      </c:valAx>
      <c:catAx>
        <c:axId val="235972672"/>
        <c:scaling>
          <c:orientation val="minMax"/>
        </c:scaling>
        <c:delete val="1"/>
        <c:axPos val="b"/>
        <c:numFmt formatCode="General" sourceLinked="1"/>
        <c:majorTickMark val="out"/>
        <c:minorTickMark val="none"/>
        <c:tickLblPos val="nextTo"/>
        <c:crossAx val="235972112"/>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0371775005577228"/>
          <c:y val="5.8431693350473298E-3"/>
          <c:w val="0.54175660660660663"/>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95195195195195E-2"/>
          <c:y val="0.12223055555555555"/>
          <c:w val="0.91971876876876879"/>
          <c:h val="0.4729078703703703"/>
        </c:manualLayout>
      </c:layout>
      <c:barChart>
        <c:barDir val="col"/>
        <c:grouping val="clustered"/>
        <c:varyColors val="0"/>
        <c:ser>
          <c:idx val="1"/>
          <c:order val="0"/>
          <c:tx>
            <c:strRef>
              <c:f>'figg. 6 e 7'!$D$42</c:f>
              <c:strCache>
                <c:ptCount val="1"/>
                <c:pt idx="0">
                  <c:v>Contributi alla var. (punti perc. - sinistra)</c:v>
                </c:pt>
              </c:strCache>
            </c:strRef>
          </c:tx>
          <c:spPr>
            <a:solidFill>
              <a:srgbClr val="D22630"/>
            </a:solidFill>
            <a:ln>
              <a:solidFill>
                <a:schemeClr val="bg1"/>
              </a:solidFill>
            </a:ln>
            <a:effectLst/>
          </c:spPr>
          <c:invertIfNegative val="0"/>
          <c:cat>
            <c:strRef>
              <c:f>'figg. 6 e 7'!$P$72:$P$90</c:f>
              <c:strCache>
                <c:ptCount val="19"/>
                <c:pt idx="0">
                  <c:v>Gas naturale</c:v>
                </c:pt>
                <c:pt idx="1">
                  <c:v>Metalli</c:v>
                </c:pt>
                <c:pt idx="2">
                  <c:v>Chimica</c:v>
                </c:pt>
                <c:pt idx="3">
                  <c:v>Petrolio greggio</c:v>
                </c:pt>
                <c:pt idx="4">
                  <c:v>Macchinari</c:v>
                </c:pt>
                <c:pt idx="5">
                  <c:v>Farmaceutica</c:v>
                </c:pt>
                <c:pt idx="6">
                  <c:v>Alimentari</c:v>
                </c:pt>
                <c:pt idx="7">
                  <c:v>Elettronica</c:v>
                </c:pt>
                <c:pt idx="8">
                  <c:v>Raffinazione</c:v>
                </c:pt>
                <c:pt idx="9">
                  <c:v>Agricoltura</c:v>
                </c:pt>
                <c:pt idx="10">
                  <c:v>Apparecchi elettrici</c:v>
                </c:pt>
                <c:pt idx="11">
                  <c:v>Gomma-plastica</c:v>
                </c:pt>
                <c:pt idx="12">
                  <c:v>Altra manifattura</c:v>
                </c:pt>
                <c:pt idx="13">
                  <c:v>Carta-stampa</c:v>
                </c:pt>
                <c:pt idx="14">
                  <c:v>Pelletteria</c:v>
                </c:pt>
                <c:pt idx="15">
                  <c:v>Abbigliamento</c:v>
                </c:pt>
                <c:pt idx="16">
                  <c:v>Trattamento rifiuti</c:v>
                </c:pt>
                <c:pt idx="17">
                  <c:v>Altri mezzi trasporto</c:v>
                </c:pt>
                <c:pt idx="18">
                  <c:v>Autoveicoli</c:v>
                </c:pt>
              </c:strCache>
            </c:strRef>
          </c:cat>
          <c:val>
            <c:numRef>
              <c:f>'figg. 6 e 7'!$D$72:$D$90</c:f>
              <c:numCache>
                <c:formatCode>0.00</c:formatCode>
                <c:ptCount val="19"/>
                <c:pt idx="0">
                  <c:v>8.6409210383139197</c:v>
                </c:pt>
                <c:pt idx="1">
                  <c:v>6.1222167404965688</c:v>
                </c:pt>
                <c:pt idx="2">
                  <c:v>5.0556310837031289</c:v>
                </c:pt>
                <c:pt idx="3">
                  <c:v>3.2571690456561186</c:v>
                </c:pt>
                <c:pt idx="4">
                  <c:v>2.8103411333266042</c:v>
                </c:pt>
                <c:pt idx="5">
                  <c:v>2.3081710041521584</c:v>
                </c:pt>
                <c:pt idx="6">
                  <c:v>1.8235280294233391</c:v>
                </c:pt>
                <c:pt idx="7">
                  <c:v>1.4271839443881862</c:v>
                </c:pt>
                <c:pt idx="8">
                  <c:v>1.4233493751948638</c:v>
                </c:pt>
                <c:pt idx="9">
                  <c:v>1.3956744279458244</c:v>
                </c:pt>
                <c:pt idx="10">
                  <c:v>1.3310104188300145</c:v>
                </c:pt>
                <c:pt idx="11">
                  <c:v>0.9724569920021231</c:v>
                </c:pt>
                <c:pt idx="12">
                  <c:v>0.89897914327309103</c:v>
                </c:pt>
                <c:pt idx="13">
                  <c:v>0.84400721857746697</c:v>
                </c:pt>
                <c:pt idx="14">
                  <c:v>0.77489853546725296</c:v>
                </c:pt>
                <c:pt idx="15">
                  <c:v>0.75618574272338368</c:v>
                </c:pt>
                <c:pt idx="16">
                  <c:v>0.66883468086319431</c:v>
                </c:pt>
                <c:pt idx="17">
                  <c:v>9.226909222003539E-2</c:v>
                </c:pt>
                <c:pt idx="18">
                  <c:v>-0.55558486151370323</c:v>
                </c:pt>
              </c:numCache>
            </c:numRef>
          </c:val>
          <c:extLst>
            <c:ext xmlns:c16="http://schemas.microsoft.com/office/drawing/2014/chart" uri="{C3380CC4-5D6E-409C-BE32-E72D297353CC}">
              <c16:uniqueId val="{00000000-BF0F-4BD1-BAA3-674D22923672}"/>
            </c:ext>
          </c:extLst>
        </c:ser>
        <c:dLbls>
          <c:showLegendKey val="0"/>
          <c:showVal val="0"/>
          <c:showCatName val="0"/>
          <c:showSerName val="0"/>
          <c:showPercent val="0"/>
          <c:showBubbleSize val="0"/>
        </c:dLbls>
        <c:gapWidth val="0"/>
        <c:axId val="235976032"/>
        <c:axId val="235976592"/>
      </c:barChart>
      <c:lineChart>
        <c:grouping val="standard"/>
        <c:varyColors val="0"/>
        <c:ser>
          <c:idx val="0"/>
          <c:order val="1"/>
          <c:tx>
            <c:strRef>
              <c:f>'figg. 6 e 7'!$B$42</c:f>
              <c:strCache>
                <c:ptCount val="1"/>
                <c:pt idx="0">
                  <c:v>Variazione (%, scala destra)</c:v>
                </c:pt>
              </c:strCache>
            </c:strRef>
          </c:tx>
          <c:spPr>
            <a:ln w="28575" cap="rnd">
              <a:noFill/>
              <a:round/>
            </a:ln>
            <a:effectLst/>
          </c:spPr>
          <c:marker>
            <c:symbol val="diamond"/>
            <c:size val="6"/>
            <c:spPr>
              <a:solidFill>
                <a:schemeClr val="bg1"/>
              </a:solidFill>
              <a:ln w="9525">
                <a:solidFill>
                  <a:schemeClr val="tx1"/>
                </a:solidFill>
              </a:ln>
              <a:effectLst/>
            </c:spPr>
          </c:marker>
          <c:dLbls>
            <c:dLbl>
              <c:idx val="0"/>
              <c:layout>
                <c:manualLayout>
                  <c:x val="-3.2437895739351824E-2"/>
                  <c:y val="-5.993745278084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0F-4BD1-BAA3-674D22923672}"/>
                </c:ext>
              </c:extLst>
            </c:dLbl>
            <c:dLbl>
              <c:idx val="1"/>
              <c:layout>
                <c:manualLayout>
                  <c:x val="-3.048706347249041E-2"/>
                  <c:y val="-5.8991707589934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0F-4BD1-BAA3-674D22923672}"/>
                </c:ext>
              </c:extLst>
            </c:dLbl>
            <c:dLbl>
              <c:idx val="2"/>
              <c:layout>
                <c:manualLayout>
                  <c:x val="-2.4823159088995447E-2"/>
                  <c:y val="-6.2095913000523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0F-4BD1-BAA3-674D22923672}"/>
                </c:ext>
              </c:extLst>
            </c:dLbl>
            <c:dLbl>
              <c:idx val="3"/>
              <c:layout>
                <c:manualLayout>
                  <c:x val="-3.432762762762763E-2"/>
                  <c:y val="-5.0903703703703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0F-4BD1-BAA3-674D22923672}"/>
                </c:ext>
              </c:extLst>
            </c:dLbl>
            <c:dLbl>
              <c:idx val="4"/>
              <c:layout>
                <c:manualLayout>
                  <c:x val="-3.6230330330330331E-2"/>
                  <c:y val="-5.2075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0F-4BD1-BAA3-674D22923672}"/>
                </c:ext>
              </c:extLst>
            </c:dLbl>
            <c:dLbl>
              <c:idx val="5"/>
              <c:layout>
                <c:manualLayout>
                  <c:x val="-2.6691741741741777E-2"/>
                  <c:y val="-6.4100000000000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0F-4BD1-BAA3-674D22923672}"/>
                </c:ext>
              </c:extLst>
            </c:dLbl>
            <c:dLbl>
              <c:idx val="6"/>
              <c:layout>
                <c:manualLayout>
                  <c:x val="-3.4326576576576576E-2"/>
                  <c:y val="-4.9889814814814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0F-4BD1-BAA3-674D22923672}"/>
                </c:ext>
              </c:extLst>
            </c:dLbl>
            <c:dLbl>
              <c:idx val="7"/>
              <c:layout>
                <c:manualLayout>
                  <c:x val="-3.0544792792868244E-2"/>
                  <c:y val="-5.02021343058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0F-4BD1-BAA3-674D22923672}"/>
                </c:ext>
              </c:extLst>
            </c:dLbl>
            <c:dLbl>
              <c:idx val="8"/>
              <c:layout>
                <c:manualLayout>
                  <c:x val="-3.0547185718065323E-2"/>
                  <c:y val="-4.4504053582844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0F-4BD1-BAA3-674D22923672}"/>
                </c:ext>
              </c:extLst>
            </c:dLbl>
            <c:dLbl>
              <c:idx val="9"/>
              <c:layout>
                <c:manualLayout>
                  <c:x val="-3.0526397180416311E-2"/>
                  <c:y val="-4.9876594554541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0F-4BD1-BAA3-674D22923672}"/>
                </c:ext>
              </c:extLst>
            </c:dLbl>
            <c:dLbl>
              <c:idx val="10"/>
              <c:layout>
                <c:manualLayout>
                  <c:x val="-3.0522060003496661E-2"/>
                  <c:y val="-4.4914042976695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0F-4BD1-BAA3-674D22923672}"/>
                </c:ext>
              </c:extLst>
            </c:dLbl>
            <c:dLbl>
              <c:idx val="11"/>
              <c:layout>
                <c:manualLayout>
                  <c:x val="-3.0514282996606454E-2"/>
                  <c:y val="-4.7060698407624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0F-4BD1-BAA3-674D22923672}"/>
                </c:ext>
              </c:extLst>
            </c:dLbl>
            <c:dLbl>
              <c:idx val="12"/>
              <c:layout>
                <c:manualLayout>
                  <c:x val="-3.0554663609305907E-2"/>
                  <c:y val="-5.283914250014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0F-4BD1-BAA3-674D22923672}"/>
                </c:ext>
              </c:extLst>
            </c:dLbl>
            <c:dLbl>
              <c:idx val="13"/>
              <c:layout>
                <c:manualLayout>
                  <c:x val="-3.2427875365089343E-2"/>
                  <c:y val="-6.3081158830708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F0F-4BD1-BAA3-674D22923672}"/>
                </c:ext>
              </c:extLst>
            </c:dLbl>
            <c:dLbl>
              <c:idx val="14"/>
              <c:layout>
                <c:manualLayout>
                  <c:x val="-3.0535370649905025E-2"/>
                  <c:y val="-4.9747195908641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F0F-4BD1-BAA3-674D22923672}"/>
                </c:ext>
              </c:extLst>
            </c:dLbl>
            <c:dLbl>
              <c:idx val="15"/>
              <c:layout>
                <c:manualLayout>
                  <c:x val="-3.0549877758911888E-2"/>
                  <c:y val="-6.2645289707677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F0F-4BD1-BAA3-674D22923672}"/>
                </c:ext>
              </c:extLst>
            </c:dLbl>
            <c:dLbl>
              <c:idx val="16"/>
              <c:layout>
                <c:manualLayout>
                  <c:x val="-2.6745945945945947E-2"/>
                  <c:y val="-5.2529629629629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F0F-4BD1-BAA3-674D22923672}"/>
                </c:ext>
              </c:extLst>
            </c:dLbl>
            <c:dLbl>
              <c:idx val="17"/>
              <c:layout>
                <c:manualLayout>
                  <c:x val="-2.6756906906906908E-2"/>
                  <c:y val="-5.1489814814814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F0F-4BD1-BAA3-674D22923672}"/>
                </c:ext>
              </c:extLst>
            </c:dLbl>
            <c:dLbl>
              <c:idx val="18"/>
              <c:layout>
                <c:manualLayout>
                  <c:x val="-3.4387387387387384E-2"/>
                  <c:y val="4.99768518518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F0F-4BD1-BAA3-674D229236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6 e 7'!$P$72:$P$90</c:f>
              <c:strCache>
                <c:ptCount val="19"/>
                <c:pt idx="0">
                  <c:v>Gas naturale</c:v>
                </c:pt>
                <c:pt idx="1">
                  <c:v>Metalli</c:v>
                </c:pt>
                <c:pt idx="2">
                  <c:v>Chimica</c:v>
                </c:pt>
                <c:pt idx="3">
                  <c:v>Petrolio greggio</c:v>
                </c:pt>
                <c:pt idx="4">
                  <c:v>Macchinari</c:v>
                </c:pt>
                <c:pt idx="5">
                  <c:v>Farmaceutica</c:v>
                </c:pt>
                <c:pt idx="6">
                  <c:v>Alimentari</c:v>
                </c:pt>
                <c:pt idx="7">
                  <c:v>Elettronica</c:v>
                </c:pt>
                <c:pt idx="8">
                  <c:v>Raffinazione</c:v>
                </c:pt>
                <c:pt idx="9">
                  <c:v>Agricoltura</c:v>
                </c:pt>
                <c:pt idx="10">
                  <c:v>Apparecchi elettrici</c:v>
                </c:pt>
                <c:pt idx="11">
                  <c:v>Gomma-plastica</c:v>
                </c:pt>
                <c:pt idx="12">
                  <c:v>Altra manifattura</c:v>
                </c:pt>
                <c:pt idx="13">
                  <c:v>Carta-stampa</c:v>
                </c:pt>
                <c:pt idx="14">
                  <c:v>Pelletteria</c:v>
                </c:pt>
                <c:pt idx="15">
                  <c:v>Abbigliamento</c:v>
                </c:pt>
                <c:pt idx="16">
                  <c:v>Trattamento rifiuti</c:v>
                </c:pt>
                <c:pt idx="17">
                  <c:v>Altri mezzi trasporto</c:v>
                </c:pt>
                <c:pt idx="18">
                  <c:v>Autoveicoli</c:v>
                </c:pt>
              </c:strCache>
            </c:strRef>
          </c:cat>
          <c:val>
            <c:numRef>
              <c:f>'figg. 6 e 7'!$B$72:$B$90</c:f>
              <c:numCache>
                <c:formatCode>0.0</c:formatCode>
                <c:ptCount val="19"/>
                <c:pt idx="0">
                  <c:v>309.23911697631166</c:v>
                </c:pt>
                <c:pt idx="1">
                  <c:v>48.590116126316133</c:v>
                </c:pt>
                <c:pt idx="2">
                  <c:v>51.793528004966959</c:v>
                </c:pt>
                <c:pt idx="3">
                  <c:v>79.998784255714725</c:v>
                </c:pt>
                <c:pt idx="4">
                  <c:v>38.280522022745117</c:v>
                </c:pt>
                <c:pt idx="5">
                  <c:v>33.296793605974955</c:v>
                </c:pt>
                <c:pt idx="6">
                  <c:v>26.840047173929079</c:v>
                </c:pt>
                <c:pt idx="7">
                  <c:v>18.749382580845392</c:v>
                </c:pt>
                <c:pt idx="8">
                  <c:v>75.579695002079632</c:v>
                </c:pt>
                <c:pt idx="9">
                  <c:v>39.518837071178865</c:v>
                </c:pt>
                <c:pt idx="10">
                  <c:v>25.858994811852938</c:v>
                </c:pt>
                <c:pt idx="11">
                  <c:v>34.318816025406136</c:v>
                </c:pt>
                <c:pt idx="12">
                  <c:v>31.534264246545348</c:v>
                </c:pt>
                <c:pt idx="13">
                  <c:v>55.462706932990699</c:v>
                </c:pt>
                <c:pt idx="14">
                  <c:v>34.838053654664094</c:v>
                </c:pt>
                <c:pt idx="15">
                  <c:v>22.698568157339523</c:v>
                </c:pt>
                <c:pt idx="16">
                  <c:v>51.897841590375918</c:v>
                </c:pt>
                <c:pt idx="17">
                  <c:v>2.2584012958833029</c:v>
                </c:pt>
                <c:pt idx="18">
                  <c:v>-8.3422812208478661</c:v>
                </c:pt>
              </c:numCache>
            </c:numRef>
          </c:val>
          <c:smooth val="0"/>
          <c:extLst>
            <c:ext xmlns:c16="http://schemas.microsoft.com/office/drawing/2014/chart" uri="{C3380CC4-5D6E-409C-BE32-E72D297353CC}">
              <c16:uniqueId val="{00000014-BF0F-4BD1-BAA3-674D22923672}"/>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5977712"/>
        <c:axId val="235977152"/>
      </c:lineChart>
      <c:catAx>
        <c:axId val="235976032"/>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5976592"/>
        <c:crosses val="autoZero"/>
        <c:auto val="1"/>
        <c:lblAlgn val="ctr"/>
        <c:lblOffset val="0"/>
        <c:noMultiLvlLbl val="0"/>
      </c:catAx>
      <c:valAx>
        <c:axId val="235976592"/>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title>
          <c:tx>
            <c:rich>
              <a:bodyPr rot="0" spcFirstLastPara="1" vertOverflow="ellipsis" wrap="square" anchor="ctr" anchorCtr="1"/>
              <a:lstStyle/>
              <a:p>
                <a:pPr>
                  <a:defRPr sz="900" b="0" i="0" u="none" strike="noStrike" kern="1200" baseline="0">
                    <a:solidFill>
                      <a:srgbClr val="000000"/>
                    </a:solidFill>
                    <a:latin typeface="Arial Narrow" panose="020B0606020202030204" pitchFamily="34" charset="0"/>
                    <a:ea typeface="+mn-ea"/>
                    <a:cs typeface="+mn-cs"/>
                  </a:defRPr>
                </a:pPr>
                <a:r>
                  <a:rPr lang="it-IT"/>
                  <a:t>%</a:t>
                </a:r>
              </a:p>
            </c:rich>
          </c:tx>
          <c:layout>
            <c:manualLayout>
              <c:xMode val="edge"/>
              <c:yMode val="edge"/>
              <c:x val="0.97038048048048053"/>
              <c:y val="5.0319444444444448E-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6032"/>
        <c:crosses val="autoZero"/>
        <c:crossBetween val="between"/>
        <c:majorUnit val="5"/>
      </c:valAx>
      <c:valAx>
        <c:axId val="235977152"/>
        <c:scaling>
          <c:orientation val="minMax"/>
          <c:max val="400"/>
          <c:min val="-4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5977712"/>
        <c:crosses val="max"/>
        <c:crossBetween val="between"/>
        <c:majorUnit val="200"/>
      </c:valAx>
      <c:catAx>
        <c:axId val="235977712"/>
        <c:scaling>
          <c:orientation val="minMax"/>
        </c:scaling>
        <c:delete val="1"/>
        <c:axPos val="b"/>
        <c:numFmt formatCode="General" sourceLinked="1"/>
        <c:majorTickMark val="out"/>
        <c:minorTickMark val="none"/>
        <c:tickLblPos val="nextTo"/>
        <c:crossAx val="235977152"/>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29540800849385712"/>
          <c:y val="0"/>
          <c:w val="0.5072046109510086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8137696099E-2"/>
          <c:y val="0.1005125"/>
          <c:w val="0.89947552894285987"/>
          <c:h val="0.55515925925925924"/>
        </c:manualLayout>
      </c:layout>
      <c:barChart>
        <c:barDir val="col"/>
        <c:grouping val="clustered"/>
        <c:varyColors val="0"/>
        <c:ser>
          <c:idx val="0"/>
          <c:order val="0"/>
          <c:tx>
            <c:strRef>
              <c:f>'figg. 8 e 9'!$D$36</c:f>
              <c:strCache>
                <c:ptCount val="1"/>
                <c:pt idx="0">
                  <c:v>Contributi alla var. (punti perc. - sinistra)</c:v>
                </c:pt>
              </c:strCache>
            </c:strRef>
          </c:tx>
          <c:spPr>
            <a:solidFill>
              <a:srgbClr val="003B5C"/>
            </a:solidFill>
            <a:ln w="9525" cap="flat" cmpd="sng" algn="ctr">
              <a:solidFill>
                <a:srgbClr val="FFFFFF"/>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2D-4800-A620-7D811636C04B}"/>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9'!$A$38:$A$56</c:f>
              <c:strCache>
                <c:ptCount val="19"/>
                <c:pt idx="0">
                  <c:v>Stati Uniti</c:v>
                </c:pt>
                <c:pt idx="1">
                  <c:v>Germania</c:v>
                </c:pt>
                <c:pt idx="2">
                  <c:v>Francia</c:v>
                </c:pt>
                <c:pt idx="3">
                  <c:v>Spagna</c:v>
                </c:pt>
                <c:pt idx="4">
                  <c:v>Regno Unito</c:v>
                </c:pt>
                <c:pt idx="5">
                  <c:v>Belgio</c:v>
                </c:pt>
                <c:pt idx="6">
                  <c:v>Paesi Bassi</c:v>
                </c:pt>
                <c:pt idx="7">
                  <c:v>Austria</c:v>
                </c:pt>
                <c:pt idx="8">
                  <c:v>Polonia</c:v>
                </c:pt>
                <c:pt idx="9">
                  <c:v>Romania</c:v>
                </c:pt>
                <c:pt idx="10">
                  <c:v>Repubblica ceca</c:v>
                </c:pt>
                <c:pt idx="11">
                  <c:v>Russia</c:v>
                </c:pt>
                <c:pt idx="12">
                  <c:v>Turchia</c:v>
                </c:pt>
                <c:pt idx="13">
                  <c:v>Giappone</c:v>
                </c:pt>
                <c:pt idx="14">
                  <c:v>MERCOSUR</c:v>
                </c:pt>
                <c:pt idx="15">
                  <c:v>ASEAN</c:v>
                </c:pt>
                <c:pt idx="16">
                  <c:v>OPEC</c:v>
                </c:pt>
                <c:pt idx="17">
                  <c:v>Svizzera</c:v>
                </c:pt>
                <c:pt idx="18">
                  <c:v>Cina</c:v>
                </c:pt>
              </c:strCache>
            </c:strRef>
          </c:cat>
          <c:val>
            <c:numRef>
              <c:f>'figg. 8 e 9'!$D$38:$D$56</c:f>
              <c:numCache>
                <c:formatCode>0.00</c:formatCode>
                <c:ptCount val="19"/>
                <c:pt idx="0">
                  <c:v>3.4278841911384967</c:v>
                </c:pt>
                <c:pt idx="1">
                  <c:v>2.6628409692794603</c:v>
                </c:pt>
                <c:pt idx="2">
                  <c:v>2.0996907402966851</c:v>
                </c:pt>
                <c:pt idx="3">
                  <c:v>1.7484350577122902</c:v>
                </c:pt>
                <c:pt idx="4">
                  <c:v>1.3335432206825313</c:v>
                </c:pt>
                <c:pt idx="5">
                  <c:v>1.1322920279205879</c:v>
                </c:pt>
                <c:pt idx="6">
                  <c:v>1.1083100929146832</c:v>
                </c:pt>
                <c:pt idx="7">
                  <c:v>0.65915046204051386</c:v>
                </c:pt>
                <c:pt idx="8">
                  <c:v>0.5764762475121139</c:v>
                </c:pt>
                <c:pt idx="9">
                  <c:v>0.38479750736901402</c:v>
                </c:pt>
                <c:pt idx="10">
                  <c:v>0.34111893790208264</c:v>
                </c:pt>
                <c:pt idx="11">
                  <c:v>0.34077708043228067</c:v>
                </c:pt>
                <c:pt idx="12">
                  <c:v>0.30179644172947817</c:v>
                </c:pt>
                <c:pt idx="13">
                  <c:v>0.20172270552777261</c:v>
                </c:pt>
                <c:pt idx="14">
                  <c:v>0.14133003473045488</c:v>
                </c:pt>
                <c:pt idx="15">
                  <c:v>9.7407309843687909E-2</c:v>
                </c:pt>
                <c:pt idx="16">
                  <c:v>8.3885458631384482E-2</c:v>
                </c:pt>
                <c:pt idx="17">
                  <c:v>-0.20524177401800989</c:v>
                </c:pt>
                <c:pt idx="18">
                  <c:v>-0.28790591684515515</c:v>
                </c:pt>
              </c:numCache>
            </c:numRef>
          </c:val>
          <c:extLst>
            <c:ext xmlns:c16="http://schemas.microsoft.com/office/drawing/2014/chart" uri="{C3380CC4-5D6E-409C-BE32-E72D297353CC}">
              <c16:uniqueId val="{00000001-7B2D-4800-A620-7D811636C04B}"/>
            </c:ext>
          </c:extLst>
        </c:ser>
        <c:dLbls>
          <c:showLegendKey val="0"/>
          <c:showVal val="0"/>
          <c:showCatName val="0"/>
          <c:showSerName val="0"/>
          <c:showPercent val="0"/>
          <c:showBubbleSize val="0"/>
        </c:dLbls>
        <c:gapWidth val="0"/>
        <c:axId val="237443648"/>
        <c:axId val="237444208"/>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2.5302852852852852E-2"/>
                  <c:y val="-6.3469444444444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2D-4800-A620-7D811636C04B}"/>
                </c:ext>
              </c:extLst>
            </c:dLbl>
            <c:dLbl>
              <c:idx val="1"/>
              <c:layout>
                <c:manualLayout>
                  <c:x val="-2.686171171171171E-2"/>
                  <c:y val="-6.1094907407407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2D-4800-A620-7D811636C04B}"/>
                </c:ext>
              </c:extLst>
            </c:dLbl>
            <c:dLbl>
              <c:idx val="2"/>
              <c:layout>
                <c:manualLayout>
                  <c:x val="-2.6493393393393412E-2"/>
                  <c:y val="-6.5830555555555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2D-4800-A620-7D811636C04B}"/>
                </c:ext>
              </c:extLst>
            </c:dLbl>
            <c:dLbl>
              <c:idx val="3"/>
              <c:layout>
                <c:manualLayout>
                  <c:x val="-2.9933333333333333E-2"/>
                  <c:y val="-4.657824074074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2D-4800-A620-7D811636C04B}"/>
                </c:ext>
              </c:extLst>
            </c:dLbl>
            <c:dLbl>
              <c:idx val="4"/>
              <c:layout>
                <c:manualLayout>
                  <c:x val="-3.0637387387387353E-2"/>
                  <c:y val="-6.207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2D-4800-A620-7D811636C04B}"/>
                </c:ext>
              </c:extLst>
            </c:dLbl>
            <c:dLbl>
              <c:idx val="5"/>
              <c:layout>
                <c:manualLayout>
                  <c:x val="-3.2396246246246249E-2"/>
                  <c:y val="-6.498703703703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2D-4800-A620-7D811636C04B}"/>
                </c:ext>
              </c:extLst>
            </c:dLbl>
            <c:dLbl>
              <c:idx val="6"/>
              <c:layout>
                <c:manualLayout>
                  <c:x val="-2.9084534534534533E-2"/>
                  <c:y val="-5.9079629629629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2D-4800-A620-7D811636C04B}"/>
                </c:ext>
              </c:extLst>
            </c:dLbl>
            <c:dLbl>
              <c:idx val="7"/>
              <c:layout>
                <c:manualLayout>
                  <c:x val="-3.064634747484625E-2"/>
                  <c:y val="-5.5542674018568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2D-4800-A620-7D811636C04B}"/>
                </c:ext>
              </c:extLst>
            </c:dLbl>
            <c:dLbl>
              <c:idx val="8"/>
              <c:layout>
                <c:manualLayout>
                  <c:x val="-3.1382831001310424E-2"/>
                  <c:y val="-5.8802017060181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2D-4800-A620-7D811636C04B}"/>
                </c:ext>
              </c:extLst>
            </c:dLbl>
            <c:dLbl>
              <c:idx val="9"/>
              <c:layout>
                <c:manualLayout>
                  <c:x val="-3.0662683800524771E-2"/>
                  <c:y val="-5.887176587021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2D-4800-A620-7D811636C04B}"/>
                </c:ext>
              </c:extLst>
            </c:dLbl>
            <c:dLbl>
              <c:idx val="10"/>
              <c:layout>
                <c:manualLayout>
                  <c:x val="-3.329987633851085E-2"/>
                  <c:y val="-4.891512323860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2D-4800-A620-7D811636C04B}"/>
                </c:ext>
              </c:extLst>
            </c:dLbl>
            <c:dLbl>
              <c:idx val="11"/>
              <c:layout>
                <c:manualLayout>
                  <c:x val="-3.0512509503919812E-2"/>
                  <c:y val="-5.5264150054196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2D-4800-A620-7D811636C04B}"/>
                </c:ext>
              </c:extLst>
            </c:dLbl>
            <c:dLbl>
              <c:idx val="12"/>
              <c:layout>
                <c:manualLayout>
                  <c:x val="-3.0451210813988151E-2"/>
                  <c:y val="-5.6203873886611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2D-4800-A620-7D811636C04B}"/>
                </c:ext>
              </c:extLst>
            </c:dLbl>
            <c:dLbl>
              <c:idx val="13"/>
              <c:layout>
                <c:manualLayout>
                  <c:x val="-3.0521921921921921E-2"/>
                  <c:y val="-5.2893981481481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B2D-4800-A620-7D811636C04B}"/>
                </c:ext>
              </c:extLst>
            </c:dLbl>
            <c:dLbl>
              <c:idx val="14"/>
              <c:layout>
                <c:manualLayout>
                  <c:x val="-2.6693993993993994E-2"/>
                  <c:y val="-5.8961574074074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B2D-4800-A620-7D811636C04B}"/>
                </c:ext>
              </c:extLst>
            </c:dLbl>
            <c:dLbl>
              <c:idx val="15"/>
              <c:layout>
                <c:manualLayout>
                  <c:x val="-2.6690840840840842E-2"/>
                  <c:y val="-5.753796296296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B2D-4800-A620-7D811636C04B}"/>
                </c:ext>
              </c:extLst>
            </c:dLbl>
            <c:dLbl>
              <c:idx val="16"/>
              <c:layout>
                <c:manualLayout>
                  <c:x val="-2.6713963963964103E-2"/>
                  <c:y val="-6.888472222222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B2D-4800-A620-7D811636C04B}"/>
                </c:ext>
              </c:extLst>
            </c:dLbl>
            <c:dLbl>
              <c:idx val="17"/>
              <c:layout>
                <c:manualLayout>
                  <c:x val="-3.0472822822822824E-2"/>
                  <c:y val="5.6880555555555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B2D-4800-A620-7D811636C04B}"/>
                </c:ext>
              </c:extLst>
            </c:dLbl>
            <c:dLbl>
              <c:idx val="18"/>
              <c:layout>
                <c:manualLayout>
                  <c:x val="-3.2379879879880016E-2"/>
                  <c:y val="6.3377314814814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B2D-4800-A620-7D811636C04B}"/>
                </c:ext>
              </c:extLst>
            </c:dLbl>
            <c:dLbl>
              <c:idx val="19"/>
              <c:layout>
                <c:manualLayout>
                  <c:x val="-2.8581180448681003E-2"/>
                  <c:y val="5.2916516437468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B2D-4800-A620-7D811636C04B}"/>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9'!$A$38:$A$56</c:f>
              <c:strCache>
                <c:ptCount val="19"/>
                <c:pt idx="0">
                  <c:v>Stati Uniti</c:v>
                </c:pt>
                <c:pt idx="1">
                  <c:v>Germania</c:v>
                </c:pt>
                <c:pt idx="2">
                  <c:v>Francia</c:v>
                </c:pt>
                <c:pt idx="3">
                  <c:v>Spagna</c:v>
                </c:pt>
                <c:pt idx="4">
                  <c:v>Regno Unito</c:v>
                </c:pt>
                <c:pt idx="5">
                  <c:v>Belgio</c:v>
                </c:pt>
                <c:pt idx="6">
                  <c:v>Paesi Bassi</c:v>
                </c:pt>
                <c:pt idx="7">
                  <c:v>Austria</c:v>
                </c:pt>
                <c:pt idx="8">
                  <c:v>Polonia</c:v>
                </c:pt>
                <c:pt idx="9">
                  <c:v>Romania</c:v>
                </c:pt>
                <c:pt idx="10">
                  <c:v>Repubblica ceca</c:v>
                </c:pt>
                <c:pt idx="11">
                  <c:v>Russia</c:v>
                </c:pt>
                <c:pt idx="12">
                  <c:v>Turchia</c:v>
                </c:pt>
                <c:pt idx="13">
                  <c:v>Giappone</c:v>
                </c:pt>
                <c:pt idx="14">
                  <c:v>MERCOSUR</c:v>
                </c:pt>
                <c:pt idx="15">
                  <c:v>ASEAN</c:v>
                </c:pt>
                <c:pt idx="16">
                  <c:v>OPEC</c:v>
                </c:pt>
                <c:pt idx="17">
                  <c:v>Svizzera</c:v>
                </c:pt>
                <c:pt idx="18">
                  <c:v>Cina</c:v>
                </c:pt>
              </c:strCache>
            </c:strRef>
          </c:cat>
          <c:val>
            <c:numRef>
              <c:f>'figg. 8 e 9'!$B$38:$B$56</c:f>
              <c:numCache>
                <c:formatCode>0.0</c:formatCode>
                <c:ptCount val="19"/>
                <c:pt idx="0">
                  <c:v>38.829565539568875</c:v>
                </c:pt>
                <c:pt idx="1">
                  <c:v>18.635829472001205</c:v>
                </c:pt>
                <c:pt idx="2">
                  <c:v>19.044310249319253</c:v>
                </c:pt>
                <c:pt idx="3">
                  <c:v>33.969053357855984</c:v>
                </c:pt>
                <c:pt idx="4">
                  <c:v>35.320001195552351</c:v>
                </c:pt>
                <c:pt idx="5">
                  <c:v>32.178632809703686</c:v>
                </c:pt>
                <c:pt idx="6">
                  <c:v>38.563850591204272</c:v>
                </c:pt>
                <c:pt idx="7">
                  <c:v>30.700319799828009</c:v>
                </c:pt>
                <c:pt idx="8">
                  <c:v>17.29038639090264</c:v>
                </c:pt>
                <c:pt idx="9">
                  <c:v>25.579559708198431</c:v>
                </c:pt>
                <c:pt idx="10">
                  <c:v>24.271615989237588</c:v>
                </c:pt>
                <c:pt idx="11">
                  <c:v>26.725400912411331</c:v>
                </c:pt>
                <c:pt idx="12">
                  <c:v>17.584967846150008</c:v>
                </c:pt>
                <c:pt idx="13">
                  <c:v>11.991712089089361</c:v>
                </c:pt>
                <c:pt idx="14">
                  <c:v>12.450700013025539</c:v>
                </c:pt>
                <c:pt idx="15">
                  <c:v>6.0542711071937134</c:v>
                </c:pt>
                <c:pt idx="16">
                  <c:v>3.0547283429495451</c:v>
                </c:pt>
                <c:pt idx="17">
                  <c:v>-3.4253081356367545</c:v>
                </c:pt>
                <c:pt idx="18">
                  <c:v>-8.9715317298879285</c:v>
                </c:pt>
              </c:numCache>
            </c:numRef>
          </c:val>
          <c:smooth val="0"/>
          <c:extLst>
            <c:ext xmlns:c16="http://schemas.microsoft.com/office/drawing/2014/chart" uri="{C3380CC4-5D6E-409C-BE32-E72D297353CC}">
              <c16:uniqueId val="{00000016-7B2D-4800-A620-7D811636C04B}"/>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7445328"/>
        <c:axId val="237444768"/>
      </c:lineChart>
      <c:catAx>
        <c:axId val="23744364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444208"/>
        <c:crosses val="autoZero"/>
        <c:auto val="1"/>
        <c:lblAlgn val="ctr"/>
        <c:lblOffset val="0"/>
        <c:tickLblSkip val="1"/>
        <c:noMultiLvlLbl val="0"/>
      </c:catAx>
      <c:valAx>
        <c:axId val="237444208"/>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3648"/>
        <c:crosses val="autoZero"/>
        <c:crossBetween val="between"/>
        <c:majorUnit val="5"/>
      </c:valAx>
      <c:valAx>
        <c:axId val="237444768"/>
        <c:scaling>
          <c:orientation val="minMax"/>
          <c:max val="200"/>
          <c:min val="-200"/>
        </c:scaling>
        <c:delete val="0"/>
        <c:axPos val="r"/>
        <c:title>
          <c:tx>
            <c:rich>
              <a:bodyPr rot="0" vert="horz"/>
              <a:lstStyle/>
              <a:p>
                <a:pPr>
                  <a:defRPr/>
                </a:pPr>
                <a:r>
                  <a:rPr lang="it-IT"/>
                  <a:t>%</a:t>
                </a:r>
              </a:p>
            </c:rich>
          </c:tx>
          <c:layout>
            <c:manualLayout>
              <c:xMode val="edge"/>
              <c:yMode val="edge"/>
              <c:x val="0.96365048731977809"/>
              <c:y val="5.3280345976272573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5328"/>
        <c:crosses val="max"/>
        <c:crossBetween val="between"/>
        <c:majorUnit val="100"/>
      </c:valAx>
      <c:catAx>
        <c:axId val="237445328"/>
        <c:scaling>
          <c:orientation val="minMax"/>
        </c:scaling>
        <c:delete val="1"/>
        <c:axPos val="b"/>
        <c:numFmt formatCode="General" sourceLinked="1"/>
        <c:majorTickMark val="out"/>
        <c:minorTickMark val="none"/>
        <c:tickLblPos val="nextTo"/>
        <c:crossAx val="237444768"/>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942897298149685"/>
          <c:y val="0"/>
          <c:w val="0.6493736878500454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51633220714708E-2"/>
          <c:y val="0.10639207360356027"/>
          <c:w val="0.89947552894285987"/>
          <c:h val="0.54927962962962962"/>
        </c:manualLayout>
      </c:layout>
      <c:barChart>
        <c:barDir val="col"/>
        <c:grouping val="clustered"/>
        <c:varyColors val="0"/>
        <c:ser>
          <c:idx val="0"/>
          <c:order val="0"/>
          <c:tx>
            <c:strRef>
              <c:f>'figg. 8 e 9'!$D$36</c:f>
              <c:strCache>
                <c:ptCount val="1"/>
                <c:pt idx="0">
                  <c:v>Contributi alla var. (punti perc. - sinistra)</c:v>
                </c:pt>
              </c:strCache>
            </c:strRef>
          </c:tx>
          <c:spPr>
            <a:solidFill>
              <a:srgbClr val="D22630"/>
            </a:solidFill>
            <a:ln w="9525" cap="flat" cmpd="sng" algn="ctr">
              <a:solidFill>
                <a:schemeClr val="bg1"/>
              </a:solidFill>
              <a:prstDash val="solid"/>
              <a:round/>
              <a:headEnd type="none" w="med" len="med"/>
              <a:tailEnd type="none" w="med" len="med"/>
            </a:ln>
            <a:effectLst/>
          </c:spPr>
          <c:invertIfNegative val="0"/>
          <c:dLbls>
            <c:dLbl>
              <c:idx val="37"/>
              <c:tx>
                <c:rich>
                  <a:bodyPr/>
                  <a:lstStyle/>
                  <a:p>
                    <a:r>
                      <a:t>-24,61153308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3D-4CD1-A344-16732A7D95EE}"/>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Narrow" panose="020B0606020202030204" pitchFamily="34" charset="0"/>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'figg. 8 e 9'!$A$61:$A$79</c:f>
              <c:strCache>
                <c:ptCount val="19"/>
                <c:pt idx="0">
                  <c:v>Cina</c:v>
                </c:pt>
                <c:pt idx="1">
                  <c:v>Germania</c:v>
                </c:pt>
                <c:pt idx="2">
                  <c:v>OPEC</c:v>
                </c:pt>
                <c:pt idx="3">
                  <c:v>Russia</c:v>
                </c:pt>
                <c:pt idx="4">
                  <c:v>Paesi Bassi</c:v>
                </c:pt>
                <c:pt idx="5">
                  <c:v>Francia</c:v>
                </c:pt>
                <c:pt idx="6">
                  <c:v>Spagna</c:v>
                </c:pt>
                <c:pt idx="7">
                  <c:v>Belgio</c:v>
                </c:pt>
                <c:pt idx="8">
                  <c:v>Stati Uniti</c:v>
                </c:pt>
                <c:pt idx="9">
                  <c:v>Turchia</c:v>
                </c:pt>
                <c:pt idx="10">
                  <c:v>Svizzera</c:v>
                </c:pt>
                <c:pt idx="11">
                  <c:v>India</c:v>
                </c:pt>
                <c:pt idx="12">
                  <c:v>Austria</c:v>
                </c:pt>
                <c:pt idx="13">
                  <c:v>Regno Unito</c:v>
                </c:pt>
                <c:pt idx="14">
                  <c:v>ASEAN</c:v>
                </c:pt>
                <c:pt idx="15">
                  <c:v>Polonia</c:v>
                </c:pt>
                <c:pt idx="16">
                  <c:v>Romania</c:v>
                </c:pt>
                <c:pt idx="17">
                  <c:v>MERCOSUR</c:v>
                </c:pt>
                <c:pt idx="18">
                  <c:v>Repubblica ceca</c:v>
                </c:pt>
              </c:strCache>
            </c:strRef>
          </c:cat>
          <c:val>
            <c:numRef>
              <c:f>'figg. 8 e 9'!$D$61:$D$79</c:f>
              <c:numCache>
                <c:formatCode>0.00</c:formatCode>
                <c:ptCount val="19"/>
                <c:pt idx="0">
                  <c:v>5.7028583622737239</c:v>
                </c:pt>
                <c:pt idx="1">
                  <c:v>4.0238329451629031</c:v>
                </c:pt>
                <c:pt idx="2">
                  <c:v>3.1504439133496285</c:v>
                </c:pt>
                <c:pt idx="3">
                  <c:v>2.7475807324021231</c:v>
                </c:pt>
                <c:pt idx="4">
                  <c:v>2.6741145032295228</c:v>
                </c:pt>
                <c:pt idx="5">
                  <c:v>1.8623972729563745</c:v>
                </c:pt>
                <c:pt idx="6">
                  <c:v>1.8461162534673154</c:v>
                </c:pt>
                <c:pt idx="7">
                  <c:v>1.8413580576026758</c:v>
                </c:pt>
                <c:pt idx="8">
                  <c:v>1.3412851084343937</c:v>
                </c:pt>
                <c:pt idx="9">
                  <c:v>1.2631571475802936</c:v>
                </c:pt>
                <c:pt idx="10">
                  <c:v>1.2462684471546128</c:v>
                </c:pt>
                <c:pt idx="11">
                  <c:v>1.1400765431645548</c:v>
                </c:pt>
                <c:pt idx="12">
                  <c:v>1.0931171740953292</c:v>
                </c:pt>
                <c:pt idx="13">
                  <c:v>1.016804953222348</c:v>
                </c:pt>
                <c:pt idx="14">
                  <c:v>0.71863786452773815</c:v>
                </c:pt>
                <c:pt idx="15">
                  <c:v>0.53882029043549462</c:v>
                </c:pt>
                <c:pt idx="16">
                  <c:v>0.33383746209492116</c:v>
                </c:pt>
                <c:pt idx="17">
                  <c:v>0.24886501714240375</c:v>
                </c:pt>
                <c:pt idx="18">
                  <c:v>0.22216307655597986</c:v>
                </c:pt>
              </c:numCache>
            </c:numRef>
          </c:val>
          <c:extLst>
            <c:ext xmlns:c16="http://schemas.microsoft.com/office/drawing/2014/chart" uri="{C3380CC4-5D6E-409C-BE32-E72D297353CC}">
              <c16:uniqueId val="{00000001-4E3D-4CD1-A344-16732A7D95EE}"/>
            </c:ext>
          </c:extLst>
        </c:ser>
        <c:dLbls>
          <c:showLegendKey val="0"/>
          <c:showVal val="0"/>
          <c:showCatName val="0"/>
          <c:showSerName val="0"/>
          <c:showPercent val="0"/>
          <c:showBubbleSize val="0"/>
        </c:dLbls>
        <c:gapWidth val="0"/>
        <c:axId val="237448688"/>
        <c:axId val="237449248"/>
      </c:barChart>
      <c:lineChart>
        <c:grouping val="standard"/>
        <c:varyColors val="0"/>
        <c:ser>
          <c:idx val="1"/>
          <c:order val="1"/>
          <c:tx>
            <c:strRef>
              <c:f>'figg. 8 e 9'!$B$36</c:f>
              <c:strCache>
                <c:ptCount val="1"/>
                <c:pt idx="0">
                  <c:v>Variazioni percentuali (scala destra)</c:v>
                </c:pt>
              </c:strCache>
            </c:strRef>
          </c:tx>
          <c:spPr>
            <a:ln w="25400" cap="rnd">
              <a:noFill/>
              <a:round/>
            </a:ln>
            <a:effectLst/>
            <a:extLst>
              <a:ext uri="{91240B29-F687-4F45-9708-019B960494DF}">
                <a14:hiddenLine xmlns:a14="http://schemas.microsoft.com/office/drawing/2010/main" w="9525" cap="flat" cmpd="sng" algn="ctr">
                  <a:solidFill>
                    <a:srgbClr val="FFFFFF"/>
                  </a:solidFill>
                  <a:prstDash val="solid"/>
                  <a:round/>
                  <a:headEnd type="none" w="med" len="med"/>
                  <a:tailEnd type="none" w="med" len="med"/>
                </a14:hiddenLine>
              </a:ext>
            </a:extLst>
          </c:spPr>
          <c:marker>
            <c:symbol val="diamond"/>
            <c:size val="6"/>
            <c:spPr>
              <a:solidFill>
                <a:srgbClr val="FFFFFF"/>
              </a:solidFill>
              <a:ln w="3175">
                <a:solidFill>
                  <a:srgbClr val="141E28"/>
                </a:solidFill>
                <a:prstDash val="solid"/>
              </a:ln>
              <a:effectLst/>
            </c:spPr>
          </c:marker>
          <c:dLbls>
            <c:dLbl>
              <c:idx val="0"/>
              <c:layout>
                <c:manualLayout>
                  <c:x val="-3.2591591591591591E-2"/>
                  <c:y val="-7.5960185185185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3D-4CD1-A344-16732A7D95EE}"/>
                </c:ext>
              </c:extLst>
            </c:dLbl>
            <c:dLbl>
              <c:idx val="1"/>
              <c:layout>
                <c:manualLayout>
                  <c:x val="-2.6852573053725397E-2"/>
                  <c:y val="-4.6789354539803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3D-4CD1-A344-16732A7D95EE}"/>
                </c:ext>
              </c:extLst>
            </c:dLbl>
            <c:dLbl>
              <c:idx val="2"/>
              <c:layout>
                <c:manualLayout>
                  <c:x val="-3.4527327327327308E-2"/>
                  <c:y val="-6.1618981481481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3D-4CD1-A344-16732A7D95EE}"/>
                </c:ext>
              </c:extLst>
            </c:dLbl>
            <c:dLbl>
              <c:idx val="3"/>
              <c:layout>
                <c:manualLayout>
                  <c:x val="-3.6475525525525528E-2"/>
                  <c:y val="-6.7520370370370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3D-4CD1-A344-16732A7D95EE}"/>
                </c:ext>
              </c:extLst>
            </c:dLbl>
            <c:dLbl>
              <c:idx val="4"/>
              <c:layout>
                <c:manualLayout>
                  <c:x val="-2.8790090090090089E-2"/>
                  <c:y val="-5.878657407407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3D-4CD1-A344-16732A7D95EE}"/>
                </c:ext>
              </c:extLst>
            </c:dLbl>
            <c:dLbl>
              <c:idx val="5"/>
              <c:layout>
                <c:manualLayout>
                  <c:x val="-3.0508762640232029E-2"/>
                  <c:y val="-5.3435143155400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3D-4CD1-A344-16732A7D95EE}"/>
                </c:ext>
              </c:extLst>
            </c:dLbl>
            <c:dLbl>
              <c:idx val="6"/>
              <c:layout>
                <c:manualLayout>
                  <c:x val="-3.2971501204916494E-2"/>
                  <c:y val="-7.3212522138944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3D-4CD1-A344-16732A7D95EE}"/>
                </c:ext>
              </c:extLst>
            </c:dLbl>
            <c:dLbl>
              <c:idx val="7"/>
              <c:layout>
                <c:manualLayout>
                  <c:x val="-2.9155994974406744E-2"/>
                  <c:y val="-5.5430052664297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3D-4CD1-A344-16732A7D95EE}"/>
                </c:ext>
              </c:extLst>
            </c:dLbl>
            <c:dLbl>
              <c:idx val="8"/>
              <c:layout>
                <c:manualLayout>
                  <c:x val="-2.9155545350764141E-2"/>
                  <c:y val="-5.6752172842112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3D-4CD1-A344-16732A7D95EE}"/>
                </c:ext>
              </c:extLst>
            </c:dLbl>
            <c:dLbl>
              <c:idx val="9"/>
              <c:layout>
                <c:manualLayout>
                  <c:x val="-3.2948270650052375E-2"/>
                  <c:y val="-5.868046025546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3D-4CD1-A344-16732A7D95EE}"/>
                </c:ext>
              </c:extLst>
            </c:dLbl>
            <c:dLbl>
              <c:idx val="10"/>
              <c:layout>
                <c:manualLayout>
                  <c:x val="-2.8139545793193808E-2"/>
                  <c:y val="-5.2828037580491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3D-4CD1-A344-16732A7D95EE}"/>
                </c:ext>
              </c:extLst>
            </c:dLbl>
            <c:dLbl>
              <c:idx val="11"/>
              <c:layout>
                <c:manualLayout>
                  <c:x val="-3.0496023303693713E-2"/>
                  <c:y val="-4.5727623538243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E3D-4CD1-A344-16732A7D95EE}"/>
                </c:ext>
              </c:extLst>
            </c:dLbl>
            <c:dLbl>
              <c:idx val="12"/>
              <c:layout>
                <c:manualLayout>
                  <c:x val="-3.0495273930956093E-2"/>
                  <c:y val="-5.6891516239135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E3D-4CD1-A344-16732A7D95EE}"/>
                </c:ext>
              </c:extLst>
            </c:dLbl>
            <c:dLbl>
              <c:idx val="13"/>
              <c:layout>
                <c:manualLayout>
                  <c:x val="-3.0510860883897272E-2"/>
                  <c:y val="-5.0972940638305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E3D-4CD1-A344-16732A7D95EE}"/>
                </c:ext>
              </c:extLst>
            </c:dLbl>
            <c:dLbl>
              <c:idx val="14"/>
              <c:layout>
                <c:manualLayout>
                  <c:x val="-3.0506664396566855E-2"/>
                  <c:y val="-5.199197719835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E3D-4CD1-A344-16732A7D95EE}"/>
                </c:ext>
              </c:extLst>
            </c:dLbl>
            <c:dLbl>
              <c:idx val="15"/>
              <c:layout>
                <c:manualLayout>
                  <c:x val="-3.2429554841120242E-2"/>
                  <c:y val="-4.694042717899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E3D-4CD1-A344-16732A7D95EE}"/>
                </c:ext>
              </c:extLst>
            </c:dLbl>
            <c:dLbl>
              <c:idx val="16"/>
              <c:layout>
                <c:manualLayout>
                  <c:x val="-2.8614264264264402E-2"/>
                  <c:y val="-5.3095370370370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E3D-4CD1-A344-16732A7D95EE}"/>
                </c:ext>
              </c:extLst>
            </c:dLbl>
            <c:dLbl>
              <c:idx val="17"/>
              <c:layout>
                <c:manualLayout>
                  <c:x val="-3.0557807807807806E-2"/>
                  <c:y val="-5.9172222222222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E3D-4CD1-A344-16732A7D95EE}"/>
                </c:ext>
              </c:extLst>
            </c:dLbl>
            <c:dLbl>
              <c:idx val="18"/>
              <c:layout>
                <c:manualLayout>
                  <c:x val="-2.8604954954955096E-2"/>
                  <c:y val="-6.8464351851851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E3D-4CD1-A344-16732A7D95EE}"/>
                </c:ext>
              </c:extLst>
            </c:dLbl>
            <c:dLbl>
              <c:idx val="19"/>
              <c:layout>
                <c:manualLayout>
                  <c:x val="-2.8592754421838274E-2"/>
                  <c:y val="5.4076051251789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E3D-4CD1-A344-16732A7D95EE}"/>
                </c:ext>
              </c:extLst>
            </c:dLbl>
            <c:numFmt formatCode="#,##0.0" sourceLinked="0"/>
            <c:spPr>
              <a:noFill/>
              <a:ln>
                <a:noFill/>
              </a:ln>
              <a:effectLst/>
            </c:spPr>
            <c:txPr>
              <a:bodyPr/>
              <a:lstStyle/>
              <a:p>
                <a:pPr>
                  <a:defRPr sz="900"/>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'figg. 8 e 9'!$A$61:$A$79</c:f>
              <c:strCache>
                <c:ptCount val="19"/>
                <c:pt idx="0">
                  <c:v>Cina</c:v>
                </c:pt>
                <c:pt idx="1">
                  <c:v>Germania</c:v>
                </c:pt>
                <c:pt idx="2">
                  <c:v>OPEC</c:v>
                </c:pt>
                <c:pt idx="3">
                  <c:v>Russia</c:v>
                </c:pt>
                <c:pt idx="4">
                  <c:v>Paesi Bassi</c:v>
                </c:pt>
                <c:pt idx="5">
                  <c:v>Francia</c:v>
                </c:pt>
                <c:pt idx="6">
                  <c:v>Spagna</c:v>
                </c:pt>
                <c:pt idx="7">
                  <c:v>Belgio</c:v>
                </c:pt>
                <c:pt idx="8">
                  <c:v>Stati Uniti</c:v>
                </c:pt>
                <c:pt idx="9">
                  <c:v>Turchia</c:v>
                </c:pt>
                <c:pt idx="10">
                  <c:v>Svizzera</c:v>
                </c:pt>
                <c:pt idx="11">
                  <c:v>India</c:v>
                </c:pt>
                <c:pt idx="12">
                  <c:v>Austria</c:v>
                </c:pt>
                <c:pt idx="13">
                  <c:v>Regno Unito</c:v>
                </c:pt>
                <c:pt idx="14">
                  <c:v>ASEAN</c:v>
                </c:pt>
                <c:pt idx="15">
                  <c:v>Polonia</c:v>
                </c:pt>
                <c:pt idx="16">
                  <c:v>Romania</c:v>
                </c:pt>
                <c:pt idx="17">
                  <c:v>MERCOSUR</c:v>
                </c:pt>
                <c:pt idx="18">
                  <c:v>Repubblica ceca</c:v>
                </c:pt>
              </c:strCache>
            </c:strRef>
          </c:cat>
          <c:val>
            <c:numRef>
              <c:f>'figg. 8 e 9'!$B$61:$B$79</c:f>
              <c:numCache>
                <c:formatCode>0.0</c:formatCode>
                <c:ptCount val="19"/>
                <c:pt idx="0">
                  <c:v>62.603429835729514</c:v>
                </c:pt>
                <c:pt idx="1">
                  <c:v>25.367102336697869</c:v>
                </c:pt>
                <c:pt idx="2">
                  <c:v>68.793770667140677</c:v>
                </c:pt>
                <c:pt idx="3">
                  <c:v>84.221555714718363</c:v>
                </c:pt>
                <c:pt idx="4">
                  <c:v>46.687327932075476</c:v>
                </c:pt>
                <c:pt idx="5">
                  <c:v>21.413769385818057</c:v>
                </c:pt>
                <c:pt idx="6">
                  <c:v>36.053928250797981</c:v>
                </c:pt>
                <c:pt idx="7">
                  <c:v>39.979360726922266</c:v>
                </c:pt>
                <c:pt idx="8">
                  <c:v>37.464478690079204</c:v>
                </c:pt>
                <c:pt idx="9">
                  <c:v>56.21784612562044</c:v>
                </c:pt>
                <c:pt idx="10">
                  <c:v>47.492640795052978</c:v>
                </c:pt>
                <c:pt idx="11">
                  <c:v>86.799330609409253</c:v>
                </c:pt>
                <c:pt idx="12">
                  <c:v>50.913535106498841</c:v>
                </c:pt>
                <c:pt idx="13">
                  <c:v>137.83057382311463</c:v>
                </c:pt>
                <c:pt idx="14">
                  <c:v>26.596022233489961</c:v>
                </c:pt>
                <c:pt idx="15">
                  <c:v>20.213131633054346</c:v>
                </c:pt>
                <c:pt idx="16">
                  <c:v>20.599505033440323</c:v>
                </c:pt>
                <c:pt idx="17">
                  <c:v>25.142938207052808</c:v>
                </c:pt>
                <c:pt idx="18">
                  <c:v>12.253909679213621</c:v>
                </c:pt>
              </c:numCache>
            </c:numRef>
          </c:val>
          <c:smooth val="0"/>
          <c:extLst>
            <c:ext xmlns:c16="http://schemas.microsoft.com/office/drawing/2014/chart" uri="{C3380CC4-5D6E-409C-BE32-E72D297353CC}">
              <c16:uniqueId val="{00000016-4E3D-4CD1-A344-16732A7D95EE}"/>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37625504"/>
        <c:axId val="237449808"/>
      </c:lineChart>
      <c:catAx>
        <c:axId val="237448688"/>
        <c:scaling>
          <c:orientation val="minMax"/>
        </c:scaling>
        <c:delete val="0"/>
        <c:axPos val="b"/>
        <c:majorGridlines>
          <c:spPr>
            <a:ln w="6350" cap="flat" cmpd="sng" algn="ctr">
              <a:solidFill>
                <a:srgbClr val="A6A6A6"/>
              </a:solidFill>
              <a:prstDash val="sysDash"/>
              <a:round/>
              <a:headEnd type="none" w="med" len="med"/>
              <a:tailEnd type="none" w="med" len="med"/>
            </a:ln>
            <a:effectLst/>
          </c:spPr>
        </c:majorGridlines>
        <c:numFmt formatCode="General" sourceLinked="1"/>
        <c:majorTickMark val="none"/>
        <c:minorTickMark val="none"/>
        <c:tickLblPos val="low"/>
        <c:spPr>
          <a:noFill/>
          <a:ln w="9525" cap="flat" cmpd="sng" algn="ctr">
            <a:solidFill>
              <a:schemeClr val="tx1"/>
            </a:solidFill>
            <a:round/>
          </a:ln>
          <a:effectLst/>
        </c:spPr>
        <c:txPr>
          <a:bodyPr rot="-2700000" spcFirstLastPara="1" vertOverflow="ellipsis" wrap="square" anchor="ctr" anchorCtr="1"/>
          <a:lstStyle/>
          <a:p>
            <a:pPr>
              <a:defRPr sz="1000" b="1" i="0" u="none" strike="noStrike" kern="1200" baseline="0">
                <a:solidFill>
                  <a:srgbClr val="000000"/>
                </a:solidFill>
                <a:latin typeface="Arial Narrow" panose="020B0606020202030204" pitchFamily="34" charset="0"/>
                <a:ea typeface="+mn-ea"/>
                <a:cs typeface="+mn-cs"/>
              </a:defRPr>
            </a:pPr>
            <a:endParaRPr lang="it-IT"/>
          </a:p>
        </c:txPr>
        <c:crossAx val="237449248"/>
        <c:crosses val="autoZero"/>
        <c:auto val="1"/>
        <c:lblAlgn val="ctr"/>
        <c:lblOffset val="0"/>
        <c:tickLblSkip val="1"/>
        <c:noMultiLvlLbl val="0"/>
      </c:catAx>
      <c:valAx>
        <c:axId val="237449248"/>
        <c:scaling>
          <c:orientation val="minMax"/>
          <c:max val="10"/>
          <c:min val="-10"/>
        </c:scaling>
        <c:delete val="0"/>
        <c:axPos val="l"/>
        <c:majorGridlines>
          <c:spPr>
            <a:ln w="6350" cap="flat" cmpd="sng" algn="ctr">
              <a:solidFill>
                <a:srgbClr val="A6A6A6"/>
              </a:solidFill>
              <a:prstDash val="sysDash"/>
              <a:round/>
              <a:headEnd type="none" w="med" len="med"/>
              <a:tailEnd type="none" w="med" len="me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448688"/>
        <c:crosses val="autoZero"/>
        <c:crossBetween val="between"/>
        <c:majorUnit val="5"/>
      </c:valAx>
      <c:valAx>
        <c:axId val="237449808"/>
        <c:scaling>
          <c:orientation val="minMax"/>
          <c:max val="200"/>
          <c:min val="-200"/>
        </c:scaling>
        <c:delete val="0"/>
        <c:axPos val="r"/>
        <c:title>
          <c:tx>
            <c:rich>
              <a:bodyPr rot="0" vert="horz"/>
              <a:lstStyle/>
              <a:p>
                <a:pPr>
                  <a:defRPr b="1"/>
                </a:pPr>
                <a:r>
                  <a:rPr lang="it-IT" b="1"/>
                  <a:t>%</a:t>
                </a:r>
              </a:p>
            </c:rich>
          </c:tx>
          <c:layout>
            <c:manualLayout>
              <c:xMode val="edge"/>
              <c:yMode val="edge"/>
              <c:x val="0.96162867867867863"/>
              <c:y val="1.9740740740740756E-3"/>
            </c:manualLayout>
          </c:layout>
          <c:overlay val="0"/>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crossAx val="237625504"/>
        <c:crosses val="max"/>
        <c:crossBetween val="between"/>
        <c:majorUnit val="100"/>
      </c:valAx>
      <c:catAx>
        <c:axId val="237625504"/>
        <c:scaling>
          <c:orientation val="minMax"/>
        </c:scaling>
        <c:delete val="1"/>
        <c:axPos val="b"/>
        <c:numFmt formatCode="General" sourceLinked="1"/>
        <c:majorTickMark val="out"/>
        <c:minorTickMark val="none"/>
        <c:tickLblPos val="nextTo"/>
        <c:crossAx val="237449808"/>
        <c:crosses val="autoZero"/>
        <c:auto val="1"/>
        <c:lblAlgn val="ctr"/>
        <c:lblOffset val="100"/>
        <c:noMultiLvlLbl val="0"/>
      </c:catAx>
      <c:spPr>
        <a:solidFill>
          <a:srgbClr val="FFFFFF"/>
        </a:solidFill>
        <a:ln w="9525" cap="flat" cmpd="sng" algn="ctr">
          <a:solidFill>
            <a:srgbClr val="DDDDDD"/>
          </a:solidFill>
          <a:prstDash val="solid"/>
          <a:round/>
          <a:headEnd type="none" w="med" len="med"/>
          <a:tailEnd type="none" w="med" len="med"/>
        </a:ln>
        <a:effectLst/>
      </c:spPr>
    </c:plotArea>
    <c:legend>
      <c:legendPos val="t"/>
      <c:layout>
        <c:manualLayout>
          <c:xMode val="edge"/>
          <c:yMode val="edge"/>
          <c:x val="0.16853560371427334"/>
          <c:y val="0"/>
          <c:w val="0.68984446994428816"/>
          <c:h val="9.189071284011693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Narrow" panose="020B0606020202030204" pitchFamily="34" charset="0"/>
              <a:ea typeface="+mn-ea"/>
              <a:cs typeface="+mn-cs"/>
            </a:defRPr>
          </a:pPr>
          <a:endParaRPr lang="it-IT"/>
        </a:p>
      </c:txPr>
    </c:legend>
    <c:plotVisOnly val="1"/>
    <c:dispBlanksAs val="gap"/>
    <c:showDLblsOverMax val="0"/>
  </c:chart>
  <c:spPr>
    <a:solidFill>
      <a:srgbClr val="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Narrow" panose="020B060602020203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C46FC-E450-4A0E-A8DC-D0559AC30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3D393-A86E-48FE-A47C-966673B0F313}">
  <ds:schemaRefs>
    <ds:schemaRef ds:uri="http://schemas.microsoft.com/sharepoint/events"/>
  </ds:schemaRefs>
</ds:datastoreItem>
</file>

<file path=customXml/itemProps3.xml><?xml version="1.0" encoding="utf-8"?>
<ds:datastoreItem xmlns:ds="http://schemas.openxmlformats.org/officeDocument/2006/customXml" ds:itemID="{416CBCD4-A0D9-4779-82A0-880610C2D0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0AF039-4907-44F4-9163-8CBD2D9FEF44}">
  <ds:schemaRefs>
    <ds:schemaRef ds:uri="http://schemas.microsoft.com/office/2006/metadata/longProperties"/>
  </ds:schemaRefs>
</ds:datastoreItem>
</file>

<file path=customXml/itemProps5.xml><?xml version="1.0" encoding="utf-8"?>
<ds:datastoreItem xmlns:ds="http://schemas.openxmlformats.org/officeDocument/2006/customXml" ds:itemID="{3FA3A331-E51C-433B-B400-E4AB42279668}">
  <ds:schemaRefs>
    <ds:schemaRef ds:uri="http://schemas.microsoft.com/sharepoint/v3/contenttype/forms"/>
  </ds:schemaRefs>
</ds:datastoreItem>
</file>

<file path=customXml/itemProps6.xml><?xml version="1.0" encoding="utf-8"?>
<ds:datastoreItem xmlns:ds="http://schemas.openxmlformats.org/officeDocument/2006/customXml" ds:itemID="{75D967A2-F8D1-4129-AB58-01E445498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9323</Words>
  <Characters>53146</Characters>
  <Application>Microsoft Office Word</Application>
  <DocSecurity>0</DocSecurity>
  <Lines>442</Lines>
  <Paragraphs>124</Paragraphs>
  <ScaleCrop>false</ScaleCrop>
  <HeadingPairs>
    <vt:vector size="2" baseType="variant">
      <vt:variant>
        <vt:lpstr>Titolo</vt:lpstr>
      </vt:variant>
      <vt:variant>
        <vt:i4>1</vt:i4>
      </vt:variant>
    </vt:vector>
  </HeadingPairs>
  <TitlesOfParts>
    <vt:vector size="1" baseType="lpstr">
      <vt:lpstr>COMMERCIO CON L'ESTERO E PREZZI ALL'IMPORT</vt:lpstr>
    </vt:vector>
  </TitlesOfParts>
  <Company>HP</Company>
  <LinksUpToDate>false</LinksUpToDate>
  <CharactersWithSpaces>62345</CharactersWithSpaces>
  <SharedDoc>false</SharedDoc>
  <HLinks>
    <vt:vector size="108" baseType="variant">
      <vt:variant>
        <vt:i4>3670095</vt:i4>
      </vt:variant>
      <vt:variant>
        <vt:i4>51</vt:i4>
      </vt:variant>
      <vt:variant>
        <vt:i4>0</vt:i4>
      </vt:variant>
      <vt:variant>
        <vt:i4>5</vt:i4>
      </vt:variant>
      <vt:variant>
        <vt:lpwstr>https://www.istat.it/it/files/2018/05/nota_informativa_prezzi_import.pdf</vt:lpwstr>
      </vt:variant>
      <vt:variant>
        <vt:lpwstr/>
      </vt:variant>
      <vt:variant>
        <vt:i4>6881380</vt:i4>
      </vt:variant>
      <vt:variant>
        <vt:i4>48</vt:i4>
      </vt:variant>
      <vt:variant>
        <vt:i4>0</vt:i4>
      </vt:variant>
      <vt:variant>
        <vt:i4>5</vt:i4>
      </vt:variant>
      <vt:variant>
        <vt:lpwstr>http://www.istat.it/it/files/2015/11/Ricostruzione-serie-indici-2005-2009.pdf?title=Prezzi+all%27importazione+dei+prodotti+industriali+-+17%2Fnov%2F2015+-+Ricostruzione+serie.pdf</vt:lpwstr>
      </vt:variant>
      <vt:variant>
        <vt:lpwstr/>
      </vt:variant>
      <vt:variant>
        <vt:i4>7340158</vt:i4>
      </vt:variant>
      <vt:variant>
        <vt:i4>45</vt:i4>
      </vt:variant>
      <vt:variant>
        <vt:i4>0</vt:i4>
      </vt:variant>
      <vt:variant>
        <vt:i4>5</vt:i4>
      </vt:variant>
      <vt:variant>
        <vt:lpwstr>http://www.istat.it/it/files/2016/02/Prezzi-all-importazione-dei-prodotti-industriali-Nota-informativa.pdf?title=Prezzi+all%E2%80%99importazione+dei+prodotti+industriali+-+16%2Ffeb%2F2016+-+Nota+informativa.pdf</vt:lpwstr>
      </vt:variant>
      <vt:variant>
        <vt:lpwstr/>
      </vt:variant>
      <vt:variant>
        <vt:i4>5898331</vt:i4>
      </vt:variant>
      <vt:variant>
        <vt:i4>42</vt:i4>
      </vt:variant>
      <vt:variant>
        <vt:i4>0</vt:i4>
      </vt:variant>
      <vt:variant>
        <vt:i4>5</vt:i4>
      </vt:variant>
      <vt:variant>
        <vt:lpwstr>http://www.istat.it/it/archivio/45225</vt:lpwstr>
      </vt:variant>
      <vt:variant>
        <vt:lpwstr/>
      </vt:variant>
      <vt:variant>
        <vt:i4>852042</vt:i4>
      </vt:variant>
      <vt:variant>
        <vt:i4>39</vt:i4>
      </vt:variant>
      <vt:variant>
        <vt:i4>0</vt:i4>
      </vt:variant>
      <vt:variant>
        <vt:i4>5</vt:i4>
      </vt:variant>
      <vt:variant>
        <vt:lpwstr>https://www.istat.it/it/files/2011/03/testointegrale20080225.pdf</vt:lpwstr>
      </vt:variant>
      <vt:variant>
        <vt:lpwstr/>
      </vt:variant>
      <vt:variant>
        <vt:i4>7340157</vt:i4>
      </vt:variant>
      <vt:variant>
        <vt:i4>36</vt:i4>
      </vt:variant>
      <vt:variant>
        <vt:i4>0</vt:i4>
      </vt:variant>
      <vt:variant>
        <vt:i4>5</vt:i4>
      </vt:variant>
      <vt:variant>
        <vt:lpwstr>http://ec.europa.eu/eurostat/data/database</vt:lpwstr>
      </vt:variant>
      <vt:variant>
        <vt:lpwstr/>
      </vt:variant>
      <vt:variant>
        <vt:i4>3604535</vt:i4>
      </vt:variant>
      <vt:variant>
        <vt:i4>33</vt:i4>
      </vt:variant>
      <vt:variant>
        <vt:i4>0</vt:i4>
      </vt:variant>
      <vt:variant>
        <vt:i4>5</vt:i4>
      </vt:variant>
      <vt:variant>
        <vt:lpwstr>http://www.istat.it/it/archivio/esportazioni+delle+regioni</vt:lpwstr>
      </vt:variant>
      <vt:variant>
        <vt:lpwstr/>
      </vt:variant>
      <vt:variant>
        <vt:i4>1245267</vt:i4>
      </vt:variant>
      <vt:variant>
        <vt:i4>30</vt:i4>
      </vt:variant>
      <vt:variant>
        <vt:i4>0</vt:i4>
      </vt:variant>
      <vt:variant>
        <vt:i4>5</vt:i4>
      </vt:variant>
      <vt:variant>
        <vt:lpwstr>http://www.istat.it/it/archivio/commercio+estero+extra+ue</vt:lpwstr>
      </vt:variant>
      <vt:variant>
        <vt:lpwstr/>
      </vt:variant>
      <vt:variant>
        <vt:i4>4259923</vt:i4>
      </vt:variant>
      <vt:variant>
        <vt:i4>27</vt:i4>
      </vt:variant>
      <vt:variant>
        <vt:i4>0</vt:i4>
      </vt:variant>
      <vt:variant>
        <vt:i4>5</vt:i4>
      </vt:variant>
      <vt:variant>
        <vt:lpwstr>http://www.istat.it/it/archivio/commercio+estero+e+prezzi+import</vt:lpwstr>
      </vt:variant>
      <vt:variant>
        <vt:lpwstr/>
      </vt:variant>
      <vt:variant>
        <vt:i4>2359335</vt:i4>
      </vt:variant>
      <vt:variant>
        <vt:i4>24</vt:i4>
      </vt:variant>
      <vt:variant>
        <vt:i4>0</vt:i4>
      </vt:variant>
      <vt:variant>
        <vt:i4>5</vt:i4>
      </vt:variant>
      <vt:variant>
        <vt:lpwstr>http://www.istat.it/it/files/2016/07/scheda-CommercioEstero-e-prezzi-allimport-dei-prodotti-industriali.pdf</vt:lpwstr>
      </vt:variant>
      <vt:variant>
        <vt:lpwstr/>
      </vt:variant>
      <vt:variant>
        <vt:i4>2031617</vt:i4>
      </vt:variant>
      <vt:variant>
        <vt:i4>21</vt:i4>
      </vt:variant>
      <vt:variant>
        <vt:i4>0</vt:i4>
      </vt:variant>
      <vt:variant>
        <vt:i4>5</vt:i4>
      </vt:variant>
      <vt:variant>
        <vt:lpwstr>http://www.istat.it/it/congiuntura/revisioni</vt:lpwstr>
      </vt:variant>
      <vt:variant>
        <vt:lpwstr/>
      </vt:variant>
      <vt:variant>
        <vt:i4>1310812</vt:i4>
      </vt:variant>
      <vt:variant>
        <vt:i4>18</vt:i4>
      </vt:variant>
      <vt:variant>
        <vt:i4>0</vt:i4>
      </vt:variant>
      <vt:variant>
        <vt:i4>5</vt:i4>
      </vt:variant>
      <vt:variant>
        <vt:lpwstr>http://www.istat.it/it/informazioni/per-i-giornalisti/calendario/</vt:lpwstr>
      </vt:variant>
      <vt:variant>
        <vt:lpwstr/>
      </vt:variant>
      <vt:variant>
        <vt:i4>1900613</vt:i4>
      </vt:variant>
      <vt:variant>
        <vt:i4>15</vt:i4>
      </vt:variant>
      <vt:variant>
        <vt:i4>0</vt:i4>
      </vt:variant>
      <vt:variant>
        <vt:i4>5</vt:i4>
      </vt:variant>
      <vt:variant>
        <vt:lpwstr>https://www.coeweb.istat.it/</vt:lpwstr>
      </vt:variant>
      <vt:variant>
        <vt:lpwstr/>
      </vt:variant>
      <vt:variant>
        <vt:i4>6815848</vt:i4>
      </vt:variant>
      <vt:variant>
        <vt:i4>12</vt:i4>
      </vt:variant>
      <vt:variant>
        <vt:i4>0</vt:i4>
      </vt:variant>
      <vt:variant>
        <vt:i4>5</vt:i4>
      </vt:variant>
      <vt:variant>
        <vt:lpwstr>http://ec.europa.eu/eurostat/documents/3859598/5902521/KS-RA-07-015-EN.PDF</vt:lpwstr>
      </vt:variant>
      <vt:variant>
        <vt:lpwstr/>
      </vt:variant>
      <vt:variant>
        <vt:i4>5832811</vt:i4>
      </vt:variant>
      <vt:variant>
        <vt:i4>9</vt:i4>
      </vt:variant>
      <vt:variant>
        <vt:i4>0</vt:i4>
      </vt:variant>
      <vt:variant>
        <vt:i4>5</vt:i4>
      </vt:variant>
      <vt:variant>
        <vt:lpwstr>https://unstats.un.org/unsd/cr/registry/docs/i4_SNA.pdf</vt:lpwstr>
      </vt:variant>
      <vt:variant>
        <vt:lpwstr/>
      </vt:variant>
      <vt:variant>
        <vt:i4>1900613</vt:i4>
      </vt:variant>
      <vt:variant>
        <vt:i4>6</vt:i4>
      </vt:variant>
      <vt:variant>
        <vt:i4>0</vt:i4>
      </vt:variant>
      <vt:variant>
        <vt:i4>5</vt:i4>
      </vt:variant>
      <vt:variant>
        <vt:lpwstr>https://www.coeweb.istat.it/</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COMMERCIO CON L'ESTERO E PREZZI ALL'IMPORT</dc:title>
  <dc:subject/>
  <dc:creator>ISTAT</dc:creator>
  <cp:keywords/>
  <dc:description/>
  <cp:lastModifiedBy>Maria Moscufo</cp:lastModifiedBy>
  <cp:revision>11</cp:revision>
  <cp:lastPrinted>2022-03-17T13:41:00Z</cp:lastPrinted>
  <dcterms:created xsi:type="dcterms:W3CDTF">2022-03-17T12:35:00Z</dcterms:created>
  <dcterms:modified xsi:type="dcterms:W3CDTF">2022-03-17T20:15:00Z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2QYKZWF4TN2A-29-1413</vt:lpwstr>
  </property>
  <property fmtid="{D5CDD505-2E9C-101B-9397-08002B2CF9AE}" pid="3" name="_dlc_DocIdItemGuid">
    <vt:lpwstr>91d25d38-75ff-4036-8e43-5fa02ffec53a</vt:lpwstr>
  </property>
  <property fmtid="{D5CDD505-2E9C-101B-9397-08002B2CF9AE}" pid="4" name="_dlc_DocIdUrl">
    <vt:lpwstr>https://collaborazione.istat.it/siti/ed/ufficio_stampa/_layouts/DocIdRedir.aspx?ID=2QYKZWF4TN2A-29-1413, 2QYKZWF4TN2A-29-1413</vt:lpwstr>
  </property>
</Properties>
</file>