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4D612" w14:textId="77777777" w:rsidR="000A0813" w:rsidRPr="00047761" w:rsidRDefault="000A0813" w:rsidP="00434D21">
      <w:pPr>
        <w:rPr>
          <w:rFonts w:ascii="Arial" w:eastAsia="Arial" w:hAnsi="Arial" w:cs="Arial"/>
          <w:b/>
          <w:color w:val="D92C15"/>
          <w:sz w:val="44"/>
          <w:szCs w:val="44"/>
        </w:rPr>
      </w:pPr>
      <w:bookmarkStart w:id="0" w:name="_Hlk57990153"/>
    </w:p>
    <w:p w14:paraId="677115F5" w14:textId="7B3D30C4" w:rsidR="00434D21" w:rsidRDefault="00434D21" w:rsidP="00FF41FD">
      <w:pPr>
        <w:rPr>
          <w:rFonts w:ascii="Arial" w:eastAsia="Arial" w:hAnsi="Arial" w:cs="Arial"/>
          <w:b/>
          <w:color w:val="D92C15"/>
          <w:sz w:val="48"/>
          <w:szCs w:val="48"/>
        </w:rPr>
      </w:pPr>
      <w:r>
        <w:rPr>
          <w:rFonts w:ascii="Arial" w:eastAsia="Arial" w:hAnsi="Arial" w:cs="Arial"/>
          <w:b/>
          <w:color w:val="D92C15"/>
          <w:sz w:val="48"/>
          <w:szCs w:val="48"/>
        </w:rPr>
        <w:t xml:space="preserve">Il Censimento permanente </w:t>
      </w:r>
    </w:p>
    <w:p w14:paraId="63D98CF9" w14:textId="4985AED1" w:rsidR="00FF41FD" w:rsidRDefault="00434D21" w:rsidP="00FF41FD">
      <w:pPr>
        <w:rPr>
          <w:rFonts w:ascii="Arial" w:eastAsia="Arial" w:hAnsi="Arial" w:cs="Arial"/>
          <w:b/>
          <w:color w:val="D92C15"/>
          <w:sz w:val="48"/>
          <w:szCs w:val="48"/>
        </w:rPr>
      </w:pPr>
      <w:r>
        <w:rPr>
          <w:rFonts w:ascii="Arial" w:eastAsia="Arial" w:hAnsi="Arial" w:cs="Arial"/>
          <w:b/>
          <w:color w:val="D92C15"/>
          <w:sz w:val="48"/>
          <w:szCs w:val="48"/>
        </w:rPr>
        <w:t xml:space="preserve">della popolazione in </w:t>
      </w:r>
      <w:r w:rsidR="000B6DF6">
        <w:rPr>
          <w:rFonts w:ascii="Arial" w:eastAsia="Arial" w:hAnsi="Arial" w:cs="Arial"/>
          <w:b/>
          <w:color w:val="D92C15"/>
          <w:sz w:val="48"/>
          <w:szCs w:val="48"/>
        </w:rPr>
        <w:t>Lombardia</w:t>
      </w:r>
      <w:r w:rsidR="00FF41FD">
        <w:rPr>
          <w:rFonts w:ascii="Arial" w:eastAsia="Arial" w:hAnsi="Arial" w:cs="Arial"/>
          <w:b/>
          <w:color w:val="D92C15"/>
          <w:sz w:val="48"/>
          <w:szCs w:val="48"/>
        </w:rPr>
        <w:t xml:space="preserve"> </w:t>
      </w:r>
    </w:p>
    <w:p w14:paraId="42F21AA2" w14:textId="77777777" w:rsidR="0041266C" w:rsidRPr="00047761" w:rsidRDefault="0041266C" w:rsidP="00FF41FD">
      <w:pPr>
        <w:rPr>
          <w:rFonts w:ascii="Arial" w:eastAsia="Arial" w:hAnsi="Arial" w:cs="Arial"/>
          <w:b/>
          <w:color w:val="7F7F7F" w:themeColor="text1" w:themeTint="80"/>
          <w:sz w:val="20"/>
          <w:szCs w:val="20"/>
        </w:rPr>
      </w:pPr>
    </w:p>
    <w:p w14:paraId="7864476B" w14:textId="18880B43" w:rsidR="00434D21" w:rsidRDefault="000E7CDD" w:rsidP="0069134D">
      <w:pPr>
        <w:spacing w:after="120"/>
        <w:rPr>
          <w:rFonts w:ascii="Arial" w:eastAsia="Arial" w:hAnsi="Arial" w:cs="Arial"/>
          <w:b/>
          <w:color w:val="7F7F7F" w:themeColor="text1" w:themeTint="80"/>
          <w:sz w:val="28"/>
          <w:szCs w:val="28"/>
        </w:rPr>
      </w:pPr>
      <w:r w:rsidRPr="00047761">
        <w:rPr>
          <w:rFonts w:ascii="Arial" w:eastAsia="Arial" w:hAnsi="Arial" w:cs="Arial"/>
          <w:b/>
          <w:color w:val="7F7F7F" w:themeColor="text1" w:themeTint="80"/>
          <w:sz w:val="28"/>
          <w:szCs w:val="28"/>
        </w:rPr>
        <w:t>Anno 2020</w:t>
      </w:r>
    </w:p>
    <w:p w14:paraId="3624CC67" w14:textId="77777777" w:rsidR="0069134D" w:rsidRPr="00E77DFD" w:rsidRDefault="0069134D" w:rsidP="00047761">
      <w:pPr>
        <w:spacing w:after="120"/>
        <w:rPr>
          <w:rFonts w:ascii="Arial" w:eastAsia="Arial" w:hAnsi="Arial" w:cs="Arial"/>
          <w:b/>
          <w:iCs/>
          <w:color w:val="7F7F7F" w:themeColor="text1" w:themeTint="80"/>
          <w:sz w:val="28"/>
          <w:szCs w:val="28"/>
        </w:rPr>
      </w:pPr>
    </w:p>
    <w:p w14:paraId="623A5E27" w14:textId="6C9D8616" w:rsidR="00E704F3" w:rsidRPr="00047761" w:rsidRDefault="008C7BC5" w:rsidP="00047761">
      <w:pPr>
        <w:spacing w:after="120"/>
        <w:rPr>
          <w:rFonts w:ascii="Trebuchet MS" w:hAnsi="Trebuchet MS"/>
          <w:i/>
        </w:rPr>
      </w:pPr>
      <w:r>
        <w:rPr>
          <w:rStyle w:val="fontstyle01"/>
          <w:rFonts w:ascii="Trebuchet MS" w:hAnsi="Trebuchet MS"/>
          <w:iCs/>
        </w:rPr>
        <w:t>D</w:t>
      </w:r>
      <w:r w:rsidR="003C5237">
        <w:rPr>
          <w:rStyle w:val="fontstyle01"/>
          <w:rFonts w:ascii="Trebuchet MS" w:hAnsi="Trebuchet MS"/>
          <w:iCs/>
        </w:rPr>
        <w:t>istribuzione della popolazione residente</w:t>
      </w:r>
      <w:r w:rsidR="00C62A02">
        <w:rPr>
          <w:rStyle w:val="fontstyle01"/>
          <w:rFonts w:ascii="Trebuchet MS" w:hAnsi="Trebuchet MS"/>
          <w:iCs/>
        </w:rPr>
        <w:t xml:space="preserve"> </w:t>
      </w:r>
    </w:p>
    <w:p w14:paraId="05EA3221" w14:textId="0F5C1153" w:rsidR="00F826D9" w:rsidRPr="00AD40E7" w:rsidRDefault="00F826D9" w:rsidP="0069134D">
      <w:pPr>
        <w:spacing w:after="120"/>
        <w:jc w:val="both"/>
        <w:rPr>
          <w:rFonts w:ascii="Trebuchet MS" w:hAnsi="Trebuchet MS" w:cs="Arial"/>
          <w:color w:val="5F5F5F"/>
          <w:sz w:val="20"/>
          <w:szCs w:val="20"/>
        </w:rPr>
      </w:pPr>
      <w:r w:rsidRPr="00AD40E7">
        <w:rPr>
          <w:rFonts w:ascii="Trebuchet MS" w:hAnsi="Trebuchet MS" w:cs="Arial"/>
          <w:color w:val="5F5F5F"/>
          <w:sz w:val="20"/>
          <w:szCs w:val="20"/>
        </w:rPr>
        <w:t xml:space="preserve">Al 31 dicembre 2020, data di riferimento della terza edizione del Censimento permanente della popolazione, in </w:t>
      </w:r>
      <w:r w:rsidR="00B82610">
        <w:rPr>
          <w:rFonts w:ascii="Trebuchet MS" w:hAnsi="Trebuchet MS" w:cs="Arial"/>
          <w:color w:val="5F5F5F"/>
          <w:sz w:val="20"/>
          <w:szCs w:val="20"/>
        </w:rPr>
        <w:t>Lombardia</w:t>
      </w:r>
      <w:r w:rsidRPr="00AD40E7">
        <w:rPr>
          <w:rFonts w:ascii="Trebuchet MS" w:hAnsi="Trebuchet MS" w:cs="Arial"/>
          <w:color w:val="5F5F5F"/>
          <w:sz w:val="20"/>
          <w:szCs w:val="20"/>
        </w:rPr>
        <w:t xml:space="preserve"> </w:t>
      </w:r>
      <w:r w:rsidR="009A5713">
        <w:rPr>
          <w:rFonts w:ascii="Trebuchet MS" w:hAnsi="Trebuchet MS" w:cs="Arial"/>
          <w:color w:val="5F5F5F"/>
          <w:sz w:val="20"/>
          <w:szCs w:val="20"/>
        </w:rPr>
        <w:t>si contano</w:t>
      </w:r>
      <w:r w:rsidRPr="00AD40E7">
        <w:rPr>
          <w:rFonts w:ascii="Trebuchet MS" w:hAnsi="Trebuchet MS" w:cs="Arial"/>
          <w:color w:val="5F5F5F"/>
          <w:sz w:val="20"/>
          <w:szCs w:val="20"/>
        </w:rPr>
        <w:t xml:space="preserve"> </w:t>
      </w:r>
      <w:r w:rsidR="00B82610">
        <w:rPr>
          <w:rFonts w:ascii="Trebuchet MS" w:hAnsi="Trebuchet MS" w:cs="Arial"/>
          <w:color w:val="5F5F5F"/>
          <w:sz w:val="20"/>
          <w:szCs w:val="20"/>
        </w:rPr>
        <w:t>9.981.554</w:t>
      </w:r>
      <w:r w:rsidRPr="00AD40E7">
        <w:rPr>
          <w:rFonts w:ascii="Trebuchet MS" w:hAnsi="Trebuchet MS" w:cs="Arial"/>
          <w:color w:val="5F5F5F"/>
          <w:sz w:val="20"/>
          <w:szCs w:val="20"/>
        </w:rPr>
        <w:t xml:space="preserve"> </w:t>
      </w:r>
      <w:r w:rsidR="009A5713">
        <w:rPr>
          <w:rFonts w:ascii="Trebuchet MS" w:hAnsi="Trebuchet MS" w:cs="Arial"/>
          <w:color w:val="5F5F5F"/>
          <w:sz w:val="20"/>
          <w:szCs w:val="20"/>
        </w:rPr>
        <w:t>residenti</w:t>
      </w:r>
      <w:r w:rsidR="00FD3301">
        <w:rPr>
          <w:rFonts w:ascii="Trebuchet MS" w:hAnsi="Trebuchet MS" w:cs="Arial"/>
          <w:color w:val="5F5F5F"/>
          <w:sz w:val="20"/>
          <w:szCs w:val="20"/>
        </w:rPr>
        <w:t>. Al netto de</w:t>
      </w:r>
      <w:r w:rsidR="00B82610">
        <w:rPr>
          <w:rFonts w:ascii="Trebuchet MS" w:hAnsi="Trebuchet MS" w:cs="Arial"/>
          <w:color w:val="5F5F5F"/>
          <w:sz w:val="20"/>
          <w:szCs w:val="20"/>
        </w:rPr>
        <w:t>gli</w:t>
      </w:r>
      <w:r w:rsidRPr="00AD40E7">
        <w:rPr>
          <w:rFonts w:ascii="Trebuchet MS" w:hAnsi="Trebuchet MS" w:cs="Arial"/>
          <w:color w:val="5F5F5F"/>
          <w:sz w:val="20"/>
          <w:szCs w:val="20"/>
        </w:rPr>
        <w:t xml:space="preserve"> aggiustamenti statistici derivanti dalla nuova metodologia di calcolo</w:t>
      </w:r>
      <w:r w:rsidR="006F6CA6" w:rsidRPr="00AD40E7">
        <w:rPr>
          <w:rStyle w:val="Rimandonotaapidipagina"/>
          <w:rFonts w:ascii="Trebuchet MS" w:hAnsi="Trebuchet MS" w:cs="Arial"/>
          <w:color w:val="5F5F5F"/>
          <w:sz w:val="20"/>
          <w:szCs w:val="20"/>
        </w:rPr>
        <w:footnoteReference w:id="1"/>
      </w:r>
      <w:r w:rsidRPr="00AD40E7">
        <w:rPr>
          <w:rFonts w:ascii="Trebuchet MS" w:hAnsi="Trebuchet MS" w:cs="Arial"/>
          <w:color w:val="5F5F5F"/>
          <w:sz w:val="20"/>
          <w:szCs w:val="20"/>
        </w:rPr>
        <w:t>, i dati censuari registrano</w:t>
      </w:r>
      <w:r w:rsidR="00FC137A">
        <w:rPr>
          <w:rFonts w:ascii="Trebuchet MS" w:hAnsi="Trebuchet MS" w:cs="Arial"/>
          <w:color w:val="5F5F5F"/>
          <w:sz w:val="20"/>
          <w:szCs w:val="20"/>
        </w:rPr>
        <w:t>,</w:t>
      </w:r>
      <w:r w:rsidRPr="00AD40E7">
        <w:rPr>
          <w:rFonts w:ascii="Trebuchet MS" w:hAnsi="Trebuchet MS" w:cs="Arial"/>
          <w:color w:val="5F5F5F"/>
          <w:sz w:val="20"/>
          <w:szCs w:val="20"/>
        </w:rPr>
        <w:t xml:space="preserve"> rispetto al</w:t>
      </w:r>
      <w:r w:rsidR="00B60342">
        <w:rPr>
          <w:rFonts w:ascii="Trebuchet MS" w:hAnsi="Trebuchet MS" w:cs="Arial"/>
          <w:color w:val="5F5F5F"/>
          <w:sz w:val="20"/>
          <w:szCs w:val="20"/>
        </w:rPr>
        <w:t>l’edizione</w:t>
      </w:r>
      <w:r w:rsidR="00B82610">
        <w:rPr>
          <w:rFonts w:ascii="Trebuchet MS" w:hAnsi="Trebuchet MS" w:cs="Arial"/>
          <w:color w:val="5F5F5F"/>
          <w:sz w:val="20"/>
          <w:szCs w:val="20"/>
        </w:rPr>
        <w:t xml:space="preserve"> 2019</w:t>
      </w:r>
      <w:r w:rsidR="00FC137A">
        <w:rPr>
          <w:rFonts w:ascii="Trebuchet MS" w:hAnsi="Trebuchet MS" w:cs="Arial"/>
          <w:color w:val="5F5F5F"/>
          <w:sz w:val="20"/>
          <w:szCs w:val="20"/>
        </w:rPr>
        <w:t>,</w:t>
      </w:r>
      <w:r w:rsidR="00B82610">
        <w:rPr>
          <w:rFonts w:ascii="Trebuchet MS" w:hAnsi="Trebuchet MS" w:cs="Arial"/>
          <w:color w:val="5F5F5F"/>
          <w:sz w:val="20"/>
          <w:szCs w:val="20"/>
        </w:rPr>
        <w:t xml:space="preserve"> una diminuzione</w:t>
      </w:r>
      <w:r w:rsidRPr="00AD40E7">
        <w:rPr>
          <w:rFonts w:ascii="Trebuchet MS" w:hAnsi="Trebuchet MS" w:cs="Arial"/>
          <w:color w:val="5F5F5F"/>
          <w:sz w:val="20"/>
          <w:szCs w:val="20"/>
        </w:rPr>
        <w:t xml:space="preserve"> di </w:t>
      </w:r>
      <w:r w:rsidR="00B82610">
        <w:rPr>
          <w:rFonts w:ascii="Trebuchet MS" w:hAnsi="Trebuchet MS" w:cs="Arial"/>
          <w:color w:val="5F5F5F"/>
          <w:sz w:val="20"/>
          <w:szCs w:val="20"/>
        </w:rPr>
        <w:t>46.048</w:t>
      </w:r>
      <w:r w:rsidR="00B60342">
        <w:rPr>
          <w:rFonts w:ascii="Trebuchet MS" w:hAnsi="Trebuchet MS" w:cs="Arial"/>
          <w:color w:val="5F5F5F"/>
          <w:sz w:val="20"/>
          <w:szCs w:val="20"/>
        </w:rPr>
        <w:t xml:space="preserve"> unità </w:t>
      </w:r>
      <w:r w:rsidRPr="00AD40E7">
        <w:rPr>
          <w:rFonts w:ascii="Trebuchet MS" w:hAnsi="Trebuchet MS" w:cs="Arial"/>
          <w:color w:val="5F5F5F"/>
          <w:sz w:val="20"/>
          <w:szCs w:val="20"/>
        </w:rPr>
        <w:t>nella regione</w:t>
      </w:r>
      <w:r w:rsidR="007E70FB">
        <w:rPr>
          <w:rFonts w:ascii="Trebuchet MS" w:hAnsi="Trebuchet MS" w:cs="Arial"/>
          <w:color w:val="5F5F5F"/>
          <w:sz w:val="20"/>
          <w:szCs w:val="20"/>
        </w:rPr>
        <w:t xml:space="preserve"> (Prospetto 1)</w:t>
      </w:r>
      <w:r w:rsidRPr="00AD40E7">
        <w:rPr>
          <w:rFonts w:ascii="Trebuchet MS" w:hAnsi="Trebuchet MS" w:cs="Arial"/>
          <w:color w:val="5F5F5F"/>
          <w:sz w:val="20"/>
          <w:szCs w:val="20"/>
        </w:rPr>
        <w:t>.</w:t>
      </w:r>
    </w:p>
    <w:p w14:paraId="0491E2A6" w14:textId="07AAFE6B" w:rsidR="00F826D9" w:rsidRPr="00A805D4" w:rsidRDefault="009A5713" w:rsidP="006F6CA6">
      <w:pPr>
        <w:spacing w:after="120"/>
        <w:jc w:val="both"/>
        <w:rPr>
          <w:rFonts w:ascii="Trebuchet MS" w:hAnsi="Trebuchet MS" w:cs="Arial"/>
          <w:color w:val="5F5F5F"/>
          <w:sz w:val="20"/>
          <w:szCs w:val="20"/>
        </w:rPr>
      </w:pPr>
      <w:r>
        <w:rPr>
          <w:rFonts w:ascii="Trebuchet MS" w:hAnsi="Trebuchet MS" w:cs="Arial"/>
          <w:color w:val="5F5F5F"/>
          <w:sz w:val="20"/>
          <w:szCs w:val="20"/>
        </w:rPr>
        <w:t xml:space="preserve">Il </w:t>
      </w:r>
      <w:r w:rsidR="00FD3301">
        <w:rPr>
          <w:rFonts w:ascii="Trebuchet MS" w:hAnsi="Trebuchet MS" w:cs="Arial"/>
          <w:color w:val="5F5F5F"/>
          <w:sz w:val="20"/>
          <w:szCs w:val="20"/>
        </w:rPr>
        <w:t>56,1</w:t>
      </w:r>
      <w:r>
        <w:rPr>
          <w:rFonts w:ascii="Trebuchet MS" w:hAnsi="Trebuchet MS" w:cs="Arial"/>
          <w:color w:val="5F5F5F"/>
          <w:sz w:val="20"/>
          <w:szCs w:val="20"/>
        </w:rPr>
        <w:t xml:space="preserve">% della popolazione </w:t>
      </w:r>
      <w:r w:rsidR="00FD3301">
        <w:rPr>
          <w:rFonts w:ascii="Trebuchet MS" w:hAnsi="Trebuchet MS" w:cs="Arial"/>
          <w:color w:val="5F5F5F"/>
          <w:sz w:val="20"/>
          <w:szCs w:val="20"/>
        </w:rPr>
        <w:t>lombard</w:t>
      </w:r>
      <w:r w:rsidR="00B82610">
        <w:rPr>
          <w:rFonts w:ascii="Trebuchet MS" w:hAnsi="Trebuchet MS" w:cs="Arial"/>
          <w:color w:val="5F5F5F"/>
          <w:sz w:val="20"/>
          <w:szCs w:val="20"/>
        </w:rPr>
        <w:t>a</w:t>
      </w:r>
      <w:r>
        <w:rPr>
          <w:rFonts w:ascii="Trebuchet MS" w:hAnsi="Trebuchet MS" w:cs="Arial"/>
          <w:color w:val="5F5F5F"/>
          <w:sz w:val="20"/>
          <w:szCs w:val="20"/>
        </w:rPr>
        <w:t xml:space="preserve"> vive nelle province di </w:t>
      </w:r>
      <w:r w:rsidR="00FD3301">
        <w:rPr>
          <w:rFonts w:ascii="Trebuchet MS" w:hAnsi="Trebuchet MS" w:cs="Arial"/>
          <w:color w:val="5F5F5F"/>
          <w:sz w:val="20"/>
          <w:szCs w:val="20"/>
        </w:rPr>
        <w:t>Milano</w:t>
      </w:r>
      <w:r>
        <w:rPr>
          <w:rFonts w:ascii="Trebuchet MS" w:hAnsi="Trebuchet MS" w:cs="Arial"/>
          <w:color w:val="5F5F5F"/>
          <w:sz w:val="20"/>
          <w:szCs w:val="20"/>
        </w:rPr>
        <w:t xml:space="preserve">, </w:t>
      </w:r>
      <w:r w:rsidR="00FD3301">
        <w:rPr>
          <w:rFonts w:ascii="Trebuchet MS" w:hAnsi="Trebuchet MS" w:cs="Arial"/>
          <w:color w:val="5F5F5F"/>
          <w:sz w:val="20"/>
          <w:szCs w:val="20"/>
        </w:rPr>
        <w:t>Brescia</w:t>
      </w:r>
      <w:r>
        <w:rPr>
          <w:rFonts w:ascii="Trebuchet MS" w:hAnsi="Trebuchet MS" w:cs="Arial"/>
          <w:color w:val="5F5F5F"/>
          <w:sz w:val="20"/>
          <w:szCs w:val="20"/>
        </w:rPr>
        <w:t xml:space="preserve"> e </w:t>
      </w:r>
      <w:r w:rsidR="00FD3301">
        <w:rPr>
          <w:rFonts w:ascii="Trebuchet MS" w:hAnsi="Trebuchet MS" w:cs="Arial"/>
          <w:color w:val="5F5F5F"/>
          <w:sz w:val="20"/>
          <w:szCs w:val="20"/>
        </w:rPr>
        <w:t>Bergamo</w:t>
      </w:r>
      <w:r>
        <w:rPr>
          <w:rFonts w:ascii="Trebuchet MS" w:hAnsi="Trebuchet MS" w:cs="Arial"/>
          <w:color w:val="5F5F5F"/>
          <w:sz w:val="20"/>
          <w:szCs w:val="20"/>
        </w:rPr>
        <w:t xml:space="preserve">, </w:t>
      </w:r>
      <w:r w:rsidR="00F826D9" w:rsidRPr="00AD40E7">
        <w:rPr>
          <w:rFonts w:ascii="Trebuchet MS" w:hAnsi="Trebuchet MS" w:cs="Arial"/>
          <w:color w:val="5F5F5F"/>
          <w:sz w:val="20"/>
          <w:szCs w:val="20"/>
        </w:rPr>
        <w:t>che ricopr</w:t>
      </w:r>
      <w:r>
        <w:rPr>
          <w:rFonts w:ascii="Trebuchet MS" w:hAnsi="Trebuchet MS" w:cs="Arial"/>
          <w:color w:val="5F5F5F"/>
          <w:sz w:val="20"/>
          <w:szCs w:val="20"/>
        </w:rPr>
        <w:t>ono</w:t>
      </w:r>
      <w:r w:rsidR="00F826D9" w:rsidRPr="00AD40E7">
        <w:rPr>
          <w:rFonts w:ascii="Trebuchet MS" w:hAnsi="Trebuchet MS" w:cs="Arial"/>
          <w:color w:val="5F5F5F"/>
          <w:sz w:val="20"/>
          <w:szCs w:val="20"/>
        </w:rPr>
        <w:t xml:space="preserve"> </w:t>
      </w:r>
      <w:r w:rsidR="00FD3301">
        <w:rPr>
          <w:rFonts w:ascii="Trebuchet MS" w:hAnsi="Trebuchet MS" w:cs="Arial"/>
          <w:color w:val="5F5F5F"/>
          <w:sz w:val="20"/>
          <w:szCs w:val="20"/>
        </w:rPr>
        <w:t>il 38,2</w:t>
      </w:r>
      <w:r w:rsidR="00F826D9" w:rsidRPr="00030CB4">
        <w:rPr>
          <w:rFonts w:ascii="Trebuchet MS" w:hAnsi="Trebuchet MS" w:cs="Arial"/>
          <w:color w:val="5F5F5F"/>
          <w:sz w:val="20"/>
          <w:szCs w:val="20"/>
        </w:rPr>
        <w:t>% del territorio</w:t>
      </w:r>
      <w:r w:rsidRPr="00030CB4">
        <w:rPr>
          <w:rFonts w:ascii="Trebuchet MS" w:hAnsi="Trebuchet MS" w:cs="Arial"/>
          <w:color w:val="5F5F5F"/>
          <w:sz w:val="20"/>
          <w:szCs w:val="20"/>
        </w:rPr>
        <w:t>.</w:t>
      </w:r>
      <w:r w:rsidR="00F826D9" w:rsidRPr="00030CB4">
        <w:rPr>
          <w:rFonts w:ascii="Trebuchet MS" w:hAnsi="Trebuchet MS" w:cs="Arial"/>
          <w:color w:val="5F5F5F"/>
          <w:sz w:val="20"/>
          <w:szCs w:val="20"/>
        </w:rPr>
        <w:t xml:space="preserve"> </w:t>
      </w:r>
      <w:r w:rsidRPr="00030CB4">
        <w:rPr>
          <w:rFonts w:ascii="Trebuchet MS" w:hAnsi="Trebuchet MS" w:cs="Arial"/>
          <w:color w:val="5F5F5F"/>
          <w:sz w:val="20"/>
          <w:szCs w:val="20"/>
        </w:rPr>
        <w:t>I</w:t>
      </w:r>
      <w:r w:rsidR="00F826D9" w:rsidRPr="00030CB4">
        <w:rPr>
          <w:rFonts w:ascii="Trebuchet MS" w:hAnsi="Trebuchet MS" w:cs="Arial"/>
          <w:color w:val="5F5F5F"/>
          <w:sz w:val="20"/>
          <w:szCs w:val="20"/>
        </w:rPr>
        <w:t xml:space="preserve">n particolare, nella provincia di </w:t>
      </w:r>
      <w:r w:rsidR="00FD3301">
        <w:rPr>
          <w:rFonts w:ascii="Trebuchet MS" w:hAnsi="Trebuchet MS" w:cs="Arial"/>
          <w:color w:val="5F5F5F"/>
          <w:sz w:val="20"/>
          <w:szCs w:val="20"/>
        </w:rPr>
        <w:t>Milano, che copre appena il 6,6% della superficie regionale, si concentra</w:t>
      </w:r>
      <w:r w:rsidR="00C33343">
        <w:rPr>
          <w:rFonts w:ascii="Trebuchet MS" w:hAnsi="Trebuchet MS" w:cs="Arial"/>
          <w:color w:val="5F5F5F"/>
          <w:sz w:val="20"/>
          <w:szCs w:val="20"/>
        </w:rPr>
        <w:t xml:space="preserve"> un terzo dei residenti. Tuttavia, il più elevato valore di densità della popolazione</w:t>
      </w:r>
      <w:r w:rsidR="00F57487">
        <w:rPr>
          <w:rFonts w:ascii="Trebuchet MS" w:hAnsi="Trebuchet MS" w:cs="Arial"/>
          <w:color w:val="5F5F5F"/>
          <w:sz w:val="20"/>
          <w:szCs w:val="20"/>
        </w:rPr>
        <w:t xml:space="preserve"> </w:t>
      </w:r>
      <w:r w:rsidR="00C33343">
        <w:rPr>
          <w:rFonts w:ascii="Trebuchet MS" w:hAnsi="Trebuchet MS" w:cs="Arial"/>
          <w:color w:val="5F5F5F"/>
          <w:sz w:val="20"/>
          <w:szCs w:val="20"/>
        </w:rPr>
        <w:t>si registra nella provincia di Monza e della Brianza</w:t>
      </w:r>
      <w:r w:rsidR="00F57487">
        <w:rPr>
          <w:rFonts w:ascii="Trebuchet MS" w:hAnsi="Trebuchet MS" w:cs="Arial"/>
          <w:color w:val="5F5F5F"/>
          <w:sz w:val="20"/>
          <w:szCs w:val="20"/>
        </w:rPr>
        <w:t xml:space="preserve"> dove risiedono 2.146,3 </w:t>
      </w:r>
      <w:r w:rsidR="00F57487" w:rsidRPr="00030CB4">
        <w:rPr>
          <w:rFonts w:ascii="Trebuchet MS" w:hAnsi="Trebuchet MS" w:cs="Arial"/>
          <w:color w:val="5F5F5F"/>
          <w:sz w:val="20"/>
          <w:szCs w:val="20"/>
        </w:rPr>
        <w:t>abitanti ogni km</w:t>
      </w:r>
      <w:r w:rsidR="00F57487" w:rsidRPr="00030CB4">
        <w:rPr>
          <w:rFonts w:ascii="Trebuchet MS" w:hAnsi="Trebuchet MS" w:cs="Arial"/>
          <w:color w:val="5F5F5F"/>
          <w:sz w:val="20"/>
          <w:szCs w:val="20"/>
          <w:vertAlign w:val="superscript"/>
        </w:rPr>
        <w:t>2</w:t>
      </w:r>
      <w:r w:rsidR="00C33343">
        <w:rPr>
          <w:rFonts w:ascii="Trebuchet MS" w:hAnsi="Trebuchet MS" w:cs="Arial"/>
          <w:color w:val="5F5F5F"/>
          <w:sz w:val="20"/>
          <w:szCs w:val="20"/>
        </w:rPr>
        <w:t xml:space="preserve"> </w:t>
      </w:r>
      <w:r w:rsidR="00F57487">
        <w:rPr>
          <w:rFonts w:ascii="Trebuchet MS" w:hAnsi="Trebuchet MS" w:cs="Arial"/>
          <w:color w:val="5F5F5F"/>
          <w:sz w:val="20"/>
          <w:szCs w:val="20"/>
        </w:rPr>
        <w:t>contro i 418,3</w:t>
      </w:r>
      <w:r w:rsidR="00F826D9" w:rsidRPr="00030CB4">
        <w:rPr>
          <w:rFonts w:ascii="Trebuchet MS" w:hAnsi="Trebuchet MS" w:cs="Arial"/>
          <w:color w:val="5F5F5F"/>
          <w:sz w:val="20"/>
          <w:szCs w:val="20"/>
        </w:rPr>
        <w:t xml:space="preserve"> in media nella regione. </w:t>
      </w:r>
      <w:r w:rsidR="005E66F8" w:rsidRPr="00030CB4">
        <w:rPr>
          <w:rFonts w:ascii="Trebuchet MS" w:hAnsi="Trebuchet MS" w:cs="Arial"/>
          <w:color w:val="5F5F5F"/>
          <w:sz w:val="20"/>
          <w:szCs w:val="20"/>
        </w:rPr>
        <w:t xml:space="preserve">All'opposto, </w:t>
      </w:r>
      <w:r w:rsidR="00666553">
        <w:rPr>
          <w:rFonts w:ascii="Trebuchet MS" w:hAnsi="Trebuchet MS" w:cs="Arial"/>
          <w:color w:val="5F5F5F"/>
          <w:sz w:val="20"/>
          <w:szCs w:val="20"/>
        </w:rPr>
        <w:t xml:space="preserve">la provincia di </w:t>
      </w:r>
      <w:r w:rsidR="00F57487">
        <w:rPr>
          <w:rFonts w:ascii="Trebuchet MS" w:hAnsi="Trebuchet MS" w:cs="Arial"/>
          <w:color w:val="5F5F5F"/>
          <w:sz w:val="20"/>
          <w:szCs w:val="20"/>
        </w:rPr>
        <w:t xml:space="preserve">Sondrio, caratterizzata da un </w:t>
      </w:r>
      <w:r w:rsidR="00F57487" w:rsidRPr="0033524D">
        <w:rPr>
          <w:rFonts w:ascii="Trebuchet MS" w:hAnsi="Trebuchet MS" w:cs="Arial"/>
          <w:color w:val="5F5F5F"/>
          <w:sz w:val="20"/>
          <w:szCs w:val="20"/>
        </w:rPr>
        <w:t>territorio pre</w:t>
      </w:r>
      <w:r w:rsidR="00666553" w:rsidRPr="0033524D">
        <w:rPr>
          <w:rFonts w:ascii="Trebuchet MS" w:hAnsi="Trebuchet MS" w:cs="Arial"/>
          <w:color w:val="5F5F5F"/>
          <w:sz w:val="20"/>
          <w:szCs w:val="20"/>
        </w:rPr>
        <w:t>valentemente montuoso</w:t>
      </w:r>
      <w:r w:rsidR="00F57487" w:rsidRPr="0033524D">
        <w:rPr>
          <w:rFonts w:ascii="Trebuchet MS" w:hAnsi="Trebuchet MS" w:cs="Arial"/>
          <w:color w:val="5F5F5F"/>
          <w:sz w:val="20"/>
          <w:szCs w:val="20"/>
        </w:rPr>
        <w:t>, presenta</w:t>
      </w:r>
      <w:r w:rsidR="005E66F8" w:rsidRPr="0033524D">
        <w:rPr>
          <w:rFonts w:ascii="Trebuchet MS" w:hAnsi="Trebuchet MS" w:cs="Arial"/>
          <w:color w:val="5F5F5F"/>
          <w:sz w:val="20"/>
          <w:szCs w:val="20"/>
        </w:rPr>
        <w:t xml:space="preserve"> i</w:t>
      </w:r>
      <w:r w:rsidR="00F57487" w:rsidRPr="0033524D">
        <w:rPr>
          <w:rFonts w:ascii="Trebuchet MS" w:hAnsi="Trebuchet MS" w:cs="Arial"/>
          <w:color w:val="5F5F5F"/>
          <w:sz w:val="20"/>
          <w:szCs w:val="20"/>
        </w:rPr>
        <w:t>l</w:t>
      </w:r>
      <w:r w:rsidR="005E66F8" w:rsidRPr="0033524D">
        <w:rPr>
          <w:rFonts w:ascii="Trebuchet MS" w:hAnsi="Trebuchet MS" w:cs="Arial"/>
          <w:color w:val="5F5F5F"/>
          <w:sz w:val="20"/>
          <w:szCs w:val="20"/>
        </w:rPr>
        <w:t xml:space="preserve"> più bass</w:t>
      </w:r>
      <w:r w:rsidR="00F57487" w:rsidRPr="0033524D">
        <w:rPr>
          <w:rFonts w:ascii="Trebuchet MS" w:hAnsi="Trebuchet MS" w:cs="Arial"/>
          <w:color w:val="5F5F5F"/>
          <w:sz w:val="20"/>
          <w:szCs w:val="20"/>
        </w:rPr>
        <w:t>o livello</w:t>
      </w:r>
      <w:r w:rsidR="005E66F8" w:rsidRPr="0033524D">
        <w:rPr>
          <w:rFonts w:ascii="Trebuchet MS" w:hAnsi="Trebuchet MS" w:cs="Arial"/>
          <w:color w:val="5F5F5F"/>
          <w:sz w:val="20"/>
          <w:szCs w:val="20"/>
        </w:rPr>
        <w:t xml:space="preserve"> di densità, con </w:t>
      </w:r>
      <w:r w:rsidR="00F57487" w:rsidRPr="0033524D">
        <w:rPr>
          <w:rFonts w:ascii="Trebuchet MS" w:hAnsi="Trebuchet MS" w:cs="Arial"/>
          <w:color w:val="5F5F5F"/>
          <w:sz w:val="20"/>
          <w:szCs w:val="20"/>
        </w:rPr>
        <w:t xml:space="preserve">un </w:t>
      </w:r>
      <w:r w:rsidR="00346846" w:rsidRPr="0033524D">
        <w:rPr>
          <w:rFonts w:ascii="Trebuchet MS" w:hAnsi="Trebuchet MS" w:cs="Arial"/>
          <w:color w:val="5F5F5F"/>
          <w:sz w:val="20"/>
          <w:szCs w:val="20"/>
        </w:rPr>
        <w:t>valor</w:t>
      </w:r>
      <w:r w:rsidR="00346846">
        <w:rPr>
          <w:rFonts w:ascii="Trebuchet MS" w:hAnsi="Trebuchet MS" w:cs="Arial"/>
          <w:color w:val="5F5F5F"/>
          <w:sz w:val="20"/>
          <w:szCs w:val="20"/>
        </w:rPr>
        <w:t>e</w:t>
      </w:r>
      <w:r w:rsidR="005E66F8" w:rsidRPr="00030CB4">
        <w:rPr>
          <w:rFonts w:ascii="Trebuchet MS" w:hAnsi="Trebuchet MS" w:cs="Arial"/>
          <w:color w:val="5F5F5F"/>
          <w:sz w:val="20"/>
          <w:szCs w:val="20"/>
        </w:rPr>
        <w:t xml:space="preserve"> pari </w:t>
      </w:r>
      <w:r w:rsidR="00346846">
        <w:rPr>
          <w:rFonts w:ascii="Trebuchet MS" w:hAnsi="Trebuchet MS" w:cs="Arial"/>
          <w:color w:val="5F5F5F"/>
          <w:sz w:val="20"/>
          <w:szCs w:val="20"/>
        </w:rPr>
        <w:t xml:space="preserve">a 55,9 </w:t>
      </w:r>
      <w:r w:rsidR="005E66F8" w:rsidRPr="00030CB4">
        <w:rPr>
          <w:rFonts w:ascii="Trebuchet MS" w:hAnsi="Trebuchet MS" w:cs="Arial"/>
          <w:color w:val="5F5F5F"/>
          <w:sz w:val="20"/>
          <w:szCs w:val="20"/>
        </w:rPr>
        <w:t xml:space="preserve">abitanti per </w:t>
      </w:r>
      <w:r w:rsidR="00AF5DDA" w:rsidRPr="00030CB4">
        <w:rPr>
          <w:rFonts w:ascii="Trebuchet MS" w:hAnsi="Trebuchet MS" w:cs="Arial"/>
          <w:color w:val="5F5F5F"/>
          <w:sz w:val="20"/>
          <w:szCs w:val="20"/>
        </w:rPr>
        <w:t>km</w:t>
      </w:r>
      <w:r w:rsidR="00AF5DDA" w:rsidRPr="00030CB4">
        <w:rPr>
          <w:rFonts w:ascii="Trebuchet MS" w:hAnsi="Trebuchet MS" w:cs="Arial"/>
          <w:color w:val="5F5F5F"/>
          <w:sz w:val="20"/>
          <w:szCs w:val="20"/>
          <w:vertAlign w:val="superscript"/>
        </w:rPr>
        <w:t>2</w:t>
      </w:r>
      <w:r w:rsidR="005E66F8" w:rsidRPr="00030CB4">
        <w:rPr>
          <w:rFonts w:ascii="Trebuchet MS" w:hAnsi="Trebuchet MS" w:cs="Arial"/>
          <w:color w:val="5F5F5F"/>
          <w:sz w:val="20"/>
          <w:szCs w:val="20"/>
        </w:rPr>
        <w:t>.</w:t>
      </w:r>
    </w:p>
    <w:p w14:paraId="1373F551" w14:textId="12C92C13" w:rsidR="001F2F32" w:rsidRDefault="005E66F8" w:rsidP="006F6CA6">
      <w:pPr>
        <w:spacing w:after="120"/>
        <w:jc w:val="both"/>
        <w:rPr>
          <w:rFonts w:ascii="Trebuchet MS" w:hAnsi="Trebuchet MS" w:cs="Arial"/>
          <w:color w:val="5F5F5F"/>
          <w:sz w:val="20"/>
          <w:szCs w:val="20"/>
        </w:rPr>
      </w:pPr>
      <w:r>
        <w:rPr>
          <w:rFonts w:ascii="Trebuchet MS" w:hAnsi="Trebuchet MS" w:cs="Arial"/>
          <w:color w:val="5F5F5F"/>
          <w:sz w:val="20"/>
          <w:szCs w:val="20"/>
        </w:rPr>
        <w:t>T</w:t>
      </w:r>
      <w:r w:rsidR="00F826D9" w:rsidRPr="006F6CA6">
        <w:rPr>
          <w:rFonts w:ascii="Trebuchet MS" w:hAnsi="Trebuchet MS" w:cs="Arial"/>
          <w:color w:val="5F5F5F"/>
          <w:sz w:val="20"/>
          <w:szCs w:val="20"/>
        </w:rPr>
        <w:t>ra il 2019 e il 2020 la popolazione aumenta</w:t>
      </w:r>
      <w:r w:rsidR="00793FC1">
        <w:rPr>
          <w:rFonts w:ascii="Trebuchet MS" w:hAnsi="Trebuchet MS" w:cs="Arial"/>
          <w:color w:val="5F5F5F"/>
          <w:sz w:val="20"/>
          <w:szCs w:val="20"/>
        </w:rPr>
        <w:t xml:space="preserve"> solo nella provincia di Brescia (+272 residenti). </w:t>
      </w:r>
      <w:r w:rsidR="00B90674">
        <w:rPr>
          <w:rFonts w:ascii="Trebuchet MS" w:hAnsi="Trebuchet MS" w:cs="Arial"/>
          <w:color w:val="5F5F5F"/>
          <w:sz w:val="20"/>
          <w:szCs w:val="20"/>
        </w:rPr>
        <w:t xml:space="preserve">Diminuisce invece nel resto della regione, con perdite minime in provincia di </w:t>
      </w:r>
      <w:r w:rsidR="00793FC1">
        <w:rPr>
          <w:rFonts w:ascii="Trebuchet MS" w:hAnsi="Trebuchet MS" w:cs="Arial"/>
          <w:color w:val="5F5F5F"/>
          <w:sz w:val="20"/>
          <w:szCs w:val="20"/>
        </w:rPr>
        <w:t>Lodi</w:t>
      </w:r>
      <w:r w:rsidR="00B90674">
        <w:rPr>
          <w:rFonts w:ascii="Trebuchet MS" w:hAnsi="Trebuchet MS" w:cs="Arial"/>
          <w:color w:val="5F5F5F"/>
          <w:sz w:val="20"/>
          <w:szCs w:val="20"/>
        </w:rPr>
        <w:t xml:space="preserve"> </w:t>
      </w:r>
      <w:r w:rsidR="00793FC1">
        <w:rPr>
          <w:rFonts w:ascii="Trebuchet MS" w:hAnsi="Trebuchet MS" w:cs="Arial"/>
          <w:color w:val="5F5F5F"/>
          <w:sz w:val="20"/>
          <w:szCs w:val="20"/>
        </w:rPr>
        <w:t>(-69</w:t>
      </w:r>
      <w:r w:rsidR="00B90674" w:rsidRPr="006F6CA6">
        <w:rPr>
          <w:rFonts w:ascii="Trebuchet MS" w:hAnsi="Trebuchet MS" w:cs="Arial"/>
          <w:color w:val="5F5F5F"/>
          <w:sz w:val="20"/>
          <w:szCs w:val="20"/>
        </w:rPr>
        <w:t xml:space="preserve"> unità)</w:t>
      </w:r>
      <w:r w:rsidR="00B90674">
        <w:rPr>
          <w:rFonts w:ascii="Trebuchet MS" w:hAnsi="Trebuchet MS" w:cs="Arial"/>
          <w:color w:val="5F5F5F"/>
          <w:sz w:val="20"/>
          <w:szCs w:val="20"/>
        </w:rPr>
        <w:t xml:space="preserve"> e</w:t>
      </w:r>
      <w:r w:rsidR="00793FC1">
        <w:rPr>
          <w:rFonts w:ascii="Trebuchet MS" w:hAnsi="Trebuchet MS" w:cs="Arial"/>
          <w:color w:val="5F5F5F"/>
          <w:sz w:val="20"/>
          <w:szCs w:val="20"/>
        </w:rPr>
        <w:t xml:space="preserve"> di Monza e della Brianza</w:t>
      </w:r>
      <w:r w:rsidR="00B90674">
        <w:rPr>
          <w:rFonts w:ascii="Trebuchet MS" w:hAnsi="Trebuchet MS" w:cs="Arial"/>
          <w:color w:val="5F5F5F"/>
          <w:sz w:val="20"/>
          <w:szCs w:val="20"/>
        </w:rPr>
        <w:t xml:space="preserve"> </w:t>
      </w:r>
      <w:r w:rsidR="00793FC1">
        <w:rPr>
          <w:rFonts w:ascii="Trebuchet MS" w:hAnsi="Trebuchet MS" w:cs="Arial"/>
          <w:color w:val="5F5F5F"/>
          <w:sz w:val="20"/>
          <w:szCs w:val="20"/>
        </w:rPr>
        <w:t>(-80 unità)</w:t>
      </w:r>
      <w:r w:rsidR="005B08BC">
        <w:rPr>
          <w:rFonts w:ascii="Trebuchet MS" w:hAnsi="Trebuchet MS" w:cs="Arial"/>
          <w:color w:val="5F5F5F"/>
          <w:sz w:val="20"/>
          <w:szCs w:val="20"/>
        </w:rPr>
        <w:t xml:space="preserve"> e più consistenti nelle altre province. Si registra il maggior decremento in termini assoluti nella provincia di Milano (-23.514, -0,7%) e in termini relativi nella provincia di Cremona (-3.666, -1,0%). </w:t>
      </w:r>
    </w:p>
    <w:p w14:paraId="4AAC8C59" w14:textId="77777777" w:rsidR="00666553" w:rsidRPr="00666553" w:rsidRDefault="00666553" w:rsidP="006F6CA6">
      <w:pPr>
        <w:spacing w:after="120"/>
        <w:jc w:val="both"/>
        <w:rPr>
          <w:rFonts w:ascii="Trebuchet MS" w:hAnsi="Trebuchet MS" w:cs="Arial"/>
          <w:color w:val="5F5F5F"/>
          <w:sz w:val="4"/>
          <w:szCs w:val="4"/>
        </w:rPr>
      </w:pPr>
    </w:p>
    <w:p w14:paraId="7622DE9E" w14:textId="022E4516" w:rsidR="0041266C" w:rsidRPr="00047761" w:rsidRDefault="00E704F3">
      <w:pPr>
        <w:spacing w:after="120"/>
        <w:jc w:val="both"/>
        <w:rPr>
          <w:rFonts w:ascii="Arial Narrow" w:hAnsi="Arial Narrow" w:cs="Calibri"/>
          <w:color w:val="595959" w:themeColor="text1" w:themeTint="A6"/>
          <w:sz w:val="22"/>
          <w:szCs w:val="22"/>
        </w:rPr>
      </w:pPr>
      <w:r w:rsidRPr="00047761">
        <w:rPr>
          <w:rFonts w:ascii="Arial Narrow" w:hAnsi="Arial Narrow" w:cs="Calibri"/>
          <w:b/>
          <w:bCs/>
          <w:color w:val="595959" w:themeColor="text1" w:themeTint="A6"/>
          <w:sz w:val="22"/>
          <w:szCs w:val="22"/>
        </w:rPr>
        <w:t xml:space="preserve">PROSPETTO 1. </w:t>
      </w:r>
      <w:r w:rsidRPr="00047761">
        <w:rPr>
          <w:rFonts w:ascii="Arial Narrow" w:hAnsi="Arial Narrow" w:cs="Calibri"/>
          <w:color w:val="595959" w:themeColor="text1" w:themeTint="A6"/>
          <w:sz w:val="22"/>
          <w:szCs w:val="22"/>
        </w:rPr>
        <w:t>POPOLAZIONE CENSITA AL 31.12.2019, POPOLAZIONE CALCOLATA AL 31.12.2020, AGGIUSTAMENTO STATISTICO CENSUARIO, POPOLAZIONE CENSITA AL 31.12.2020 E VARIAZIONE 2020-2019</w:t>
      </w:r>
      <w:r w:rsidR="009A6123" w:rsidRPr="00047761">
        <w:rPr>
          <w:rFonts w:ascii="Arial Narrow" w:hAnsi="Arial Narrow" w:cs="Calibri"/>
          <w:color w:val="595959" w:themeColor="text1" w:themeTint="A6"/>
          <w:sz w:val="22"/>
          <w:szCs w:val="22"/>
        </w:rPr>
        <w:t xml:space="preserve"> PER PROVINCIA.</w:t>
      </w:r>
      <w:r w:rsidRPr="00047761">
        <w:rPr>
          <w:rFonts w:ascii="Arial Narrow" w:hAnsi="Arial Narrow" w:cs="Calibri"/>
          <w:color w:val="595959" w:themeColor="text1" w:themeTint="A6"/>
          <w:sz w:val="22"/>
          <w:szCs w:val="22"/>
        </w:rPr>
        <w:t xml:space="preserve"> Valori assoluti</w:t>
      </w:r>
    </w:p>
    <w:tbl>
      <w:tblPr>
        <w:tblW w:w="9620" w:type="dxa"/>
        <w:tblCellMar>
          <w:left w:w="70" w:type="dxa"/>
          <w:right w:w="70" w:type="dxa"/>
        </w:tblCellMar>
        <w:tblLook w:val="04A0" w:firstRow="1" w:lastRow="0" w:firstColumn="1" w:lastColumn="0" w:noHBand="0" w:noVBand="1"/>
      </w:tblPr>
      <w:tblGrid>
        <w:gridCol w:w="1936"/>
        <w:gridCol w:w="1536"/>
        <w:gridCol w:w="1537"/>
        <w:gridCol w:w="1538"/>
        <w:gridCol w:w="1537"/>
        <w:gridCol w:w="1536"/>
      </w:tblGrid>
      <w:tr w:rsidR="009816DA" w14:paraId="6833BF67" w14:textId="77777777" w:rsidTr="002C4D8B">
        <w:trPr>
          <w:trHeight w:val="706"/>
        </w:trPr>
        <w:tc>
          <w:tcPr>
            <w:tcW w:w="1936" w:type="dxa"/>
            <w:vMerge w:val="restart"/>
            <w:tcBorders>
              <w:top w:val="single" w:sz="4" w:space="0" w:color="auto"/>
              <w:left w:val="nil"/>
              <w:bottom w:val="single" w:sz="4" w:space="0" w:color="auto"/>
              <w:right w:val="nil"/>
            </w:tcBorders>
            <w:shd w:val="clear" w:color="auto" w:fill="auto"/>
            <w:noWrap/>
            <w:vAlign w:val="center"/>
            <w:hideMark/>
          </w:tcPr>
          <w:p w14:paraId="2D2AB9A5" w14:textId="77777777" w:rsidR="009816DA" w:rsidRDefault="009816DA">
            <w:pPr>
              <w:rPr>
                <w:rFonts w:ascii="Arial Narrow" w:hAnsi="Arial Narrow" w:cs="Calibri"/>
                <w:b/>
                <w:bCs/>
                <w:color w:val="000000"/>
                <w:sz w:val="18"/>
                <w:szCs w:val="18"/>
              </w:rPr>
            </w:pPr>
            <w:r>
              <w:rPr>
                <w:rFonts w:ascii="Arial Narrow" w:hAnsi="Arial Narrow" w:cs="Calibri"/>
                <w:b/>
                <w:bCs/>
                <w:color w:val="000000"/>
                <w:sz w:val="18"/>
                <w:szCs w:val="18"/>
              </w:rPr>
              <w:t>PROVINCE</w:t>
            </w:r>
          </w:p>
        </w:tc>
        <w:tc>
          <w:tcPr>
            <w:tcW w:w="1536" w:type="dxa"/>
            <w:tcBorders>
              <w:top w:val="single" w:sz="4" w:space="0" w:color="auto"/>
              <w:left w:val="nil"/>
              <w:bottom w:val="single" w:sz="4" w:space="0" w:color="auto"/>
              <w:right w:val="nil"/>
            </w:tcBorders>
            <w:shd w:val="clear" w:color="auto" w:fill="auto"/>
            <w:vAlign w:val="center"/>
            <w:hideMark/>
          </w:tcPr>
          <w:p w14:paraId="5B20BA2B" w14:textId="77777777" w:rsidR="009816DA" w:rsidRDefault="009816DA">
            <w:pPr>
              <w:jc w:val="right"/>
              <w:rPr>
                <w:rFonts w:ascii="Arial Narrow" w:hAnsi="Arial Narrow" w:cs="Calibri"/>
                <w:b/>
                <w:bCs/>
                <w:color w:val="000000"/>
                <w:sz w:val="18"/>
                <w:szCs w:val="18"/>
              </w:rPr>
            </w:pPr>
            <w:r>
              <w:rPr>
                <w:rFonts w:ascii="Arial Narrow" w:hAnsi="Arial Narrow" w:cs="Calibri"/>
                <w:b/>
                <w:bCs/>
                <w:color w:val="000000"/>
                <w:sz w:val="18"/>
                <w:szCs w:val="18"/>
              </w:rPr>
              <w:t>Popolazione censita al 31.12.2019</w:t>
            </w:r>
          </w:p>
        </w:tc>
        <w:tc>
          <w:tcPr>
            <w:tcW w:w="1537" w:type="dxa"/>
            <w:tcBorders>
              <w:top w:val="single" w:sz="4" w:space="0" w:color="auto"/>
              <w:left w:val="nil"/>
              <w:bottom w:val="single" w:sz="4" w:space="0" w:color="auto"/>
              <w:right w:val="nil"/>
            </w:tcBorders>
            <w:shd w:val="clear" w:color="auto" w:fill="auto"/>
            <w:vAlign w:val="center"/>
            <w:hideMark/>
          </w:tcPr>
          <w:p w14:paraId="1192EB8D" w14:textId="77777777" w:rsidR="009816DA" w:rsidRDefault="009816DA">
            <w:pPr>
              <w:jc w:val="right"/>
              <w:rPr>
                <w:rFonts w:ascii="Arial Narrow" w:hAnsi="Arial Narrow" w:cs="Calibri"/>
                <w:b/>
                <w:bCs/>
                <w:color w:val="000000"/>
                <w:sz w:val="18"/>
                <w:szCs w:val="18"/>
              </w:rPr>
            </w:pPr>
            <w:r>
              <w:rPr>
                <w:rFonts w:ascii="Arial Narrow" w:hAnsi="Arial Narrow" w:cs="Calibri"/>
                <w:b/>
                <w:bCs/>
                <w:color w:val="000000"/>
                <w:sz w:val="18"/>
                <w:szCs w:val="18"/>
              </w:rPr>
              <w:t>Popolazione calcolata al 31.12.2020</w:t>
            </w:r>
          </w:p>
        </w:tc>
        <w:tc>
          <w:tcPr>
            <w:tcW w:w="1538" w:type="dxa"/>
            <w:tcBorders>
              <w:top w:val="single" w:sz="4" w:space="0" w:color="auto"/>
              <w:left w:val="nil"/>
              <w:bottom w:val="single" w:sz="4" w:space="0" w:color="auto"/>
              <w:right w:val="nil"/>
            </w:tcBorders>
            <w:shd w:val="clear" w:color="auto" w:fill="auto"/>
            <w:vAlign w:val="center"/>
            <w:hideMark/>
          </w:tcPr>
          <w:p w14:paraId="4C63313A" w14:textId="77777777" w:rsidR="009816DA" w:rsidRDefault="009816DA">
            <w:pPr>
              <w:jc w:val="right"/>
              <w:rPr>
                <w:rFonts w:ascii="Arial Narrow" w:hAnsi="Arial Narrow" w:cs="Calibri"/>
                <w:b/>
                <w:bCs/>
                <w:color w:val="000000"/>
                <w:sz w:val="18"/>
                <w:szCs w:val="18"/>
              </w:rPr>
            </w:pPr>
            <w:r>
              <w:rPr>
                <w:rFonts w:ascii="Arial Narrow" w:hAnsi="Arial Narrow" w:cs="Calibri"/>
                <w:b/>
                <w:bCs/>
                <w:color w:val="000000"/>
                <w:sz w:val="18"/>
                <w:szCs w:val="18"/>
              </w:rPr>
              <w:t>Aggiustamento statistico censuario</w:t>
            </w:r>
          </w:p>
        </w:tc>
        <w:tc>
          <w:tcPr>
            <w:tcW w:w="1537" w:type="dxa"/>
            <w:tcBorders>
              <w:top w:val="single" w:sz="4" w:space="0" w:color="auto"/>
              <w:left w:val="nil"/>
              <w:bottom w:val="single" w:sz="4" w:space="0" w:color="auto"/>
              <w:right w:val="nil"/>
            </w:tcBorders>
            <w:shd w:val="clear" w:color="auto" w:fill="auto"/>
            <w:vAlign w:val="center"/>
            <w:hideMark/>
          </w:tcPr>
          <w:p w14:paraId="14644FF8" w14:textId="77777777" w:rsidR="009816DA" w:rsidRDefault="009816DA">
            <w:pPr>
              <w:jc w:val="right"/>
              <w:rPr>
                <w:rFonts w:ascii="Arial Narrow" w:hAnsi="Arial Narrow" w:cs="Calibri"/>
                <w:b/>
                <w:bCs/>
                <w:color w:val="000000"/>
                <w:sz w:val="18"/>
                <w:szCs w:val="18"/>
              </w:rPr>
            </w:pPr>
            <w:r>
              <w:rPr>
                <w:rFonts w:ascii="Arial Narrow" w:hAnsi="Arial Narrow" w:cs="Calibri"/>
                <w:b/>
                <w:bCs/>
                <w:color w:val="000000"/>
                <w:sz w:val="18"/>
                <w:szCs w:val="18"/>
              </w:rPr>
              <w:t>Popolazione censita al 31.12.2020</w:t>
            </w:r>
          </w:p>
        </w:tc>
        <w:tc>
          <w:tcPr>
            <w:tcW w:w="1536" w:type="dxa"/>
            <w:vMerge w:val="restart"/>
            <w:tcBorders>
              <w:top w:val="single" w:sz="4" w:space="0" w:color="auto"/>
              <w:left w:val="nil"/>
              <w:bottom w:val="single" w:sz="4" w:space="0" w:color="000000"/>
              <w:right w:val="nil"/>
            </w:tcBorders>
            <w:shd w:val="clear" w:color="auto" w:fill="auto"/>
            <w:vAlign w:val="center"/>
            <w:hideMark/>
          </w:tcPr>
          <w:p w14:paraId="675CA506" w14:textId="77777777" w:rsidR="009816DA" w:rsidRDefault="009816DA">
            <w:pPr>
              <w:jc w:val="right"/>
              <w:rPr>
                <w:rFonts w:ascii="Arial Narrow" w:hAnsi="Arial Narrow" w:cs="Calibri"/>
                <w:b/>
                <w:bCs/>
                <w:color w:val="000000"/>
                <w:sz w:val="18"/>
                <w:szCs w:val="18"/>
              </w:rPr>
            </w:pPr>
            <w:r>
              <w:rPr>
                <w:rFonts w:ascii="Arial Narrow" w:hAnsi="Arial Narrow" w:cs="Calibri"/>
                <w:b/>
                <w:bCs/>
                <w:color w:val="000000"/>
                <w:sz w:val="18"/>
                <w:szCs w:val="18"/>
              </w:rPr>
              <w:t>Variazione censuaria 2020-2019</w:t>
            </w:r>
          </w:p>
        </w:tc>
      </w:tr>
      <w:tr w:rsidR="009816DA" w14:paraId="750FEF0D" w14:textId="77777777" w:rsidTr="009816DA">
        <w:trPr>
          <w:trHeight w:val="300"/>
        </w:trPr>
        <w:tc>
          <w:tcPr>
            <w:tcW w:w="1936" w:type="dxa"/>
            <w:vMerge/>
            <w:tcBorders>
              <w:top w:val="single" w:sz="4" w:space="0" w:color="auto"/>
              <w:left w:val="nil"/>
              <w:bottom w:val="single" w:sz="4" w:space="0" w:color="auto"/>
              <w:right w:val="nil"/>
            </w:tcBorders>
            <w:vAlign w:val="center"/>
            <w:hideMark/>
          </w:tcPr>
          <w:p w14:paraId="2442C5A9" w14:textId="77777777" w:rsidR="009816DA" w:rsidRDefault="009816DA">
            <w:pPr>
              <w:rPr>
                <w:rFonts w:ascii="Arial Narrow" w:hAnsi="Arial Narrow" w:cs="Calibri"/>
                <w:b/>
                <w:bCs/>
                <w:color w:val="000000"/>
                <w:sz w:val="18"/>
                <w:szCs w:val="18"/>
              </w:rPr>
            </w:pPr>
          </w:p>
        </w:tc>
        <w:tc>
          <w:tcPr>
            <w:tcW w:w="1536" w:type="dxa"/>
            <w:tcBorders>
              <w:top w:val="nil"/>
              <w:left w:val="nil"/>
              <w:bottom w:val="single" w:sz="4" w:space="0" w:color="auto"/>
              <w:right w:val="nil"/>
            </w:tcBorders>
            <w:shd w:val="clear" w:color="000000" w:fill="D9D9D9"/>
            <w:vAlign w:val="center"/>
            <w:hideMark/>
          </w:tcPr>
          <w:p w14:paraId="30A5A5CF" w14:textId="77777777" w:rsidR="009816DA" w:rsidRDefault="009816DA">
            <w:pPr>
              <w:jc w:val="center"/>
              <w:rPr>
                <w:rFonts w:ascii="Arial Narrow" w:hAnsi="Arial Narrow" w:cs="Calibri"/>
                <w:b/>
                <w:bCs/>
                <w:color w:val="000000"/>
                <w:sz w:val="18"/>
                <w:szCs w:val="18"/>
              </w:rPr>
            </w:pPr>
            <w:r>
              <w:rPr>
                <w:rFonts w:ascii="Arial Narrow" w:hAnsi="Arial Narrow" w:cs="Calibri"/>
                <w:b/>
                <w:bCs/>
                <w:color w:val="000000"/>
                <w:sz w:val="18"/>
                <w:szCs w:val="18"/>
              </w:rPr>
              <w:t>P19</w:t>
            </w:r>
          </w:p>
        </w:tc>
        <w:tc>
          <w:tcPr>
            <w:tcW w:w="1537" w:type="dxa"/>
            <w:tcBorders>
              <w:top w:val="nil"/>
              <w:left w:val="nil"/>
              <w:bottom w:val="single" w:sz="4" w:space="0" w:color="auto"/>
              <w:right w:val="nil"/>
            </w:tcBorders>
            <w:shd w:val="clear" w:color="000000" w:fill="FFFFFF"/>
            <w:noWrap/>
            <w:vAlign w:val="center"/>
            <w:hideMark/>
          </w:tcPr>
          <w:p w14:paraId="5DD6BFA1" w14:textId="77777777" w:rsidR="009816DA" w:rsidRDefault="009816DA">
            <w:pPr>
              <w:jc w:val="center"/>
              <w:rPr>
                <w:rFonts w:ascii="Arial Narrow" w:hAnsi="Arial Narrow" w:cs="Calibri"/>
                <w:b/>
                <w:bCs/>
                <w:color w:val="000000"/>
                <w:sz w:val="18"/>
                <w:szCs w:val="18"/>
              </w:rPr>
            </w:pPr>
            <w:r>
              <w:rPr>
                <w:rFonts w:ascii="Arial Narrow" w:hAnsi="Arial Narrow" w:cs="Calibri"/>
                <w:b/>
                <w:bCs/>
                <w:color w:val="000000"/>
                <w:sz w:val="18"/>
                <w:szCs w:val="18"/>
              </w:rPr>
              <w:t xml:space="preserve"> P19+ST(*)</w:t>
            </w:r>
          </w:p>
        </w:tc>
        <w:tc>
          <w:tcPr>
            <w:tcW w:w="1538" w:type="dxa"/>
            <w:tcBorders>
              <w:top w:val="nil"/>
              <w:left w:val="nil"/>
              <w:bottom w:val="single" w:sz="4" w:space="0" w:color="auto"/>
              <w:right w:val="nil"/>
            </w:tcBorders>
            <w:shd w:val="clear" w:color="000000" w:fill="D9D9D9"/>
            <w:noWrap/>
            <w:vAlign w:val="center"/>
            <w:hideMark/>
          </w:tcPr>
          <w:p w14:paraId="12825DA1" w14:textId="77777777" w:rsidR="009816DA" w:rsidRDefault="009816DA">
            <w:pPr>
              <w:jc w:val="center"/>
              <w:rPr>
                <w:rFonts w:ascii="Arial Narrow" w:hAnsi="Arial Narrow" w:cs="Calibri"/>
                <w:b/>
                <w:bCs/>
                <w:color w:val="000000"/>
                <w:sz w:val="18"/>
                <w:szCs w:val="18"/>
              </w:rPr>
            </w:pPr>
            <w:r>
              <w:rPr>
                <w:rFonts w:ascii="Arial Narrow" w:hAnsi="Arial Narrow" w:cs="Calibri"/>
                <w:b/>
                <w:bCs/>
                <w:color w:val="000000"/>
                <w:sz w:val="18"/>
                <w:szCs w:val="18"/>
              </w:rPr>
              <w:t xml:space="preserve"> AG</w:t>
            </w:r>
          </w:p>
        </w:tc>
        <w:tc>
          <w:tcPr>
            <w:tcW w:w="1537" w:type="dxa"/>
            <w:tcBorders>
              <w:top w:val="nil"/>
              <w:left w:val="nil"/>
              <w:bottom w:val="single" w:sz="4" w:space="0" w:color="auto"/>
              <w:right w:val="nil"/>
            </w:tcBorders>
            <w:shd w:val="clear" w:color="000000" w:fill="FFFFFF"/>
            <w:noWrap/>
            <w:vAlign w:val="center"/>
            <w:hideMark/>
          </w:tcPr>
          <w:p w14:paraId="2E4EB0AC" w14:textId="77777777" w:rsidR="009816DA" w:rsidRDefault="009816DA">
            <w:pPr>
              <w:jc w:val="center"/>
              <w:rPr>
                <w:rFonts w:ascii="Arial Narrow" w:hAnsi="Arial Narrow" w:cs="Calibri"/>
                <w:b/>
                <w:bCs/>
                <w:color w:val="000000"/>
                <w:sz w:val="18"/>
                <w:szCs w:val="18"/>
              </w:rPr>
            </w:pPr>
            <w:r>
              <w:rPr>
                <w:rFonts w:ascii="Arial Narrow" w:hAnsi="Arial Narrow" w:cs="Calibri"/>
                <w:b/>
                <w:bCs/>
                <w:color w:val="000000"/>
                <w:sz w:val="18"/>
                <w:szCs w:val="18"/>
              </w:rPr>
              <w:t>P19+ST*+AG</w:t>
            </w:r>
          </w:p>
        </w:tc>
        <w:tc>
          <w:tcPr>
            <w:tcW w:w="1536" w:type="dxa"/>
            <w:vMerge/>
            <w:tcBorders>
              <w:top w:val="single" w:sz="4" w:space="0" w:color="auto"/>
              <w:left w:val="nil"/>
              <w:bottom w:val="single" w:sz="4" w:space="0" w:color="000000"/>
              <w:right w:val="nil"/>
            </w:tcBorders>
            <w:vAlign w:val="center"/>
            <w:hideMark/>
          </w:tcPr>
          <w:p w14:paraId="1BDC7F64" w14:textId="77777777" w:rsidR="009816DA" w:rsidRDefault="009816DA">
            <w:pPr>
              <w:rPr>
                <w:rFonts w:ascii="Arial Narrow" w:hAnsi="Arial Narrow" w:cs="Calibri"/>
                <w:b/>
                <w:bCs/>
                <w:color w:val="000000"/>
                <w:sz w:val="18"/>
                <w:szCs w:val="18"/>
              </w:rPr>
            </w:pPr>
          </w:p>
        </w:tc>
      </w:tr>
      <w:tr w:rsidR="009816DA" w14:paraId="1466CC98" w14:textId="77777777" w:rsidTr="009816DA">
        <w:trPr>
          <w:trHeight w:val="300"/>
        </w:trPr>
        <w:tc>
          <w:tcPr>
            <w:tcW w:w="1936" w:type="dxa"/>
            <w:tcBorders>
              <w:top w:val="nil"/>
              <w:left w:val="nil"/>
              <w:bottom w:val="single" w:sz="4" w:space="0" w:color="auto"/>
              <w:right w:val="nil"/>
            </w:tcBorders>
            <w:shd w:val="clear" w:color="auto" w:fill="auto"/>
            <w:noWrap/>
            <w:vAlign w:val="center"/>
            <w:hideMark/>
          </w:tcPr>
          <w:p w14:paraId="7F52A9C0" w14:textId="77777777" w:rsidR="009816DA" w:rsidRDefault="009816DA">
            <w:pPr>
              <w:rPr>
                <w:rFonts w:ascii="Arial Narrow" w:hAnsi="Arial Narrow" w:cs="Calibri"/>
                <w:color w:val="000000"/>
                <w:sz w:val="18"/>
                <w:szCs w:val="18"/>
              </w:rPr>
            </w:pPr>
            <w:r>
              <w:rPr>
                <w:rFonts w:ascii="Arial Narrow" w:hAnsi="Arial Narrow" w:cs="Calibri"/>
                <w:color w:val="000000"/>
                <w:sz w:val="18"/>
                <w:szCs w:val="18"/>
              </w:rPr>
              <w:t>Bergamo</w:t>
            </w:r>
          </w:p>
        </w:tc>
        <w:tc>
          <w:tcPr>
            <w:tcW w:w="1536" w:type="dxa"/>
            <w:tcBorders>
              <w:top w:val="nil"/>
              <w:left w:val="nil"/>
              <w:bottom w:val="single" w:sz="4" w:space="0" w:color="auto"/>
              <w:right w:val="nil"/>
            </w:tcBorders>
            <w:shd w:val="clear" w:color="000000" w:fill="D9D9D9"/>
            <w:noWrap/>
            <w:vAlign w:val="center"/>
            <w:hideMark/>
          </w:tcPr>
          <w:p w14:paraId="21471779"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1.108.126</w:t>
            </w:r>
          </w:p>
        </w:tc>
        <w:tc>
          <w:tcPr>
            <w:tcW w:w="1537" w:type="dxa"/>
            <w:tcBorders>
              <w:top w:val="nil"/>
              <w:left w:val="nil"/>
              <w:bottom w:val="single" w:sz="4" w:space="0" w:color="auto"/>
              <w:right w:val="nil"/>
            </w:tcBorders>
            <w:shd w:val="clear" w:color="000000" w:fill="FFFFFF"/>
            <w:noWrap/>
            <w:vAlign w:val="center"/>
            <w:hideMark/>
          </w:tcPr>
          <w:p w14:paraId="3F5C4603"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1.099.732</w:t>
            </w:r>
          </w:p>
        </w:tc>
        <w:tc>
          <w:tcPr>
            <w:tcW w:w="1538" w:type="dxa"/>
            <w:tcBorders>
              <w:top w:val="nil"/>
              <w:left w:val="nil"/>
              <w:bottom w:val="single" w:sz="4" w:space="0" w:color="auto"/>
              <w:right w:val="nil"/>
            </w:tcBorders>
            <w:shd w:val="clear" w:color="000000" w:fill="D9D9D9"/>
            <w:noWrap/>
            <w:vAlign w:val="center"/>
            <w:hideMark/>
          </w:tcPr>
          <w:p w14:paraId="51F6BEC0"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3.824</w:t>
            </w:r>
          </w:p>
        </w:tc>
        <w:tc>
          <w:tcPr>
            <w:tcW w:w="1537" w:type="dxa"/>
            <w:tcBorders>
              <w:top w:val="nil"/>
              <w:left w:val="nil"/>
              <w:bottom w:val="single" w:sz="4" w:space="0" w:color="auto"/>
              <w:right w:val="nil"/>
            </w:tcBorders>
            <w:shd w:val="clear" w:color="000000" w:fill="FFFFFF"/>
            <w:noWrap/>
            <w:vAlign w:val="center"/>
            <w:hideMark/>
          </w:tcPr>
          <w:p w14:paraId="0200A78B"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1.103.556</w:t>
            </w:r>
          </w:p>
        </w:tc>
        <w:tc>
          <w:tcPr>
            <w:tcW w:w="1536" w:type="dxa"/>
            <w:tcBorders>
              <w:top w:val="nil"/>
              <w:left w:val="nil"/>
              <w:bottom w:val="single" w:sz="4" w:space="0" w:color="auto"/>
              <w:right w:val="nil"/>
            </w:tcBorders>
            <w:shd w:val="clear" w:color="000000" w:fill="D9D9D9"/>
            <w:noWrap/>
            <w:vAlign w:val="center"/>
            <w:hideMark/>
          </w:tcPr>
          <w:p w14:paraId="6E28202A"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-4.570</w:t>
            </w:r>
          </w:p>
        </w:tc>
      </w:tr>
      <w:tr w:rsidR="009816DA" w14:paraId="36B30B30" w14:textId="77777777" w:rsidTr="009816DA">
        <w:trPr>
          <w:trHeight w:val="300"/>
        </w:trPr>
        <w:tc>
          <w:tcPr>
            <w:tcW w:w="1936" w:type="dxa"/>
            <w:tcBorders>
              <w:top w:val="nil"/>
              <w:left w:val="nil"/>
              <w:bottom w:val="single" w:sz="4" w:space="0" w:color="auto"/>
              <w:right w:val="nil"/>
            </w:tcBorders>
            <w:shd w:val="clear" w:color="auto" w:fill="auto"/>
            <w:noWrap/>
            <w:vAlign w:val="center"/>
            <w:hideMark/>
          </w:tcPr>
          <w:p w14:paraId="46C3ABD3" w14:textId="77777777" w:rsidR="009816DA" w:rsidRDefault="009816DA">
            <w:pPr>
              <w:rPr>
                <w:rFonts w:ascii="Arial Narrow" w:hAnsi="Arial Narrow" w:cs="Calibri"/>
                <w:color w:val="000000"/>
                <w:sz w:val="18"/>
                <w:szCs w:val="18"/>
              </w:rPr>
            </w:pPr>
            <w:r>
              <w:rPr>
                <w:rFonts w:ascii="Arial Narrow" w:hAnsi="Arial Narrow" w:cs="Calibri"/>
                <w:color w:val="000000"/>
                <w:sz w:val="18"/>
                <w:szCs w:val="18"/>
              </w:rPr>
              <w:t>Brescia</w:t>
            </w:r>
          </w:p>
        </w:tc>
        <w:tc>
          <w:tcPr>
            <w:tcW w:w="1536" w:type="dxa"/>
            <w:tcBorders>
              <w:top w:val="nil"/>
              <w:left w:val="nil"/>
              <w:bottom w:val="single" w:sz="4" w:space="0" w:color="auto"/>
              <w:right w:val="nil"/>
            </w:tcBorders>
            <w:shd w:val="clear" w:color="000000" w:fill="D9D9D9"/>
            <w:noWrap/>
            <w:vAlign w:val="center"/>
            <w:hideMark/>
          </w:tcPr>
          <w:p w14:paraId="5BA397DD"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1.255.437</w:t>
            </w:r>
          </w:p>
        </w:tc>
        <w:tc>
          <w:tcPr>
            <w:tcW w:w="1537" w:type="dxa"/>
            <w:tcBorders>
              <w:top w:val="nil"/>
              <w:left w:val="nil"/>
              <w:bottom w:val="single" w:sz="4" w:space="0" w:color="auto"/>
              <w:right w:val="nil"/>
            </w:tcBorders>
            <w:shd w:val="clear" w:color="000000" w:fill="FFFFFF"/>
            <w:noWrap/>
            <w:vAlign w:val="center"/>
            <w:hideMark/>
          </w:tcPr>
          <w:p w14:paraId="2E05EDCD"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1.247.831</w:t>
            </w:r>
          </w:p>
        </w:tc>
        <w:tc>
          <w:tcPr>
            <w:tcW w:w="1538" w:type="dxa"/>
            <w:tcBorders>
              <w:top w:val="nil"/>
              <w:left w:val="nil"/>
              <w:bottom w:val="single" w:sz="4" w:space="0" w:color="auto"/>
              <w:right w:val="nil"/>
            </w:tcBorders>
            <w:shd w:val="clear" w:color="000000" w:fill="D9D9D9"/>
            <w:noWrap/>
            <w:vAlign w:val="center"/>
            <w:hideMark/>
          </w:tcPr>
          <w:p w14:paraId="34809642"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7.878</w:t>
            </w:r>
          </w:p>
        </w:tc>
        <w:tc>
          <w:tcPr>
            <w:tcW w:w="1537" w:type="dxa"/>
            <w:tcBorders>
              <w:top w:val="nil"/>
              <w:left w:val="nil"/>
              <w:bottom w:val="single" w:sz="4" w:space="0" w:color="auto"/>
              <w:right w:val="nil"/>
            </w:tcBorders>
            <w:shd w:val="clear" w:color="000000" w:fill="FFFFFF"/>
            <w:noWrap/>
            <w:vAlign w:val="center"/>
            <w:hideMark/>
          </w:tcPr>
          <w:p w14:paraId="44113213"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1.255.709</w:t>
            </w:r>
          </w:p>
        </w:tc>
        <w:tc>
          <w:tcPr>
            <w:tcW w:w="1536" w:type="dxa"/>
            <w:tcBorders>
              <w:top w:val="nil"/>
              <w:left w:val="nil"/>
              <w:bottom w:val="single" w:sz="4" w:space="0" w:color="auto"/>
              <w:right w:val="nil"/>
            </w:tcBorders>
            <w:shd w:val="clear" w:color="000000" w:fill="D9D9D9"/>
            <w:noWrap/>
            <w:vAlign w:val="center"/>
            <w:hideMark/>
          </w:tcPr>
          <w:p w14:paraId="62BAE368"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272</w:t>
            </w:r>
          </w:p>
        </w:tc>
      </w:tr>
      <w:tr w:rsidR="009816DA" w14:paraId="567315AF" w14:textId="77777777" w:rsidTr="009816DA">
        <w:trPr>
          <w:trHeight w:val="300"/>
        </w:trPr>
        <w:tc>
          <w:tcPr>
            <w:tcW w:w="1936" w:type="dxa"/>
            <w:tcBorders>
              <w:top w:val="nil"/>
              <w:left w:val="nil"/>
              <w:bottom w:val="single" w:sz="4" w:space="0" w:color="auto"/>
              <w:right w:val="nil"/>
            </w:tcBorders>
            <w:shd w:val="clear" w:color="auto" w:fill="auto"/>
            <w:noWrap/>
            <w:vAlign w:val="center"/>
            <w:hideMark/>
          </w:tcPr>
          <w:p w14:paraId="0DC0F453" w14:textId="77777777" w:rsidR="009816DA" w:rsidRDefault="009816DA">
            <w:pPr>
              <w:rPr>
                <w:rFonts w:ascii="Arial Narrow" w:hAnsi="Arial Narrow" w:cs="Calibri"/>
                <w:color w:val="000000"/>
                <w:sz w:val="18"/>
                <w:szCs w:val="18"/>
              </w:rPr>
            </w:pPr>
            <w:r>
              <w:rPr>
                <w:rFonts w:ascii="Arial Narrow" w:hAnsi="Arial Narrow" w:cs="Calibri"/>
                <w:color w:val="000000"/>
                <w:sz w:val="18"/>
                <w:szCs w:val="18"/>
              </w:rPr>
              <w:t>Como</w:t>
            </w:r>
          </w:p>
        </w:tc>
        <w:tc>
          <w:tcPr>
            <w:tcW w:w="1536" w:type="dxa"/>
            <w:tcBorders>
              <w:top w:val="nil"/>
              <w:left w:val="nil"/>
              <w:bottom w:val="single" w:sz="4" w:space="0" w:color="auto"/>
              <w:right w:val="nil"/>
            </w:tcBorders>
            <w:shd w:val="clear" w:color="000000" w:fill="D9D9D9"/>
            <w:noWrap/>
            <w:vAlign w:val="center"/>
            <w:hideMark/>
          </w:tcPr>
          <w:p w14:paraId="3E69DD5C"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597.642</w:t>
            </w:r>
          </w:p>
        </w:tc>
        <w:tc>
          <w:tcPr>
            <w:tcW w:w="1537" w:type="dxa"/>
            <w:tcBorders>
              <w:top w:val="nil"/>
              <w:left w:val="nil"/>
              <w:bottom w:val="single" w:sz="4" w:space="0" w:color="auto"/>
              <w:right w:val="nil"/>
            </w:tcBorders>
            <w:shd w:val="clear" w:color="000000" w:fill="FFFFFF"/>
            <w:noWrap/>
            <w:vAlign w:val="center"/>
            <w:hideMark/>
          </w:tcPr>
          <w:p w14:paraId="7E5DD7A7"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595.086</w:t>
            </w:r>
          </w:p>
        </w:tc>
        <w:tc>
          <w:tcPr>
            <w:tcW w:w="1538" w:type="dxa"/>
            <w:tcBorders>
              <w:top w:val="nil"/>
              <w:left w:val="nil"/>
              <w:bottom w:val="single" w:sz="4" w:space="0" w:color="auto"/>
              <w:right w:val="nil"/>
            </w:tcBorders>
            <w:shd w:val="clear" w:color="000000" w:fill="D9D9D9"/>
            <w:noWrap/>
            <w:vAlign w:val="center"/>
            <w:hideMark/>
          </w:tcPr>
          <w:p w14:paraId="71271B93"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1.370</w:t>
            </w:r>
          </w:p>
        </w:tc>
        <w:tc>
          <w:tcPr>
            <w:tcW w:w="1537" w:type="dxa"/>
            <w:tcBorders>
              <w:top w:val="nil"/>
              <w:left w:val="nil"/>
              <w:bottom w:val="single" w:sz="4" w:space="0" w:color="auto"/>
              <w:right w:val="nil"/>
            </w:tcBorders>
            <w:shd w:val="clear" w:color="000000" w:fill="FFFFFF"/>
            <w:noWrap/>
            <w:vAlign w:val="center"/>
            <w:hideMark/>
          </w:tcPr>
          <w:p w14:paraId="0459C4A0"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596.456</w:t>
            </w:r>
          </w:p>
        </w:tc>
        <w:tc>
          <w:tcPr>
            <w:tcW w:w="1536" w:type="dxa"/>
            <w:tcBorders>
              <w:top w:val="nil"/>
              <w:left w:val="nil"/>
              <w:bottom w:val="single" w:sz="4" w:space="0" w:color="auto"/>
              <w:right w:val="nil"/>
            </w:tcBorders>
            <w:shd w:val="clear" w:color="000000" w:fill="D9D9D9"/>
            <w:noWrap/>
            <w:vAlign w:val="center"/>
            <w:hideMark/>
          </w:tcPr>
          <w:p w14:paraId="02D8E919"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-1.186</w:t>
            </w:r>
          </w:p>
        </w:tc>
      </w:tr>
      <w:tr w:rsidR="009816DA" w14:paraId="22409657" w14:textId="77777777" w:rsidTr="009816DA">
        <w:trPr>
          <w:trHeight w:val="300"/>
        </w:trPr>
        <w:tc>
          <w:tcPr>
            <w:tcW w:w="1936" w:type="dxa"/>
            <w:tcBorders>
              <w:top w:val="nil"/>
              <w:left w:val="nil"/>
              <w:bottom w:val="single" w:sz="4" w:space="0" w:color="auto"/>
              <w:right w:val="nil"/>
            </w:tcBorders>
            <w:shd w:val="clear" w:color="auto" w:fill="auto"/>
            <w:noWrap/>
            <w:vAlign w:val="center"/>
            <w:hideMark/>
          </w:tcPr>
          <w:p w14:paraId="1813BDDC" w14:textId="77777777" w:rsidR="009816DA" w:rsidRDefault="009816DA">
            <w:pPr>
              <w:rPr>
                <w:rFonts w:ascii="Arial Narrow" w:hAnsi="Arial Narrow" w:cs="Calibri"/>
                <w:color w:val="000000"/>
                <w:sz w:val="18"/>
                <w:szCs w:val="18"/>
              </w:rPr>
            </w:pPr>
            <w:r>
              <w:rPr>
                <w:rFonts w:ascii="Arial Narrow" w:hAnsi="Arial Narrow" w:cs="Calibri"/>
                <w:color w:val="000000"/>
                <w:sz w:val="18"/>
                <w:szCs w:val="18"/>
              </w:rPr>
              <w:t>Cremona</w:t>
            </w:r>
          </w:p>
        </w:tc>
        <w:tc>
          <w:tcPr>
            <w:tcW w:w="1536" w:type="dxa"/>
            <w:tcBorders>
              <w:top w:val="nil"/>
              <w:left w:val="nil"/>
              <w:bottom w:val="single" w:sz="4" w:space="0" w:color="auto"/>
              <w:right w:val="nil"/>
            </w:tcBorders>
            <w:shd w:val="clear" w:color="000000" w:fill="D9D9D9"/>
            <w:noWrap/>
            <w:vAlign w:val="center"/>
            <w:hideMark/>
          </w:tcPr>
          <w:p w14:paraId="48675EE3"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355.908</w:t>
            </w:r>
          </w:p>
        </w:tc>
        <w:tc>
          <w:tcPr>
            <w:tcW w:w="1537" w:type="dxa"/>
            <w:tcBorders>
              <w:top w:val="nil"/>
              <w:left w:val="nil"/>
              <w:bottom w:val="single" w:sz="4" w:space="0" w:color="auto"/>
              <w:right w:val="nil"/>
            </w:tcBorders>
            <w:shd w:val="clear" w:color="000000" w:fill="FFFFFF"/>
            <w:noWrap/>
            <w:vAlign w:val="center"/>
            <w:hideMark/>
          </w:tcPr>
          <w:p w14:paraId="40B00C9F"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351.865</w:t>
            </w:r>
          </w:p>
        </w:tc>
        <w:tc>
          <w:tcPr>
            <w:tcW w:w="1538" w:type="dxa"/>
            <w:tcBorders>
              <w:top w:val="nil"/>
              <w:left w:val="nil"/>
              <w:bottom w:val="single" w:sz="4" w:space="0" w:color="auto"/>
              <w:right w:val="nil"/>
            </w:tcBorders>
            <w:shd w:val="clear" w:color="000000" w:fill="D9D9D9"/>
            <w:noWrap/>
            <w:vAlign w:val="center"/>
            <w:hideMark/>
          </w:tcPr>
          <w:p w14:paraId="3CE107A7"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377</w:t>
            </w:r>
          </w:p>
        </w:tc>
        <w:tc>
          <w:tcPr>
            <w:tcW w:w="1537" w:type="dxa"/>
            <w:tcBorders>
              <w:top w:val="nil"/>
              <w:left w:val="nil"/>
              <w:bottom w:val="single" w:sz="4" w:space="0" w:color="auto"/>
              <w:right w:val="nil"/>
            </w:tcBorders>
            <w:shd w:val="clear" w:color="000000" w:fill="FFFFFF"/>
            <w:noWrap/>
            <w:vAlign w:val="center"/>
            <w:hideMark/>
          </w:tcPr>
          <w:p w14:paraId="1FEF6DFB"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352.242</w:t>
            </w:r>
          </w:p>
        </w:tc>
        <w:tc>
          <w:tcPr>
            <w:tcW w:w="1536" w:type="dxa"/>
            <w:tcBorders>
              <w:top w:val="nil"/>
              <w:left w:val="nil"/>
              <w:bottom w:val="single" w:sz="4" w:space="0" w:color="auto"/>
              <w:right w:val="nil"/>
            </w:tcBorders>
            <w:shd w:val="clear" w:color="000000" w:fill="D9D9D9"/>
            <w:noWrap/>
            <w:vAlign w:val="center"/>
            <w:hideMark/>
          </w:tcPr>
          <w:p w14:paraId="3F5B07A2"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-3.666</w:t>
            </w:r>
          </w:p>
        </w:tc>
      </w:tr>
      <w:tr w:rsidR="009816DA" w14:paraId="3F465ED7" w14:textId="77777777" w:rsidTr="009816DA">
        <w:trPr>
          <w:trHeight w:val="300"/>
        </w:trPr>
        <w:tc>
          <w:tcPr>
            <w:tcW w:w="1936" w:type="dxa"/>
            <w:tcBorders>
              <w:top w:val="nil"/>
              <w:left w:val="nil"/>
              <w:bottom w:val="single" w:sz="4" w:space="0" w:color="auto"/>
              <w:right w:val="nil"/>
            </w:tcBorders>
            <w:shd w:val="clear" w:color="auto" w:fill="auto"/>
            <w:noWrap/>
            <w:vAlign w:val="center"/>
            <w:hideMark/>
          </w:tcPr>
          <w:p w14:paraId="22D43BD5" w14:textId="77777777" w:rsidR="009816DA" w:rsidRDefault="009816DA">
            <w:pPr>
              <w:rPr>
                <w:rFonts w:ascii="Arial Narrow" w:hAnsi="Arial Narrow" w:cs="Calibri"/>
                <w:color w:val="000000"/>
                <w:sz w:val="18"/>
                <w:szCs w:val="18"/>
              </w:rPr>
            </w:pPr>
            <w:r>
              <w:rPr>
                <w:rFonts w:ascii="Arial Narrow" w:hAnsi="Arial Narrow" w:cs="Calibri"/>
                <w:color w:val="000000"/>
                <w:sz w:val="18"/>
                <w:szCs w:val="18"/>
              </w:rPr>
              <w:t>Lecco</w:t>
            </w:r>
          </w:p>
        </w:tc>
        <w:tc>
          <w:tcPr>
            <w:tcW w:w="1536" w:type="dxa"/>
            <w:tcBorders>
              <w:top w:val="nil"/>
              <w:left w:val="nil"/>
              <w:bottom w:val="single" w:sz="4" w:space="0" w:color="auto"/>
              <w:right w:val="nil"/>
            </w:tcBorders>
            <w:shd w:val="clear" w:color="000000" w:fill="D9D9D9"/>
            <w:noWrap/>
            <w:vAlign w:val="center"/>
            <w:hideMark/>
          </w:tcPr>
          <w:p w14:paraId="43082502"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334.961</w:t>
            </w:r>
          </w:p>
        </w:tc>
        <w:tc>
          <w:tcPr>
            <w:tcW w:w="1537" w:type="dxa"/>
            <w:tcBorders>
              <w:top w:val="nil"/>
              <w:left w:val="nil"/>
              <w:bottom w:val="single" w:sz="4" w:space="0" w:color="auto"/>
              <w:right w:val="nil"/>
            </w:tcBorders>
            <w:shd w:val="clear" w:color="000000" w:fill="FFFFFF"/>
            <w:noWrap/>
            <w:vAlign w:val="center"/>
            <w:hideMark/>
          </w:tcPr>
          <w:p w14:paraId="2A809445"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332.740</w:t>
            </w:r>
          </w:p>
        </w:tc>
        <w:tc>
          <w:tcPr>
            <w:tcW w:w="1538" w:type="dxa"/>
            <w:tcBorders>
              <w:top w:val="nil"/>
              <w:left w:val="nil"/>
              <w:bottom w:val="single" w:sz="4" w:space="0" w:color="auto"/>
              <w:right w:val="nil"/>
            </w:tcBorders>
            <w:shd w:val="clear" w:color="000000" w:fill="D9D9D9"/>
            <w:noWrap/>
            <w:vAlign w:val="center"/>
            <w:hideMark/>
          </w:tcPr>
          <w:p w14:paraId="21C4ED0A"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829</w:t>
            </w:r>
          </w:p>
        </w:tc>
        <w:tc>
          <w:tcPr>
            <w:tcW w:w="1537" w:type="dxa"/>
            <w:tcBorders>
              <w:top w:val="nil"/>
              <w:left w:val="nil"/>
              <w:bottom w:val="single" w:sz="4" w:space="0" w:color="auto"/>
              <w:right w:val="nil"/>
            </w:tcBorders>
            <w:shd w:val="clear" w:color="000000" w:fill="FFFFFF"/>
            <w:noWrap/>
            <w:vAlign w:val="center"/>
            <w:hideMark/>
          </w:tcPr>
          <w:p w14:paraId="1AC66789"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333.569</w:t>
            </w:r>
          </w:p>
        </w:tc>
        <w:tc>
          <w:tcPr>
            <w:tcW w:w="1536" w:type="dxa"/>
            <w:tcBorders>
              <w:top w:val="nil"/>
              <w:left w:val="nil"/>
              <w:bottom w:val="single" w:sz="4" w:space="0" w:color="auto"/>
              <w:right w:val="nil"/>
            </w:tcBorders>
            <w:shd w:val="clear" w:color="000000" w:fill="D9D9D9"/>
            <w:noWrap/>
            <w:vAlign w:val="center"/>
            <w:hideMark/>
          </w:tcPr>
          <w:p w14:paraId="487EB083"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-1.392</w:t>
            </w:r>
          </w:p>
        </w:tc>
      </w:tr>
      <w:tr w:rsidR="009816DA" w14:paraId="58947459" w14:textId="77777777" w:rsidTr="009816DA">
        <w:trPr>
          <w:trHeight w:val="300"/>
        </w:trPr>
        <w:tc>
          <w:tcPr>
            <w:tcW w:w="1936" w:type="dxa"/>
            <w:tcBorders>
              <w:top w:val="nil"/>
              <w:left w:val="nil"/>
              <w:bottom w:val="single" w:sz="4" w:space="0" w:color="auto"/>
              <w:right w:val="nil"/>
            </w:tcBorders>
            <w:shd w:val="clear" w:color="auto" w:fill="auto"/>
            <w:noWrap/>
            <w:vAlign w:val="center"/>
            <w:hideMark/>
          </w:tcPr>
          <w:p w14:paraId="09B1425D" w14:textId="77777777" w:rsidR="009816DA" w:rsidRDefault="009816DA">
            <w:pPr>
              <w:rPr>
                <w:rFonts w:ascii="Arial Narrow" w:hAnsi="Arial Narrow" w:cs="Calibri"/>
                <w:color w:val="000000"/>
                <w:sz w:val="18"/>
                <w:szCs w:val="18"/>
              </w:rPr>
            </w:pPr>
            <w:r>
              <w:rPr>
                <w:rFonts w:ascii="Arial Narrow" w:hAnsi="Arial Narrow" w:cs="Calibri"/>
                <w:color w:val="000000"/>
                <w:sz w:val="18"/>
                <w:szCs w:val="18"/>
              </w:rPr>
              <w:t>Lodi</w:t>
            </w:r>
          </w:p>
        </w:tc>
        <w:tc>
          <w:tcPr>
            <w:tcW w:w="1536" w:type="dxa"/>
            <w:tcBorders>
              <w:top w:val="nil"/>
              <w:left w:val="nil"/>
              <w:bottom w:val="single" w:sz="4" w:space="0" w:color="auto"/>
              <w:right w:val="nil"/>
            </w:tcBorders>
            <w:shd w:val="clear" w:color="000000" w:fill="D9D9D9"/>
            <w:noWrap/>
            <w:vAlign w:val="center"/>
            <w:hideMark/>
          </w:tcPr>
          <w:p w14:paraId="704B9E9B"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227.412</w:t>
            </w:r>
          </w:p>
        </w:tc>
        <w:tc>
          <w:tcPr>
            <w:tcW w:w="1537" w:type="dxa"/>
            <w:tcBorders>
              <w:top w:val="nil"/>
              <w:left w:val="nil"/>
              <w:bottom w:val="single" w:sz="4" w:space="0" w:color="auto"/>
              <w:right w:val="nil"/>
            </w:tcBorders>
            <w:shd w:val="clear" w:color="000000" w:fill="FFFFFF"/>
            <w:noWrap/>
            <w:vAlign w:val="center"/>
            <w:hideMark/>
          </w:tcPr>
          <w:p w14:paraId="2010A2B0"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225.994</w:t>
            </w:r>
          </w:p>
        </w:tc>
        <w:tc>
          <w:tcPr>
            <w:tcW w:w="1538" w:type="dxa"/>
            <w:tcBorders>
              <w:top w:val="nil"/>
              <w:left w:val="nil"/>
              <w:bottom w:val="single" w:sz="4" w:space="0" w:color="auto"/>
              <w:right w:val="nil"/>
            </w:tcBorders>
            <w:shd w:val="clear" w:color="000000" w:fill="D9D9D9"/>
            <w:noWrap/>
            <w:vAlign w:val="center"/>
            <w:hideMark/>
          </w:tcPr>
          <w:p w14:paraId="393DEF83"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1.349</w:t>
            </w:r>
          </w:p>
        </w:tc>
        <w:tc>
          <w:tcPr>
            <w:tcW w:w="1537" w:type="dxa"/>
            <w:tcBorders>
              <w:top w:val="nil"/>
              <w:left w:val="nil"/>
              <w:bottom w:val="single" w:sz="4" w:space="0" w:color="auto"/>
              <w:right w:val="nil"/>
            </w:tcBorders>
            <w:shd w:val="clear" w:color="000000" w:fill="FFFFFF"/>
            <w:noWrap/>
            <w:vAlign w:val="center"/>
            <w:hideMark/>
          </w:tcPr>
          <w:p w14:paraId="181A4990"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227.343</w:t>
            </w:r>
          </w:p>
        </w:tc>
        <w:tc>
          <w:tcPr>
            <w:tcW w:w="1536" w:type="dxa"/>
            <w:tcBorders>
              <w:top w:val="nil"/>
              <w:left w:val="nil"/>
              <w:bottom w:val="single" w:sz="4" w:space="0" w:color="auto"/>
              <w:right w:val="nil"/>
            </w:tcBorders>
            <w:shd w:val="clear" w:color="000000" w:fill="D9D9D9"/>
            <w:noWrap/>
            <w:vAlign w:val="center"/>
            <w:hideMark/>
          </w:tcPr>
          <w:p w14:paraId="4384CC0A"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-69</w:t>
            </w:r>
          </w:p>
        </w:tc>
      </w:tr>
      <w:tr w:rsidR="009816DA" w14:paraId="25F3057D" w14:textId="77777777" w:rsidTr="009816DA">
        <w:trPr>
          <w:trHeight w:val="300"/>
        </w:trPr>
        <w:tc>
          <w:tcPr>
            <w:tcW w:w="1936" w:type="dxa"/>
            <w:tcBorders>
              <w:top w:val="nil"/>
              <w:left w:val="nil"/>
              <w:bottom w:val="single" w:sz="4" w:space="0" w:color="auto"/>
              <w:right w:val="nil"/>
            </w:tcBorders>
            <w:shd w:val="clear" w:color="auto" w:fill="auto"/>
            <w:noWrap/>
            <w:vAlign w:val="center"/>
            <w:hideMark/>
          </w:tcPr>
          <w:p w14:paraId="52405691" w14:textId="77777777" w:rsidR="009816DA" w:rsidRDefault="009816DA">
            <w:pPr>
              <w:rPr>
                <w:rFonts w:ascii="Arial Narrow" w:hAnsi="Arial Narrow" w:cs="Calibri"/>
                <w:color w:val="000000"/>
                <w:sz w:val="18"/>
                <w:szCs w:val="18"/>
              </w:rPr>
            </w:pPr>
            <w:r>
              <w:rPr>
                <w:rFonts w:ascii="Arial Narrow" w:hAnsi="Arial Narrow" w:cs="Calibri"/>
                <w:color w:val="000000"/>
                <w:sz w:val="18"/>
                <w:szCs w:val="18"/>
              </w:rPr>
              <w:t>Mantova</w:t>
            </w:r>
          </w:p>
        </w:tc>
        <w:tc>
          <w:tcPr>
            <w:tcW w:w="1536" w:type="dxa"/>
            <w:tcBorders>
              <w:top w:val="nil"/>
              <w:left w:val="nil"/>
              <w:bottom w:val="single" w:sz="4" w:space="0" w:color="auto"/>
              <w:right w:val="nil"/>
            </w:tcBorders>
            <w:shd w:val="clear" w:color="000000" w:fill="D9D9D9"/>
            <w:noWrap/>
            <w:vAlign w:val="center"/>
            <w:hideMark/>
          </w:tcPr>
          <w:p w14:paraId="0945E985"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406.919</w:t>
            </w:r>
          </w:p>
        </w:tc>
        <w:tc>
          <w:tcPr>
            <w:tcW w:w="1537" w:type="dxa"/>
            <w:tcBorders>
              <w:top w:val="nil"/>
              <w:left w:val="nil"/>
              <w:bottom w:val="single" w:sz="4" w:space="0" w:color="auto"/>
              <w:right w:val="nil"/>
            </w:tcBorders>
            <w:shd w:val="clear" w:color="000000" w:fill="FFFFFF"/>
            <w:noWrap/>
            <w:vAlign w:val="center"/>
            <w:hideMark/>
          </w:tcPr>
          <w:p w14:paraId="5A1C5BEC"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403.816</w:t>
            </w:r>
          </w:p>
        </w:tc>
        <w:tc>
          <w:tcPr>
            <w:tcW w:w="1538" w:type="dxa"/>
            <w:tcBorders>
              <w:top w:val="nil"/>
              <w:left w:val="nil"/>
              <w:bottom w:val="single" w:sz="4" w:space="0" w:color="auto"/>
              <w:right w:val="nil"/>
            </w:tcBorders>
            <w:shd w:val="clear" w:color="000000" w:fill="D9D9D9"/>
            <w:noWrap/>
            <w:vAlign w:val="center"/>
            <w:hideMark/>
          </w:tcPr>
          <w:p w14:paraId="0CFF46F4"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2.245</w:t>
            </w:r>
          </w:p>
        </w:tc>
        <w:tc>
          <w:tcPr>
            <w:tcW w:w="1537" w:type="dxa"/>
            <w:tcBorders>
              <w:top w:val="nil"/>
              <w:left w:val="nil"/>
              <w:bottom w:val="single" w:sz="4" w:space="0" w:color="auto"/>
              <w:right w:val="nil"/>
            </w:tcBorders>
            <w:shd w:val="clear" w:color="000000" w:fill="FFFFFF"/>
            <w:noWrap/>
            <w:vAlign w:val="center"/>
            <w:hideMark/>
          </w:tcPr>
          <w:p w14:paraId="3851A66E"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406.061</w:t>
            </w:r>
          </w:p>
        </w:tc>
        <w:tc>
          <w:tcPr>
            <w:tcW w:w="1536" w:type="dxa"/>
            <w:tcBorders>
              <w:top w:val="nil"/>
              <w:left w:val="nil"/>
              <w:bottom w:val="single" w:sz="4" w:space="0" w:color="auto"/>
              <w:right w:val="nil"/>
            </w:tcBorders>
            <w:shd w:val="clear" w:color="000000" w:fill="D9D9D9"/>
            <w:noWrap/>
            <w:vAlign w:val="center"/>
            <w:hideMark/>
          </w:tcPr>
          <w:p w14:paraId="2F6A8EBF"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-858</w:t>
            </w:r>
          </w:p>
        </w:tc>
      </w:tr>
      <w:tr w:rsidR="009816DA" w14:paraId="48413A66" w14:textId="77777777" w:rsidTr="009816DA">
        <w:trPr>
          <w:trHeight w:val="300"/>
        </w:trPr>
        <w:tc>
          <w:tcPr>
            <w:tcW w:w="1936" w:type="dxa"/>
            <w:tcBorders>
              <w:top w:val="nil"/>
              <w:left w:val="nil"/>
              <w:bottom w:val="single" w:sz="4" w:space="0" w:color="auto"/>
              <w:right w:val="nil"/>
            </w:tcBorders>
            <w:shd w:val="clear" w:color="auto" w:fill="auto"/>
            <w:noWrap/>
            <w:vAlign w:val="center"/>
            <w:hideMark/>
          </w:tcPr>
          <w:p w14:paraId="7726468D" w14:textId="77777777" w:rsidR="009816DA" w:rsidRDefault="009816DA">
            <w:pPr>
              <w:rPr>
                <w:rFonts w:ascii="Arial Narrow" w:hAnsi="Arial Narrow" w:cs="Calibri"/>
                <w:color w:val="000000"/>
                <w:sz w:val="18"/>
                <w:szCs w:val="18"/>
              </w:rPr>
            </w:pPr>
            <w:r>
              <w:rPr>
                <w:rFonts w:ascii="Arial Narrow" w:hAnsi="Arial Narrow" w:cs="Calibri"/>
                <w:color w:val="000000"/>
                <w:sz w:val="18"/>
                <w:szCs w:val="18"/>
              </w:rPr>
              <w:t>Milano</w:t>
            </w:r>
          </w:p>
        </w:tc>
        <w:tc>
          <w:tcPr>
            <w:tcW w:w="1536" w:type="dxa"/>
            <w:tcBorders>
              <w:top w:val="nil"/>
              <w:left w:val="nil"/>
              <w:bottom w:val="single" w:sz="4" w:space="0" w:color="auto"/>
              <w:right w:val="nil"/>
            </w:tcBorders>
            <w:shd w:val="clear" w:color="000000" w:fill="D9D9D9"/>
            <w:noWrap/>
            <w:vAlign w:val="center"/>
            <w:hideMark/>
          </w:tcPr>
          <w:p w14:paraId="126D8DA1"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3.265.327</w:t>
            </w:r>
          </w:p>
        </w:tc>
        <w:tc>
          <w:tcPr>
            <w:tcW w:w="1537" w:type="dxa"/>
            <w:tcBorders>
              <w:top w:val="nil"/>
              <w:left w:val="nil"/>
              <w:bottom w:val="single" w:sz="4" w:space="0" w:color="auto"/>
              <w:right w:val="nil"/>
            </w:tcBorders>
            <w:shd w:val="clear" w:color="000000" w:fill="FFFFFF"/>
            <w:noWrap/>
            <w:vAlign w:val="center"/>
            <w:hideMark/>
          </w:tcPr>
          <w:p w14:paraId="0FDF1D74"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3.248.111</w:t>
            </w:r>
          </w:p>
        </w:tc>
        <w:tc>
          <w:tcPr>
            <w:tcW w:w="1538" w:type="dxa"/>
            <w:tcBorders>
              <w:top w:val="nil"/>
              <w:left w:val="nil"/>
              <w:bottom w:val="single" w:sz="4" w:space="0" w:color="auto"/>
              <w:right w:val="nil"/>
            </w:tcBorders>
            <w:shd w:val="clear" w:color="000000" w:fill="D9D9D9"/>
            <w:noWrap/>
            <w:vAlign w:val="center"/>
            <w:hideMark/>
          </w:tcPr>
          <w:p w14:paraId="7D7994F2"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-6.298</w:t>
            </w:r>
          </w:p>
        </w:tc>
        <w:tc>
          <w:tcPr>
            <w:tcW w:w="1537" w:type="dxa"/>
            <w:tcBorders>
              <w:top w:val="nil"/>
              <w:left w:val="nil"/>
              <w:bottom w:val="single" w:sz="4" w:space="0" w:color="auto"/>
              <w:right w:val="nil"/>
            </w:tcBorders>
            <w:shd w:val="clear" w:color="000000" w:fill="FFFFFF"/>
            <w:noWrap/>
            <w:vAlign w:val="center"/>
            <w:hideMark/>
          </w:tcPr>
          <w:p w14:paraId="3C5415C1"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3.241.813</w:t>
            </w:r>
          </w:p>
        </w:tc>
        <w:tc>
          <w:tcPr>
            <w:tcW w:w="1536" w:type="dxa"/>
            <w:tcBorders>
              <w:top w:val="nil"/>
              <w:left w:val="nil"/>
              <w:bottom w:val="single" w:sz="4" w:space="0" w:color="auto"/>
              <w:right w:val="nil"/>
            </w:tcBorders>
            <w:shd w:val="clear" w:color="000000" w:fill="D9D9D9"/>
            <w:noWrap/>
            <w:vAlign w:val="center"/>
            <w:hideMark/>
          </w:tcPr>
          <w:p w14:paraId="00D3611D"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-23.514</w:t>
            </w:r>
          </w:p>
        </w:tc>
      </w:tr>
      <w:tr w:rsidR="009816DA" w14:paraId="01805C56" w14:textId="77777777" w:rsidTr="009816DA">
        <w:trPr>
          <w:trHeight w:val="300"/>
        </w:trPr>
        <w:tc>
          <w:tcPr>
            <w:tcW w:w="1936" w:type="dxa"/>
            <w:tcBorders>
              <w:top w:val="nil"/>
              <w:left w:val="nil"/>
              <w:bottom w:val="single" w:sz="4" w:space="0" w:color="auto"/>
              <w:right w:val="nil"/>
            </w:tcBorders>
            <w:shd w:val="clear" w:color="auto" w:fill="auto"/>
            <w:noWrap/>
            <w:vAlign w:val="center"/>
            <w:hideMark/>
          </w:tcPr>
          <w:p w14:paraId="096A42FC" w14:textId="77777777" w:rsidR="009816DA" w:rsidRDefault="009816DA">
            <w:pPr>
              <w:rPr>
                <w:rFonts w:ascii="Arial Narrow" w:hAnsi="Arial Narrow" w:cs="Calibri"/>
                <w:color w:val="000000"/>
                <w:sz w:val="18"/>
                <w:szCs w:val="18"/>
              </w:rPr>
            </w:pPr>
            <w:r>
              <w:rPr>
                <w:rFonts w:ascii="Arial Narrow" w:hAnsi="Arial Narrow" w:cs="Calibri"/>
                <w:color w:val="000000"/>
                <w:sz w:val="18"/>
                <w:szCs w:val="18"/>
              </w:rPr>
              <w:t>Monza e della Brianza</w:t>
            </w:r>
          </w:p>
        </w:tc>
        <w:tc>
          <w:tcPr>
            <w:tcW w:w="1536" w:type="dxa"/>
            <w:tcBorders>
              <w:top w:val="nil"/>
              <w:left w:val="nil"/>
              <w:bottom w:val="single" w:sz="4" w:space="0" w:color="auto"/>
              <w:right w:val="nil"/>
            </w:tcBorders>
            <w:shd w:val="clear" w:color="000000" w:fill="D9D9D9"/>
            <w:noWrap/>
            <w:vAlign w:val="center"/>
            <w:hideMark/>
          </w:tcPr>
          <w:p w14:paraId="4C987A03"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870.193</w:t>
            </w:r>
          </w:p>
        </w:tc>
        <w:tc>
          <w:tcPr>
            <w:tcW w:w="1537" w:type="dxa"/>
            <w:tcBorders>
              <w:top w:val="nil"/>
              <w:left w:val="nil"/>
              <w:bottom w:val="single" w:sz="4" w:space="0" w:color="auto"/>
              <w:right w:val="nil"/>
            </w:tcBorders>
            <w:shd w:val="clear" w:color="000000" w:fill="FFFFFF"/>
            <w:noWrap/>
            <w:vAlign w:val="center"/>
            <w:hideMark/>
          </w:tcPr>
          <w:p w14:paraId="108DB556"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867.561</w:t>
            </w:r>
          </w:p>
        </w:tc>
        <w:tc>
          <w:tcPr>
            <w:tcW w:w="1538" w:type="dxa"/>
            <w:tcBorders>
              <w:top w:val="nil"/>
              <w:left w:val="nil"/>
              <w:bottom w:val="single" w:sz="4" w:space="0" w:color="auto"/>
              <w:right w:val="nil"/>
            </w:tcBorders>
            <w:shd w:val="clear" w:color="000000" w:fill="D9D9D9"/>
            <w:noWrap/>
            <w:vAlign w:val="center"/>
            <w:hideMark/>
          </w:tcPr>
          <w:p w14:paraId="27725B77"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2.552</w:t>
            </w:r>
          </w:p>
        </w:tc>
        <w:tc>
          <w:tcPr>
            <w:tcW w:w="1537" w:type="dxa"/>
            <w:tcBorders>
              <w:top w:val="nil"/>
              <w:left w:val="nil"/>
              <w:bottom w:val="single" w:sz="4" w:space="0" w:color="auto"/>
              <w:right w:val="nil"/>
            </w:tcBorders>
            <w:shd w:val="clear" w:color="000000" w:fill="FFFFFF"/>
            <w:noWrap/>
            <w:vAlign w:val="center"/>
            <w:hideMark/>
          </w:tcPr>
          <w:p w14:paraId="692BB90C"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870.113</w:t>
            </w:r>
          </w:p>
        </w:tc>
        <w:tc>
          <w:tcPr>
            <w:tcW w:w="1536" w:type="dxa"/>
            <w:tcBorders>
              <w:top w:val="nil"/>
              <w:left w:val="nil"/>
              <w:bottom w:val="single" w:sz="4" w:space="0" w:color="auto"/>
              <w:right w:val="nil"/>
            </w:tcBorders>
            <w:shd w:val="clear" w:color="000000" w:fill="D9D9D9"/>
            <w:noWrap/>
            <w:vAlign w:val="center"/>
            <w:hideMark/>
          </w:tcPr>
          <w:p w14:paraId="4D66F2E0"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-80</w:t>
            </w:r>
          </w:p>
        </w:tc>
      </w:tr>
      <w:tr w:rsidR="009816DA" w14:paraId="142B9ADC" w14:textId="77777777" w:rsidTr="009816DA">
        <w:trPr>
          <w:trHeight w:val="300"/>
        </w:trPr>
        <w:tc>
          <w:tcPr>
            <w:tcW w:w="1936" w:type="dxa"/>
            <w:tcBorders>
              <w:top w:val="nil"/>
              <w:left w:val="nil"/>
              <w:bottom w:val="single" w:sz="4" w:space="0" w:color="auto"/>
              <w:right w:val="nil"/>
            </w:tcBorders>
            <w:shd w:val="clear" w:color="auto" w:fill="auto"/>
            <w:noWrap/>
            <w:vAlign w:val="center"/>
            <w:hideMark/>
          </w:tcPr>
          <w:p w14:paraId="3463045E" w14:textId="77777777" w:rsidR="009816DA" w:rsidRDefault="009816DA">
            <w:pPr>
              <w:rPr>
                <w:rFonts w:ascii="Arial Narrow" w:hAnsi="Arial Narrow" w:cs="Calibri"/>
                <w:color w:val="000000"/>
                <w:sz w:val="18"/>
                <w:szCs w:val="18"/>
              </w:rPr>
            </w:pPr>
            <w:r>
              <w:rPr>
                <w:rFonts w:ascii="Arial Narrow" w:hAnsi="Arial Narrow" w:cs="Calibri"/>
                <w:color w:val="000000"/>
                <w:sz w:val="18"/>
                <w:szCs w:val="18"/>
              </w:rPr>
              <w:t>Pavia</w:t>
            </w:r>
          </w:p>
        </w:tc>
        <w:tc>
          <w:tcPr>
            <w:tcW w:w="1536" w:type="dxa"/>
            <w:tcBorders>
              <w:top w:val="nil"/>
              <w:left w:val="nil"/>
              <w:bottom w:val="single" w:sz="4" w:space="0" w:color="auto"/>
              <w:right w:val="nil"/>
            </w:tcBorders>
            <w:shd w:val="clear" w:color="000000" w:fill="D9D9D9"/>
            <w:noWrap/>
            <w:vAlign w:val="center"/>
            <w:hideMark/>
          </w:tcPr>
          <w:p w14:paraId="55AB5BAC"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540.376</w:t>
            </w:r>
          </w:p>
        </w:tc>
        <w:tc>
          <w:tcPr>
            <w:tcW w:w="1537" w:type="dxa"/>
            <w:tcBorders>
              <w:top w:val="nil"/>
              <w:left w:val="nil"/>
              <w:bottom w:val="single" w:sz="4" w:space="0" w:color="auto"/>
              <w:right w:val="nil"/>
            </w:tcBorders>
            <w:shd w:val="clear" w:color="000000" w:fill="FFFFFF"/>
            <w:noWrap/>
            <w:vAlign w:val="center"/>
            <w:hideMark/>
          </w:tcPr>
          <w:p w14:paraId="29E8AC71"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535.039</w:t>
            </w:r>
          </w:p>
        </w:tc>
        <w:tc>
          <w:tcPr>
            <w:tcW w:w="1538" w:type="dxa"/>
            <w:tcBorders>
              <w:top w:val="nil"/>
              <w:left w:val="nil"/>
              <w:bottom w:val="single" w:sz="4" w:space="0" w:color="auto"/>
              <w:right w:val="nil"/>
            </w:tcBorders>
            <w:shd w:val="clear" w:color="000000" w:fill="D9D9D9"/>
            <w:noWrap/>
            <w:vAlign w:val="center"/>
            <w:hideMark/>
          </w:tcPr>
          <w:p w14:paraId="5E2C29D7"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762</w:t>
            </w:r>
          </w:p>
        </w:tc>
        <w:tc>
          <w:tcPr>
            <w:tcW w:w="1537" w:type="dxa"/>
            <w:tcBorders>
              <w:top w:val="nil"/>
              <w:left w:val="nil"/>
              <w:bottom w:val="single" w:sz="4" w:space="0" w:color="auto"/>
              <w:right w:val="nil"/>
            </w:tcBorders>
            <w:shd w:val="clear" w:color="000000" w:fill="FFFFFF"/>
            <w:noWrap/>
            <w:vAlign w:val="center"/>
            <w:hideMark/>
          </w:tcPr>
          <w:p w14:paraId="5F4DFF2F"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535.801</w:t>
            </w:r>
          </w:p>
        </w:tc>
        <w:tc>
          <w:tcPr>
            <w:tcW w:w="1536" w:type="dxa"/>
            <w:tcBorders>
              <w:top w:val="nil"/>
              <w:left w:val="nil"/>
              <w:bottom w:val="single" w:sz="4" w:space="0" w:color="auto"/>
              <w:right w:val="nil"/>
            </w:tcBorders>
            <w:shd w:val="clear" w:color="000000" w:fill="D9D9D9"/>
            <w:noWrap/>
            <w:vAlign w:val="center"/>
            <w:hideMark/>
          </w:tcPr>
          <w:p w14:paraId="4E43A55C"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-4.575</w:t>
            </w:r>
          </w:p>
        </w:tc>
      </w:tr>
      <w:tr w:rsidR="009816DA" w14:paraId="1E277523" w14:textId="77777777" w:rsidTr="009816DA">
        <w:trPr>
          <w:trHeight w:val="300"/>
        </w:trPr>
        <w:tc>
          <w:tcPr>
            <w:tcW w:w="1936" w:type="dxa"/>
            <w:tcBorders>
              <w:top w:val="nil"/>
              <w:left w:val="nil"/>
              <w:bottom w:val="single" w:sz="4" w:space="0" w:color="auto"/>
              <w:right w:val="nil"/>
            </w:tcBorders>
            <w:shd w:val="clear" w:color="auto" w:fill="auto"/>
            <w:noWrap/>
            <w:vAlign w:val="center"/>
            <w:hideMark/>
          </w:tcPr>
          <w:p w14:paraId="67E094A1" w14:textId="77777777" w:rsidR="009816DA" w:rsidRDefault="009816DA">
            <w:pPr>
              <w:rPr>
                <w:rFonts w:ascii="Arial Narrow" w:hAnsi="Arial Narrow" w:cs="Calibri"/>
                <w:color w:val="000000"/>
                <w:sz w:val="18"/>
                <w:szCs w:val="18"/>
              </w:rPr>
            </w:pPr>
            <w:r>
              <w:rPr>
                <w:rFonts w:ascii="Arial Narrow" w:hAnsi="Arial Narrow" w:cs="Calibri"/>
                <w:color w:val="000000"/>
                <w:sz w:val="18"/>
                <w:szCs w:val="18"/>
              </w:rPr>
              <w:t>Sondrio</w:t>
            </w:r>
          </w:p>
        </w:tc>
        <w:tc>
          <w:tcPr>
            <w:tcW w:w="1536" w:type="dxa"/>
            <w:tcBorders>
              <w:top w:val="nil"/>
              <w:left w:val="nil"/>
              <w:bottom w:val="single" w:sz="4" w:space="0" w:color="auto"/>
              <w:right w:val="nil"/>
            </w:tcBorders>
            <w:shd w:val="clear" w:color="000000" w:fill="D9D9D9"/>
            <w:noWrap/>
            <w:vAlign w:val="center"/>
            <w:hideMark/>
          </w:tcPr>
          <w:p w14:paraId="2DB2D2DC"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180.425</w:t>
            </w:r>
          </w:p>
        </w:tc>
        <w:tc>
          <w:tcPr>
            <w:tcW w:w="1537" w:type="dxa"/>
            <w:tcBorders>
              <w:top w:val="nil"/>
              <w:left w:val="nil"/>
              <w:bottom w:val="single" w:sz="4" w:space="0" w:color="auto"/>
              <w:right w:val="nil"/>
            </w:tcBorders>
            <w:shd w:val="clear" w:color="000000" w:fill="FFFFFF"/>
            <w:noWrap/>
            <w:vAlign w:val="center"/>
            <w:hideMark/>
          </w:tcPr>
          <w:p w14:paraId="40500AC1"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179.371</w:t>
            </w:r>
          </w:p>
        </w:tc>
        <w:tc>
          <w:tcPr>
            <w:tcW w:w="1538" w:type="dxa"/>
            <w:tcBorders>
              <w:top w:val="nil"/>
              <w:left w:val="nil"/>
              <w:bottom w:val="single" w:sz="4" w:space="0" w:color="auto"/>
              <w:right w:val="nil"/>
            </w:tcBorders>
            <w:shd w:val="clear" w:color="000000" w:fill="D9D9D9"/>
            <w:noWrap/>
            <w:vAlign w:val="center"/>
            <w:hideMark/>
          </w:tcPr>
          <w:p w14:paraId="59B956DE"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-573</w:t>
            </w:r>
          </w:p>
        </w:tc>
        <w:tc>
          <w:tcPr>
            <w:tcW w:w="1537" w:type="dxa"/>
            <w:tcBorders>
              <w:top w:val="nil"/>
              <w:left w:val="nil"/>
              <w:bottom w:val="single" w:sz="4" w:space="0" w:color="auto"/>
              <w:right w:val="nil"/>
            </w:tcBorders>
            <w:shd w:val="clear" w:color="000000" w:fill="FFFFFF"/>
            <w:noWrap/>
            <w:vAlign w:val="center"/>
            <w:hideMark/>
          </w:tcPr>
          <w:p w14:paraId="36466ACD"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178.798</w:t>
            </w:r>
          </w:p>
        </w:tc>
        <w:tc>
          <w:tcPr>
            <w:tcW w:w="1536" w:type="dxa"/>
            <w:tcBorders>
              <w:top w:val="nil"/>
              <w:left w:val="nil"/>
              <w:bottom w:val="single" w:sz="4" w:space="0" w:color="auto"/>
              <w:right w:val="nil"/>
            </w:tcBorders>
            <w:shd w:val="clear" w:color="000000" w:fill="D9D9D9"/>
            <w:noWrap/>
            <w:vAlign w:val="center"/>
            <w:hideMark/>
          </w:tcPr>
          <w:p w14:paraId="467C0061"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-1.627</w:t>
            </w:r>
          </w:p>
        </w:tc>
      </w:tr>
      <w:tr w:rsidR="009816DA" w14:paraId="6FC1F340" w14:textId="77777777" w:rsidTr="009816DA">
        <w:trPr>
          <w:trHeight w:val="300"/>
        </w:trPr>
        <w:tc>
          <w:tcPr>
            <w:tcW w:w="1936" w:type="dxa"/>
            <w:tcBorders>
              <w:top w:val="nil"/>
              <w:left w:val="nil"/>
              <w:bottom w:val="single" w:sz="4" w:space="0" w:color="auto"/>
              <w:right w:val="nil"/>
            </w:tcBorders>
            <w:shd w:val="clear" w:color="auto" w:fill="auto"/>
            <w:noWrap/>
            <w:vAlign w:val="center"/>
            <w:hideMark/>
          </w:tcPr>
          <w:p w14:paraId="6AC588C5" w14:textId="77777777" w:rsidR="009816DA" w:rsidRDefault="009816DA">
            <w:pPr>
              <w:rPr>
                <w:rFonts w:ascii="Arial Narrow" w:hAnsi="Arial Narrow" w:cs="Calibri"/>
                <w:color w:val="000000"/>
                <w:sz w:val="18"/>
                <w:szCs w:val="18"/>
              </w:rPr>
            </w:pPr>
            <w:r>
              <w:rPr>
                <w:rFonts w:ascii="Arial Narrow" w:hAnsi="Arial Narrow" w:cs="Calibri"/>
                <w:color w:val="000000"/>
                <w:sz w:val="18"/>
                <w:szCs w:val="18"/>
              </w:rPr>
              <w:t>Varese</w:t>
            </w:r>
          </w:p>
        </w:tc>
        <w:tc>
          <w:tcPr>
            <w:tcW w:w="1536" w:type="dxa"/>
            <w:tcBorders>
              <w:top w:val="nil"/>
              <w:left w:val="nil"/>
              <w:bottom w:val="single" w:sz="4" w:space="0" w:color="auto"/>
              <w:right w:val="nil"/>
            </w:tcBorders>
            <w:shd w:val="clear" w:color="000000" w:fill="D9D9D9"/>
            <w:noWrap/>
            <w:vAlign w:val="center"/>
            <w:hideMark/>
          </w:tcPr>
          <w:p w14:paraId="371CCB3A"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884.876</w:t>
            </w:r>
          </w:p>
        </w:tc>
        <w:tc>
          <w:tcPr>
            <w:tcW w:w="1537" w:type="dxa"/>
            <w:tcBorders>
              <w:top w:val="nil"/>
              <w:left w:val="nil"/>
              <w:bottom w:val="single" w:sz="4" w:space="0" w:color="auto"/>
              <w:right w:val="nil"/>
            </w:tcBorders>
            <w:shd w:val="clear" w:color="000000" w:fill="FFFFFF"/>
            <w:noWrap/>
            <w:vAlign w:val="center"/>
            <w:hideMark/>
          </w:tcPr>
          <w:p w14:paraId="66AD4C01"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880.044</w:t>
            </w:r>
          </w:p>
        </w:tc>
        <w:tc>
          <w:tcPr>
            <w:tcW w:w="1538" w:type="dxa"/>
            <w:tcBorders>
              <w:top w:val="nil"/>
              <w:left w:val="nil"/>
              <w:bottom w:val="single" w:sz="4" w:space="0" w:color="auto"/>
              <w:right w:val="nil"/>
            </w:tcBorders>
            <w:shd w:val="clear" w:color="000000" w:fill="D9D9D9"/>
            <w:noWrap/>
            <w:vAlign w:val="center"/>
            <w:hideMark/>
          </w:tcPr>
          <w:p w14:paraId="2149BDB3"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49</w:t>
            </w:r>
          </w:p>
        </w:tc>
        <w:tc>
          <w:tcPr>
            <w:tcW w:w="1537" w:type="dxa"/>
            <w:tcBorders>
              <w:top w:val="nil"/>
              <w:left w:val="nil"/>
              <w:bottom w:val="single" w:sz="4" w:space="0" w:color="auto"/>
              <w:right w:val="nil"/>
            </w:tcBorders>
            <w:shd w:val="clear" w:color="000000" w:fill="FFFFFF"/>
            <w:noWrap/>
            <w:vAlign w:val="center"/>
            <w:hideMark/>
          </w:tcPr>
          <w:p w14:paraId="24FF2EC1"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880.093</w:t>
            </w:r>
          </w:p>
        </w:tc>
        <w:tc>
          <w:tcPr>
            <w:tcW w:w="1536" w:type="dxa"/>
            <w:tcBorders>
              <w:top w:val="nil"/>
              <w:left w:val="nil"/>
              <w:bottom w:val="single" w:sz="4" w:space="0" w:color="auto"/>
              <w:right w:val="nil"/>
            </w:tcBorders>
            <w:shd w:val="clear" w:color="000000" w:fill="D9D9D9"/>
            <w:noWrap/>
            <w:vAlign w:val="center"/>
            <w:hideMark/>
          </w:tcPr>
          <w:p w14:paraId="6CB17AD3"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-4.783</w:t>
            </w:r>
          </w:p>
        </w:tc>
      </w:tr>
      <w:tr w:rsidR="009816DA" w14:paraId="0ABDFC58" w14:textId="77777777" w:rsidTr="009816DA">
        <w:trPr>
          <w:trHeight w:val="300"/>
        </w:trPr>
        <w:tc>
          <w:tcPr>
            <w:tcW w:w="1936" w:type="dxa"/>
            <w:tcBorders>
              <w:top w:val="single" w:sz="4" w:space="0" w:color="auto"/>
              <w:left w:val="nil"/>
              <w:bottom w:val="single" w:sz="4" w:space="0" w:color="auto"/>
              <w:right w:val="nil"/>
            </w:tcBorders>
            <w:shd w:val="clear" w:color="000000" w:fill="C9321F"/>
            <w:noWrap/>
            <w:vAlign w:val="center"/>
            <w:hideMark/>
          </w:tcPr>
          <w:p w14:paraId="7E9DCF2A" w14:textId="77777777" w:rsidR="009816DA" w:rsidRDefault="009816DA">
            <w:pPr>
              <w:rPr>
                <w:rFonts w:ascii="Arial Narrow" w:hAnsi="Arial Narrow" w:cs="Calibri"/>
                <w:b/>
                <w:bCs/>
                <w:color w:val="FFFFFF"/>
                <w:sz w:val="18"/>
                <w:szCs w:val="18"/>
              </w:rPr>
            </w:pPr>
            <w:r>
              <w:rPr>
                <w:rFonts w:ascii="Arial Narrow" w:hAnsi="Arial Narrow" w:cs="Calibri"/>
                <w:b/>
                <w:bCs/>
                <w:color w:val="FFFFFF"/>
                <w:sz w:val="18"/>
                <w:szCs w:val="18"/>
              </w:rPr>
              <w:t>LOMBARDIA</w:t>
            </w:r>
          </w:p>
        </w:tc>
        <w:tc>
          <w:tcPr>
            <w:tcW w:w="1536" w:type="dxa"/>
            <w:tcBorders>
              <w:top w:val="single" w:sz="4" w:space="0" w:color="auto"/>
              <w:left w:val="nil"/>
              <w:bottom w:val="single" w:sz="4" w:space="0" w:color="auto"/>
              <w:right w:val="nil"/>
            </w:tcBorders>
            <w:shd w:val="clear" w:color="000000" w:fill="C9321F"/>
            <w:noWrap/>
            <w:vAlign w:val="center"/>
            <w:hideMark/>
          </w:tcPr>
          <w:p w14:paraId="07217446" w14:textId="77777777" w:rsidR="009816DA" w:rsidRDefault="009816DA">
            <w:pPr>
              <w:jc w:val="right"/>
              <w:rPr>
                <w:rFonts w:ascii="Arial Narrow" w:hAnsi="Arial Narrow" w:cs="Calibri"/>
                <w:b/>
                <w:bCs/>
                <w:color w:val="FFFFFF"/>
                <w:sz w:val="18"/>
                <w:szCs w:val="18"/>
              </w:rPr>
            </w:pPr>
            <w:r>
              <w:rPr>
                <w:rFonts w:ascii="Arial Narrow" w:hAnsi="Arial Narrow" w:cs="Calibri"/>
                <w:b/>
                <w:bCs/>
                <w:color w:val="FFFFFF"/>
                <w:sz w:val="18"/>
                <w:szCs w:val="18"/>
              </w:rPr>
              <w:t>10.027.602</w:t>
            </w:r>
          </w:p>
        </w:tc>
        <w:tc>
          <w:tcPr>
            <w:tcW w:w="1537" w:type="dxa"/>
            <w:tcBorders>
              <w:top w:val="single" w:sz="4" w:space="0" w:color="auto"/>
              <w:left w:val="nil"/>
              <w:bottom w:val="single" w:sz="4" w:space="0" w:color="auto"/>
              <w:right w:val="nil"/>
            </w:tcBorders>
            <w:shd w:val="clear" w:color="000000" w:fill="C9321F"/>
            <w:noWrap/>
            <w:vAlign w:val="center"/>
            <w:hideMark/>
          </w:tcPr>
          <w:p w14:paraId="29765834" w14:textId="77777777" w:rsidR="009816DA" w:rsidRDefault="009816DA">
            <w:pPr>
              <w:jc w:val="right"/>
              <w:rPr>
                <w:rFonts w:ascii="Arial Narrow" w:hAnsi="Arial Narrow" w:cs="Calibri"/>
                <w:b/>
                <w:bCs/>
                <w:color w:val="FFFFFF"/>
                <w:sz w:val="18"/>
                <w:szCs w:val="18"/>
              </w:rPr>
            </w:pPr>
            <w:r>
              <w:rPr>
                <w:rFonts w:ascii="Arial Narrow" w:hAnsi="Arial Narrow" w:cs="Calibri"/>
                <w:b/>
                <w:bCs/>
                <w:color w:val="FFFFFF"/>
                <w:sz w:val="18"/>
                <w:szCs w:val="18"/>
              </w:rPr>
              <w:t>9.967.190</w:t>
            </w:r>
          </w:p>
        </w:tc>
        <w:tc>
          <w:tcPr>
            <w:tcW w:w="1538" w:type="dxa"/>
            <w:tcBorders>
              <w:top w:val="single" w:sz="4" w:space="0" w:color="auto"/>
              <w:left w:val="nil"/>
              <w:bottom w:val="single" w:sz="4" w:space="0" w:color="auto"/>
              <w:right w:val="nil"/>
            </w:tcBorders>
            <w:shd w:val="clear" w:color="000000" w:fill="C9321F"/>
            <w:noWrap/>
            <w:vAlign w:val="center"/>
            <w:hideMark/>
          </w:tcPr>
          <w:p w14:paraId="3C229443" w14:textId="77777777" w:rsidR="009816DA" w:rsidRDefault="009816DA">
            <w:pPr>
              <w:jc w:val="right"/>
              <w:rPr>
                <w:rFonts w:ascii="Arial Narrow" w:hAnsi="Arial Narrow" w:cs="Calibri"/>
                <w:b/>
                <w:bCs/>
                <w:color w:val="FFFFFF"/>
                <w:sz w:val="18"/>
                <w:szCs w:val="18"/>
              </w:rPr>
            </w:pPr>
            <w:r>
              <w:rPr>
                <w:rFonts w:ascii="Arial Narrow" w:hAnsi="Arial Narrow" w:cs="Calibri"/>
                <w:b/>
                <w:bCs/>
                <w:color w:val="FFFFFF"/>
                <w:sz w:val="18"/>
                <w:szCs w:val="18"/>
              </w:rPr>
              <w:t>14.364</w:t>
            </w:r>
          </w:p>
        </w:tc>
        <w:tc>
          <w:tcPr>
            <w:tcW w:w="1537" w:type="dxa"/>
            <w:tcBorders>
              <w:top w:val="single" w:sz="4" w:space="0" w:color="auto"/>
              <w:left w:val="nil"/>
              <w:bottom w:val="single" w:sz="4" w:space="0" w:color="auto"/>
              <w:right w:val="nil"/>
            </w:tcBorders>
            <w:shd w:val="clear" w:color="000000" w:fill="C9321F"/>
            <w:noWrap/>
            <w:vAlign w:val="center"/>
            <w:hideMark/>
          </w:tcPr>
          <w:p w14:paraId="159EB239" w14:textId="77777777" w:rsidR="009816DA" w:rsidRDefault="009816DA">
            <w:pPr>
              <w:jc w:val="right"/>
              <w:rPr>
                <w:rFonts w:ascii="Arial Narrow" w:hAnsi="Arial Narrow" w:cs="Calibri"/>
                <w:b/>
                <w:bCs/>
                <w:color w:val="FFFFFF"/>
                <w:sz w:val="18"/>
                <w:szCs w:val="18"/>
              </w:rPr>
            </w:pPr>
            <w:r>
              <w:rPr>
                <w:rFonts w:ascii="Arial Narrow" w:hAnsi="Arial Narrow" w:cs="Calibri"/>
                <w:b/>
                <w:bCs/>
                <w:color w:val="FFFFFF"/>
                <w:sz w:val="18"/>
                <w:szCs w:val="18"/>
              </w:rPr>
              <w:t>9.981.554</w:t>
            </w:r>
          </w:p>
        </w:tc>
        <w:tc>
          <w:tcPr>
            <w:tcW w:w="1536" w:type="dxa"/>
            <w:tcBorders>
              <w:top w:val="single" w:sz="4" w:space="0" w:color="auto"/>
              <w:left w:val="nil"/>
              <w:bottom w:val="single" w:sz="4" w:space="0" w:color="auto"/>
              <w:right w:val="nil"/>
            </w:tcBorders>
            <w:shd w:val="clear" w:color="000000" w:fill="C9321F"/>
            <w:noWrap/>
            <w:vAlign w:val="center"/>
            <w:hideMark/>
          </w:tcPr>
          <w:p w14:paraId="0427ED0F" w14:textId="77777777" w:rsidR="009816DA" w:rsidRDefault="009816DA">
            <w:pPr>
              <w:jc w:val="right"/>
              <w:rPr>
                <w:rFonts w:ascii="Arial Narrow" w:hAnsi="Arial Narrow" w:cs="Calibri"/>
                <w:b/>
                <w:bCs/>
                <w:color w:val="FFFFFF"/>
                <w:sz w:val="18"/>
                <w:szCs w:val="18"/>
              </w:rPr>
            </w:pPr>
            <w:r>
              <w:rPr>
                <w:rFonts w:ascii="Arial Narrow" w:hAnsi="Arial Narrow" w:cs="Calibri"/>
                <w:b/>
                <w:bCs/>
                <w:color w:val="FFFFFF"/>
                <w:sz w:val="18"/>
                <w:szCs w:val="18"/>
              </w:rPr>
              <w:t>-46.048</w:t>
            </w:r>
          </w:p>
        </w:tc>
      </w:tr>
      <w:tr w:rsidR="009816DA" w14:paraId="0176D9B4" w14:textId="77777777" w:rsidTr="009816DA">
        <w:trPr>
          <w:trHeight w:val="255"/>
        </w:trPr>
        <w:tc>
          <w:tcPr>
            <w:tcW w:w="9620" w:type="dxa"/>
            <w:gridSpan w:val="6"/>
            <w:tcBorders>
              <w:top w:val="nil"/>
              <w:left w:val="nil"/>
              <w:bottom w:val="nil"/>
              <w:right w:val="nil"/>
            </w:tcBorders>
            <w:shd w:val="clear" w:color="auto" w:fill="auto"/>
            <w:noWrap/>
            <w:vAlign w:val="bottom"/>
            <w:hideMark/>
          </w:tcPr>
          <w:p w14:paraId="35866FAC" w14:textId="77777777" w:rsidR="009816DA" w:rsidRDefault="009816DA">
            <w:pPr>
              <w:rPr>
                <w:rFonts w:ascii="Arial Narrow" w:hAnsi="Arial Narrow" w:cs="Calibri"/>
                <w:color w:val="000000"/>
                <w:sz w:val="16"/>
                <w:szCs w:val="16"/>
              </w:rPr>
            </w:pPr>
            <w:r>
              <w:rPr>
                <w:rFonts w:ascii="Arial Narrow" w:hAnsi="Arial Narrow" w:cs="Calibri"/>
                <w:color w:val="000000"/>
                <w:sz w:val="16"/>
                <w:szCs w:val="16"/>
              </w:rPr>
              <w:t>* saldo totale (ST) della dinamica demografica (Saldo naturale + Saldo migratorio) del Bilancio demografico 2020</w:t>
            </w:r>
          </w:p>
        </w:tc>
      </w:tr>
    </w:tbl>
    <w:p w14:paraId="694A334C" w14:textId="1BBA9E40" w:rsidR="00B13ADF" w:rsidRDefault="006204E4" w:rsidP="00047761">
      <w:pPr>
        <w:spacing w:after="120"/>
        <w:jc w:val="both"/>
        <w:rPr>
          <w:rFonts w:ascii="Trebuchet MS" w:hAnsi="Trebuchet MS" w:cs="Arial"/>
          <w:color w:val="5F5F5F"/>
          <w:sz w:val="20"/>
          <w:szCs w:val="20"/>
        </w:rPr>
      </w:pPr>
      <w:r>
        <w:rPr>
          <w:rFonts w:ascii="Trebuchet MS" w:hAnsi="Trebuchet MS" w:cs="Arial"/>
          <w:color w:val="5F5F5F"/>
          <w:sz w:val="20"/>
          <w:szCs w:val="20"/>
        </w:rPr>
        <w:lastRenderedPageBreak/>
        <w:t xml:space="preserve">Tra il 2019 e il 2020, </w:t>
      </w:r>
      <w:r w:rsidR="006B3C1C" w:rsidRPr="00F77D6E">
        <w:rPr>
          <w:rFonts w:ascii="Trebuchet MS" w:hAnsi="Trebuchet MS" w:cs="Arial"/>
          <w:color w:val="5F5F5F"/>
          <w:sz w:val="20"/>
          <w:szCs w:val="20"/>
        </w:rPr>
        <w:t>575</w:t>
      </w:r>
      <w:r w:rsidR="00B25FDE" w:rsidRPr="00F77D6E">
        <w:rPr>
          <w:rFonts w:ascii="Trebuchet MS" w:hAnsi="Trebuchet MS" w:cs="Arial"/>
          <w:color w:val="5F5F5F"/>
          <w:sz w:val="20"/>
          <w:szCs w:val="20"/>
        </w:rPr>
        <w:t xml:space="preserve"> </w:t>
      </w:r>
      <w:r w:rsidR="006B3C1C" w:rsidRPr="00F77D6E">
        <w:rPr>
          <w:rFonts w:ascii="Trebuchet MS" w:hAnsi="Trebuchet MS" w:cs="Arial"/>
          <w:color w:val="5F5F5F"/>
          <w:sz w:val="20"/>
          <w:szCs w:val="20"/>
        </w:rPr>
        <w:t>dei 1.506</w:t>
      </w:r>
      <w:r w:rsidR="00B25FDE" w:rsidRPr="00F77D6E">
        <w:rPr>
          <w:rFonts w:ascii="Trebuchet MS" w:hAnsi="Trebuchet MS" w:cs="Arial"/>
          <w:color w:val="5F5F5F"/>
          <w:sz w:val="20"/>
          <w:szCs w:val="20"/>
        </w:rPr>
        <w:t xml:space="preserve"> </w:t>
      </w:r>
      <w:r w:rsidR="00F826D9" w:rsidRPr="00F77D6E">
        <w:rPr>
          <w:rFonts w:ascii="Trebuchet MS" w:hAnsi="Trebuchet MS" w:cs="Arial"/>
          <w:color w:val="5F5F5F"/>
          <w:sz w:val="20"/>
          <w:szCs w:val="20"/>
        </w:rPr>
        <w:t xml:space="preserve">comuni </w:t>
      </w:r>
      <w:r w:rsidR="006B3C1C" w:rsidRPr="00F77D6E">
        <w:rPr>
          <w:rFonts w:ascii="Trebuchet MS" w:hAnsi="Trebuchet MS" w:cs="Arial"/>
          <w:color w:val="5F5F5F"/>
          <w:sz w:val="20"/>
          <w:szCs w:val="20"/>
        </w:rPr>
        <w:t>lombardi</w:t>
      </w:r>
      <w:r w:rsidR="00B25FDE" w:rsidRPr="00F77D6E">
        <w:rPr>
          <w:rFonts w:ascii="Trebuchet MS" w:hAnsi="Trebuchet MS" w:cs="Arial"/>
          <w:color w:val="5F5F5F"/>
          <w:sz w:val="20"/>
          <w:szCs w:val="20"/>
        </w:rPr>
        <w:t xml:space="preserve"> non hanno </w:t>
      </w:r>
      <w:r w:rsidR="007E70FB" w:rsidRPr="00F77D6E">
        <w:rPr>
          <w:rFonts w:ascii="Trebuchet MS" w:hAnsi="Trebuchet MS" w:cs="Arial"/>
          <w:color w:val="5F5F5F"/>
          <w:sz w:val="20"/>
          <w:szCs w:val="20"/>
        </w:rPr>
        <w:t>subito perdite di</w:t>
      </w:r>
      <w:r w:rsidR="00B25FDE" w:rsidRPr="00F77D6E">
        <w:rPr>
          <w:rFonts w:ascii="Trebuchet MS" w:hAnsi="Trebuchet MS" w:cs="Arial"/>
          <w:color w:val="5F5F5F"/>
          <w:sz w:val="20"/>
          <w:szCs w:val="20"/>
        </w:rPr>
        <w:t xml:space="preserve"> popolazione e </w:t>
      </w:r>
      <w:r w:rsidR="00577941" w:rsidRPr="00F77D6E">
        <w:rPr>
          <w:rFonts w:ascii="Trebuchet MS" w:hAnsi="Trebuchet MS" w:cs="Arial"/>
          <w:color w:val="5F5F5F"/>
          <w:sz w:val="20"/>
          <w:szCs w:val="20"/>
        </w:rPr>
        <w:t>tra questi si conta solamente un capoluogo</w:t>
      </w:r>
      <w:r w:rsidR="00F826D9" w:rsidRPr="00F77D6E">
        <w:rPr>
          <w:rFonts w:ascii="Trebuchet MS" w:hAnsi="Trebuchet MS" w:cs="Arial"/>
          <w:color w:val="5F5F5F"/>
          <w:sz w:val="20"/>
          <w:szCs w:val="20"/>
        </w:rPr>
        <w:t xml:space="preserve"> di provincia</w:t>
      </w:r>
      <w:r w:rsidR="00B25FDE" w:rsidRPr="00F77D6E">
        <w:rPr>
          <w:rFonts w:ascii="Trebuchet MS" w:hAnsi="Trebuchet MS" w:cs="Arial"/>
          <w:color w:val="5F5F5F"/>
          <w:sz w:val="20"/>
          <w:szCs w:val="20"/>
        </w:rPr>
        <w:t xml:space="preserve"> (</w:t>
      </w:r>
      <w:r w:rsidR="00577941" w:rsidRPr="00F77D6E">
        <w:rPr>
          <w:rFonts w:ascii="Trebuchet MS" w:hAnsi="Trebuchet MS" w:cs="Arial"/>
          <w:color w:val="5F5F5F"/>
          <w:sz w:val="20"/>
          <w:szCs w:val="20"/>
        </w:rPr>
        <w:t>Brescia c</w:t>
      </w:r>
      <w:r w:rsidR="00F826D9" w:rsidRPr="00F77D6E">
        <w:rPr>
          <w:rFonts w:ascii="Trebuchet MS" w:hAnsi="Trebuchet MS" w:cs="Arial"/>
          <w:color w:val="5F5F5F"/>
          <w:sz w:val="20"/>
          <w:szCs w:val="20"/>
        </w:rPr>
        <w:t>h</w:t>
      </w:r>
      <w:r w:rsidR="00F77D6E" w:rsidRPr="00F77D6E">
        <w:rPr>
          <w:rFonts w:ascii="Trebuchet MS" w:hAnsi="Trebuchet MS" w:cs="Arial"/>
          <w:color w:val="5F5F5F"/>
          <w:sz w:val="20"/>
          <w:szCs w:val="20"/>
        </w:rPr>
        <w:t>e fa registrare un</w:t>
      </w:r>
      <w:r w:rsidR="00F826D9" w:rsidRPr="00F77D6E">
        <w:rPr>
          <w:rFonts w:ascii="Trebuchet MS" w:hAnsi="Trebuchet MS" w:cs="Arial"/>
          <w:color w:val="5F5F5F"/>
          <w:sz w:val="20"/>
          <w:szCs w:val="20"/>
        </w:rPr>
        <w:t xml:space="preserve"> in</w:t>
      </w:r>
      <w:r w:rsidR="00F77D6E" w:rsidRPr="00F77D6E">
        <w:rPr>
          <w:rFonts w:ascii="Trebuchet MS" w:hAnsi="Trebuchet MS" w:cs="Arial"/>
          <w:color w:val="5F5F5F"/>
          <w:sz w:val="20"/>
          <w:szCs w:val="20"/>
        </w:rPr>
        <w:t xml:space="preserve">cremento comunale di 964 unità, </w:t>
      </w:r>
      <w:r w:rsidR="00875453">
        <w:rPr>
          <w:rFonts w:ascii="Trebuchet MS" w:hAnsi="Trebuchet MS" w:cs="Arial"/>
          <w:color w:val="5F5F5F"/>
          <w:sz w:val="20"/>
          <w:szCs w:val="20"/>
        </w:rPr>
        <w:t>secondo solo a quello rilevato</w:t>
      </w:r>
      <w:r w:rsidR="00F77D6E" w:rsidRPr="00F77D6E">
        <w:rPr>
          <w:rFonts w:ascii="Trebuchet MS" w:hAnsi="Trebuchet MS" w:cs="Arial"/>
          <w:color w:val="5F5F5F"/>
          <w:sz w:val="20"/>
          <w:szCs w:val="20"/>
        </w:rPr>
        <w:t xml:space="preserve"> nel comune di San Giuliano Milanese, </w:t>
      </w:r>
      <w:r w:rsidR="00FF13CA">
        <w:rPr>
          <w:rFonts w:ascii="Trebuchet MS" w:hAnsi="Trebuchet MS" w:cs="Arial"/>
          <w:color w:val="5F5F5F"/>
          <w:sz w:val="20"/>
          <w:szCs w:val="20"/>
        </w:rPr>
        <w:t xml:space="preserve">in provincia di Milano, </w:t>
      </w:r>
      <w:r w:rsidR="00F77D6E" w:rsidRPr="00F77D6E">
        <w:rPr>
          <w:rFonts w:ascii="Trebuchet MS" w:hAnsi="Trebuchet MS" w:cs="Arial"/>
          <w:color w:val="5F5F5F"/>
          <w:sz w:val="20"/>
          <w:szCs w:val="20"/>
        </w:rPr>
        <w:t>pari a +1.213 unità</w:t>
      </w:r>
      <w:r w:rsidR="00F826D9" w:rsidRPr="00F77D6E">
        <w:rPr>
          <w:rFonts w:ascii="Trebuchet MS" w:hAnsi="Trebuchet MS" w:cs="Arial"/>
          <w:color w:val="5F5F5F"/>
          <w:sz w:val="20"/>
          <w:szCs w:val="20"/>
        </w:rPr>
        <w:t>).</w:t>
      </w:r>
      <w:r w:rsidR="00F826D9" w:rsidRPr="006F6CA6">
        <w:rPr>
          <w:rFonts w:ascii="Trebuchet MS" w:hAnsi="Trebuchet MS" w:cs="Arial"/>
          <w:color w:val="5F5F5F"/>
          <w:sz w:val="20"/>
          <w:szCs w:val="20"/>
        </w:rPr>
        <w:t xml:space="preserve"> </w:t>
      </w:r>
    </w:p>
    <w:p w14:paraId="6F33FB0C" w14:textId="4CF5744B" w:rsidR="00F826D9" w:rsidRPr="006F6CA6" w:rsidRDefault="006B3C1C" w:rsidP="00047761">
      <w:pPr>
        <w:spacing w:after="120"/>
        <w:jc w:val="both"/>
        <w:rPr>
          <w:rFonts w:ascii="Trebuchet MS" w:hAnsi="Trebuchet MS" w:cs="Arial"/>
          <w:color w:val="5F5F5F"/>
          <w:sz w:val="20"/>
          <w:szCs w:val="20"/>
        </w:rPr>
      </w:pPr>
      <w:r w:rsidRPr="00F77D6E">
        <w:rPr>
          <w:rFonts w:ascii="Trebuchet MS" w:hAnsi="Trebuchet MS" w:cs="Arial"/>
          <w:color w:val="5F5F5F"/>
          <w:sz w:val="20"/>
          <w:szCs w:val="20"/>
        </w:rPr>
        <w:t>Sono invece 931</w:t>
      </w:r>
      <w:r w:rsidR="00F826D9" w:rsidRPr="00F77D6E">
        <w:rPr>
          <w:rFonts w:ascii="Trebuchet MS" w:hAnsi="Trebuchet MS" w:cs="Arial"/>
          <w:color w:val="5F5F5F"/>
          <w:sz w:val="20"/>
          <w:szCs w:val="20"/>
        </w:rPr>
        <w:t xml:space="preserve"> i comuni </w:t>
      </w:r>
      <w:r w:rsidR="005F1E60" w:rsidRPr="00F77D6E">
        <w:rPr>
          <w:rFonts w:ascii="Trebuchet MS" w:hAnsi="Trebuchet MS" w:cs="Arial"/>
          <w:color w:val="5F5F5F"/>
          <w:sz w:val="20"/>
          <w:szCs w:val="20"/>
        </w:rPr>
        <w:t>dove la</w:t>
      </w:r>
      <w:r w:rsidR="00F826D9" w:rsidRPr="00F77D6E">
        <w:rPr>
          <w:rFonts w:ascii="Trebuchet MS" w:hAnsi="Trebuchet MS" w:cs="Arial"/>
          <w:color w:val="5F5F5F"/>
          <w:sz w:val="20"/>
          <w:szCs w:val="20"/>
        </w:rPr>
        <w:t xml:space="preserve"> popolazione</w:t>
      </w:r>
      <w:r w:rsidR="005F1E60" w:rsidRPr="00F77D6E">
        <w:rPr>
          <w:rFonts w:ascii="Trebuchet MS" w:hAnsi="Trebuchet MS" w:cs="Arial"/>
          <w:color w:val="5F5F5F"/>
          <w:sz w:val="20"/>
          <w:szCs w:val="20"/>
        </w:rPr>
        <w:t xml:space="preserve"> diminuisce</w:t>
      </w:r>
      <w:r w:rsidR="00207E5B" w:rsidRPr="00F77D6E">
        <w:rPr>
          <w:rFonts w:ascii="Trebuchet MS" w:hAnsi="Trebuchet MS" w:cs="Arial"/>
          <w:color w:val="5F5F5F"/>
          <w:sz w:val="20"/>
          <w:szCs w:val="20"/>
        </w:rPr>
        <w:t>:</w:t>
      </w:r>
      <w:r w:rsidR="00273EFD" w:rsidRPr="00F77D6E">
        <w:rPr>
          <w:rFonts w:ascii="Trebuchet MS" w:hAnsi="Trebuchet MS" w:cs="Arial"/>
          <w:color w:val="5F5F5F"/>
          <w:sz w:val="20"/>
          <w:szCs w:val="20"/>
        </w:rPr>
        <w:t xml:space="preserve"> </w:t>
      </w:r>
      <w:r w:rsidR="00F77D6E" w:rsidRPr="00F77D6E">
        <w:rPr>
          <w:rFonts w:ascii="Trebuchet MS" w:hAnsi="Trebuchet MS" w:cs="Arial"/>
          <w:color w:val="5F5F5F"/>
          <w:sz w:val="20"/>
          <w:szCs w:val="20"/>
        </w:rPr>
        <w:t>in valore assoluto la</w:t>
      </w:r>
      <w:r w:rsidR="00875453">
        <w:rPr>
          <w:rFonts w:ascii="Trebuchet MS" w:hAnsi="Trebuchet MS" w:cs="Arial"/>
          <w:color w:val="5F5F5F"/>
          <w:sz w:val="20"/>
          <w:szCs w:val="20"/>
        </w:rPr>
        <w:t xml:space="preserve"> </w:t>
      </w:r>
      <w:r w:rsidR="00273EFD" w:rsidRPr="00F77D6E">
        <w:rPr>
          <w:rFonts w:ascii="Trebuchet MS" w:hAnsi="Trebuchet MS" w:cs="Arial"/>
          <w:color w:val="5F5F5F"/>
          <w:sz w:val="20"/>
          <w:szCs w:val="20"/>
        </w:rPr>
        <w:t>perd</w:t>
      </w:r>
      <w:r w:rsidR="00875453">
        <w:rPr>
          <w:rFonts w:ascii="Trebuchet MS" w:hAnsi="Trebuchet MS" w:cs="Arial"/>
          <w:color w:val="5F5F5F"/>
          <w:sz w:val="20"/>
          <w:szCs w:val="20"/>
        </w:rPr>
        <w:t>ita più consistente</w:t>
      </w:r>
      <w:r w:rsidR="00F77D6E" w:rsidRPr="00F77D6E">
        <w:rPr>
          <w:rFonts w:ascii="Trebuchet MS" w:hAnsi="Trebuchet MS" w:cs="Arial"/>
          <w:color w:val="5F5F5F"/>
          <w:sz w:val="20"/>
          <w:szCs w:val="20"/>
        </w:rPr>
        <w:t xml:space="preserve"> si registra a Milano</w:t>
      </w:r>
      <w:r w:rsidR="00273EFD" w:rsidRPr="00F77D6E">
        <w:rPr>
          <w:rFonts w:ascii="Trebuchet MS" w:hAnsi="Trebuchet MS" w:cs="Arial"/>
          <w:color w:val="5F5F5F"/>
          <w:sz w:val="20"/>
          <w:szCs w:val="20"/>
        </w:rPr>
        <w:t xml:space="preserve"> (-</w:t>
      </w:r>
      <w:r w:rsidR="00F77D6E" w:rsidRPr="00F77D6E">
        <w:rPr>
          <w:rFonts w:ascii="Trebuchet MS" w:hAnsi="Trebuchet MS" w:cs="Arial"/>
          <w:color w:val="5F5F5F"/>
          <w:sz w:val="20"/>
          <w:szCs w:val="20"/>
        </w:rPr>
        <w:t>31.660</w:t>
      </w:r>
      <w:r w:rsidR="00273EFD" w:rsidRPr="00F77D6E">
        <w:rPr>
          <w:rFonts w:ascii="Trebuchet MS" w:hAnsi="Trebuchet MS" w:cs="Arial"/>
          <w:color w:val="5F5F5F"/>
          <w:sz w:val="20"/>
          <w:szCs w:val="20"/>
        </w:rPr>
        <w:t>)</w:t>
      </w:r>
      <w:r w:rsidR="00F77D6E" w:rsidRPr="00F77D6E">
        <w:rPr>
          <w:rFonts w:ascii="Trebuchet MS" w:hAnsi="Trebuchet MS" w:cs="Arial"/>
          <w:color w:val="5F5F5F"/>
          <w:sz w:val="20"/>
          <w:szCs w:val="20"/>
        </w:rPr>
        <w:t>, se</w:t>
      </w:r>
      <w:r w:rsidR="00E356C4">
        <w:rPr>
          <w:rFonts w:ascii="Trebuchet MS" w:hAnsi="Trebuchet MS" w:cs="Arial"/>
          <w:color w:val="5F5F5F"/>
          <w:sz w:val="20"/>
          <w:szCs w:val="20"/>
        </w:rPr>
        <w:t>guita a distanza da Monza (-2.31</w:t>
      </w:r>
      <w:r w:rsidR="00F77D6E" w:rsidRPr="00F77D6E">
        <w:rPr>
          <w:rFonts w:ascii="Trebuchet MS" w:hAnsi="Trebuchet MS" w:cs="Arial"/>
          <w:color w:val="5F5F5F"/>
          <w:sz w:val="20"/>
          <w:szCs w:val="20"/>
        </w:rPr>
        <w:t xml:space="preserve">8); </w:t>
      </w:r>
      <w:r w:rsidR="001617A9" w:rsidRPr="00F77D6E">
        <w:rPr>
          <w:rFonts w:ascii="Trebuchet MS" w:hAnsi="Trebuchet MS" w:cs="Arial"/>
          <w:color w:val="5F5F5F"/>
          <w:sz w:val="20"/>
          <w:szCs w:val="20"/>
        </w:rPr>
        <w:t>in termini rela</w:t>
      </w:r>
      <w:r w:rsidR="00F77D6E" w:rsidRPr="00F77D6E">
        <w:rPr>
          <w:rFonts w:ascii="Trebuchet MS" w:hAnsi="Trebuchet MS" w:cs="Arial"/>
          <w:color w:val="5F5F5F"/>
          <w:sz w:val="20"/>
          <w:szCs w:val="20"/>
        </w:rPr>
        <w:t>tivi nei comuni di Rocca de’ Giorgi</w:t>
      </w:r>
      <w:r w:rsidR="00BC0292">
        <w:rPr>
          <w:rFonts w:ascii="Trebuchet MS" w:hAnsi="Trebuchet MS" w:cs="Arial"/>
          <w:color w:val="5F5F5F"/>
          <w:sz w:val="20"/>
          <w:szCs w:val="20"/>
        </w:rPr>
        <w:t xml:space="preserve"> in provincia di Pavia</w:t>
      </w:r>
      <w:r w:rsidR="001617A9" w:rsidRPr="00F77D6E">
        <w:rPr>
          <w:rFonts w:ascii="Trebuchet MS" w:hAnsi="Trebuchet MS" w:cs="Arial"/>
          <w:color w:val="5F5F5F"/>
          <w:sz w:val="20"/>
          <w:szCs w:val="20"/>
        </w:rPr>
        <w:t xml:space="preserve"> </w:t>
      </w:r>
      <w:r w:rsidR="00F77D6E" w:rsidRPr="00F77D6E">
        <w:rPr>
          <w:rFonts w:ascii="Trebuchet MS" w:hAnsi="Trebuchet MS" w:cs="Arial"/>
          <w:color w:val="5F5F5F"/>
          <w:sz w:val="20"/>
          <w:szCs w:val="20"/>
        </w:rPr>
        <w:t>(-16,0</w:t>
      </w:r>
      <w:r w:rsidR="001617A9" w:rsidRPr="00F77D6E">
        <w:rPr>
          <w:rFonts w:ascii="Trebuchet MS" w:hAnsi="Trebuchet MS" w:cs="Arial"/>
          <w:color w:val="5F5F5F"/>
          <w:sz w:val="20"/>
          <w:szCs w:val="20"/>
        </w:rPr>
        <w:t>%)</w:t>
      </w:r>
      <w:r w:rsidR="00F77D6E" w:rsidRPr="00F77D6E">
        <w:rPr>
          <w:rFonts w:ascii="Trebuchet MS" w:hAnsi="Trebuchet MS" w:cs="Arial"/>
          <w:color w:val="5F5F5F"/>
          <w:sz w:val="20"/>
          <w:szCs w:val="20"/>
        </w:rPr>
        <w:t>, Campione d’Italia</w:t>
      </w:r>
      <w:r w:rsidR="000A26A6">
        <w:rPr>
          <w:rFonts w:ascii="Trebuchet MS" w:hAnsi="Trebuchet MS" w:cs="Arial"/>
          <w:color w:val="5F5F5F"/>
          <w:sz w:val="20"/>
          <w:szCs w:val="20"/>
        </w:rPr>
        <w:t>,</w:t>
      </w:r>
      <w:r w:rsidR="00FF13CA">
        <w:rPr>
          <w:rFonts w:ascii="Trebuchet MS" w:hAnsi="Trebuchet MS" w:cs="Arial"/>
          <w:color w:val="5F5F5F"/>
          <w:sz w:val="20"/>
          <w:szCs w:val="20"/>
        </w:rPr>
        <w:t xml:space="preserve"> in provincia di Como</w:t>
      </w:r>
      <w:r w:rsidR="000A26A6">
        <w:rPr>
          <w:rFonts w:ascii="Trebuchet MS" w:hAnsi="Trebuchet MS" w:cs="Arial"/>
          <w:color w:val="5F5F5F"/>
          <w:sz w:val="20"/>
          <w:szCs w:val="20"/>
        </w:rPr>
        <w:t>,</w:t>
      </w:r>
      <w:r w:rsidR="00F77D6E" w:rsidRPr="00F77D6E">
        <w:rPr>
          <w:rFonts w:ascii="Trebuchet MS" w:hAnsi="Trebuchet MS" w:cs="Arial"/>
          <w:color w:val="5F5F5F"/>
          <w:sz w:val="20"/>
          <w:szCs w:val="20"/>
        </w:rPr>
        <w:t xml:space="preserve"> (</w:t>
      </w:r>
      <w:r w:rsidR="00E20BE1">
        <w:rPr>
          <w:rFonts w:ascii="Trebuchet MS" w:hAnsi="Trebuchet MS" w:cs="Arial"/>
          <w:color w:val="5F5F5F"/>
          <w:sz w:val="20"/>
          <w:szCs w:val="20"/>
        </w:rPr>
        <w:t>-</w:t>
      </w:r>
      <w:r w:rsidR="00F77D6E" w:rsidRPr="00F77D6E">
        <w:rPr>
          <w:rFonts w:ascii="Trebuchet MS" w:hAnsi="Trebuchet MS" w:cs="Arial"/>
          <w:color w:val="5F5F5F"/>
          <w:sz w:val="20"/>
          <w:szCs w:val="20"/>
        </w:rPr>
        <w:t>8,3%)</w:t>
      </w:r>
      <w:r w:rsidR="00FB44E9">
        <w:rPr>
          <w:rFonts w:ascii="Trebuchet MS" w:hAnsi="Trebuchet MS" w:cs="Arial"/>
          <w:color w:val="5F5F5F"/>
          <w:sz w:val="20"/>
          <w:szCs w:val="20"/>
        </w:rPr>
        <w:t xml:space="preserve"> </w:t>
      </w:r>
      <w:r w:rsidR="00F77D6E" w:rsidRPr="00F77D6E">
        <w:rPr>
          <w:rFonts w:ascii="Trebuchet MS" w:hAnsi="Trebuchet MS" w:cs="Arial"/>
          <w:color w:val="5F5F5F"/>
          <w:sz w:val="20"/>
          <w:szCs w:val="20"/>
        </w:rPr>
        <w:t>e Foppolo</w:t>
      </w:r>
      <w:r w:rsidR="000A26A6">
        <w:rPr>
          <w:rFonts w:ascii="Trebuchet MS" w:hAnsi="Trebuchet MS" w:cs="Arial"/>
          <w:color w:val="5F5F5F"/>
          <w:sz w:val="20"/>
          <w:szCs w:val="20"/>
        </w:rPr>
        <w:t>,</w:t>
      </w:r>
      <w:r w:rsidR="00FF13CA">
        <w:rPr>
          <w:rFonts w:ascii="Trebuchet MS" w:hAnsi="Trebuchet MS" w:cs="Arial"/>
          <w:color w:val="5F5F5F"/>
          <w:sz w:val="20"/>
          <w:szCs w:val="20"/>
        </w:rPr>
        <w:t xml:space="preserve"> in provincia di Bergamo</w:t>
      </w:r>
      <w:r w:rsidR="00F77D6E" w:rsidRPr="00F77D6E">
        <w:rPr>
          <w:rFonts w:ascii="Trebuchet MS" w:hAnsi="Trebuchet MS" w:cs="Arial"/>
          <w:color w:val="5F5F5F"/>
          <w:sz w:val="20"/>
          <w:szCs w:val="20"/>
        </w:rPr>
        <w:t xml:space="preserve"> (-8,0</w:t>
      </w:r>
      <w:r w:rsidR="001617A9" w:rsidRPr="00F77D6E">
        <w:rPr>
          <w:rFonts w:ascii="Trebuchet MS" w:hAnsi="Trebuchet MS" w:cs="Arial"/>
          <w:color w:val="5F5F5F"/>
          <w:sz w:val="20"/>
          <w:szCs w:val="20"/>
        </w:rPr>
        <w:t>%).</w:t>
      </w:r>
    </w:p>
    <w:p w14:paraId="3832DDE4" w14:textId="68B53EAD" w:rsidR="00F826D9" w:rsidRDefault="001617A9" w:rsidP="001A589C">
      <w:pPr>
        <w:spacing w:after="120"/>
        <w:jc w:val="both"/>
        <w:rPr>
          <w:rFonts w:ascii="Trebuchet MS" w:hAnsi="Trebuchet MS" w:cs="Arial"/>
          <w:color w:val="5F5F5F"/>
          <w:sz w:val="20"/>
          <w:szCs w:val="20"/>
        </w:rPr>
      </w:pPr>
      <w:r>
        <w:rPr>
          <w:rFonts w:ascii="Trebuchet MS" w:hAnsi="Trebuchet MS" w:cs="Arial"/>
          <w:color w:val="5F5F5F"/>
          <w:sz w:val="20"/>
          <w:szCs w:val="20"/>
        </w:rPr>
        <w:t xml:space="preserve">Sotto il profilo della dimensione demografica, </w:t>
      </w:r>
      <w:r w:rsidR="000A2408">
        <w:rPr>
          <w:rFonts w:ascii="Trebuchet MS" w:hAnsi="Trebuchet MS" w:cs="Arial"/>
          <w:color w:val="5F5F5F"/>
          <w:sz w:val="20"/>
          <w:szCs w:val="20"/>
        </w:rPr>
        <w:t xml:space="preserve">il </w:t>
      </w:r>
      <w:r w:rsidR="006B3C1C">
        <w:rPr>
          <w:rFonts w:ascii="Trebuchet MS" w:hAnsi="Trebuchet MS" w:cs="Arial"/>
          <w:color w:val="5F5F5F"/>
          <w:sz w:val="20"/>
          <w:szCs w:val="20"/>
        </w:rPr>
        <w:t>57,0</w:t>
      </w:r>
      <w:r w:rsidR="000A2408" w:rsidRPr="006F6CA6">
        <w:rPr>
          <w:rFonts w:ascii="Trebuchet MS" w:hAnsi="Trebuchet MS" w:cs="Arial"/>
          <w:color w:val="5F5F5F"/>
          <w:sz w:val="20"/>
          <w:szCs w:val="20"/>
        </w:rPr>
        <w:t>%</w:t>
      </w:r>
      <w:r w:rsidR="000A2408">
        <w:rPr>
          <w:rFonts w:ascii="Trebuchet MS" w:hAnsi="Trebuchet MS" w:cs="Arial"/>
          <w:color w:val="5F5F5F"/>
          <w:sz w:val="20"/>
          <w:szCs w:val="20"/>
        </w:rPr>
        <w:t xml:space="preserve"> de</w:t>
      </w:r>
      <w:r w:rsidR="00164880">
        <w:rPr>
          <w:rFonts w:ascii="Trebuchet MS" w:hAnsi="Trebuchet MS" w:cs="Arial"/>
          <w:color w:val="5F5F5F"/>
          <w:sz w:val="20"/>
          <w:szCs w:val="20"/>
        </w:rPr>
        <w:t xml:space="preserve">i comuni </w:t>
      </w:r>
      <w:r w:rsidR="000A2408">
        <w:rPr>
          <w:rFonts w:ascii="Trebuchet MS" w:hAnsi="Trebuchet MS" w:cs="Arial"/>
          <w:color w:val="5F5F5F"/>
          <w:sz w:val="20"/>
          <w:szCs w:val="20"/>
        </w:rPr>
        <w:t xml:space="preserve">con popolazione </w:t>
      </w:r>
      <w:r w:rsidR="006B3C1C">
        <w:rPr>
          <w:rFonts w:ascii="Trebuchet MS" w:hAnsi="Trebuchet MS" w:cs="Arial"/>
          <w:color w:val="5F5F5F"/>
          <w:sz w:val="20"/>
          <w:szCs w:val="20"/>
        </w:rPr>
        <w:t>tra 10.001 e 2</w:t>
      </w:r>
      <w:r w:rsidR="000A2408" w:rsidRPr="006F6CA6">
        <w:rPr>
          <w:rFonts w:ascii="Trebuchet MS" w:hAnsi="Trebuchet MS" w:cs="Arial"/>
          <w:color w:val="5F5F5F"/>
          <w:sz w:val="20"/>
          <w:szCs w:val="20"/>
        </w:rPr>
        <w:t>0.000 abitanti</w:t>
      </w:r>
      <w:r w:rsidR="000A2408">
        <w:rPr>
          <w:rFonts w:ascii="Trebuchet MS" w:hAnsi="Trebuchet MS" w:cs="Arial"/>
          <w:color w:val="5F5F5F"/>
          <w:sz w:val="20"/>
          <w:szCs w:val="20"/>
        </w:rPr>
        <w:t xml:space="preserve"> </w:t>
      </w:r>
      <w:r w:rsidR="00164880">
        <w:rPr>
          <w:rFonts w:ascii="Trebuchet MS" w:hAnsi="Trebuchet MS" w:cs="Arial"/>
          <w:color w:val="5F5F5F"/>
          <w:sz w:val="20"/>
          <w:szCs w:val="20"/>
        </w:rPr>
        <w:t xml:space="preserve">non ha perso residenti. </w:t>
      </w:r>
      <w:r w:rsidR="005F1E60">
        <w:rPr>
          <w:rFonts w:ascii="Trebuchet MS" w:hAnsi="Trebuchet MS" w:cs="Arial"/>
          <w:color w:val="5F5F5F"/>
          <w:sz w:val="20"/>
          <w:szCs w:val="20"/>
        </w:rPr>
        <w:t xml:space="preserve">La </w:t>
      </w:r>
      <w:r w:rsidR="005B00FD">
        <w:rPr>
          <w:rFonts w:ascii="Trebuchet MS" w:hAnsi="Trebuchet MS" w:cs="Arial"/>
          <w:color w:val="5F5F5F"/>
          <w:sz w:val="20"/>
          <w:szCs w:val="20"/>
        </w:rPr>
        <w:t>popolazione</w:t>
      </w:r>
      <w:r w:rsidR="005F1E60">
        <w:rPr>
          <w:rFonts w:ascii="Trebuchet MS" w:hAnsi="Trebuchet MS" w:cs="Arial"/>
          <w:color w:val="5F5F5F"/>
          <w:sz w:val="20"/>
          <w:szCs w:val="20"/>
        </w:rPr>
        <w:t xml:space="preserve"> risulta</w:t>
      </w:r>
      <w:r w:rsidR="005B00FD">
        <w:rPr>
          <w:rFonts w:ascii="Trebuchet MS" w:hAnsi="Trebuchet MS" w:cs="Arial"/>
          <w:color w:val="5F5F5F"/>
          <w:sz w:val="20"/>
          <w:szCs w:val="20"/>
        </w:rPr>
        <w:t xml:space="preserve"> </w:t>
      </w:r>
      <w:r w:rsidR="00A45E8C">
        <w:rPr>
          <w:rFonts w:ascii="Trebuchet MS" w:hAnsi="Trebuchet MS" w:cs="Arial"/>
          <w:color w:val="5F5F5F"/>
          <w:sz w:val="20"/>
          <w:szCs w:val="20"/>
        </w:rPr>
        <w:t>i</w:t>
      </w:r>
      <w:r w:rsidR="005B00FD">
        <w:rPr>
          <w:rFonts w:ascii="Trebuchet MS" w:hAnsi="Trebuchet MS" w:cs="Arial"/>
          <w:color w:val="5F5F5F"/>
          <w:sz w:val="20"/>
          <w:szCs w:val="20"/>
        </w:rPr>
        <w:t>nvece</w:t>
      </w:r>
      <w:r w:rsidR="005F1E60">
        <w:rPr>
          <w:rFonts w:ascii="Trebuchet MS" w:hAnsi="Trebuchet MS" w:cs="Arial"/>
          <w:color w:val="5F5F5F"/>
          <w:sz w:val="20"/>
          <w:szCs w:val="20"/>
        </w:rPr>
        <w:t xml:space="preserve"> in calo nel</w:t>
      </w:r>
      <w:r w:rsidR="00F52177">
        <w:rPr>
          <w:rFonts w:ascii="Trebuchet MS" w:hAnsi="Trebuchet MS" w:cs="Arial"/>
          <w:color w:val="5F5F5F"/>
          <w:sz w:val="20"/>
          <w:szCs w:val="20"/>
        </w:rPr>
        <w:t xml:space="preserve"> 73,3</w:t>
      </w:r>
      <w:r w:rsidR="005B00FD">
        <w:rPr>
          <w:rFonts w:ascii="Trebuchet MS" w:hAnsi="Trebuchet MS" w:cs="Arial"/>
          <w:color w:val="5F5F5F"/>
          <w:sz w:val="20"/>
          <w:szCs w:val="20"/>
        </w:rPr>
        <w:t>% d</w:t>
      </w:r>
      <w:r w:rsidR="00030CB4">
        <w:rPr>
          <w:rFonts w:ascii="Trebuchet MS" w:hAnsi="Trebuchet MS" w:cs="Arial"/>
          <w:color w:val="5F5F5F"/>
          <w:sz w:val="20"/>
          <w:szCs w:val="20"/>
        </w:rPr>
        <w:t>e</w:t>
      </w:r>
      <w:r w:rsidR="005B00FD">
        <w:rPr>
          <w:rFonts w:ascii="Trebuchet MS" w:hAnsi="Trebuchet MS" w:cs="Arial"/>
          <w:color w:val="5F5F5F"/>
          <w:sz w:val="20"/>
          <w:szCs w:val="20"/>
        </w:rPr>
        <w:t>i</w:t>
      </w:r>
      <w:r w:rsidR="00030CB4">
        <w:rPr>
          <w:rFonts w:ascii="Trebuchet MS" w:hAnsi="Trebuchet MS" w:cs="Arial"/>
          <w:color w:val="5F5F5F"/>
          <w:sz w:val="20"/>
          <w:szCs w:val="20"/>
        </w:rPr>
        <w:t xml:space="preserve"> comuni</w:t>
      </w:r>
      <w:r w:rsidR="005B00FD">
        <w:rPr>
          <w:rFonts w:ascii="Trebuchet MS" w:hAnsi="Trebuchet MS" w:cs="Arial"/>
          <w:color w:val="5F5F5F"/>
          <w:sz w:val="20"/>
          <w:szCs w:val="20"/>
        </w:rPr>
        <w:t xml:space="preserve"> con </w:t>
      </w:r>
      <w:r w:rsidR="00F52177">
        <w:rPr>
          <w:rFonts w:ascii="Trebuchet MS" w:hAnsi="Trebuchet MS" w:cs="Arial"/>
          <w:color w:val="5F5F5F"/>
          <w:sz w:val="20"/>
          <w:szCs w:val="20"/>
        </w:rPr>
        <w:t xml:space="preserve">oltre 50.000 abitanti e nel 67,7% di quelli con </w:t>
      </w:r>
      <w:r w:rsidR="00F0590D">
        <w:rPr>
          <w:rFonts w:ascii="Trebuchet MS" w:hAnsi="Trebuchet MS" w:cs="Arial"/>
          <w:color w:val="5F5F5F"/>
          <w:sz w:val="20"/>
          <w:szCs w:val="20"/>
        </w:rPr>
        <w:t>popolazione compresa tra</w:t>
      </w:r>
      <w:r w:rsidR="005B00FD">
        <w:rPr>
          <w:rFonts w:ascii="Trebuchet MS" w:hAnsi="Trebuchet MS" w:cs="Arial"/>
          <w:color w:val="5F5F5F"/>
          <w:sz w:val="20"/>
          <w:szCs w:val="20"/>
        </w:rPr>
        <w:t xml:space="preserve"> 1.00</w:t>
      </w:r>
      <w:r w:rsidR="00030CB4">
        <w:rPr>
          <w:rFonts w:ascii="Trebuchet MS" w:hAnsi="Trebuchet MS" w:cs="Arial"/>
          <w:color w:val="5F5F5F"/>
          <w:sz w:val="20"/>
          <w:szCs w:val="20"/>
        </w:rPr>
        <w:t>1</w:t>
      </w:r>
      <w:r w:rsidR="00F0590D">
        <w:rPr>
          <w:rFonts w:ascii="Trebuchet MS" w:hAnsi="Trebuchet MS" w:cs="Arial"/>
          <w:color w:val="5F5F5F"/>
          <w:sz w:val="20"/>
          <w:szCs w:val="20"/>
        </w:rPr>
        <w:t xml:space="preserve"> e </w:t>
      </w:r>
      <w:r w:rsidR="005B00FD">
        <w:rPr>
          <w:rFonts w:ascii="Trebuchet MS" w:hAnsi="Trebuchet MS" w:cs="Arial"/>
          <w:color w:val="5F5F5F"/>
          <w:sz w:val="20"/>
          <w:szCs w:val="20"/>
        </w:rPr>
        <w:t>5.000 residenti</w:t>
      </w:r>
      <w:r w:rsidR="00C62A02">
        <w:rPr>
          <w:rFonts w:ascii="Trebuchet MS" w:hAnsi="Trebuchet MS" w:cs="Arial"/>
          <w:color w:val="5F5F5F"/>
          <w:sz w:val="20"/>
          <w:szCs w:val="20"/>
        </w:rPr>
        <w:t xml:space="preserve"> (Prospetto 2)</w:t>
      </w:r>
      <w:r w:rsidR="005B00FD">
        <w:rPr>
          <w:rFonts w:ascii="Trebuchet MS" w:hAnsi="Trebuchet MS" w:cs="Arial"/>
          <w:color w:val="5F5F5F"/>
          <w:sz w:val="20"/>
          <w:szCs w:val="20"/>
        </w:rPr>
        <w:t xml:space="preserve">. </w:t>
      </w:r>
    </w:p>
    <w:p w14:paraId="23901CDD" w14:textId="77777777" w:rsidR="001A589C" w:rsidRPr="00E17E76" w:rsidRDefault="001A589C" w:rsidP="001A589C">
      <w:pPr>
        <w:spacing w:after="120"/>
        <w:jc w:val="both"/>
        <w:rPr>
          <w:rFonts w:ascii="Trebuchet MS" w:hAnsi="Trebuchet MS" w:cs="Arial"/>
          <w:color w:val="5F5F5F"/>
          <w:sz w:val="10"/>
          <w:szCs w:val="10"/>
        </w:rPr>
      </w:pPr>
    </w:p>
    <w:p w14:paraId="37D85A4E" w14:textId="543168FB" w:rsidR="006B26EA" w:rsidRDefault="002125CB" w:rsidP="00047761">
      <w:pPr>
        <w:spacing w:after="120"/>
        <w:jc w:val="both"/>
        <w:rPr>
          <w:rFonts w:ascii="Arial Narrow" w:hAnsi="Arial Narrow" w:cs="Calibri"/>
          <w:color w:val="727272"/>
          <w:sz w:val="22"/>
          <w:szCs w:val="22"/>
        </w:rPr>
      </w:pPr>
      <w:r w:rsidRPr="00047761">
        <w:rPr>
          <w:rFonts w:ascii="Arial Narrow" w:hAnsi="Arial Narrow" w:cs="Calibri"/>
          <w:b/>
          <w:bCs/>
          <w:color w:val="595959" w:themeColor="text1" w:themeTint="A6"/>
          <w:sz w:val="22"/>
          <w:szCs w:val="22"/>
        </w:rPr>
        <w:t xml:space="preserve">PROSPETTO 2. </w:t>
      </w:r>
      <w:r w:rsidRPr="00047761">
        <w:rPr>
          <w:rFonts w:ascii="Arial Narrow" w:hAnsi="Arial Narrow" w:cs="Calibri"/>
          <w:color w:val="595959" w:themeColor="text1" w:themeTint="A6"/>
          <w:sz w:val="22"/>
          <w:szCs w:val="22"/>
        </w:rPr>
        <w:t xml:space="preserve">COMUNI CON INCREMENTO </w:t>
      </w:r>
      <w:r w:rsidR="001E252A" w:rsidRPr="00047761">
        <w:rPr>
          <w:rFonts w:ascii="Arial Narrow" w:hAnsi="Arial Narrow" w:cs="Calibri"/>
          <w:color w:val="595959" w:themeColor="text1" w:themeTint="A6"/>
          <w:sz w:val="22"/>
          <w:szCs w:val="22"/>
        </w:rPr>
        <w:t xml:space="preserve">O </w:t>
      </w:r>
      <w:r w:rsidRPr="00047761">
        <w:rPr>
          <w:rFonts w:ascii="Arial Narrow" w:hAnsi="Arial Narrow" w:cs="Calibri"/>
          <w:color w:val="595959" w:themeColor="text1" w:themeTint="A6"/>
          <w:sz w:val="22"/>
          <w:szCs w:val="22"/>
        </w:rPr>
        <w:t xml:space="preserve">DECREMENTO DI POPOLAZIONE PER CLASSE DI AMPIEZZA DEMOGRAFICA DEL COMUNE.  </w:t>
      </w:r>
      <w:r w:rsidR="00FF41FD" w:rsidRPr="00047761">
        <w:rPr>
          <w:rFonts w:ascii="Arial Narrow" w:hAnsi="Arial Narrow" w:cs="Calibri"/>
          <w:color w:val="595959" w:themeColor="text1" w:themeTint="A6"/>
          <w:sz w:val="22"/>
          <w:szCs w:val="22"/>
        </w:rPr>
        <w:t xml:space="preserve">Censimento 2020. </w:t>
      </w:r>
      <w:r w:rsidRPr="00047761">
        <w:rPr>
          <w:rFonts w:ascii="Arial Narrow" w:hAnsi="Arial Narrow" w:cs="Calibri"/>
          <w:color w:val="595959" w:themeColor="text1" w:themeTint="A6"/>
          <w:sz w:val="22"/>
          <w:szCs w:val="22"/>
        </w:rPr>
        <w:t>Valori assoluti e valori percentuali</w:t>
      </w:r>
    </w:p>
    <w:tbl>
      <w:tblPr>
        <w:tblW w:w="9600" w:type="dxa"/>
        <w:tblCellMar>
          <w:left w:w="70" w:type="dxa"/>
          <w:right w:w="70" w:type="dxa"/>
        </w:tblCellMar>
        <w:tblLook w:val="04A0" w:firstRow="1" w:lastRow="0" w:firstColumn="1" w:lastColumn="0" w:noHBand="0" w:noVBand="1"/>
      </w:tblPr>
      <w:tblGrid>
        <w:gridCol w:w="1920"/>
        <w:gridCol w:w="1300"/>
        <w:gridCol w:w="1300"/>
        <w:gridCol w:w="1300"/>
        <w:gridCol w:w="1300"/>
        <w:gridCol w:w="1120"/>
        <w:gridCol w:w="1360"/>
      </w:tblGrid>
      <w:tr w:rsidR="009816DA" w14:paraId="7971FADD" w14:textId="77777777" w:rsidTr="009816DA">
        <w:trPr>
          <w:trHeight w:val="810"/>
        </w:trPr>
        <w:tc>
          <w:tcPr>
            <w:tcW w:w="1920" w:type="dxa"/>
            <w:tcBorders>
              <w:top w:val="single" w:sz="4" w:space="0" w:color="auto"/>
              <w:left w:val="nil"/>
              <w:bottom w:val="single" w:sz="4" w:space="0" w:color="auto"/>
              <w:right w:val="nil"/>
            </w:tcBorders>
            <w:shd w:val="clear" w:color="auto" w:fill="auto"/>
            <w:vAlign w:val="center"/>
            <w:hideMark/>
          </w:tcPr>
          <w:p w14:paraId="0A937D66" w14:textId="77777777" w:rsidR="009816DA" w:rsidRDefault="009816DA">
            <w:pPr>
              <w:rPr>
                <w:rFonts w:ascii="Arial Narrow" w:hAnsi="Arial Narrow" w:cs="Calibri"/>
                <w:b/>
                <w:bCs/>
                <w:color w:val="000000"/>
                <w:sz w:val="18"/>
                <w:szCs w:val="18"/>
              </w:rPr>
            </w:pPr>
            <w:r>
              <w:rPr>
                <w:rFonts w:ascii="Arial Narrow" w:hAnsi="Arial Narrow" w:cs="Calibri"/>
                <w:b/>
                <w:bCs/>
                <w:color w:val="000000"/>
                <w:sz w:val="18"/>
                <w:szCs w:val="18"/>
              </w:rPr>
              <w:t>CLASSE DI AMPIEZZA DEMOGRAFICA              (AL 2020)</w:t>
            </w:r>
          </w:p>
        </w:tc>
        <w:tc>
          <w:tcPr>
            <w:tcW w:w="1300" w:type="dxa"/>
            <w:tcBorders>
              <w:top w:val="single" w:sz="4" w:space="0" w:color="auto"/>
              <w:left w:val="nil"/>
              <w:bottom w:val="single" w:sz="4" w:space="0" w:color="auto"/>
              <w:right w:val="nil"/>
            </w:tcBorders>
            <w:shd w:val="clear" w:color="auto" w:fill="auto"/>
            <w:hideMark/>
          </w:tcPr>
          <w:p w14:paraId="573E6993" w14:textId="77777777" w:rsidR="009816DA" w:rsidRDefault="009816DA">
            <w:pPr>
              <w:jc w:val="right"/>
              <w:rPr>
                <w:rFonts w:ascii="Arial Narrow" w:hAnsi="Arial Narrow" w:cs="Calibri"/>
                <w:b/>
                <w:bCs/>
                <w:color w:val="000000"/>
                <w:sz w:val="18"/>
                <w:szCs w:val="18"/>
              </w:rPr>
            </w:pPr>
            <w:r>
              <w:rPr>
                <w:rFonts w:ascii="Arial Narrow" w:hAnsi="Arial Narrow" w:cs="Calibri"/>
                <w:b/>
                <w:bCs/>
                <w:color w:val="000000"/>
                <w:sz w:val="18"/>
                <w:szCs w:val="18"/>
              </w:rPr>
              <w:t>Comuni con incremento di popolazione</w:t>
            </w:r>
          </w:p>
        </w:tc>
        <w:tc>
          <w:tcPr>
            <w:tcW w:w="1300" w:type="dxa"/>
            <w:tcBorders>
              <w:top w:val="single" w:sz="4" w:space="0" w:color="auto"/>
              <w:left w:val="nil"/>
              <w:bottom w:val="single" w:sz="4" w:space="0" w:color="auto"/>
              <w:right w:val="nil"/>
            </w:tcBorders>
            <w:shd w:val="clear" w:color="auto" w:fill="auto"/>
            <w:hideMark/>
          </w:tcPr>
          <w:p w14:paraId="10651D19" w14:textId="77777777" w:rsidR="009816DA" w:rsidRDefault="009816DA">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Popolazione residente (saldo positivo) (a) </w:t>
            </w:r>
          </w:p>
        </w:tc>
        <w:tc>
          <w:tcPr>
            <w:tcW w:w="1300" w:type="dxa"/>
            <w:tcBorders>
              <w:top w:val="single" w:sz="4" w:space="0" w:color="auto"/>
              <w:left w:val="nil"/>
              <w:bottom w:val="single" w:sz="4" w:space="0" w:color="auto"/>
              <w:right w:val="nil"/>
            </w:tcBorders>
            <w:shd w:val="clear" w:color="auto" w:fill="auto"/>
            <w:hideMark/>
          </w:tcPr>
          <w:p w14:paraId="121A02C1" w14:textId="77777777" w:rsidR="009816DA" w:rsidRDefault="009816DA">
            <w:pPr>
              <w:jc w:val="right"/>
              <w:rPr>
                <w:rFonts w:ascii="Arial Narrow" w:hAnsi="Arial Narrow" w:cs="Calibri"/>
                <w:b/>
                <w:bCs/>
                <w:color w:val="000000"/>
                <w:sz w:val="18"/>
                <w:szCs w:val="18"/>
              </w:rPr>
            </w:pPr>
            <w:r>
              <w:rPr>
                <w:rFonts w:ascii="Arial Narrow" w:hAnsi="Arial Narrow" w:cs="Calibri"/>
                <w:b/>
                <w:bCs/>
                <w:color w:val="000000"/>
                <w:sz w:val="18"/>
                <w:szCs w:val="18"/>
              </w:rPr>
              <w:t>Comuni con decremento di popolazione</w:t>
            </w:r>
          </w:p>
        </w:tc>
        <w:tc>
          <w:tcPr>
            <w:tcW w:w="1300" w:type="dxa"/>
            <w:tcBorders>
              <w:top w:val="single" w:sz="4" w:space="0" w:color="auto"/>
              <w:left w:val="nil"/>
              <w:bottom w:val="single" w:sz="4" w:space="0" w:color="auto"/>
              <w:right w:val="nil"/>
            </w:tcBorders>
            <w:shd w:val="clear" w:color="auto" w:fill="auto"/>
            <w:hideMark/>
          </w:tcPr>
          <w:p w14:paraId="0AE86236" w14:textId="77777777" w:rsidR="009816DA" w:rsidRDefault="009816DA">
            <w:pPr>
              <w:jc w:val="right"/>
              <w:rPr>
                <w:rFonts w:ascii="Arial Narrow" w:hAnsi="Arial Narrow" w:cs="Calibri"/>
                <w:b/>
                <w:bCs/>
                <w:color w:val="000000"/>
                <w:sz w:val="18"/>
                <w:szCs w:val="18"/>
              </w:rPr>
            </w:pPr>
            <w:r>
              <w:rPr>
                <w:rFonts w:ascii="Arial Narrow" w:hAnsi="Arial Narrow" w:cs="Calibri"/>
                <w:b/>
                <w:bCs/>
                <w:color w:val="000000"/>
                <w:sz w:val="18"/>
                <w:szCs w:val="18"/>
              </w:rPr>
              <w:t>Popolazione residente (saldo negativo) (a)</w:t>
            </w:r>
          </w:p>
        </w:tc>
        <w:tc>
          <w:tcPr>
            <w:tcW w:w="1120" w:type="dxa"/>
            <w:tcBorders>
              <w:top w:val="single" w:sz="4" w:space="0" w:color="auto"/>
              <w:left w:val="nil"/>
              <w:bottom w:val="single" w:sz="4" w:space="0" w:color="auto"/>
              <w:right w:val="nil"/>
            </w:tcBorders>
            <w:shd w:val="clear" w:color="auto" w:fill="auto"/>
            <w:hideMark/>
          </w:tcPr>
          <w:p w14:paraId="100C58A8" w14:textId="77777777" w:rsidR="009816DA" w:rsidRDefault="009816DA">
            <w:pPr>
              <w:jc w:val="right"/>
              <w:rPr>
                <w:rFonts w:ascii="Arial Narrow" w:hAnsi="Arial Narrow" w:cs="Calibri"/>
                <w:b/>
                <w:bCs/>
                <w:color w:val="000000"/>
                <w:sz w:val="18"/>
                <w:szCs w:val="18"/>
              </w:rPr>
            </w:pPr>
            <w:r>
              <w:rPr>
                <w:rFonts w:ascii="Arial Narrow" w:hAnsi="Arial Narrow" w:cs="Calibri"/>
                <w:b/>
                <w:bCs/>
                <w:color w:val="000000"/>
                <w:sz w:val="18"/>
                <w:szCs w:val="18"/>
              </w:rPr>
              <w:t>Comuni in totale (b)</w:t>
            </w:r>
          </w:p>
        </w:tc>
        <w:tc>
          <w:tcPr>
            <w:tcW w:w="1360" w:type="dxa"/>
            <w:tcBorders>
              <w:top w:val="single" w:sz="4" w:space="0" w:color="auto"/>
              <w:left w:val="nil"/>
              <w:bottom w:val="single" w:sz="4" w:space="0" w:color="auto"/>
              <w:right w:val="nil"/>
            </w:tcBorders>
            <w:shd w:val="clear" w:color="auto" w:fill="auto"/>
            <w:hideMark/>
          </w:tcPr>
          <w:p w14:paraId="44B1F0DC" w14:textId="77777777" w:rsidR="009816DA" w:rsidRDefault="009816DA">
            <w:pPr>
              <w:jc w:val="right"/>
              <w:rPr>
                <w:rFonts w:ascii="Arial Narrow" w:hAnsi="Arial Narrow" w:cs="Calibri"/>
                <w:b/>
                <w:bCs/>
                <w:color w:val="000000"/>
                <w:sz w:val="18"/>
                <w:szCs w:val="18"/>
              </w:rPr>
            </w:pPr>
            <w:r>
              <w:rPr>
                <w:rFonts w:ascii="Arial Narrow" w:hAnsi="Arial Narrow" w:cs="Calibri"/>
                <w:b/>
                <w:bCs/>
                <w:color w:val="000000"/>
                <w:sz w:val="18"/>
                <w:szCs w:val="18"/>
              </w:rPr>
              <w:t>Popolazione residente (saldo complessivo) (a)</w:t>
            </w:r>
          </w:p>
        </w:tc>
      </w:tr>
      <w:tr w:rsidR="009816DA" w14:paraId="59D3D830" w14:textId="77777777" w:rsidTr="009816DA">
        <w:trPr>
          <w:trHeight w:val="300"/>
        </w:trPr>
        <w:tc>
          <w:tcPr>
            <w:tcW w:w="9600" w:type="dxa"/>
            <w:gridSpan w:val="7"/>
            <w:tcBorders>
              <w:top w:val="nil"/>
              <w:left w:val="nil"/>
              <w:bottom w:val="single" w:sz="4" w:space="0" w:color="auto"/>
              <w:right w:val="nil"/>
            </w:tcBorders>
            <w:shd w:val="clear" w:color="auto" w:fill="auto"/>
            <w:noWrap/>
            <w:vAlign w:val="center"/>
            <w:hideMark/>
          </w:tcPr>
          <w:p w14:paraId="24B1F369" w14:textId="77777777" w:rsidR="009816DA" w:rsidRDefault="009816DA">
            <w:pPr>
              <w:jc w:val="center"/>
              <w:rPr>
                <w:rFonts w:ascii="Arial Narrow" w:hAnsi="Arial Narrow" w:cs="Calibri"/>
                <w:color w:val="000000"/>
                <w:sz w:val="18"/>
                <w:szCs w:val="18"/>
              </w:rPr>
            </w:pPr>
            <w:r>
              <w:rPr>
                <w:rFonts w:ascii="Arial Narrow" w:hAnsi="Arial Narrow" w:cs="Calibri"/>
                <w:color w:val="000000"/>
                <w:sz w:val="18"/>
                <w:szCs w:val="18"/>
              </w:rPr>
              <w:t>Valori assoluti</w:t>
            </w:r>
          </w:p>
        </w:tc>
      </w:tr>
      <w:tr w:rsidR="009816DA" w14:paraId="63A41A2C" w14:textId="77777777" w:rsidTr="009816DA">
        <w:trPr>
          <w:trHeight w:val="300"/>
        </w:trPr>
        <w:tc>
          <w:tcPr>
            <w:tcW w:w="1920" w:type="dxa"/>
            <w:tcBorders>
              <w:top w:val="nil"/>
              <w:left w:val="nil"/>
              <w:bottom w:val="single" w:sz="4" w:space="0" w:color="auto"/>
              <w:right w:val="nil"/>
            </w:tcBorders>
            <w:shd w:val="clear" w:color="auto" w:fill="auto"/>
            <w:noWrap/>
            <w:vAlign w:val="center"/>
            <w:hideMark/>
          </w:tcPr>
          <w:p w14:paraId="2F19897F" w14:textId="77777777" w:rsidR="009816DA" w:rsidRDefault="009816DA">
            <w:pPr>
              <w:rPr>
                <w:rFonts w:ascii="Arial Narrow" w:hAnsi="Arial Narrow" w:cs="Calibri"/>
                <w:color w:val="000000"/>
                <w:sz w:val="18"/>
                <w:szCs w:val="18"/>
              </w:rPr>
            </w:pPr>
            <w:r>
              <w:rPr>
                <w:rFonts w:ascii="Arial Narrow" w:hAnsi="Arial Narrow" w:cs="Calibri"/>
                <w:color w:val="000000"/>
                <w:sz w:val="18"/>
                <w:szCs w:val="18"/>
              </w:rPr>
              <w:t>fino a 1.000</w:t>
            </w:r>
          </w:p>
        </w:tc>
        <w:tc>
          <w:tcPr>
            <w:tcW w:w="1300" w:type="dxa"/>
            <w:tcBorders>
              <w:top w:val="nil"/>
              <w:left w:val="nil"/>
              <w:bottom w:val="single" w:sz="4" w:space="0" w:color="auto"/>
              <w:right w:val="nil"/>
            </w:tcBorders>
            <w:shd w:val="clear" w:color="000000" w:fill="D9D9D9"/>
            <w:noWrap/>
            <w:vAlign w:val="center"/>
            <w:hideMark/>
          </w:tcPr>
          <w:p w14:paraId="01BCA1BC"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124</w:t>
            </w:r>
          </w:p>
        </w:tc>
        <w:tc>
          <w:tcPr>
            <w:tcW w:w="1300" w:type="dxa"/>
            <w:tcBorders>
              <w:top w:val="nil"/>
              <w:left w:val="nil"/>
              <w:bottom w:val="single" w:sz="4" w:space="0" w:color="auto"/>
              <w:right w:val="nil"/>
            </w:tcBorders>
            <w:shd w:val="clear" w:color="000000" w:fill="FFFFFF"/>
            <w:noWrap/>
            <w:vAlign w:val="center"/>
            <w:hideMark/>
          </w:tcPr>
          <w:p w14:paraId="3C955F8C"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986</w:t>
            </w:r>
          </w:p>
        </w:tc>
        <w:tc>
          <w:tcPr>
            <w:tcW w:w="1300" w:type="dxa"/>
            <w:tcBorders>
              <w:top w:val="nil"/>
              <w:left w:val="nil"/>
              <w:bottom w:val="single" w:sz="4" w:space="0" w:color="auto"/>
              <w:right w:val="nil"/>
            </w:tcBorders>
            <w:shd w:val="clear" w:color="000000" w:fill="D9D9D9"/>
            <w:noWrap/>
            <w:vAlign w:val="center"/>
            <w:hideMark/>
          </w:tcPr>
          <w:p w14:paraId="497F44D2"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196</w:t>
            </w:r>
          </w:p>
        </w:tc>
        <w:tc>
          <w:tcPr>
            <w:tcW w:w="1300" w:type="dxa"/>
            <w:tcBorders>
              <w:top w:val="nil"/>
              <w:left w:val="nil"/>
              <w:bottom w:val="single" w:sz="4" w:space="0" w:color="auto"/>
              <w:right w:val="nil"/>
            </w:tcBorders>
            <w:shd w:val="clear" w:color="000000" w:fill="FFFFFF"/>
            <w:noWrap/>
            <w:vAlign w:val="center"/>
            <w:hideMark/>
          </w:tcPr>
          <w:p w14:paraId="327FF74B"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-1.984</w:t>
            </w:r>
          </w:p>
        </w:tc>
        <w:tc>
          <w:tcPr>
            <w:tcW w:w="1120" w:type="dxa"/>
            <w:tcBorders>
              <w:top w:val="nil"/>
              <w:left w:val="nil"/>
              <w:bottom w:val="single" w:sz="4" w:space="0" w:color="auto"/>
              <w:right w:val="nil"/>
            </w:tcBorders>
            <w:shd w:val="clear" w:color="000000" w:fill="D9D9D9"/>
            <w:noWrap/>
            <w:vAlign w:val="center"/>
            <w:hideMark/>
          </w:tcPr>
          <w:p w14:paraId="723ECB44"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320</w:t>
            </w:r>
          </w:p>
        </w:tc>
        <w:tc>
          <w:tcPr>
            <w:tcW w:w="1360" w:type="dxa"/>
            <w:tcBorders>
              <w:top w:val="nil"/>
              <w:left w:val="nil"/>
              <w:bottom w:val="single" w:sz="4" w:space="0" w:color="auto"/>
              <w:right w:val="nil"/>
            </w:tcBorders>
            <w:shd w:val="clear" w:color="auto" w:fill="auto"/>
            <w:noWrap/>
            <w:vAlign w:val="center"/>
            <w:hideMark/>
          </w:tcPr>
          <w:p w14:paraId="6E08D36E"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-998</w:t>
            </w:r>
          </w:p>
        </w:tc>
      </w:tr>
      <w:tr w:rsidR="009816DA" w14:paraId="450E4706" w14:textId="77777777" w:rsidTr="009816DA">
        <w:trPr>
          <w:trHeight w:val="300"/>
        </w:trPr>
        <w:tc>
          <w:tcPr>
            <w:tcW w:w="1920" w:type="dxa"/>
            <w:tcBorders>
              <w:top w:val="nil"/>
              <w:left w:val="nil"/>
              <w:bottom w:val="single" w:sz="4" w:space="0" w:color="auto"/>
              <w:right w:val="nil"/>
            </w:tcBorders>
            <w:shd w:val="clear" w:color="auto" w:fill="auto"/>
            <w:noWrap/>
            <w:vAlign w:val="center"/>
            <w:hideMark/>
          </w:tcPr>
          <w:p w14:paraId="298CE386" w14:textId="77777777" w:rsidR="009816DA" w:rsidRDefault="009816DA">
            <w:pPr>
              <w:rPr>
                <w:rFonts w:ascii="Arial Narrow" w:hAnsi="Arial Narrow" w:cs="Calibri"/>
                <w:color w:val="000000"/>
                <w:sz w:val="18"/>
                <w:szCs w:val="18"/>
              </w:rPr>
            </w:pPr>
            <w:r>
              <w:rPr>
                <w:rFonts w:ascii="Arial Narrow" w:hAnsi="Arial Narrow" w:cs="Calibri"/>
                <w:color w:val="000000"/>
                <w:sz w:val="18"/>
                <w:szCs w:val="18"/>
              </w:rPr>
              <w:t>1.001-5.000</w:t>
            </w:r>
          </w:p>
        </w:tc>
        <w:tc>
          <w:tcPr>
            <w:tcW w:w="1300" w:type="dxa"/>
            <w:tcBorders>
              <w:top w:val="nil"/>
              <w:left w:val="nil"/>
              <w:bottom w:val="single" w:sz="4" w:space="0" w:color="auto"/>
              <w:right w:val="nil"/>
            </w:tcBorders>
            <w:shd w:val="clear" w:color="000000" w:fill="D9D9D9"/>
            <w:noWrap/>
            <w:vAlign w:val="center"/>
            <w:hideMark/>
          </w:tcPr>
          <w:p w14:paraId="1D0167D8"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232</w:t>
            </w:r>
          </w:p>
        </w:tc>
        <w:tc>
          <w:tcPr>
            <w:tcW w:w="1300" w:type="dxa"/>
            <w:tcBorders>
              <w:top w:val="nil"/>
              <w:left w:val="nil"/>
              <w:bottom w:val="single" w:sz="4" w:space="0" w:color="auto"/>
              <w:right w:val="nil"/>
            </w:tcBorders>
            <w:shd w:val="clear" w:color="000000" w:fill="FFFFFF"/>
            <w:noWrap/>
            <w:vAlign w:val="center"/>
            <w:hideMark/>
          </w:tcPr>
          <w:p w14:paraId="59F98CFA"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5.317</w:t>
            </w:r>
          </w:p>
        </w:tc>
        <w:tc>
          <w:tcPr>
            <w:tcW w:w="1300" w:type="dxa"/>
            <w:tcBorders>
              <w:top w:val="nil"/>
              <w:left w:val="nil"/>
              <w:bottom w:val="single" w:sz="4" w:space="0" w:color="auto"/>
              <w:right w:val="nil"/>
            </w:tcBorders>
            <w:shd w:val="clear" w:color="000000" w:fill="D9D9D9"/>
            <w:noWrap/>
            <w:vAlign w:val="center"/>
            <w:hideMark/>
          </w:tcPr>
          <w:p w14:paraId="55A245E9"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487</w:t>
            </w:r>
          </w:p>
        </w:tc>
        <w:tc>
          <w:tcPr>
            <w:tcW w:w="1300" w:type="dxa"/>
            <w:tcBorders>
              <w:top w:val="nil"/>
              <w:left w:val="nil"/>
              <w:bottom w:val="single" w:sz="4" w:space="0" w:color="auto"/>
              <w:right w:val="nil"/>
            </w:tcBorders>
            <w:shd w:val="clear" w:color="000000" w:fill="FFFFFF"/>
            <w:noWrap/>
            <w:vAlign w:val="center"/>
            <w:hideMark/>
          </w:tcPr>
          <w:p w14:paraId="4D60D57C"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-15.557</w:t>
            </w:r>
          </w:p>
        </w:tc>
        <w:tc>
          <w:tcPr>
            <w:tcW w:w="1120" w:type="dxa"/>
            <w:tcBorders>
              <w:top w:val="nil"/>
              <w:left w:val="nil"/>
              <w:bottom w:val="single" w:sz="4" w:space="0" w:color="auto"/>
              <w:right w:val="nil"/>
            </w:tcBorders>
            <w:shd w:val="clear" w:color="000000" w:fill="D9D9D9"/>
            <w:noWrap/>
            <w:vAlign w:val="center"/>
            <w:hideMark/>
          </w:tcPr>
          <w:p w14:paraId="16EAC7B9"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719</w:t>
            </w:r>
          </w:p>
        </w:tc>
        <w:tc>
          <w:tcPr>
            <w:tcW w:w="1360" w:type="dxa"/>
            <w:tcBorders>
              <w:top w:val="nil"/>
              <w:left w:val="nil"/>
              <w:bottom w:val="single" w:sz="4" w:space="0" w:color="auto"/>
              <w:right w:val="nil"/>
            </w:tcBorders>
            <w:shd w:val="clear" w:color="auto" w:fill="auto"/>
            <w:noWrap/>
            <w:vAlign w:val="center"/>
            <w:hideMark/>
          </w:tcPr>
          <w:p w14:paraId="47FCB73C"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-10.240</w:t>
            </w:r>
          </w:p>
        </w:tc>
      </w:tr>
      <w:tr w:rsidR="009816DA" w14:paraId="29322246" w14:textId="77777777" w:rsidTr="009816DA">
        <w:trPr>
          <w:trHeight w:val="300"/>
        </w:trPr>
        <w:tc>
          <w:tcPr>
            <w:tcW w:w="1920" w:type="dxa"/>
            <w:tcBorders>
              <w:top w:val="nil"/>
              <w:left w:val="nil"/>
              <w:bottom w:val="single" w:sz="4" w:space="0" w:color="auto"/>
              <w:right w:val="nil"/>
            </w:tcBorders>
            <w:shd w:val="clear" w:color="auto" w:fill="auto"/>
            <w:noWrap/>
            <w:vAlign w:val="center"/>
            <w:hideMark/>
          </w:tcPr>
          <w:p w14:paraId="4FC77CEE" w14:textId="77777777" w:rsidR="009816DA" w:rsidRDefault="009816DA">
            <w:pPr>
              <w:rPr>
                <w:rFonts w:ascii="Arial Narrow" w:hAnsi="Arial Narrow" w:cs="Calibri"/>
                <w:color w:val="000000"/>
                <w:sz w:val="18"/>
                <w:szCs w:val="18"/>
              </w:rPr>
            </w:pPr>
            <w:r>
              <w:rPr>
                <w:rFonts w:ascii="Arial Narrow" w:hAnsi="Arial Narrow" w:cs="Calibri"/>
                <w:color w:val="000000"/>
                <w:sz w:val="18"/>
                <w:szCs w:val="18"/>
              </w:rPr>
              <w:t>5.001-10.000</w:t>
            </w:r>
          </w:p>
        </w:tc>
        <w:tc>
          <w:tcPr>
            <w:tcW w:w="1300" w:type="dxa"/>
            <w:tcBorders>
              <w:top w:val="nil"/>
              <w:left w:val="nil"/>
              <w:bottom w:val="single" w:sz="4" w:space="0" w:color="auto"/>
              <w:right w:val="nil"/>
            </w:tcBorders>
            <w:shd w:val="clear" w:color="000000" w:fill="D9D9D9"/>
            <w:noWrap/>
            <w:vAlign w:val="center"/>
            <w:hideMark/>
          </w:tcPr>
          <w:p w14:paraId="3310A8CD"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117</w:t>
            </w:r>
          </w:p>
        </w:tc>
        <w:tc>
          <w:tcPr>
            <w:tcW w:w="1300" w:type="dxa"/>
            <w:tcBorders>
              <w:top w:val="nil"/>
              <w:left w:val="nil"/>
              <w:bottom w:val="single" w:sz="4" w:space="0" w:color="auto"/>
              <w:right w:val="nil"/>
            </w:tcBorders>
            <w:shd w:val="clear" w:color="000000" w:fill="FFFFFF"/>
            <w:noWrap/>
            <w:vAlign w:val="center"/>
            <w:hideMark/>
          </w:tcPr>
          <w:p w14:paraId="2128A15B"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6.928</w:t>
            </w:r>
          </w:p>
        </w:tc>
        <w:tc>
          <w:tcPr>
            <w:tcW w:w="1300" w:type="dxa"/>
            <w:tcBorders>
              <w:top w:val="nil"/>
              <w:left w:val="nil"/>
              <w:bottom w:val="single" w:sz="4" w:space="0" w:color="auto"/>
              <w:right w:val="nil"/>
            </w:tcBorders>
            <w:shd w:val="clear" w:color="000000" w:fill="D9D9D9"/>
            <w:noWrap/>
            <w:vAlign w:val="center"/>
            <w:hideMark/>
          </w:tcPr>
          <w:p w14:paraId="2EC2F494"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157</w:t>
            </w:r>
          </w:p>
        </w:tc>
        <w:tc>
          <w:tcPr>
            <w:tcW w:w="1300" w:type="dxa"/>
            <w:tcBorders>
              <w:top w:val="nil"/>
              <w:left w:val="nil"/>
              <w:bottom w:val="single" w:sz="4" w:space="0" w:color="auto"/>
              <w:right w:val="nil"/>
            </w:tcBorders>
            <w:shd w:val="clear" w:color="000000" w:fill="FFFFFF"/>
            <w:noWrap/>
            <w:vAlign w:val="center"/>
            <w:hideMark/>
          </w:tcPr>
          <w:p w14:paraId="082DA76A"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-8.093</w:t>
            </w:r>
          </w:p>
        </w:tc>
        <w:tc>
          <w:tcPr>
            <w:tcW w:w="1120" w:type="dxa"/>
            <w:tcBorders>
              <w:top w:val="nil"/>
              <w:left w:val="nil"/>
              <w:bottom w:val="single" w:sz="4" w:space="0" w:color="auto"/>
              <w:right w:val="nil"/>
            </w:tcBorders>
            <w:shd w:val="clear" w:color="000000" w:fill="D9D9D9"/>
            <w:noWrap/>
            <w:vAlign w:val="center"/>
            <w:hideMark/>
          </w:tcPr>
          <w:p w14:paraId="5A7C3239"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274</w:t>
            </w:r>
          </w:p>
        </w:tc>
        <w:tc>
          <w:tcPr>
            <w:tcW w:w="1360" w:type="dxa"/>
            <w:tcBorders>
              <w:top w:val="nil"/>
              <w:left w:val="nil"/>
              <w:bottom w:val="single" w:sz="4" w:space="0" w:color="auto"/>
              <w:right w:val="nil"/>
            </w:tcBorders>
            <w:shd w:val="clear" w:color="auto" w:fill="auto"/>
            <w:noWrap/>
            <w:vAlign w:val="center"/>
            <w:hideMark/>
          </w:tcPr>
          <w:p w14:paraId="699F8EB2"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-1.165</w:t>
            </w:r>
          </w:p>
        </w:tc>
      </w:tr>
      <w:tr w:rsidR="009816DA" w14:paraId="7A65A7FC" w14:textId="77777777" w:rsidTr="009816DA">
        <w:trPr>
          <w:trHeight w:val="300"/>
        </w:trPr>
        <w:tc>
          <w:tcPr>
            <w:tcW w:w="1920" w:type="dxa"/>
            <w:tcBorders>
              <w:top w:val="nil"/>
              <w:left w:val="nil"/>
              <w:bottom w:val="single" w:sz="4" w:space="0" w:color="auto"/>
              <w:right w:val="nil"/>
            </w:tcBorders>
            <w:shd w:val="clear" w:color="auto" w:fill="auto"/>
            <w:noWrap/>
            <w:vAlign w:val="center"/>
            <w:hideMark/>
          </w:tcPr>
          <w:p w14:paraId="0359A895" w14:textId="77777777" w:rsidR="009816DA" w:rsidRDefault="009816DA">
            <w:pPr>
              <w:rPr>
                <w:rFonts w:ascii="Arial Narrow" w:hAnsi="Arial Narrow" w:cs="Calibri"/>
                <w:color w:val="000000"/>
                <w:sz w:val="18"/>
                <w:szCs w:val="18"/>
              </w:rPr>
            </w:pPr>
            <w:r>
              <w:rPr>
                <w:rFonts w:ascii="Arial Narrow" w:hAnsi="Arial Narrow" w:cs="Calibri"/>
                <w:color w:val="000000"/>
                <w:sz w:val="18"/>
                <w:szCs w:val="18"/>
              </w:rPr>
              <w:t>10.001-20.000</w:t>
            </w:r>
          </w:p>
        </w:tc>
        <w:tc>
          <w:tcPr>
            <w:tcW w:w="1300" w:type="dxa"/>
            <w:tcBorders>
              <w:top w:val="nil"/>
              <w:left w:val="nil"/>
              <w:bottom w:val="single" w:sz="4" w:space="0" w:color="auto"/>
              <w:right w:val="nil"/>
            </w:tcBorders>
            <w:shd w:val="clear" w:color="000000" w:fill="D9D9D9"/>
            <w:noWrap/>
            <w:vAlign w:val="center"/>
            <w:hideMark/>
          </w:tcPr>
          <w:p w14:paraId="21A504BE"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69</w:t>
            </w:r>
          </w:p>
        </w:tc>
        <w:tc>
          <w:tcPr>
            <w:tcW w:w="1300" w:type="dxa"/>
            <w:tcBorders>
              <w:top w:val="nil"/>
              <w:left w:val="nil"/>
              <w:bottom w:val="single" w:sz="4" w:space="0" w:color="auto"/>
              <w:right w:val="nil"/>
            </w:tcBorders>
            <w:shd w:val="clear" w:color="000000" w:fill="FFFFFF"/>
            <w:noWrap/>
            <w:vAlign w:val="center"/>
            <w:hideMark/>
          </w:tcPr>
          <w:p w14:paraId="52B3B1BB"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8.493</w:t>
            </w:r>
          </w:p>
        </w:tc>
        <w:tc>
          <w:tcPr>
            <w:tcW w:w="1300" w:type="dxa"/>
            <w:tcBorders>
              <w:top w:val="nil"/>
              <w:left w:val="nil"/>
              <w:bottom w:val="single" w:sz="4" w:space="0" w:color="auto"/>
              <w:right w:val="nil"/>
            </w:tcBorders>
            <w:shd w:val="clear" w:color="000000" w:fill="D9D9D9"/>
            <w:noWrap/>
            <w:vAlign w:val="center"/>
            <w:hideMark/>
          </w:tcPr>
          <w:p w14:paraId="52B6426D"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52</w:t>
            </w:r>
          </w:p>
        </w:tc>
        <w:tc>
          <w:tcPr>
            <w:tcW w:w="1300" w:type="dxa"/>
            <w:tcBorders>
              <w:top w:val="nil"/>
              <w:left w:val="nil"/>
              <w:bottom w:val="single" w:sz="4" w:space="0" w:color="auto"/>
              <w:right w:val="nil"/>
            </w:tcBorders>
            <w:shd w:val="clear" w:color="000000" w:fill="FFFFFF"/>
            <w:noWrap/>
            <w:vAlign w:val="center"/>
            <w:hideMark/>
          </w:tcPr>
          <w:p w14:paraId="351F343A"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-5.256</w:t>
            </w:r>
          </w:p>
        </w:tc>
        <w:tc>
          <w:tcPr>
            <w:tcW w:w="1120" w:type="dxa"/>
            <w:tcBorders>
              <w:top w:val="nil"/>
              <w:left w:val="nil"/>
              <w:bottom w:val="single" w:sz="4" w:space="0" w:color="auto"/>
              <w:right w:val="nil"/>
            </w:tcBorders>
            <w:shd w:val="clear" w:color="000000" w:fill="D9D9D9"/>
            <w:noWrap/>
            <w:vAlign w:val="center"/>
            <w:hideMark/>
          </w:tcPr>
          <w:p w14:paraId="09236CBD"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121</w:t>
            </w:r>
          </w:p>
        </w:tc>
        <w:tc>
          <w:tcPr>
            <w:tcW w:w="1360" w:type="dxa"/>
            <w:tcBorders>
              <w:top w:val="nil"/>
              <w:left w:val="nil"/>
              <w:bottom w:val="single" w:sz="4" w:space="0" w:color="auto"/>
              <w:right w:val="nil"/>
            </w:tcBorders>
            <w:shd w:val="clear" w:color="auto" w:fill="auto"/>
            <w:noWrap/>
            <w:vAlign w:val="center"/>
            <w:hideMark/>
          </w:tcPr>
          <w:p w14:paraId="2F0F5611"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3.237</w:t>
            </w:r>
          </w:p>
        </w:tc>
      </w:tr>
      <w:tr w:rsidR="009816DA" w14:paraId="320E9E61" w14:textId="77777777" w:rsidTr="009816DA">
        <w:trPr>
          <w:trHeight w:val="300"/>
        </w:trPr>
        <w:tc>
          <w:tcPr>
            <w:tcW w:w="1920" w:type="dxa"/>
            <w:tcBorders>
              <w:top w:val="nil"/>
              <w:left w:val="nil"/>
              <w:bottom w:val="single" w:sz="4" w:space="0" w:color="auto"/>
              <w:right w:val="nil"/>
            </w:tcBorders>
            <w:shd w:val="clear" w:color="auto" w:fill="auto"/>
            <w:noWrap/>
            <w:vAlign w:val="center"/>
            <w:hideMark/>
          </w:tcPr>
          <w:p w14:paraId="28EA5846" w14:textId="77777777" w:rsidR="009816DA" w:rsidRDefault="009816DA">
            <w:pPr>
              <w:rPr>
                <w:rFonts w:ascii="Arial Narrow" w:hAnsi="Arial Narrow" w:cs="Calibri"/>
                <w:color w:val="000000"/>
                <w:sz w:val="18"/>
                <w:szCs w:val="18"/>
              </w:rPr>
            </w:pPr>
            <w:r>
              <w:rPr>
                <w:rFonts w:ascii="Arial Narrow" w:hAnsi="Arial Narrow" w:cs="Calibri"/>
                <w:color w:val="000000"/>
                <w:sz w:val="18"/>
                <w:szCs w:val="18"/>
              </w:rPr>
              <w:t>20.001-50.000</w:t>
            </w:r>
          </w:p>
        </w:tc>
        <w:tc>
          <w:tcPr>
            <w:tcW w:w="1300" w:type="dxa"/>
            <w:tcBorders>
              <w:top w:val="nil"/>
              <w:left w:val="nil"/>
              <w:bottom w:val="single" w:sz="4" w:space="0" w:color="auto"/>
              <w:right w:val="nil"/>
            </w:tcBorders>
            <w:shd w:val="clear" w:color="000000" w:fill="D9D9D9"/>
            <w:noWrap/>
            <w:vAlign w:val="center"/>
            <w:hideMark/>
          </w:tcPr>
          <w:p w14:paraId="4149344B"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29</w:t>
            </w:r>
          </w:p>
        </w:tc>
        <w:tc>
          <w:tcPr>
            <w:tcW w:w="1300" w:type="dxa"/>
            <w:tcBorders>
              <w:top w:val="nil"/>
              <w:left w:val="nil"/>
              <w:bottom w:val="single" w:sz="4" w:space="0" w:color="auto"/>
              <w:right w:val="nil"/>
            </w:tcBorders>
            <w:shd w:val="clear" w:color="000000" w:fill="FFFFFF"/>
            <w:noWrap/>
            <w:vAlign w:val="center"/>
            <w:hideMark/>
          </w:tcPr>
          <w:p w14:paraId="30680A4C"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9.588</w:t>
            </w:r>
          </w:p>
        </w:tc>
        <w:tc>
          <w:tcPr>
            <w:tcW w:w="1300" w:type="dxa"/>
            <w:tcBorders>
              <w:top w:val="nil"/>
              <w:left w:val="nil"/>
              <w:bottom w:val="single" w:sz="4" w:space="0" w:color="auto"/>
              <w:right w:val="nil"/>
            </w:tcBorders>
            <w:shd w:val="clear" w:color="000000" w:fill="D9D9D9"/>
            <w:noWrap/>
            <w:vAlign w:val="center"/>
            <w:hideMark/>
          </w:tcPr>
          <w:p w14:paraId="225FD26A"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28</w:t>
            </w:r>
          </w:p>
        </w:tc>
        <w:tc>
          <w:tcPr>
            <w:tcW w:w="1300" w:type="dxa"/>
            <w:tcBorders>
              <w:top w:val="nil"/>
              <w:left w:val="nil"/>
              <w:bottom w:val="single" w:sz="4" w:space="0" w:color="auto"/>
              <w:right w:val="nil"/>
            </w:tcBorders>
            <w:shd w:val="clear" w:color="000000" w:fill="FFFFFF"/>
            <w:noWrap/>
            <w:vAlign w:val="center"/>
            <w:hideMark/>
          </w:tcPr>
          <w:p w14:paraId="5117E6F3"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-5.607</w:t>
            </w:r>
          </w:p>
        </w:tc>
        <w:tc>
          <w:tcPr>
            <w:tcW w:w="1120" w:type="dxa"/>
            <w:tcBorders>
              <w:top w:val="nil"/>
              <w:left w:val="nil"/>
              <w:bottom w:val="single" w:sz="4" w:space="0" w:color="auto"/>
              <w:right w:val="nil"/>
            </w:tcBorders>
            <w:shd w:val="clear" w:color="000000" w:fill="D9D9D9"/>
            <w:noWrap/>
            <w:vAlign w:val="center"/>
            <w:hideMark/>
          </w:tcPr>
          <w:p w14:paraId="1D03EC32"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57</w:t>
            </w:r>
          </w:p>
        </w:tc>
        <w:tc>
          <w:tcPr>
            <w:tcW w:w="1360" w:type="dxa"/>
            <w:tcBorders>
              <w:top w:val="nil"/>
              <w:left w:val="nil"/>
              <w:bottom w:val="single" w:sz="4" w:space="0" w:color="auto"/>
              <w:right w:val="nil"/>
            </w:tcBorders>
            <w:shd w:val="clear" w:color="auto" w:fill="auto"/>
            <w:noWrap/>
            <w:vAlign w:val="center"/>
            <w:hideMark/>
          </w:tcPr>
          <w:p w14:paraId="3A88ED91"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3.981</w:t>
            </w:r>
          </w:p>
        </w:tc>
      </w:tr>
      <w:tr w:rsidR="009816DA" w14:paraId="0CD7DF57" w14:textId="77777777" w:rsidTr="009816DA">
        <w:trPr>
          <w:trHeight w:val="300"/>
        </w:trPr>
        <w:tc>
          <w:tcPr>
            <w:tcW w:w="1920" w:type="dxa"/>
            <w:tcBorders>
              <w:top w:val="nil"/>
              <w:left w:val="nil"/>
              <w:bottom w:val="single" w:sz="4" w:space="0" w:color="auto"/>
              <w:right w:val="nil"/>
            </w:tcBorders>
            <w:shd w:val="clear" w:color="auto" w:fill="auto"/>
            <w:noWrap/>
            <w:vAlign w:val="center"/>
            <w:hideMark/>
          </w:tcPr>
          <w:p w14:paraId="75DECCBF" w14:textId="77777777" w:rsidR="009816DA" w:rsidRDefault="009816DA">
            <w:pPr>
              <w:rPr>
                <w:rFonts w:ascii="Arial Narrow" w:hAnsi="Arial Narrow" w:cs="Calibri"/>
                <w:color w:val="000000"/>
                <w:sz w:val="18"/>
                <w:szCs w:val="18"/>
              </w:rPr>
            </w:pPr>
            <w:r>
              <w:rPr>
                <w:rFonts w:ascii="Arial Narrow" w:hAnsi="Arial Narrow" w:cs="Calibri"/>
                <w:color w:val="000000"/>
                <w:sz w:val="18"/>
                <w:szCs w:val="18"/>
              </w:rPr>
              <w:t>oltre 50.000</w:t>
            </w:r>
          </w:p>
        </w:tc>
        <w:tc>
          <w:tcPr>
            <w:tcW w:w="1300" w:type="dxa"/>
            <w:tcBorders>
              <w:top w:val="nil"/>
              <w:left w:val="nil"/>
              <w:bottom w:val="single" w:sz="4" w:space="0" w:color="auto"/>
              <w:right w:val="nil"/>
            </w:tcBorders>
            <w:shd w:val="clear" w:color="000000" w:fill="D9D9D9"/>
            <w:noWrap/>
            <w:vAlign w:val="center"/>
            <w:hideMark/>
          </w:tcPr>
          <w:p w14:paraId="7F61AF99"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4</w:t>
            </w:r>
          </w:p>
        </w:tc>
        <w:tc>
          <w:tcPr>
            <w:tcW w:w="1300" w:type="dxa"/>
            <w:tcBorders>
              <w:top w:val="nil"/>
              <w:left w:val="nil"/>
              <w:bottom w:val="single" w:sz="4" w:space="0" w:color="auto"/>
              <w:right w:val="nil"/>
            </w:tcBorders>
            <w:shd w:val="clear" w:color="000000" w:fill="FFFFFF"/>
            <w:noWrap/>
            <w:vAlign w:val="center"/>
            <w:hideMark/>
          </w:tcPr>
          <w:p w14:paraId="619A764B"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2.694</w:t>
            </w:r>
          </w:p>
        </w:tc>
        <w:tc>
          <w:tcPr>
            <w:tcW w:w="1300" w:type="dxa"/>
            <w:tcBorders>
              <w:top w:val="nil"/>
              <w:left w:val="nil"/>
              <w:bottom w:val="single" w:sz="4" w:space="0" w:color="auto"/>
              <w:right w:val="nil"/>
            </w:tcBorders>
            <w:shd w:val="clear" w:color="000000" w:fill="D9D9D9"/>
            <w:noWrap/>
            <w:vAlign w:val="center"/>
            <w:hideMark/>
          </w:tcPr>
          <w:p w14:paraId="7DB902DE"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11</w:t>
            </w:r>
          </w:p>
        </w:tc>
        <w:tc>
          <w:tcPr>
            <w:tcW w:w="1300" w:type="dxa"/>
            <w:tcBorders>
              <w:top w:val="nil"/>
              <w:left w:val="nil"/>
              <w:bottom w:val="single" w:sz="4" w:space="0" w:color="auto"/>
              <w:right w:val="nil"/>
            </w:tcBorders>
            <w:shd w:val="clear" w:color="000000" w:fill="FFFFFF"/>
            <w:noWrap/>
            <w:vAlign w:val="center"/>
            <w:hideMark/>
          </w:tcPr>
          <w:p w14:paraId="3DB006DE"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-43.557</w:t>
            </w:r>
          </w:p>
        </w:tc>
        <w:tc>
          <w:tcPr>
            <w:tcW w:w="1120" w:type="dxa"/>
            <w:tcBorders>
              <w:top w:val="nil"/>
              <w:left w:val="nil"/>
              <w:bottom w:val="single" w:sz="4" w:space="0" w:color="auto"/>
              <w:right w:val="nil"/>
            </w:tcBorders>
            <w:shd w:val="clear" w:color="000000" w:fill="D9D9D9"/>
            <w:noWrap/>
            <w:vAlign w:val="center"/>
            <w:hideMark/>
          </w:tcPr>
          <w:p w14:paraId="2504552E"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15</w:t>
            </w:r>
          </w:p>
        </w:tc>
        <w:tc>
          <w:tcPr>
            <w:tcW w:w="1360" w:type="dxa"/>
            <w:tcBorders>
              <w:top w:val="nil"/>
              <w:left w:val="nil"/>
              <w:bottom w:val="single" w:sz="4" w:space="0" w:color="auto"/>
              <w:right w:val="nil"/>
            </w:tcBorders>
            <w:shd w:val="clear" w:color="auto" w:fill="auto"/>
            <w:noWrap/>
            <w:vAlign w:val="center"/>
            <w:hideMark/>
          </w:tcPr>
          <w:p w14:paraId="32449A15"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-40.863</w:t>
            </w:r>
          </w:p>
        </w:tc>
      </w:tr>
      <w:tr w:rsidR="009816DA" w14:paraId="288085B1" w14:textId="77777777" w:rsidTr="009816DA">
        <w:trPr>
          <w:trHeight w:val="300"/>
        </w:trPr>
        <w:tc>
          <w:tcPr>
            <w:tcW w:w="1920" w:type="dxa"/>
            <w:tcBorders>
              <w:top w:val="single" w:sz="4" w:space="0" w:color="auto"/>
              <w:left w:val="nil"/>
              <w:bottom w:val="single" w:sz="4" w:space="0" w:color="auto"/>
              <w:right w:val="nil"/>
            </w:tcBorders>
            <w:shd w:val="clear" w:color="000000" w:fill="C9321F"/>
            <w:noWrap/>
            <w:vAlign w:val="center"/>
            <w:hideMark/>
          </w:tcPr>
          <w:p w14:paraId="509FB990" w14:textId="77777777" w:rsidR="009816DA" w:rsidRDefault="009816DA">
            <w:pPr>
              <w:rPr>
                <w:rFonts w:ascii="Arial Narrow" w:hAnsi="Arial Narrow" w:cs="Calibri"/>
                <w:b/>
                <w:bCs/>
                <w:color w:val="FFFFFF"/>
                <w:sz w:val="18"/>
                <w:szCs w:val="18"/>
              </w:rPr>
            </w:pPr>
            <w:r>
              <w:rPr>
                <w:rFonts w:ascii="Arial Narrow" w:hAnsi="Arial Narrow" w:cs="Calibri"/>
                <w:b/>
                <w:bCs/>
                <w:color w:val="FFFFFF"/>
                <w:sz w:val="18"/>
                <w:szCs w:val="18"/>
              </w:rPr>
              <w:t>TOTALE</w:t>
            </w:r>
          </w:p>
        </w:tc>
        <w:tc>
          <w:tcPr>
            <w:tcW w:w="1300" w:type="dxa"/>
            <w:tcBorders>
              <w:top w:val="single" w:sz="4" w:space="0" w:color="auto"/>
              <w:left w:val="nil"/>
              <w:bottom w:val="single" w:sz="4" w:space="0" w:color="auto"/>
              <w:right w:val="nil"/>
            </w:tcBorders>
            <w:shd w:val="clear" w:color="000000" w:fill="C9321F"/>
            <w:noWrap/>
            <w:vAlign w:val="center"/>
            <w:hideMark/>
          </w:tcPr>
          <w:p w14:paraId="1A9EA28E" w14:textId="77777777" w:rsidR="009816DA" w:rsidRDefault="009816DA">
            <w:pPr>
              <w:jc w:val="right"/>
              <w:rPr>
                <w:rFonts w:ascii="Arial Narrow" w:hAnsi="Arial Narrow" w:cs="Calibri"/>
                <w:b/>
                <w:bCs/>
                <w:color w:val="FFFFFF"/>
                <w:sz w:val="18"/>
                <w:szCs w:val="18"/>
              </w:rPr>
            </w:pPr>
            <w:r>
              <w:rPr>
                <w:rFonts w:ascii="Arial Narrow" w:hAnsi="Arial Narrow" w:cs="Calibri"/>
                <w:b/>
                <w:bCs/>
                <w:color w:val="FFFFFF"/>
                <w:sz w:val="18"/>
                <w:szCs w:val="18"/>
              </w:rPr>
              <w:t>575</w:t>
            </w:r>
          </w:p>
        </w:tc>
        <w:tc>
          <w:tcPr>
            <w:tcW w:w="1300" w:type="dxa"/>
            <w:tcBorders>
              <w:top w:val="single" w:sz="4" w:space="0" w:color="auto"/>
              <w:left w:val="nil"/>
              <w:bottom w:val="single" w:sz="4" w:space="0" w:color="auto"/>
              <w:right w:val="nil"/>
            </w:tcBorders>
            <w:shd w:val="clear" w:color="000000" w:fill="C9321F"/>
            <w:noWrap/>
            <w:vAlign w:val="center"/>
            <w:hideMark/>
          </w:tcPr>
          <w:p w14:paraId="52CEE1E0" w14:textId="77777777" w:rsidR="009816DA" w:rsidRDefault="009816DA">
            <w:pPr>
              <w:jc w:val="right"/>
              <w:rPr>
                <w:rFonts w:ascii="Arial Narrow" w:hAnsi="Arial Narrow" w:cs="Calibri"/>
                <w:b/>
                <w:bCs/>
                <w:color w:val="FFFFFF"/>
                <w:sz w:val="18"/>
                <w:szCs w:val="18"/>
              </w:rPr>
            </w:pPr>
            <w:r>
              <w:rPr>
                <w:rFonts w:ascii="Arial Narrow" w:hAnsi="Arial Narrow" w:cs="Calibri"/>
                <w:b/>
                <w:bCs/>
                <w:color w:val="FFFFFF"/>
                <w:sz w:val="18"/>
                <w:szCs w:val="18"/>
              </w:rPr>
              <w:t>34.006</w:t>
            </w:r>
          </w:p>
        </w:tc>
        <w:tc>
          <w:tcPr>
            <w:tcW w:w="1300" w:type="dxa"/>
            <w:tcBorders>
              <w:top w:val="single" w:sz="4" w:space="0" w:color="auto"/>
              <w:left w:val="nil"/>
              <w:bottom w:val="single" w:sz="4" w:space="0" w:color="auto"/>
              <w:right w:val="nil"/>
            </w:tcBorders>
            <w:shd w:val="clear" w:color="000000" w:fill="C9321F"/>
            <w:noWrap/>
            <w:vAlign w:val="center"/>
            <w:hideMark/>
          </w:tcPr>
          <w:p w14:paraId="65BC225E" w14:textId="77777777" w:rsidR="009816DA" w:rsidRDefault="009816DA">
            <w:pPr>
              <w:jc w:val="right"/>
              <w:rPr>
                <w:rFonts w:ascii="Arial Narrow" w:hAnsi="Arial Narrow" w:cs="Calibri"/>
                <w:b/>
                <w:bCs/>
                <w:color w:val="FFFFFF"/>
                <w:sz w:val="18"/>
                <w:szCs w:val="18"/>
              </w:rPr>
            </w:pPr>
            <w:r>
              <w:rPr>
                <w:rFonts w:ascii="Arial Narrow" w:hAnsi="Arial Narrow" w:cs="Calibri"/>
                <w:b/>
                <w:bCs/>
                <w:color w:val="FFFFFF"/>
                <w:sz w:val="18"/>
                <w:szCs w:val="18"/>
              </w:rPr>
              <w:t>931</w:t>
            </w:r>
          </w:p>
        </w:tc>
        <w:tc>
          <w:tcPr>
            <w:tcW w:w="1300" w:type="dxa"/>
            <w:tcBorders>
              <w:top w:val="single" w:sz="4" w:space="0" w:color="auto"/>
              <w:left w:val="nil"/>
              <w:bottom w:val="single" w:sz="4" w:space="0" w:color="auto"/>
              <w:right w:val="nil"/>
            </w:tcBorders>
            <w:shd w:val="clear" w:color="000000" w:fill="C9321F"/>
            <w:noWrap/>
            <w:vAlign w:val="center"/>
            <w:hideMark/>
          </w:tcPr>
          <w:p w14:paraId="7D7F61BC" w14:textId="77777777" w:rsidR="009816DA" w:rsidRDefault="009816DA">
            <w:pPr>
              <w:jc w:val="right"/>
              <w:rPr>
                <w:rFonts w:ascii="Arial Narrow" w:hAnsi="Arial Narrow" w:cs="Calibri"/>
                <w:b/>
                <w:bCs/>
                <w:color w:val="FFFFFF"/>
                <w:sz w:val="18"/>
                <w:szCs w:val="18"/>
              </w:rPr>
            </w:pPr>
            <w:r>
              <w:rPr>
                <w:rFonts w:ascii="Arial Narrow" w:hAnsi="Arial Narrow" w:cs="Calibri"/>
                <w:b/>
                <w:bCs/>
                <w:color w:val="FFFFFF"/>
                <w:sz w:val="18"/>
                <w:szCs w:val="18"/>
              </w:rPr>
              <w:t>-80.054</w:t>
            </w:r>
          </w:p>
        </w:tc>
        <w:tc>
          <w:tcPr>
            <w:tcW w:w="1120" w:type="dxa"/>
            <w:tcBorders>
              <w:top w:val="single" w:sz="4" w:space="0" w:color="auto"/>
              <w:left w:val="nil"/>
              <w:bottom w:val="single" w:sz="4" w:space="0" w:color="auto"/>
              <w:right w:val="nil"/>
            </w:tcBorders>
            <w:shd w:val="clear" w:color="000000" w:fill="C9321F"/>
            <w:noWrap/>
            <w:vAlign w:val="center"/>
            <w:hideMark/>
          </w:tcPr>
          <w:p w14:paraId="1AD57797" w14:textId="77777777" w:rsidR="009816DA" w:rsidRDefault="009816DA">
            <w:pPr>
              <w:jc w:val="right"/>
              <w:rPr>
                <w:rFonts w:ascii="Arial Narrow" w:hAnsi="Arial Narrow" w:cs="Calibri"/>
                <w:b/>
                <w:bCs/>
                <w:color w:val="FFFFFF"/>
                <w:sz w:val="18"/>
                <w:szCs w:val="18"/>
              </w:rPr>
            </w:pPr>
            <w:r>
              <w:rPr>
                <w:rFonts w:ascii="Arial Narrow" w:hAnsi="Arial Narrow" w:cs="Calibri"/>
                <w:b/>
                <w:bCs/>
                <w:color w:val="FFFFFF"/>
                <w:sz w:val="18"/>
                <w:szCs w:val="18"/>
              </w:rPr>
              <w:t>1.506</w:t>
            </w:r>
          </w:p>
        </w:tc>
        <w:tc>
          <w:tcPr>
            <w:tcW w:w="1360" w:type="dxa"/>
            <w:tcBorders>
              <w:top w:val="single" w:sz="4" w:space="0" w:color="auto"/>
              <w:left w:val="nil"/>
              <w:bottom w:val="single" w:sz="4" w:space="0" w:color="auto"/>
              <w:right w:val="nil"/>
            </w:tcBorders>
            <w:shd w:val="clear" w:color="000000" w:fill="C9321F"/>
            <w:noWrap/>
            <w:vAlign w:val="center"/>
            <w:hideMark/>
          </w:tcPr>
          <w:p w14:paraId="0A598CF0" w14:textId="77777777" w:rsidR="009816DA" w:rsidRDefault="009816DA">
            <w:pPr>
              <w:jc w:val="right"/>
              <w:rPr>
                <w:rFonts w:ascii="Arial Narrow" w:hAnsi="Arial Narrow" w:cs="Calibri"/>
                <w:b/>
                <w:bCs/>
                <w:color w:val="FFFFFF"/>
                <w:sz w:val="18"/>
                <w:szCs w:val="18"/>
              </w:rPr>
            </w:pPr>
            <w:r>
              <w:rPr>
                <w:rFonts w:ascii="Arial Narrow" w:hAnsi="Arial Narrow" w:cs="Calibri"/>
                <w:b/>
                <w:bCs/>
                <w:color w:val="FFFFFF"/>
                <w:sz w:val="18"/>
                <w:szCs w:val="18"/>
              </w:rPr>
              <w:t>-46.048</w:t>
            </w:r>
          </w:p>
        </w:tc>
      </w:tr>
      <w:tr w:rsidR="009816DA" w14:paraId="376C69C6" w14:textId="77777777" w:rsidTr="009816DA">
        <w:trPr>
          <w:trHeight w:val="300"/>
        </w:trPr>
        <w:tc>
          <w:tcPr>
            <w:tcW w:w="9600" w:type="dxa"/>
            <w:gridSpan w:val="7"/>
            <w:tcBorders>
              <w:top w:val="single" w:sz="4" w:space="0" w:color="auto"/>
              <w:left w:val="nil"/>
              <w:bottom w:val="single" w:sz="4" w:space="0" w:color="auto"/>
              <w:right w:val="nil"/>
            </w:tcBorders>
            <w:shd w:val="clear" w:color="auto" w:fill="auto"/>
            <w:noWrap/>
            <w:vAlign w:val="center"/>
            <w:hideMark/>
          </w:tcPr>
          <w:p w14:paraId="65959B1C" w14:textId="77777777" w:rsidR="009816DA" w:rsidRDefault="009816DA">
            <w:pPr>
              <w:jc w:val="center"/>
              <w:rPr>
                <w:rFonts w:ascii="Arial Narrow" w:hAnsi="Arial Narrow" w:cs="Calibri"/>
                <w:color w:val="000000"/>
                <w:sz w:val="18"/>
                <w:szCs w:val="18"/>
              </w:rPr>
            </w:pPr>
            <w:r>
              <w:rPr>
                <w:rFonts w:ascii="Arial Narrow" w:hAnsi="Arial Narrow" w:cs="Calibri"/>
                <w:color w:val="000000"/>
                <w:sz w:val="18"/>
                <w:szCs w:val="18"/>
              </w:rPr>
              <w:t>Valori percentuali</w:t>
            </w:r>
          </w:p>
        </w:tc>
      </w:tr>
      <w:tr w:rsidR="009816DA" w14:paraId="76825F7C" w14:textId="77777777" w:rsidTr="009816DA">
        <w:trPr>
          <w:trHeight w:val="300"/>
        </w:trPr>
        <w:tc>
          <w:tcPr>
            <w:tcW w:w="1920" w:type="dxa"/>
            <w:tcBorders>
              <w:top w:val="nil"/>
              <w:left w:val="nil"/>
              <w:bottom w:val="single" w:sz="4" w:space="0" w:color="auto"/>
              <w:right w:val="nil"/>
            </w:tcBorders>
            <w:shd w:val="clear" w:color="auto" w:fill="auto"/>
            <w:noWrap/>
            <w:vAlign w:val="center"/>
            <w:hideMark/>
          </w:tcPr>
          <w:p w14:paraId="55229A49" w14:textId="77777777" w:rsidR="009816DA" w:rsidRDefault="009816DA">
            <w:pPr>
              <w:rPr>
                <w:rFonts w:ascii="Arial Narrow" w:hAnsi="Arial Narrow" w:cs="Calibri"/>
                <w:color w:val="000000"/>
                <w:sz w:val="18"/>
                <w:szCs w:val="18"/>
              </w:rPr>
            </w:pPr>
            <w:r>
              <w:rPr>
                <w:rFonts w:ascii="Arial Narrow" w:hAnsi="Arial Narrow" w:cs="Calibri"/>
                <w:color w:val="000000"/>
                <w:sz w:val="18"/>
                <w:szCs w:val="18"/>
              </w:rPr>
              <w:t>fino a 1.000</w:t>
            </w:r>
          </w:p>
        </w:tc>
        <w:tc>
          <w:tcPr>
            <w:tcW w:w="1300" w:type="dxa"/>
            <w:tcBorders>
              <w:top w:val="nil"/>
              <w:left w:val="nil"/>
              <w:bottom w:val="single" w:sz="4" w:space="0" w:color="auto"/>
              <w:right w:val="nil"/>
            </w:tcBorders>
            <w:shd w:val="clear" w:color="000000" w:fill="D9D9D9"/>
            <w:noWrap/>
            <w:vAlign w:val="center"/>
            <w:hideMark/>
          </w:tcPr>
          <w:p w14:paraId="2B85B5B1"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38,8</w:t>
            </w:r>
          </w:p>
        </w:tc>
        <w:tc>
          <w:tcPr>
            <w:tcW w:w="1300" w:type="dxa"/>
            <w:tcBorders>
              <w:top w:val="nil"/>
              <w:left w:val="nil"/>
              <w:bottom w:val="single" w:sz="4" w:space="0" w:color="auto"/>
              <w:right w:val="nil"/>
            </w:tcBorders>
            <w:shd w:val="clear" w:color="000000" w:fill="FFFFFF"/>
            <w:noWrap/>
            <w:vAlign w:val="center"/>
            <w:hideMark/>
          </w:tcPr>
          <w:p w14:paraId="4398129B"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0,6</w:t>
            </w:r>
          </w:p>
        </w:tc>
        <w:tc>
          <w:tcPr>
            <w:tcW w:w="1300" w:type="dxa"/>
            <w:tcBorders>
              <w:top w:val="nil"/>
              <w:left w:val="nil"/>
              <w:bottom w:val="single" w:sz="4" w:space="0" w:color="auto"/>
              <w:right w:val="nil"/>
            </w:tcBorders>
            <w:shd w:val="clear" w:color="000000" w:fill="D9D9D9"/>
            <w:noWrap/>
            <w:vAlign w:val="center"/>
            <w:hideMark/>
          </w:tcPr>
          <w:p w14:paraId="3C0E8CD7"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61,3</w:t>
            </w:r>
          </w:p>
        </w:tc>
        <w:tc>
          <w:tcPr>
            <w:tcW w:w="1300" w:type="dxa"/>
            <w:tcBorders>
              <w:top w:val="nil"/>
              <w:left w:val="nil"/>
              <w:bottom w:val="single" w:sz="4" w:space="0" w:color="auto"/>
              <w:right w:val="nil"/>
            </w:tcBorders>
            <w:shd w:val="clear" w:color="000000" w:fill="FFFFFF"/>
            <w:noWrap/>
            <w:vAlign w:val="center"/>
            <w:hideMark/>
          </w:tcPr>
          <w:p w14:paraId="153DE75B"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-1,1</w:t>
            </w:r>
          </w:p>
        </w:tc>
        <w:tc>
          <w:tcPr>
            <w:tcW w:w="1120" w:type="dxa"/>
            <w:tcBorders>
              <w:top w:val="nil"/>
              <w:left w:val="nil"/>
              <w:bottom w:val="single" w:sz="4" w:space="0" w:color="auto"/>
              <w:right w:val="nil"/>
            </w:tcBorders>
            <w:shd w:val="clear" w:color="000000" w:fill="D9D9D9"/>
            <w:noWrap/>
            <w:vAlign w:val="center"/>
            <w:hideMark/>
          </w:tcPr>
          <w:p w14:paraId="02E139F8"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21,2</w:t>
            </w:r>
          </w:p>
        </w:tc>
        <w:tc>
          <w:tcPr>
            <w:tcW w:w="1360" w:type="dxa"/>
            <w:tcBorders>
              <w:top w:val="nil"/>
              <w:left w:val="nil"/>
              <w:bottom w:val="single" w:sz="4" w:space="0" w:color="auto"/>
              <w:right w:val="nil"/>
            </w:tcBorders>
            <w:shd w:val="clear" w:color="000000" w:fill="FFFFFF"/>
            <w:noWrap/>
            <w:vAlign w:val="center"/>
            <w:hideMark/>
          </w:tcPr>
          <w:p w14:paraId="1579A382"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-0,6</w:t>
            </w:r>
          </w:p>
        </w:tc>
      </w:tr>
      <w:tr w:rsidR="009816DA" w14:paraId="1870A949" w14:textId="77777777" w:rsidTr="009816DA">
        <w:trPr>
          <w:trHeight w:val="300"/>
        </w:trPr>
        <w:tc>
          <w:tcPr>
            <w:tcW w:w="1920" w:type="dxa"/>
            <w:tcBorders>
              <w:top w:val="nil"/>
              <w:left w:val="nil"/>
              <w:bottom w:val="single" w:sz="4" w:space="0" w:color="auto"/>
              <w:right w:val="nil"/>
            </w:tcBorders>
            <w:shd w:val="clear" w:color="auto" w:fill="auto"/>
            <w:noWrap/>
            <w:vAlign w:val="center"/>
            <w:hideMark/>
          </w:tcPr>
          <w:p w14:paraId="0295FDCE" w14:textId="77777777" w:rsidR="009816DA" w:rsidRDefault="009816DA">
            <w:pPr>
              <w:rPr>
                <w:rFonts w:ascii="Arial Narrow" w:hAnsi="Arial Narrow" w:cs="Calibri"/>
                <w:color w:val="000000"/>
                <w:sz w:val="18"/>
                <w:szCs w:val="18"/>
              </w:rPr>
            </w:pPr>
            <w:r>
              <w:rPr>
                <w:rFonts w:ascii="Arial Narrow" w:hAnsi="Arial Narrow" w:cs="Calibri"/>
                <w:color w:val="000000"/>
                <w:sz w:val="18"/>
                <w:szCs w:val="18"/>
              </w:rPr>
              <w:t>1.001-5.000</w:t>
            </w:r>
          </w:p>
        </w:tc>
        <w:tc>
          <w:tcPr>
            <w:tcW w:w="1300" w:type="dxa"/>
            <w:tcBorders>
              <w:top w:val="nil"/>
              <w:left w:val="nil"/>
              <w:bottom w:val="single" w:sz="4" w:space="0" w:color="auto"/>
              <w:right w:val="nil"/>
            </w:tcBorders>
            <w:shd w:val="clear" w:color="000000" w:fill="D9D9D9"/>
            <w:noWrap/>
            <w:vAlign w:val="center"/>
            <w:hideMark/>
          </w:tcPr>
          <w:p w14:paraId="4F366EB9"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32,3</w:t>
            </w:r>
          </w:p>
        </w:tc>
        <w:tc>
          <w:tcPr>
            <w:tcW w:w="1300" w:type="dxa"/>
            <w:tcBorders>
              <w:top w:val="nil"/>
              <w:left w:val="nil"/>
              <w:bottom w:val="single" w:sz="4" w:space="0" w:color="auto"/>
              <w:right w:val="nil"/>
            </w:tcBorders>
            <w:shd w:val="clear" w:color="000000" w:fill="FFFFFF"/>
            <w:noWrap/>
            <w:vAlign w:val="center"/>
            <w:hideMark/>
          </w:tcPr>
          <w:p w14:paraId="76429376"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0,3</w:t>
            </w:r>
          </w:p>
        </w:tc>
        <w:tc>
          <w:tcPr>
            <w:tcW w:w="1300" w:type="dxa"/>
            <w:tcBorders>
              <w:top w:val="nil"/>
              <w:left w:val="nil"/>
              <w:bottom w:val="single" w:sz="4" w:space="0" w:color="auto"/>
              <w:right w:val="nil"/>
            </w:tcBorders>
            <w:shd w:val="clear" w:color="000000" w:fill="D9D9D9"/>
            <w:noWrap/>
            <w:vAlign w:val="center"/>
            <w:hideMark/>
          </w:tcPr>
          <w:p w14:paraId="7320080E"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67,7</w:t>
            </w:r>
          </w:p>
        </w:tc>
        <w:tc>
          <w:tcPr>
            <w:tcW w:w="1300" w:type="dxa"/>
            <w:tcBorders>
              <w:top w:val="nil"/>
              <w:left w:val="nil"/>
              <w:bottom w:val="single" w:sz="4" w:space="0" w:color="auto"/>
              <w:right w:val="nil"/>
            </w:tcBorders>
            <w:shd w:val="clear" w:color="000000" w:fill="FFFFFF"/>
            <w:noWrap/>
            <w:vAlign w:val="center"/>
            <w:hideMark/>
          </w:tcPr>
          <w:p w14:paraId="2EE1FA65"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-0,8</w:t>
            </w:r>
          </w:p>
        </w:tc>
        <w:tc>
          <w:tcPr>
            <w:tcW w:w="1120" w:type="dxa"/>
            <w:tcBorders>
              <w:top w:val="nil"/>
              <w:left w:val="nil"/>
              <w:bottom w:val="single" w:sz="4" w:space="0" w:color="auto"/>
              <w:right w:val="nil"/>
            </w:tcBorders>
            <w:shd w:val="clear" w:color="000000" w:fill="D9D9D9"/>
            <w:noWrap/>
            <w:vAlign w:val="center"/>
            <w:hideMark/>
          </w:tcPr>
          <w:p w14:paraId="2E4FD187"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47,7</w:t>
            </w:r>
          </w:p>
        </w:tc>
        <w:tc>
          <w:tcPr>
            <w:tcW w:w="1360" w:type="dxa"/>
            <w:tcBorders>
              <w:top w:val="nil"/>
              <w:left w:val="nil"/>
              <w:bottom w:val="single" w:sz="4" w:space="0" w:color="auto"/>
              <w:right w:val="nil"/>
            </w:tcBorders>
            <w:shd w:val="clear" w:color="000000" w:fill="FFFFFF"/>
            <w:noWrap/>
            <w:vAlign w:val="center"/>
            <w:hideMark/>
          </w:tcPr>
          <w:p w14:paraId="472603E8"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-0,5</w:t>
            </w:r>
          </w:p>
        </w:tc>
      </w:tr>
      <w:tr w:rsidR="009816DA" w14:paraId="15300104" w14:textId="77777777" w:rsidTr="009816DA">
        <w:trPr>
          <w:trHeight w:val="300"/>
        </w:trPr>
        <w:tc>
          <w:tcPr>
            <w:tcW w:w="1920" w:type="dxa"/>
            <w:tcBorders>
              <w:top w:val="nil"/>
              <w:left w:val="nil"/>
              <w:bottom w:val="single" w:sz="4" w:space="0" w:color="auto"/>
              <w:right w:val="nil"/>
            </w:tcBorders>
            <w:shd w:val="clear" w:color="auto" w:fill="auto"/>
            <w:noWrap/>
            <w:vAlign w:val="center"/>
            <w:hideMark/>
          </w:tcPr>
          <w:p w14:paraId="351B0C5E" w14:textId="77777777" w:rsidR="009816DA" w:rsidRDefault="009816DA">
            <w:pPr>
              <w:rPr>
                <w:rFonts w:ascii="Arial Narrow" w:hAnsi="Arial Narrow" w:cs="Calibri"/>
                <w:color w:val="000000"/>
                <w:sz w:val="18"/>
                <w:szCs w:val="18"/>
              </w:rPr>
            </w:pPr>
            <w:r>
              <w:rPr>
                <w:rFonts w:ascii="Arial Narrow" w:hAnsi="Arial Narrow" w:cs="Calibri"/>
                <w:color w:val="000000"/>
                <w:sz w:val="18"/>
                <w:szCs w:val="18"/>
              </w:rPr>
              <w:t>5.001-10.000</w:t>
            </w:r>
          </w:p>
        </w:tc>
        <w:tc>
          <w:tcPr>
            <w:tcW w:w="1300" w:type="dxa"/>
            <w:tcBorders>
              <w:top w:val="nil"/>
              <w:left w:val="nil"/>
              <w:bottom w:val="single" w:sz="4" w:space="0" w:color="auto"/>
              <w:right w:val="nil"/>
            </w:tcBorders>
            <w:shd w:val="clear" w:color="000000" w:fill="D9D9D9"/>
            <w:noWrap/>
            <w:vAlign w:val="center"/>
            <w:hideMark/>
          </w:tcPr>
          <w:p w14:paraId="69B64A7D"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42,7</w:t>
            </w:r>
          </w:p>
        </w:tc>
        <w:tc>
          <w:tcPr>
            <w:tcW w:w="1300" w:type="dxa"/>
            <w:tcBorders>
              <w:top w:val="nil"/>
              <w:left w:val="nil"/>
              <w:bottom w:val="single" w:sz="4" w:space="0" w:color="auto"/>
              <w:right w:val="nil"/>
            </w:tcBorders>
            <w:shd w:val="clear" w:color="000000" w:fill="FFFFFF"/>
            <w:noWrap/>
            <w:vAlign w:val="center"/>
            <w:hideMark/>
          </w:tcPr>
          <w:p w14:paraId="11547D2C"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0,4</w:t>
            </w:r>
          </w:p>
        </w:tc>
        <w:tc>
          <w:tcPr>
            <w:tcW w:w="1300" w:type="dxa"/>
            <w:tcBorders>
              <w:top w:val="nil"/>
              <w:left w:val="nil"/>
              <w:bottom w:val="single" w:sz="4" w:space="0" w:color="auto"/>
              <w:right w:val="nil"/>
            </w:tcBorders>
            <w:shd w:val="clear" w:color="000000" w:fill="D9D9D9"/>
            <w:noWrap/>
            <w:vAlign w:val="center"/>
            <w:hideMark/>
          </w:tcPr>
          <w:p w14:paraId="7152B9B4"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57,3</w:t>
            </w:r>
          </w:p>
        </w:tc>
        <w:tc>
          <w:tcPr>
            <w:tcW w:w="1300" w:type="dxa"/>
            <w:tcBorders>
              <w:top w:val="nil"/>
              <w:left w:val="nil"/>
              <w:bottom w:val="single" w:sz="4" w:space="0" w:color="auto"/>
              <w:right w:val="nil"/>
            </w:tcBorders>
            <w:shd w:val="clear" w:color="000000" w:fill="FFFFFF"/>
            <w:noWrap/>
            <w:vAlign w:val="center"/>
            <w:hideMark/>
          </w:tcPr>
          <w:p w14:paraId="0DAB1B7D"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-0,4</w:t>
            </w:r>
          </w:p>
        </w:tc>
        <w:tc>
          <w:tcPr>
            <w:tcW w:w="1120" w:type="dxa"/>
            <w:tcBorders>
              <w:top w:val="nil"/>
              <w:left w:val="nil"/>
              <w:bottom w:val="single" w:sz="4" w:space="0" w:color="auto"/>
              <w:right w:val="nil"/>
            </w:tcBorders>
            <w:shd w:val="clear" w:color="000000" w:fill="D9D9D9"/>
            <w:noWrap/>
            <w:vAlign w:val="center"/>
            <w:hideMark/>
          </w:tcPr>
          <w:p w14:paraId="784A4FDE"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18,2</w:t>
            </w:r>
          </w:p>
        </w:tc>
        <w:tc>
          <w:tcPr>
            <w:tcW w:w="1360" w:type="dxa"/>
            <w:tcBorders>
              <w:top w:val="nil"/>
              <w:left w:val="nil"/>
              <w:bottom w:val="single" w:sz="4" w:space="0" w:color="auto"/>
              <w:right w:val="nil"/>
            </w:tcBorders>
            <w:shd w:val="clear" w:color="000000" w:fill="FFFFFF"/>
            <w:noWrap/>
            <w:vAlign w:val="center"/>
            <w:hideMark/>
          </w:tcPr>
          <w:p w14:paraId="55E6E019"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-0,1</w:t>
            </w:r>
          </w:p>
        </w:tc>
      </w:tr>
      <w:tr w:rsidR="009816DA" w14:paraId="68E0A5EA" w14:textId="77777777" w:rsidTr="009816DA">
        <w:trPr>
          <w:trHeight w:val="300"/>
        </w:trPr>
        <w:tc>
          <w:tcPr>
            <w:tcW w:w="1920" w:type="dxa"/>
            <w:tcBorders>
              <w:top w:val="nil"/>
              <w:left w:val="nil"/>
              <w:bottom w:val="single" w:sz="4" w:space="0" w:color="auto"/>
              <w:right w:val="nil"/>
            </w:tcBorders>
            <w:shd w:val="clear" w:color="auto" w:fill="auto"/>
            <w:noWrap/>
            <w:vAlign w:val="center"/>
            <w:hideMark/>
          </w:tcPr>
          <w:p w14:paraId="6DA3B970" w14:textId="77777777" w:rsidR="009816DA" w:rsidRDefault="009816DA">
            <w:pPr>
              <w:rPr>
                <w:rFonts w:ascii="Arial Narrow" w:hAnsi="Arial Narrow" w:cs="Calibri"/>
                <w:color w:val="000000"/>
                <w:sz w:val="18"/>
                <w:szCs w:val="18"/>
              </w:rPr>
            </w:pPr>
            <w:r>
              <w:rPr>
                <w:rFonts w:ascii="Arial Narrow" w:hAnsi="Arial Narrow" w:cs="Calibri"/>
                <w:color w:val="000000"/>
                <w:sz w:val="18"/>
                <w:szCs w:val="18"/>
              </w:rPr>
              <w:t>10.001-20.000</w:t>
            </w:r>
          </w:p>
        </w:tc>
        <w:tc>
          <w:tcPr>
            <w:tcW w:w="1300" w:type="dxa"/>
            <w:tcBorders>
              <w:top w:val="nil"/>
              <w:left w:val="nil"/>
              <w:bottom w:val="single" w:sz="4" w:space="0" w:color="auto"/>
              <w:right w:val="nil"/>
            </w:tcBorders>
            <w:shd w:val="clear" w:color="000000" w:fill="D9D9D9"/>
            <w:noWrap/>
            <w:vAlign w:val="center"/>
            <w:hideMark/>
          </w:tcPr>
          <w:p w14:paraId="3D0DE65D"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57,0</w:t>
            </w:r>
          </w:p>
        </w:tc>
        <w:tc>
          <w:tcPr>
            <w:tcW w:w="1300" w:type="dxa"/>
            <w:tcBorders>
              <w:top w:val="nil"/>
              <w:left w:val="nil"/>
              <w:bottom w:val="single" w:sz="4" w:space="0" w:color="auto"/>
              <w:right w:val="nil"/>
            </w:tcBorders>
            <w:shd w:val="clear" w:color="000000" w:fill="FFFFFF"/>
            <w:noWrap/>
            <w:vAlign w:val="center"/>
            <w:hideMark/>
          </w:tcPr>
          <w:p w14:paraId="594B4E2F"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0,5</w:t>
            </w:r>
          </w:p>
        </w:tc>
        <w:tc>
          <w:tcPr>
            <w:tcW w:w="1300" w:type="dxa"/>
            <w:tcBorders>
              <w:top w:val="nil"/>
              <w:left w:val="nil"/>
              <w:bottom w:val="single" w:sz="4" w:space="0" w:color="auto"/>
              <w:right w:val="nil"/>
            </w:tcBorders>
            <w:shd w:val="clear" w:color="000000" w:fill="D9D9D9"/>
            <w:noWrap/>
            <w:vAlign w:val="center"/>
            <w:hideMark/>
          </w:tcPr>
          <w:p w14:paraId="39033718"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43,0</w:t>
            </w:r>
          </w:p>
        </w:tc>
        <w:tc>
          <w:tcPr>
            <w:tcW w:w="1300" w:type="dxa"/>
            <w:tcBorders>
              <w:top w:val="nil"/>
              <w:left w:val="nil"/>
              <w:bottom w:val="single" w:sz="4" w:space="0" w:color="auto"/>
              <w:right w:val="nil"/>
            </w:tcBorders>
            <w:shd w:val="clear" w:color="000000" w:fill="FFFFFF"/>
            <w:noWrap/>
            <w:vAlign w:val="center"/>
            <w:hideMark/>
          </w:tcPr>
          <w:p w14:paraId="4B655B46"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-0,3</w:t>
            </w:r>
          </w:p>
        </w:tc>
        <w:tc>
          <w:tcPr>
            <w:tcW w:w="1120" w:type="dxa"/>
            <w:tcBorders>
              <w:top w:val="nil"/>
              <w:left w:val="nil"/>
              <w:bottom w:val="single" w:sz="4" w:space="0" w:color="auto"/>
              <w:right w:val="nil"/>
            </w:tcBorders>
            <w:shd w:val="clear" w:color="000000" w:fill="D9D9D9"/>
            <w:noWrap/>
            <w:vAlign w:val="center"/>
            <w:hideMark/>
          </w:tcPr>
          <w:p w14:paraId="0A6B782E"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8,0</w:t>
            </w:r>
          </w:p>
        </w:tc>
        <w:tc>
          <w:tcPr>
            <w:tcW w:w="1360" w:type="dxa"/>
            <w:tcBorders>
              <w:top w:val="nil"/>
              <w:left w:val="nil"/>
              <w:bottom w:val="single" w:sz="4" w:space="0" w:color="auto"/>
              <w:right w:val="nil"/>
            </w:tcBorders>
            <w:shd w:val="clear" w:color="000000" w:fill="FFFFFF"/>
            <w:noWrap/>
            <w:vAlign w:val="center"/>
            <w:hideMark/>
          </w:tcPr>
          <w:p w14:paraId="57EE37D4"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0,2</w:t>
            </w:r>
          </w:p>
        </w:tc>
      </w:tr>
      <w:tr w:rsidR="009816DA" w14:paraId="16A85F24" w14:textId="77777777" w:rsidTr="009816DA">
        <w:trPr>
          <w:trHeight w:val="300"/>
        </w:trPr>
        <w:tc>
          <w:tcPr>
            <w:tcW w:w="1920" w:type="dxa"/>
            <w:tcBorders>
              <w:top w:val="nil"/>
              <w:left w:val="nil"/>
              <w:bottom w:val="single" w:sz="4" w:space="0" w:color="auto"/>
              <w:right w:val="nil"/>
            </w:tcBorders>
            <w:shd w:val="clear" w:color="auto" w:fill="auto"/>
            <w:noWrap/>
            <w:vAlign w:val="center"/>
            <w:hideMark/>
          </w:tcPr>
          <w:p w14:paraId="0D4A036A" w14:textId="77777777" w:rsidR="009816DA" w:rsidRDefault="009816DA">
            <w:pPr>
              <w:rPr>
                <w:rFonts w:ascii="Arial Narrow" w:hAnsi="Arial Narrow" w:cs="Calibri"/>
                <w:color w:val="000000"/>
                <w:sz w:val="18"/>
                <w:szCs w:val="18"/>
              </w:rPr>
            </w:pPr>
            <w:r>
              <w:rPr>
                <w:rFonts w:ascii="Arial Narrow" w:hAnsi="Arial Narrow" w:cs="Calibri"/>
                <w:color w:val="000000"/>
                <w:sz w:val="18"/>
                <w:szCs w:val="18"/>
              </w:rPr>
              <w:t>20.001-50.000</w:t>
            </w:r>
          </w:p>
        </w:tc>
        <w:tc>
          <w:tcPr>
            <w:tcW w:w="1300" w:type="dxa"/>
            <w:tcBorders>
              <w:top w:val="nil"/>
              <w:left w:val="nil"/>
              <w:bottom w:val="single" w:sz="4" w:space="0" w:color="auto"/>
              <w:right w:val="nil"/>
            </w:tcBorders>
            <w:shd w:val="clear" w:color="000000" w:fill="D9D9D9"/>
            <w:noWrap/>
            <w:vAlign w:val="center"/>
            <w:hideMark/>
          </w:tcPr>
          <w:p w14:paraId="6B71A138"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50,9</w:t>
            </w:r>
          </w:p>
        </w:tc>
        <w:tc>
          <w:tcPr>
            <w:tcW w:w="1300" w:type="dxa"/>
            <w:tcBorders>
              <w:top w:val="nil"/>
              <w:left w:val="nil"/>
              <w:bottom w:val="single" w:sz="4" w:space="0" w:color="auto"/>
              <w:right w:val="nil"/>
            </w:tcBorders>
            <w:shd w:val="clear" w:color="000000" w:fill="FFFFFF"/>
            <w:noWrap/>
            <w:vAlign w:val="center"/>
            <w:hideMark/>
          </w:tcPr>
          <w:p w14:paraId="0142C587"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0,6</w:t>
            </w:r>
          </w:p>
        </w:tc>
        <w:tc>
          <w:tcPr>
            <w:tcW w:w="1300" w:type="dxa"/>
            <w:tcBorders>
              <w:top w:val="nil"/>
              <w:left w:val="nil"/>
              <w:bottom w:val="single" w:sz="4" w:space="0" w:color="auto"/>
              <w:right w:val="nil"/>
            </w:tcBorders>
            <w:shd w:val="clear" w:color="000000" w:fill="D9D9D9"/>
            <w:noWrap/>
            <w:vAlign w:val="center"/>
            <w:hideMark/>
          </w:tcPr>
          <w:p w14:paraId="79A079F9"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49,1</w:t>
            </w:r>
          </w:p>
        </w:tc>
        <w:tc>
          <w:tcPr>
            <w:tcW w:w="1300" w:type="dxa"/>
            <w:tcBorders>
              <w:top w:val="nil"/>
              <w:left w:val="nil"/>
              <w:bottom w:val="single" w:sz="4" w:space="0" w:color="auto"/>
              <w:right w:val="nil"/>
            </w:tcBorders>
            <w:shd w:val="clear" w:color="000000" w:fill="FFFFFF"/>
            <w:noWrap/>
            <w:vAlign w:val="center"/>
            <w:hideMark/>
          </w:tcPr>
          <w:p w14:paraId="1C742C90"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-0,3</w:t>
            </w:r>
          </w:p>
        </w:tc>
        <w:tc>
          <w:tcPr>
            <w:tcW w:w="1120" w:type="dxa"/>
            <w:tcBorders>
              <w:top w:val="nil"/>
              <w:left w:val="nil"/>
              <w:bottom w:val="single" w:sz="4" w:space="0" w:color="auto"/>
              <w:right w:val="nil"/>
            </w:tcBorders>
            <w:shd w:val="clear" w:color="000000" w:fill="D9D9D9"/>
            <w:noWrap/>
            <w:vAlign w:val="center"/>
            <w:hideMark/>
          </w:tcPr>
          <w:p w14:paraId="2FDE4CEE"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3,8</w:t>
            </w:r>
          </w:p>
        </w:tc>
        <w:tc>
          <w:tcPr>
            <w:tcW w:w="1360" w:type="dxa"/>
            <w:tcBorders>
              <w:top w:val="nil"/>
              <w:left w:val="nil"/>
              <w:bottom w:val="single" w:sz="4" w:space="0" w:color="auto"/>
              <w:right w:val="nil"/>
            </w:tcBorders>
            <w:shd w:val="clear" w:color="000000" w:fill="FFFFFF"/>
            <w:noWrap/>
            <w:vAlign w:val="center"/>
            <w:hideMark/>
          </w:tcPr>
          <w:p w14:paraId="7E3A1E46"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0,2</w:t>
            </w:r>
          </w:p>
        </w:tc>
      </w:tr>
      <w:tr w:rsidR="009816DA" w14:paraId="189DEE70" w14:textId="77777777" w:rsidTr="009816DA">
        <w:trPr>
          <w:trHeight w:val="300"/>
        </w:trPr>
        <w:tc>
          <w:tcPr>
            <w:tcW w:w="1920" w:type="dxa"/>
            <w:tcBorders>
              <w:top w:val="nil"/>
              <w:left w:val="nil"/>
              <w:bottom w:val="single" w:sz="4" w:space="0" w:color="auto"/>
              <w:right w:val="nil"/>
            </w:tcBorders>
            <w:shd w:val="clear" w:color="auto" w:fill="auto"/>
            <w:noWrap/>
            <w:vAlign w:val="center"/>
            <w:hideMark/>
          </w:tcPr>
          <w:p w14:paraId="5456975B" w14:textId="77777777" w:rsidR="009816DA" w:rsidRDefault="009816DA">
            <w:pPr>
              <w:rPr>
                <w:rFonts w:ascii="Arial Narrow" w:hAnsi="Arial Narrow" w:cs="Calibri"/>
                <w:color w:val="000000"/>
                <w:sz w:val="18"/>
                <w:szCs w:val="18"/>
              </w:rPr>
            </w:pPr>
            <w:r>
              <w:rPr>
                <w:rFonts w:ascii="Arial Narrow" w:hAnsi="Arial Narrow" w:cs="Calibri"/>
                <w:color w:val="000000"/>
                <w:sz w:val="18"/>
                <w:szCs w:val="18"/>
              </w:rPr>
              <w:t>oltre 50.000</w:t>
            </w:r>
          </w:p>
        </w:tc>
        <w:tc>
          <w:tcPr>
            <w:tcW w:w="1300" w:type="dxa"/>
            <w:tcBorders>
              <w:top w:val="nil"/>
              <w:left w:val="nil"/>
              <w:bottom w:val="single" w:sz="4" w:space="0" w:color="auto"/>
              <w:right w:val="nil"/>
            </w:tcBorders>
            <w:shd w:val="clear" w:color="000000" w:fill="D9D9D9"/>
            <w:noWrap/>
            <w:vAlign w:val="center"/>
            <w:hideMark/>
          </w:tcPr>
          <w:p w14:paraId="18F96F81"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26,7</w:t>
            </w:r>
          </w:p>
        </w:tc>
        <w:tc>
          <w:tcPr>
            <w:tcW w:w="1300" w:type="dxa"/>
            <w:tcBorders>
              <w:top w:val="nil"/>
              <w:left w:val="nil"/>
              <w:bottom w:val="single" w:sz="4" w:space="0" w:color="auto"/>
              <w:right w:val="nil"/>
            </w:tcBorders>
            <w:shd w:val="clear" w:color="000000" w:fill="FFFFFF"/>
            <w:noWrap/>
            <w:vAlign w:val="center"/>
            <w:hideMark/>
          </w:tcPr>
          <w:p w14:paraId="34375B7D"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0,1</w:t>
            </w:r>
          </w:p>
        </w:tc>
        <w:tc>
          <w:tcPr>
            <w:tcW w:w="1300" w:type="dxa"/>
            <w:tcBorders>
              <w:top w:val="nil"/>
              <w:left w:val="nil"/>
              <w:bottom w:val="single" w:sz="4" w:space="0" w:color="auto"/>
              <w:right w:val="nil"/>
            </w:tcBorders>
            <w:shd w:val="clear" w:color="000000" w:fill="D9D9D9"/>
            <w:noWrap/>
            <w:vAlign w:val="center"/>
            <w:hideMark/>
          </w:tcPr>
          <w:p w14:paraId="4ABDAA05"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73,3</w:t>
            </w:r>
          </w:p>
        </w:tc>
        <w:tc>
          <w:tcPr>
            <w:tcW w:w="1300" w:type="dxa"/>
            <w:tcBorders>
              <w:top w:val="nil"/>
              <w:left w:val="nil"/>
              <w:bottom w:val="single" w:sz="4" w:space="0" w:color="auto"/>
              <w:right w:val="nil"/>
            </w:tcBorders>
            <w:shd w:val="clear" w:color="000000" w:fill="FFFFFF"/>
            <w:noWrap/>
            <w:vAlign w:val="center"/>
            <w:hideMark/>
          </w:tcPr>
          <w:p w14:paraId="693052F6"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-1,7</w:t>
            </w:r>
          </w:p>
        </w:tc>
        <w:tc>
          <w:tcPr>
            <w:tcW w:w="1120" w:type="dxa"/>
            <w:tcBorders>
              <w:top w:val="nil"/>
              <w:left w:val="nil"/>
              <w:bottom w:val="single" w:sz="4" w:space="0" w:color="auto"/>
              <w:right w:val="nil"/>
            </w:tcBorders>
            <w:shd w:val="clear" w:color="000000" w:fill="D9D9D9"/>
            <w:noWrap/>
            <w:vAlign w:val="center"/>
            <w:hideMark/>
          </w:tcPr>
          <w:p w14:paraId="7DEB9CB4"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1,0</w:t>
            </w:r>
          </w:p>
        </w:tc>
        <w:tc>
          <w:tcPr>
            <w:tcW w:w="1360" w:type="dxa"/>
            <w:tcBorders>
              <w:top w:val="nil"/>
              <w:left w:val="nil"/>
              <w:bottom w:val="single" w:sz="4" w:space="0" w:color="auto"/>
              <w:right w:val="nil"/>
            </w:tcBorders>
            <w:shd w:val="clear" w:color="000000" w:fill="FFFFFF"/>
            <w:noWrap/>
            <w:vAlign w:val="center"/>
            <w:hideMark/>
          </w:tcPr>
          <w:p w14:paraId="52E79076" w14:textId="77777777" w:rsidR="009816DA" w:rsidRDefault="009816DA">
            <w:pPr>
              <w:jc w:val="right"/>
              <w:rPr>
                <w:rFonts w:ascii="Arial Narrow" w:hAnsi="Arial Narrow" w:cs="Calibri"/>
                <w:color w:val="000000"/>
                <w:sz w:val="18"/>
                <w:szCs w:val="18"/>
              </w:rPr>
            </w:pPr>
            <w:r>
              <w:rPr>
                <w:rFonts w:ascii="Arial Narrow" w:hAnsi="Arial Narrow" w:cs="Calibri"/>
                <w:color w:val="000000"/>
                <w:sz w:val="18"/>
                <w:szCs w:val="18"/>
              </w:rPr>
              <w:t>-1,6</w:t>
            </w:r>
          </w:p>
        </w:tc>
      </w:tr>
      <w:tr w:rsidR="009816DA" w14:paraId="4250FAF0" w14:textId="77777777" w:rsidTr="009816DA">
        <w:trPr>
          <w:trHeight w:val="300"/>
        </w:trPr>
        <w:tc>
          <w:tcPr>
            <w:tcW w:w="1920" w:type="dxa"/>
            <w:tcBorders>
              <w:top w:val="single" w:sz="4" w:space="0" w:color="auto"/>
              <w:left w:val="nil"/>
              <w:bottom w:val="single" w:sz="4" w:space="0" w:color="auto"/>
              <w:right w:val="nil"/>
            </w:tcBorders>
            <w:shd w:val="clear" w:color="000000" w:fill="C9321F"/>
            <w:noWrap/>
            <w:vAlign w:val="center"/>
            <w:hideMark/>
          </w:tcPr>
          <w:p w14:paraId="7DD103EB" w14:textId="77777777" w:rsidR="009816DA" w:rsidRDefault="009816DA">
            <w:pPr>
              <w:rPr>
                <w:rFonts w:ascii="Arial Narrow" w:hAnsi="Arial Narrow" w:cs="Calibri"/>
                <w:b/>
                <w:bCs/>
                <w:color w:val="FFFFFF"/>
                <w:sz w:val="18"/>
                <w:szCs w:val="18"/>
              </w:rPr>
            </w:pPr>
            <w:r>
              <w:rPr>
                <w:rFonts w:ascii="Arial Narrow" w:hAnsi="Arial Narrow" w:cs="Calibri"/>
                <w:b/>
                <w:bCs/>
                <w:color w:val="FFFFFF"/>
                <w:sz w:val="18"/>
                <w:szCs w:val="18"/>
              </w:rPr>
              <w:t>TOTALE</w:t>
            </w:r>
          </w:p>
        </w:tc>
        <w:tc>
          <w:tcPr>
            <w:tcW w:w="1300" w:type="dxa"/>
            <w:tcBorders>
              <w:top w:val="single" w:sz="4" w:space="0" w:color="auto"/>
              <w:left w:val="nil"/>
              <w:bottom w:val="single" w:sz="4" w:space="0" w:color="auto"/>
              <w:right w:val="nil"/>
            </w:tcBorders>
            <w:shd w:val="clear" w:color="000000" w:fill="C9321F"/>
            <w:noWrap/>
            <w:vAlign w:val="center"/>
            <w:hideMark/>
          </w:tcPr>
          <w:p w14:paraId="56904847" w14:textId="77777777" w:rsidR="009816DA" w:rsidRDefault="009816DA">
            <w:pPr>
              <w:jc w:val="right"/>
              <w:rPr>
                <w:rFonts w:ascii="Arial Narrow" w:hAnsi="Arial Narrow" w:cs="Calibri"/>
                <w:b/>
                <w:bCs/>
                <w:color w:val="FFFFFF"/>
                <w:sz w:val="18"/>
                <w:szCs w:val="18"/>
              </w:rPr>
            </w:pPr>
            <w:r>
              <w:rPr>
                <w:rFonts w:ascii="Arial Narrow" w:hAnsi="Arial Narrow" w:cs="Calibri"/>
                <w:b/>
                <w:bCs/>
                <w:color w:val="FFFFFF"/>
                <w:sz w:val="18"/>
                <w:szCs w:val="18"/>
              </w:rPr>
              <w:t>38,2</w:t>
            </w:r>
          </w:p>
        </w:tc>
        <w:tc>
          <w:tcPr>
            <w:tcW w:w="1300" w:type="dxa"/>
            <w:tcBorders>
              <w:top w:val="single" w:sz="4" w:space="0" w:color="auto"/>
              <w:left w:val="nil"/>
              <w:bottom w:val="single" w:sz="4" w:space="0" w:color="auto"/>
              <w:right w:val="nil"/>
            </w:tcBorders>
            <w:shd w:val="clear" w:color="000000" w:fill="C9321F"/>
            <w:noWrap/>
            <w:vAlign w:val="center"/>
            <w:hideMark/>
          </w:tcPr>
          <w:p w14:paraId="7831BA02" w14:textId="77777777" w:rsidR="009816DA" w:rsidRDefault="009816DA">
            <w:pPr>
              <w:jc w:val="right"/>
              <w:rPr>
                <w:rFonts w:ascii="Arial Narrow" w:hAnsi="Arial Narrow" w:cs="Calibri"/>
                <w:b/>
                <w:bCs/>
                <w:color w:val="FFFFFF"/>
                <w:sz w:val="18"/>
                <w:szCs w:val="18"/>
              </w:rPr>
            </w:pPr>
            <w:r>
              <w:rPr>
                <w:rFonts w:ascii="Arial Narrow" w:hAnsi="Arial Narrow" w:cs="Calibri"/>
                <w:b/>
                <w:bCs/>
                <w:color w:val="FFFFFF"/>
                <w:sz w:val="18"/>
                <w:szCs w:val="18"/>
              </w:rPr>
              <w:t>0,3</w:t>
            </w:r>
          </w:p>
        </w:tc>
        <w:tc>
          <w:tcPr>
            <w:tcW w:w="1300" w:type="dxa"/>
            <w:tcBorders>
              <w:top w:val="single" w:sz="4" w:space="0" w:color="auto"/>
              <w:left w:val="nil"/>
              <w:bottom w:val="single" w:sz="4" w:space="0" w:color="auto"/>
              <w:right w:val="nil"/>
            </w:tcBorders>
            <w:shd w:val="clear" w:color="000000" w:fill="C9321F"/>
            <w:noWrap/>
            <w:vAlign w:val="center"/>
            <w:hideMark/>
          </w:tcPr>
          <w:p w14:paraId="26B9E659" w14:textId="77777777" w:rsidR="009816DA" w:rsidRDefault="009816DA">
            <w:pPr>
              <w:jc w:val="right"/>
              <w:rPr>
                <w:rFonts w:ascii="Arial Narrow" w:hAnsi="Arial Narrow" w:cs="Calibri"/>
                <w:b/>
                <w:bCs/>
                <w:color w:val="FFFFFF"/>
                <w:sz w:val="18"/>
                <w:szCs w:val="18"/>
              </w:rPr>
            </w:pPr>
            <w:r>
              <w:rPr>
                <w:rFonts w:ascii="Arial Narrow" w:hAnsi="Arial Narrow" w:cs="Calibri"/>
                <w:b/>
                <w:bCs/>
                <w:color w:val="FFFFFF"/>
                <w:sz w:val="18"/>
                <w:szCs w:val="18"/>
              </w:rPr>
              <w:t>61,8</w:t>
            </w:r>
          </w:p>
        </w:tc>
        <w:tc>
          <w:tcPr>
            <w:tcW w:w="1300" w:type="dxa"/>
            <w:tcBorders>
              <w:top w:val="single" w:sz="4" w:space="0" w:color="auto"/>
              <w:left w:val="nil"/>
              <w:bottom w:val="single" w:sz="4" w:space="0" w:color="auto"/>
              <w:right w:val="nil"/>
            </w:tcBorders>
            <w:shd w:val="clear" w:color="000000" w:fill="C9321F"/>
            <w:noWrap/>
            <w:vAlign w:val="center"/>
            <w:hideMark/>
          </w:tcPr>
          <w:p w14:paraId="44C6B57B" w14:textId="77777777" w:rsidR="009816DA" w:rsidRDefault="009816DA">
            <w:pPr>
              <w:jc w:val="right"/>
              <w:rPr>
                <w:rFonts w:ascii="Arial Narrow" w:hAnsi="Arial Narrow" w:cs="Calibri"/>
                <w:b/>
                <w:bCs/>
                <w:color w:val="FFFFFF"/>
                <w:sz w:val="18"/>
                <w:szCs w:val="18"/>
              </w:rPr>
            </w:pPr>
            <w:r>
              <w:rPr>
                <w:rFonts w:ascii="Arial Narrow" w:hAnsi="Arial Narrow" w:cs="Calibri"/>
                <w:b/>
                <w:bCs/>
                <w:color w:val="FFFFFF"/>
                <w:sz w:val="18"/>
                <w:szCs w:val="18"/>
              </w:rPr>
              <w:t>-0,8</w:t>
            </w:r>
          </w:p>
        </w:tc>
        <w:tc>
          <w:tcPr>
            <w:tcW w:w="1120" w:type="dxa"/>
            <w:tcBorders>
              <w:top w:val="single" w:sz="4" w:space="0" w:color="auto"/>
              <w:left w:val="nil"/>
              <w:bottom w:val="single" w:sz="4" w:space="0" w:color="auto"/>
              <w:right w:val="nil"/>
            </w:tcBorders>
            <w:shd w:val="clear" w:color="000000" w:fill="C9321F"/>
            <w:noWrap/>
            <w:vAlign w:val="center"/>
            <w:hideMark/>
          </w:tcPr>
          <w:p w14:paraId="162CFEA9" w14:textId="77777777" w:rsidR="009816DA" w:rsidRDefault="009816DA">
            <w:pPr>
              <w:jc w:val="right"/>
              <w:rPr>
                <w:rFonts w:ascii="Arial Narrow" w:hAnsi="Arial Narrow" w:cs="Calibri"/>
                <w:b/>
                <w:bCs/>
                <w:color w:val="FFFFFF"/>
                <w:sz w:val="18"/>
                <w:szCs w:val="18"/>
              </w:rPr>
            </w:pPr>
            <w:r>
              <w:rPr>
                <w:rFonts w:ascii="Arial Narrow" w:hAnsi="Arial Narrow" w:cs="Calibri"/>
                <w:b/>
                <w:bCs/>
                <w:color w:val="FFFFFF"/>
                <w:sz w:val="18"/>
                <w:szCs w:val="18"/>
              </w:rPr>
              <w:t>100,0</w:t>
            </w:r>
          </w:p>
        </w:tc>
        <w:tc>
          <w:tcPr>
            <w:tcW w:w="1360" w:type="dxa"/>
            <w:tcBorders>
              <w:top w:val="single" w:sz="4" w:space="0" w:color="auto"/>
              <w:left w:val="nil"/>
              <w:bottom w:val="single" w:sz="4" w:space="0" w:color="auto"/>
              <w:right w:val="nil"/>
            </w:tcBorders>
            <w:shd w:val="clear" w:color="000000" w:fill="C9321F"/>
            <w:noWrap/>
            <w:vAlign w:val="center"/>
            <w:hideMark/>
          </w:tcPr>
          <w:p w14:paraId="57325E1A" w14:textId="77777777" w:rsidR="009816DA" w:rsidRDefault="009816DA">
            <w:pPr>
              <w:jc w:val="right"/>
              <w:rPr>
                <w:rFonts w:ascii="Arial Narrow" w:hAnsi="Arial Narrow" w:cs="Calibri"/>
                <w:b/>
                <w:bCs/>
                <w:color w:val="FFFFFF"/>
                <w:sz w:val="18"/>
                <w:szCs w:val="18"/>
              </w:rPr>
            </w:pPr>
            <w:r>
              <w:rPr>
                <w:rFonts w:ascii="Arial Narrow" w:hAnsi="Arial Narrow" w:cs="Calibri"/>
                <w:b/>
                <w:bCs/>
                <w:color w:val="FFFFFF"/>
                <w:sz w:val="18"/>
                <w:szCs w:val="18"/>
              </w:rPr>
              <w:t>-0,5</w:t>
            </w:r>
          </w:p>
        </w:tc>
      </w:tr>
      <w:tr w:rsidR="009816DA" w14:paraId="1C940298" w14:textId="77777777" w:rsidTr="009816DA">
        <w:trPr>
          <w:trHeight w:val="510"/>
        </w:trPr>
        <w:tc>
          <w:tcPr>
            <w:tcW w:w="9600" w:type="dxa"/>
            <w:gridSpan w:val="7"/>
            <w:tcBorders>
              <w:top w:val="nil"/>
              <w:left w:val="nil"/>
              <w:bottom w:val="nil"/>
              <w:right w:val="nil"/>
            </w:tcBorders>
            <w:shd w:val="clear" w:color="auto" w:fill="auto"/>
            <w:vAlign w:val="bottom"/>
            <w:hideMark/>
          </w:tcPr>
          <w:p w14:paraId="37B7ADD1" w14:textId="77777777" w:rsidR="009816DA" w:rsidRDefault="009816DA" w:rsidP="00597E6B">
            <w:pPr>
              <w:jc w:val="both"/>
              <w:rPr>
                <w:rFonts w:ascii="Arial Narrow" w:hAnsi="Arial Narrow" w:cs="Calibri"/>
                <w:color w:val="000000"/>
                <w:sz w:val="16"/>
                <w:szCs w:val="16"/>
              </w:rPr>
            </w:pPr>
            <w:r>
              <w:rPr>
                <w:rFonts w:ascii="Arial Narrow" w:hAnsi="Arial Narrow" w:cs="Calibri"/>
                <w:color w:val="000000"/>
                <w:sz w:val="16"/>
                <w:szCs w:val="16"/>
              </w:rPr>
              <w:t>(a) La variazione percentuale dei saldi positivi e negativi è calcolata sulla popolazione di inizio periodo (popolazione censita al 31 dicembre 2019). I comuni con saldo pari a zero sono stati computati tra quelli con incremento di popolazione.</w:t>
            </w:r>
          </w:p>
        </w:tc>
      </w:tr>
      <w:tr w:rsidR="009816DA" w14:paraId="71D2FFEF" w14:textId="77777777" w:rsidTr="009816DA">
        <w:trPr>
          <w:trHeight w:val="210"/>
        </w:trPr>
        <w:tc>
          <w:tcPr>
            <w:tcW w:w="9600" w:type="dxa"/>
            <w:gridSpan w:val="7"/>
            <w:tcBorders>
              <w:top w:val="nil"/>
              <w:left w:val="nil"/>
              <w:bottom w:val="nil"/>
              <w:right w:val="nil"/>
            </w:tcBorders>
            <w:shd w:val="clear" w:color="auto" w:fill="auto"/>
            <w:noWrap/>
            <w:vAlign w:val="bottom"/>
            <w:hideMark/>
          </w:tcPr>
          <w:p w14:paraId="7534489F" w14:textId="77777777" w:rsidR="009816DA" w:rsidRDefault="009816DA">
            <w:pPr>
              <w:rPr>
                <w:rFonts w:ascii="Arial Narrow" w:hAnsi="Arial Narrow" w:cs="Calibri"/>
                <w:color w:val="000000"/>
                <w:sz w:val="16"/>
                <w:szCs w:val="16"/>
              </w:rPr>
            </w:pPr>
            <w:r>
              <w:rPr>
                <w:rFonts w:ascii="Arial Narrow" w:hAnsi="Arial Narrow" w:cs="Calibri"/>
                <w:color w:val="000000"/>
                <w:sz w:val="16"/>
                <w:szCs w:val="16"/>
              </w:rPr>
              <w:t>(b) Il valore percentuale è calcolato sul totale dei comuni.</w:t>
            </w:r>
          </w:p>
        </w:tc>
      </w:tr>
    </w:tbl>
    <w:p w14:paraId="70A3A8FB" w14:textId="77777777" w:rsidR="00B13ADF" w:rsidRPr="00E17E76" w:rsidRDefault="00B13ADF" w:rsidP="00B13ADF">
      <w:pPr>
        <w:spacing w:after="120"/>
        <w:jc w:val="both"/>
        <w:rPr>
          <w:rFonts w:ascii="Trebuchet MS" w:hAnsi="Trebuchet MS" w:cs="Arial"/>
          <w:b/>
          <w:color w:val="5F5F5F"/>
          <w:sz w:val="16"/>
          <w:szCs w:val="16"/>
        </w:rPr>
      </w:pPr>
    </w:p>
    <w:p w14:paraId="5132BF06" w14:textId="46D1B268" w:rsidR="000E7CDD" w:rsidRPr="00047761" w:rsidRDefault="008C7BC5" w:rsidP="00B13ADF">
      <w:pPr>
        <w:spacing w:after="120"/>
        <w:jc w:val="both"/>
        <w:rPr>
          <w:rFonts w:ascii="Trebuchet MS" w:hAnsi="Trebuchet MS" w:cs="Arial"/>
          <w:b/>
          <w:color w:val="5F5F5F"/>
          <w:sz w:val="22"/>
          <w:szCs w:val="22"/>
        </w:rPr>
      </w:pPr>
      <w:r>
        <w:rPr>
          <w:rFonts w:ascii="Trebuchet MS" w:hAnsi="Trebuchet MS" w:cs="Arial"/>
          <w:b/>
          <w:color w:val="5F5F5F"/>
          <w:sz w:val="22"/>
          <w:szCs w:val="22"/>
        </w:rPr>
        <w:t>D</w:t>
      </w:r>
      <w:r w:rsidR="00047761" w:rsidRPr="00047761">
        <w:rPr>
          <w:rFonts w:ascii="Trebuchet MS" w:hAnsi="Trebuchet MS" w:cs="Arial"/>
          <w:b/>
          <w:color w:val="5F5F5F"/>
          <w:sz w:val="22"/>
          <w:szCs w:val="22"/>
        </w:rPr>
        <w:t>inamica demografica durante la pandemia</w:t>
      </w:r>
      <w:r w:rsidR="00047761">
        <w:rPr>
          <w:rFonts w:ascii="Trebuchet MS" w:hAnsi="Trebuchet MS" w:cs="Arial"/>
          <w:b/>
          <w:color w:val="5F5F5F"/>
          <w:sz w:val="22"/>
          <w:szCs w:val="22"/>
        </w:rPr>
        <w:t xml:space="preserve"> </w:t>
      </w:r>
    </w:p>
    <w:p w14:paraId="2D8A278A" w14:textId="7AAB6D52" w:rsidR="00C62A02" w:rsidRDefault="00690044" w:rsidP="0054706B">
      <w:pPr>
        <w:autoSpaceDE w:val="0"/>
        <w:autoSpaceDN w:val="0"/>
        <w:adjustRightInd w:val="0"/>
        <w:spacing w:after="100"/>
        <w:jc w:val="both"/>
        <w:rPr>
          <w:rFonts w:ascii="Trebuchet MS" w:hAnsi="Trebuchet MS" w:cs="Arial"/>
          <w:color w:val="5F5F5F"/>
          <w:kern w:val="28"/>
          <w:sz w:val="20"/>
          <w:szCs w:val="20"/>
        </w:rPr>
      </w:pPr>
      <w:r>
        <w:rPr>
          <w:rFonts w:ascii="Trebuchet MS" w:hAnsi="Trebuchet MS" w:cs="Arial"/>
          <w:color w:val="5F5F5F"/>
          <w:kern w:val="28"/>
          <w:sz w:val="20"/>
          <w:szCs w:val="20"/>
        </w:rPr>
        <w:t xml:space="preserve">L’incremento della popolazione straniera </w:t>
      </w:r>
      <w:r w:rsidR="00C6239C">
        <w:rPr>
          <w:rFonts w:ascii="Trebuchet MS" w:hAnsi="Trebuchet MS" w:cs="Arial"/>
          <w:color w:val="5F5F5F"/>
          <w:kern w:val="28"/>
          <w:sz w:val="20"/>
          <w:szCs w:val="20"/>
        </w:rPr>
        <w:t xml:space="preserve">non ha </w:t>
      </w:r>
      <w:r>
        <w:rPr>
          <w:rFonts w:ascii="Trebuchet MS" w:hAnsi="Trebuchet MS" w:cs="Arial"/>
          <w:color w:val="5F5F5F"/>
          <w:kern w:val="28"/>
          <w:sz w:val="20"/>
          <w:szCs w:val="20"/>
        </w:rPr>
        <w:t xml:space="preserve">impedito il declino ascrivibile principalmente al deficit di “sostituzione naturale” tra nati e morti (saldo naturale). </w:t>
      </w:r>
      <w:r w:rsidR="0035382E">
        <w:rPr>
          <w:rFonts w:ascii="Trebuchet MS" w:hAnsi="Trebuchet MS" w:cs="Arial"/>
          <w:color w:val="5F5F5F"/>
          <w:kern w:val="28"/>
          <w:sz w:val="20"/>
          <w:szCs w:val="20"/>
        </w:rPr>
        <w:t>Questa</w:t>
      </w:r>
      <w:r w:rsidR="00AB33C6">
        <w:rPr>
          <w:rFonts w:ascii="Trebuchet MS" w:hAnsi="Trebuchet MS" w:cs="Arial"/>
          <w:color w:val="5F5F5F"/>
          <w:kern w:val="28"/>
          <w:sz w:val="20"/>
          <w:szCs w:val="20"/>
        </w:rPr>
        <w:t xml:space="preserve"> </w:t>
      </w:r>
      <w:r w:rsidR="00AB33C6" w:rsidRPr="002962F9">
        <w:rPr>
          <w:rFonts w:ascii="Trebuchet MS" w:hAnsi="Trebuchet MS" w:cs="Arial"/>
          <w:color w:val="5F5F5F"/>
          <w:kern w:val="28"/>
          <w:sz w:val="20"/>
          <w:szCs w:val="20"/>
        </w:rPr>
        <w:t xml:space="preserve">tendenza alla </w:t>
      </w:r>
      <w:r w:rsidR="0035382E" w:rsidRPr="002962F9">
        <w:rPr>
          <w:rFonts w:ascii="Trebuchet MS" w:hAnsi="Trebuchet MS" w:cs="Arial"/>
          <w:color w:val="5F5F5F"/>
          <w:kern w:val="28"/>
          <w:sz w:val="20"/>
          <w:szCs w:val="20"/>
        </w:rPr>
        <w:t>de</w:t>
      </w:r>
      <w:r w:rsidR="00AB33C6" w:rsidRPr="002962F9">
        <w:rPr>
          <w:rFonts w:ascii="Trebuchet MS" w:hAnsi="Trebuchet MS" w:cs="Arial"/>
          <w:color w:val="5F5F5F"/>
          <w:kern w:val="28"/>
          <w:sz w:val="20"/>
          <w:szCs w:val="20"/>
        </w:rPr>
        <w:t>crescita</w:t>
      </w:r>
      <w:r w:rsidR="00AB33C6">
        <w:rPr>
          <w:rFonts w:ascii="Trebuchet MS" w:hAnsi="Trebuchet MS" w:cs="Arial"/>
          <w:color w:val="5F5F5F"/>
          <w:kern w:val="28"/>
          <w:sz w:val="20"/>
          <w:szCs w:val="20"/>
        </w:rPr>
        <w:t xml:space="preserve"> demografica è stata ulteriormente</w:t>
      </w:r>
      <w:r w:rsidR="0035382E">
        <w:rPr>
          <w:rFonts w:ascii="Trebuchet MS" w:hAnsi="Trebuchet MS" w:cs="Arial"/>
          <w:color w:val="5F5F5F"/>
          <w:kern w:val="28"/>
          <w:sz w:val="20"/>
          <w:szCs w:val="20"/>
        </w:rPr>
        <w:t xml:space="preserve"> rafforzata</w:t>
      </w:r>
      <w:r w:rsidR="00AB33C6">
        <w:rPr>
          <w:rFonts w:ascii="Trebuchet MS" w:hAnsi="Trebuchet MS" w:cs="Arial"/>
          <w:color w:val="5F5F5F"/>
          <w:kern w:val="28"/>
          <w:sz w:val="20"/>
          <w:szCs w:val="20"/>
        </w:rPr>
        <w:t xml:space="preserve"> dalla pandemia da Covid-19. </w:t>
      </w:r>
      <w:r w:rsidR="0054706B">
        <w:rPr>
          <w:rFonts w:ascii="Trebuchet MS" w:hAnsi="Trebuchet MS" w:cs="Arial"/>
          <w:color w:val="5F5F5F"/>
          <w:kern w:val="28"/>
          <w:sz w:val="20"/>
          <w:szCs w:val="20"/>
        </w:rPr>
        <w:t>L’eccesso di decessi</w:t>
      </w:r>
      <w:r w:rsidR="00C62A02">
        <w:rPr>
          <w:rFonts w:ascii="Trebuchet MS" w:hAnsi="Trebuchet MS" w:cs="Arial"/>
          <w:color w:val="5F5F5F"/>
          <w:kern w:val="28"/>
          <w:sz w:val="20"/>
          <w:szCs w:val="20"/>
        </w:rPr>
        <w:t>,</w:t>
      </w:r>
      <w:r w:rsidR="0054706B">
        <w:rPr>
          <w:rFonts w:ascii="Trebuchet MS" w:hAnsi="Trebuchet MS" w:cs="Arial"/>
          <w:color w:val="5F5F5F"/>
          <w:kern w:val="28"/>
          <w:sz w:val="20"/>
          <w:szCs w:val="20"/>
        </w:rPr>
        <w:t xml:space="preserve"> direttam</w:t>
      </w:r>
      <w:r w:rsidR="008C15E9">
        <w:rPr>
          <w:rFonts w:ascii="Trebuchet MS" w:hAnsi="Trebuchet MS" w:cs="Arial"/>
          <w:color w:val="5F5F5F"/>
          <w:kern w:val="28"/>
          <w:sz w:val="20"/>
          <w:szCs w:val="20"/>
        </w:rPr>
        <w:t>ente o indirettamente riferibile</w:t>
      </w:r>
      <w:r w:rsidR="0054706B">
        <w:rPr>
          <w:rFonts w:ascii="Trebuchet MS" w:hAnsi="Trebuchet MS" w:cs="Arial"/>
          <w:color w:val="5F5F5F"/>
          <w:kern w:val="28"/>
          <w:sz w:val="20"/>
          <w:szCs w:val="20"/>
        </w:rPr>
        <w:t xml:space="preserve"> alla pandemia</w:t>
      </w:r>
      <w:r w:rsidR="00C62A02">
        <w:rPr>
          <w:rFonts w:ascii="Trebuchet MS" w:hAnsi="Trebuchet MS" w:cs="Arial"/>
          <w:color w:val="5F5F5F"/>
          <w:kern w:val="28"/>
          <w:sz w:val="20"/>
          <w:szCs w:val="20"/>
        </w:rPr>
        <w:t>,</w:t>
      </w:r>
      <w:r w:rsidR="00AB33C6">
        <w:rPr>
          <w:rFonts w:ascii="Trebuchet MS" w:hAnsi="Trebuchet MS" w:cs="Arial"/>
          <w:color w:val="5F5F5F"/>
          <w:kern w:val="28"/>
          <w:sz w:val="20"/>
          <w:szCs w:val="20"/>
        </w:rPr>
        <w:t xml:space="preserve"> </w:t>
      </w:r>
      <w:r w:rsidR="0054706B">
        <w:rPr>
          <w:rFonts w:ascii="Trebuchet MS" w:hAnsi="Trebuchet MS" w:cs="Arial"/>
          <w:color w:val="5F5F5F"/>
          <w:kern w:val="28"/>
          <w:sz w:val="20"/>
          <w:szCs w:val="20"/>
        </w:rPr>
        <w:t>ha comportato</w:t>
      </w:r>
      <w:r w:rsidR="0091287E">
        <w:rPr>
          <w:rFonts w:ascii="Trebuchet MS" w:hAnsi="Trebuchet MS" w:cs="Arial"/>
          <w:color w:val="5F5F5F"/>
          <w:kern w:val="28"/>
          <w:sz w:val="20"/>
          <w:szCs w:val="20"/>
        </w:rPr>
        <w:t xml:space="preserve"> in </w:t>
      </w:r>
      <w:r w:rsidR="00B82610">
        <w:rPr>
          <w:rFonts w:ascii="Trebuchet MS" w:hAnsi="Trebuchet MS" w:cs="Arial"/>
          <w:color w:val="5F5F5F"/>
          <w:kern w:val="28"/>
          <w:sz w:val="20"/>
          <w:szCs w:val="20"/>
        </w:rPr>
        <w:t>Lombardia</w:t>
      </w:r>
      <w:r w:rsidR="0054706B">
        <w:rPr>
          <w:rFonts w:ascii="Trebuchet MS" w:hAnsi="Trebuchet MS" w:cs="Arial"/>
          <w:color w:val="5F5F5F"/>
          <w:kern w:val="28"/>
          <w:sz w:val="20"/>
          <w:szCs w:val="20"/>
        </w:rPr>
        <w:t xml:space="preserve"> l’incremento del tasso di mortalità dal</w:t>
      </w:r>
      <w:r w:rsidR="00FB44E9">
        <w:rPr>
          <w:rFonts w:ascii="Trebuchet MS" w:hAnsi="Trebuchet MS" w:cs="Arial"/>
          <w:color w:val="5F5F5F"/>
          <w:kern w:val="28"/>
          <w:sz w:val="20"/>
          <w:szCs w:val="20"/>
        </w:rPr>
        <w:t xml:space="preserve"> </w:t>
      </w:r>
      <w:r w:rsidR="0035382E">
        <w:rPr>
          <w:rFonts w:ascii="Trebuchet MS" w:hAnsi="Trebuchet MS" w:cs="Arial"/>
          <w:color w:val="5F5F5F"/>
          <w:kern w:val="28"/>
          <w:sz w:val="20"/>
          <w:szCs w:val="20"/>
        </w:rPr>
        <w:t>10,0</w:t>
      </w:r>
      <w:r w:rsidR="0054706B">
        <w:rPr>
          <w:rFonts w:ascii="Trebuchet MS" w:hAnsi="Trebuchet MS" w:cs="Arial"/>
          <w:color w:val="5F5F5F"/>
          <w:kern w:val="28"/>
          <w:sz w:val="20"/>
          <w:szCs w:val="20"/>
        </w:rPr>
        <w:t xml:space="preserve"> del 2019 al 13</w:t>
      </w:r>
      <w:r w:rsidR="0035382E">
        <w:rPr>
          <w:rFonts w:ascii="Trebuchet MS" w:hAnsi="Trebuchet MS" w:cs="Arial"/>
          <w:color w:val="5F5F5F"/>
          <w:kern w:val="28"/>
          <w:sz w:val="20"/>
          <w:szCs w:val="20"/>
        </w:rPr>
        <w:t>,6</w:t>
      </w:r>
      <w:r w:rsidR="0054706B">
        <w:rPr>
          <w:rFonts w:ascii="Trebuchet MS" w:hAnsi="Trebuchet MS" w:cs="Arial"/>
          <w:color w:val="5F5F5F"/>
          <w:kern w:val="28"/>
          <w:sz w:val="20"/>
          <w:szCs w:val="20"/>
        </w:rPr>
        <w:t xml:space="preserve"> per mille</w:t>
      </w:r>
      <w:r w:rsidR="00AB33C6">
        <w:rPr>
          <w:rFonts w:ascii="Trebuchet MS" w:hAnsi="Trebuchet MS" w:cs="Arial"/>
          <w:color w:val="5F5F5F"/>
          <w:kern w:val="28"/>
          <w:sz w:val="20"/>
          <w:szCs w:val="20"/>
        </w:rPr>
        <w:t xml:space="preserve"> </w:t>
      </w:r>
      <w:r w:rsidR="00977C7B">
        <w:rPr>
          <w:rFonts w:ascii="Trebuchet MS" w:hAnsi="Trebuchet MS" w:cs="Arial"/>
          <w:color w:val="5F5F5F"/>
          <w:kern w:val="28"/>
          <w:sz w:val="20"/>
          <w:szCs w:val="20"/>
        </w:rPr>
        <w:t>del 2020</w:t>
      </w:r>
      <w:r w:rsidR="0054706B">
        <w:rPr>
          <w:rFonts w:ascii="Trebuchet MS" w:hAnsi="Trebuchet MS" w:cs="Arial"/>
          <w:color w:val="5F5F5F"/>
          <w:kern w:val="28"/>
          <w:sz w:val="20"/>
          <w:szCs w:val="20"/>
        </w:rPr>
        <w:t>, con il picco</w:t>
      </w:r>
      <w:r w:rsidR="0054706B" w:rsidRPr="001A4BED">
        <w:rPr>
          <w:rFonts w:ascii="Trebuchet MS" w:hAnsi="Trebuchet MS" w:cs="Arial"/>
          <w:color w:val="5F5F5F"/>
          <w:kern w:val="28"/>
          <w:sz w:val="20"/>
          <w:szCs w:val="20"/>
        </w:rPr>
        <w:t xml:space="preserve"> </w:t>
      </w:r>
      <w:r w:rsidR="0035382E">
        <w:rPr>
          <w:rFonts w:ascii="Trebuchet MS" w:hAnsi="Trebuchet MS" w:cs="Arial"/>
          <w:color w:val="5F5F5F"/>
          <w:kern w:val="28"/>
          <w:sz w:val="20"/>
          <w:szCs w:val="20"/>
        </w:rPr>
        <w:t>del 17</w:t>
      </w:r>
      <w:r w:rsidR="0054706B">
        <w:rPr>
          <w:rFonts w:ascii="Trebuchet MS" w:hAnsi="Trebuchet MS" w:cs="Arial"/>
          <w:color w:val="5F5F5F"/>
          <w:kern w:val="28"/>
          <w:sz w:val="20"/>
          <w:szCs w:val="20"/>
        </w:rPr>
        <w:t>,7 per mill</w:t>
      </w:r>
      <w:r w:rsidR="0035382E">
        <w:rPr>
          <w:rFonts w:ascii="Trebuchet MS" w:hAnsi="Trebuchet MS" w:cs="Arial"/>
          <w:color w:val="5F5F5F"/>
          <w:kern w:val="28"/>
          <w:sz w:val="20"/>
          <w:szCs w:val="20"/>
        </w:rPr>
        <w:t>e di Cremona</w:t>
      </w:r>
      <w:r w:rsidR="0054706B">
        <w:rPr>
          <w:rFonts w:ascii="Trebuchet MS" w:hAnsi="Trebuchet MS" w:cs="Arial"/>
          <w:color w:val="5F5F5F"/>
          <w:kern w:val="28"/>
          <w:sz w:val="20"/>
          <w:szCs w:val="20"/>
        </w:rPr>
        <w:t xml:space="preserve">. </w:t>
      </w:r>
    </w:p>
    <w:p w14:paraId="1D53601C" w14:textId="6EDFCEBB" w:rsidR="0054706B" w:rsidRDefault="0054706B" w:rsidP="0054706B">
      <w:pPr>
        <w:autoSpaceDE w:val="0"/>
        <w:autoSpaceDN w:val="0"/>
        <w:adjustRightInd w:val="0"/>
        <w:spacing w:after="100"/>
        <w:jc w:val="both"/>
        <w:rPr>
          <w:rFonts w:ascii="Trebuchet MS" w:hAnsi="Trebuchet MS" w:cs="Arial"/>
          <w:color w:val="5F5F5F"/>
          <w:kern w:val="28"/>
          <w:sz w:val="20"/>
          <w:szCs w:val="20"/>
        </w:rPr>
      </w:pPr>
      <w:r>
        <w:rPr>
          <w:rFonts w:ascii="Trebuchet MS" w:hAnsi="Trebuchet MS" w:cs="Arial"/>
          <w:color w:val="5F5F5F"/>
          <w:kern w:val="28"/>
          <w:sz w:val="20"/>
          <w:szCs w:val="20"/>
        </w:rPr>
        <w:t xml:space="preserve">Sulla natalità gli effetti sono meno </w:t>
      </w:r>
      <w:r w:rsidR="0004755B">
        <w:rPr>
          <w:rFonts w:ascii="Trebuchet MS" w:hAnsi="Trebuchet MS" w:cs="Arial"/>
          <w:color w:val="5F5F5F"/>
          <w:kern w:val="28"/>
          <w:sz w:val="20"/>
          <w:szCs w:val="20"/>
        </w:rPr>
        <w:t xml:space="preserve">immediati </w:t>
      </w:r>
      <w:r w:rsidR="004C31B9">
        <w:rPr>
          <w:rFonts w:ascii="Trebuchet MS" w:hAnsi="Trebuchet MS" w:cs="Arial"/>
          <w:color w:val="5F5F5F"/>
          <w:kern w:val="28"/>
          <w:sz w:val="20"/>
          <w:szCs w:val="20"/>
        </w:rPr>
        <w:t>e</w:t>
      </w:r>
      <w:r w:rsidR="0004755B">
        <w:rPr>
          <w:rFonts w:ascii="Trebuchet MS" w:hAnsi="Trebuchet MS" w:cs="Arial"/>
          <w:color w:val="5F5F5F"/>
          <w:kern w:val="28"/>
          <w:sz w:val="20"/>
          <w:szCs w:val="20"/>
        </w:rPr>
        <w:t xml:space="preserve"> il calo delle nascite</w:t>
      </w:r>
      <w:r w:rsidR="007A5978">
        <w:rPr>
          <w:rFonts w:ascii="Trebuchet MS" w:hAnsi="Trebuchet MS" w:cs="Arial"/>
          <w:color w:val="5F5F5F"/>
          <w:kern w:val="28"/>
          <w:sz w:val="20"/>
          <w:szCs w:val="20"/>
        </w:rPr>
        <w:t>,</w:t>
      </w:r>
      <w:r w:rsidR="0004755B">
        <w:rPr>
          <w:rFonts w:ascii="Trebuchet MS" w:hAnsi="Trebuchet MS" w:cs="Arial"/>
          <w:color w:val="5F5F5F"/>
          <w:kern w:val="28"/>
          <w:sz w:val="20"/>
          <w:szCs w:val="20"/>
        </w:rPr>
        <w:t xml:space="preserve"> registrato anche nel 2020</w:t>
      </w:r>
      <w:r w:rsidR="007A5978">
        <w:rPr>
          <w:rFonts w:ascii="Trebuchet MS" w:hAnsi="Trebuchet MS" w:cs="Arial"/>
          <w:color w:val="5F5F5F"/>
          <w:kern w:val="28"/>
          <w:sz w:val="20"/>
          <w:szCs w:val="20"/>
        </w:rPr>
        <w:t>,</w:t>
      </w:r>
      <w:r w:rsidR="0004755B">
        <w:rPr>
          <w:rFonts w:ascii="Trebuchet MS" w:hAnsi="Trebuchet MS" w:cs="Arial"/>
          <w:color w:val="5F5F5F"/>
          <w:kern w:val="28"/>
          <w:sz w:val="20"/>
          <w:szCs w:val="20"/>
        </w:rPr>
        <w:t xml:space="preserve"> è riconducibile </w:t>
      </w:r>
      <w:r w:rsidR="004C31B9">
        <w:rPr>
          <w:rFonts w:ascii="Trebuchet MS" w:hAnsi="Trebuchet MS" w:cs="Arial"/>
          <w:color w:val="5F5F5F"/>
          <w:kern w:val="28"/>
          <w:sz w:val="20"/>
          <w:szCs w:val="20"/>
        </w:rPr>
        <w:t xml:space="preserve">soprattutto a fattori pregressi, come </w:t>
      </w:r>
      <w:r w:rsidR="00DA4C5B">
        <w:rPr>
          <w:rFonts w:ascii="Trebuchet MS" w:hAnsi="Trebuchet MS" w:cs="Arial"/>
          <w:color w:val="5F5F5F"/>
          <w:kern w:val="28"/>
          <w:sz w:val="20"/>
          <w:szCs w:val="20"/>
        </w:rPr>
        <w:t xml:space="preserve">la </w:t>
      </w:r>
      <w:r w:rsidR="00977C7B">
        <w:rPr>
          <w:rFonts w:ascii="Trebuchet MS" w:hAnsi="Trebuchet MS" w:cs="Arial"/>
          <w:color w:val="5F5F5F"/>
          <w:kern w:val="28"/>
          <w:sz w:val="20"/>
          <w:szCs w:val="20"/>
        </w:rPr>
        <w:t>sistematica</w:t>
      </w:r>
      <w:r w:rsidR="00977C7B" w:rsidRPr="001A4BED">
        <w:rPr>
          <w:rFonts w:ascii="Trebuchet MS" w:hAnsi="Trebuchet MS" w:cs="Arial"/>
          <w:color w:val="5F5F5F"/>
          <w:kern w:val="28"/>
          <w:sz w:val="20"/>
          <w:szCs w:val="20"/>
        </w:rPr>
        <w:t xml:space="preserve"> </w:t>
      </w:r>
      <w:r w:rsidR="00DA4C5B" w:rsidRPr="001A4BED">
        <w:rPr>
          <w:rFonts w:ascii="Trebuchet MS" w:hAnsi="Trebuchet MS" w:cs="Arial"/>
          <w:color w:val="5F5F5F"/>
          <w:kern w:val="28"/>
          <w:sz w:val="20"/>
          <w:szCs w:val="20"/>
        </w:rPr>
        <w:t>riduzione della popolazione in età feconda</w:t>
      </w:r>
      <w:r w:rsidR="00DA4C5B">
        <w:rPr>
          <w:rFonts w:ascii="Trebuchet MS" w:hAnsi="Trebuchet MS" w:cs="Arial"/>
          <w:color w:val="5F5F5F"/>
          <w:kern w:val="28"/>
          <w:sz w:val="20"/>
          <w:szCs w:val="20"/>
        </w:rPr>
        <w:t>, la posticipazione nel progetto genitoriale</w:t>
      </w:r>
      <w:r w:rsidR="00DA4C5B" w:rsidRPr="001A4BED">
        <w:rPr>
          <w:rFonts w:ascii="Trebuchet MS" w:hAnsi="Trebuchet MS" w:cs="Arial"/>
          <w:color w:val="5F5F5F"/>
          <w:kern w:val="28"/>
          <w:sz w:val="20"/>
          <w:szCs w:val="20"/>
        </w:rPr>
        <w:t xml:space="preserve"> e </w:t>
      </w:r>
      <w:r w:rsidR="00DA4C5B">
        <w:rPr>
          <w:rFonts w:ascii="Trebuchet MS" w:hAnsi="Trebuchet MS" w:cs="Arial"/>
          <w:color w:val="5F5F5F"/>
          <w:kern w:val="28"/>
          <w:sz w:val="20"/>
          <w:szCs w:val="20"/>
        </w:rPr>
        <w:t xml:space="preserve">il </w:t>
      </w:r>
      <w:r w:rsidR="00DA4C5B" w:rsidRPr="001A4BED">
        <w:rPr>
          <w:rFonts w:ascii="Trebuchet MS" w:hAnsi="Trebuchet MS" w:cs="Arial"/>
          <w:color w:val="5F5F5F"/>
          <w:kern w:val="28"/>
          <w:sz w:val="20"/>
          <w:szCs w:val="20"/>
        </w:rPr>
        <w:t>clima di incertezza per il futuro</w:t>
      </w:r>
      <w:r w:rsidR="00DA4C5B">
        <w:rPr>
          <w:rFonts w:ascii="Trebuchet MS" w:hAnsi="Trebuchet MS" w:cs="Arial"/>
          <w:color w:val="5F5F5F"/>
          <w:kern w:val="28"/>
          <w:sz w:val="20"/>
          <w:szCs w:val="20"/>
        </w:rPr>
        <w:t>.</w:t>
      </w:r>
      <w:r>
        <w:rPr>
          <w:rFonts w:ascii="Trebuchet MS" w:hAnsi="Trebuchet MS" w:cs="Arial"/>
          <w:color w:val="5F5F5F"/>
          <w:kern w:val="28"/>
          <w:sz w:val="20"/>
          <w:szCs w:val="20"/>
        </w:rPr>
        <w:t xml:space="preserve"> </w:t>
      </w:r>
      <w:r w:rsidR="00977C7B">
        <w:rPr>
          <w:rFonts w:ascii="Trebuchet MS" w:hAnsi="Trebuchet MS" w:cs="Arial"/>
          <w:color w:val="5F5F5F"/>
          <w:kern w:val="28"/>
          <w:sz w:val="20"/>
          <w:szCs w:val="20"/>
        </w:rPr>
        <w:t>Tra il 2019 e il 2020 i</w:t>
      </w:r>
      <w:r>
        <w:rPr>
          <w:rFonts w:ascii="Trebuchet MS" w:hAnsi="Trebuchet MS" w:cs="Arial"/>
          <w:color w:val="5F5F5F"/>
          <w:kern w:val="28"/>
          <w:sz w:val="20"/>
          <w:szCs w:val="20"/>
        </w:rPr>
        <w:t>l tasso</w:t>
      </w:r>
      <w:r w:rsidR="00977C7B">
        <w:rPr>
          <w:rFonts w:ascii="Trebuchet MS" w:hAnsi="Trebuchet MS" w:cs="Arial"/>
          <w:color w:val="5F5F5F"/>
          <w:kern w:val="28"/>
          <w:sz w:val="20"/>
          <w:szCs w:val="20"/>
        </w:rPr>
        <w:t xml:space="preserve"> di natalità</w:t>
      </w:r>
      <w:r>
        <w:rPr>
          <w:rFonts w:ascii="Trebuchet MS" w:hAnsi="Trebuchet MS" w:cs="Arial"/>
          <w:color w:val="5F5F5F"/>
          <w:kern w:val="28"/>
          <w:sz w:val="20"/>
          <w:szCs w:val="20"/>
        </w:rPr>
        <w:t xml:space="preserve"> è </w:t>
      </w:r>
      <w:r w:rsidR="00C62A02">
        <w:rPr>
          <w:rFonts w:ascii="Trebuchet MS" w:hAnsi="Trebuchet MS" w:cs="Arial"/>
          <w:color w:val="5F5F5F"/>
          <w:kern w:val="28"/>
          <w:sz w:val="20"/>
          <w:szCs w:val="20"/>
        </w:rPr>
        <w:t>sceso</w:t>
      </w:r>
      <w:r w:rsidR="0035382E">
        <w:rPr>
          <w:rFonts w:ascii="Trebuchet MS" w:hAnsi="Trebuchet MS" w:cs="Arial"/>
          <w:color w:val="5F5F5F"/>
          <w:kern w:val="28"/>
          <w:sz w:val="20"/>
          <w:szCs w:val="20"/>
        </w:rPr>
        <w:t xml:space="preserve"> dal 7,3 al 6,9</w:t>
      </w:r>
      <w:r>
        <w:rPr>
          <w:rFonts w:ascii="Trebuchet MS" w:hAnsi="Trebuchet MS" w:cs="Arial"/>
          <w:color w:val="5F5F5F"/>
          <w:kern w:val="28"/>
          <w:sz w:val="20"/>
          <w:szCs w:val="20"/>
        </w:rPr>
        <w:t xml:space="preserve"> per mille, </w:t>
      </w:r>
      <w:r w:rsidR="00977C7B">
        <w:rPr>
          <w:rFonts w:ascii="Trebuchet MS" w:hAnsi="Trebuchet MS" w:cs="Arial"/>
          <w:color w:val="5F5F5F"/>
          <w:kern w:val="28"/>
          <w:sz w:val="20"/>
          <w:szCs w:val="20"/>
        </w:rPr>
        <w:t xml:space="preserve">con un calo particolarmente accentuato </w:t>
      </w:r>
      <w:r w:rsidR="0035382E">
        <w:rPr>
          <w:rFonts w:ascii="Trebuchet MS" w:hAnsi="Trebuchet MS" w:cs="Arial"/>
          <w:color w:val="5F5F5F"/>
          <w:kern w:val="28"/>
          <w:sz w:val="20"/>
          <w:szCs w:val="20"/>
        </w:rPr>
        <w:t>nella provincia di Sondrio (da 7,3 a 6,6</w:t>
      </w:r>
      <w:r>
        <w:rPr>
          <w:rFonts w:ascii="Trebuchet MS" w:hAnsi="Trebuchet MS" w:cs="Arial"/>
          <w:color w:val="5F5F5F"/>
          <w:kern w:val="28"/>
          <w:sz w:val="20"/>
          <w:szCs w:val="20"/>
        </w:rPr>
        <w:t xml:space="preserve"> per mille)</w:t>
      </w:r>
      <w:r w:rsidR="00C62A02">
        <w:rPr>
          <w:rFonts w:ascii="Trebuchet MS" w:hAnsi="Trebuchet MS" w:cs="Arial"/>
          <w:color w:val="5F5F5F"/>
          <w:kern w:val="28"/>
          <w:sz w:val="20"/>
          <w:szCs w:val="20"/>
        </w:rPr>
        <w:t xml:space="preserve"> (Prospetto 3)</w:t>
      </w:r>
      <w:r>
        <w:rPr>
          <w:rFonts w:ascii="Trebuchet MS" w:hAnsi="Trebuchet MS" w:cs="Arial"/>
          <w:color w:val="5F5F5F"/>
          <w:kern w:val="28"/>
          <w:sz w:val="20"/>
          <w:szCs w:val="20"/>
        </w:rPr>
        <w:t>.</w:t>
      </w:r>
    </w:p>
    <w:p w14:paraId="131F1B0F" w14:textId="5A8A08F0" w:rsidR="00B13ADF" w:rsidRPr="00997B8E" w:rsidRDefault="008547E6" w:rsidP="008547E6">
      <w:pPr>
        <w:autoSpaceDE w:val="0"/>
        <w:autoSpaceDN w:val="0"/>
        <w:adjustRightInd w:val="0"/>
        <w:spacing w:after="100"/>
        <w:jc w:val="both"/>
        <w:rPr>
          <w:rFonts w:ascii="Trebuchet MS" w:hAnsi="Trebuchet MS" w:cs="Arial"/>
          <w:color w:val="5F5F5F"/>
          <w:kern w:val="28"/>
          <w:sz w:val="20"/>
          <w:szCs w:val="20"/>
        </w:rPr>
      </w:pPr>
      <w:r w:rsidRPr="00997B8E">
        <w:rPr>
          <w:rFonts w:ascii="Trebuchet MS" w:hAnsi="Trebuchet MS" w:cs="Arial"/>
          <w:color w:val="5F5F5F"/>
          <w:kern w:val="28"/>
          <w:sz w:val="20"/>
          <w:szCs w:val="20"/>
        </w:rPr>
        <w:lastRenderedPageBreak/>
        <w:t xml:space="preserve">I movimenti tra comuni si sono ridotti drasticamente durante la prima ondata dell’epidemia, a causa del </w:t>
      </w:r>
      <w:r w:rsidRPr="00997B8E">
        <w:rPr>
          <w:rFonts w:ascii="Trebuchet MS" w:hAnsi="Trebuchet MS" w:cs="Arial"/>
          <w:i/>
          <w:iCs/>
          <w:color w:val="5F5F5F"/>
          <w:kern w:val="28"/>
          <w:sz w:val="20"/>
          <w:szCs w:val="20"/>
        </w:rPr>
        <w:t>lockdown</w:t>
      </w:r>
      <w:r w:rsidRPr="00997B8E">
        <w:rPr>
          <w:rFonts w:ascii="Trebuchet MS" w:hAnsi="Trebuchet MS" w:cs="Arial"/>
          <w:color w:val="5F5F5F"/>
          <w:kern w:val="28"/>
          <w:sz w:val="20"/>
          <w:szCs w:val="20"/>
        </w:rPr>
        <w:t xml:space="preserve"> di marzo che ha ridotto al minimo la mobilità residenziale, per poi riprendere nei</w:t>
      </w:r>
      <w:r w:rsidR="001B7A88" w:rsidRPr="00997B8E">
        <w:rPr>
          <w:rFonts w:ascii="Trebuchet MS" w:hAnsi="Trebuchet MS" w:cs="Arial"/>
          <w:color w:val="5F5F5F"/>
          <w:kern w:val="28"/>
          <w:sz w:val="20"/>
          <w:szCs w:val="20"/>
        </w:rPr>
        <w:t xml:space="preserve"> mesi successivi anche se</w:t>
      </w:r>
      <w:r w:rsidRPr="00997B8E">
        <w:rPr>
          <w:rFonts w:ascii="Trebuchet MS" w:hAnsi="Trebuchet MS" w:cs="Arial"/>
          <w:color w:val="5F5F5F"/>
          <w:kern w:val="28"/>
          <w:sz w:val="20"/>
          <w:szCs w:val="20"/>
        </w:rPr>
        <w:t>, senza blocchi generalizzati agli spostamenti,</w:t>
      </w:r>
      <w:r w:rsidR="001B7A88" w:rsidRPr="00997B8E">
        <w:rPr>
          <w:rFonts w:ascii="Trebuchet MS" w:hAnsi="Trebuchet MS" w:cs="Arial"/>
          <w:color w:val="5F5F5F"/>
          <w:kern w:val="28"/>
          <w:sz w:val="20"/>
          <w:szCs w:val="20"/>
        </w:rPr>
        <w:t xml:space="preserve"> non si è tornati</w:t>
      </w:r>
      <w:r w:rsidRPr="00997B8E">
        <w:rPr>
          <w:rFonts w:ascii="Trebuchet MS" w:hAnsi="Trebuchet MS" w:cs="Arial"/>
          <w:color w:val="5F5F5F"/>
          <w:kern w:val="28"/>
          <w:sz w:val="20"/>
          <w:szCs w:val="20"/>
        </w:rPr>
        <w:t xml:space="preserve"> ai livelli pre-Covid. Il tasso migratorio interno</w:t>
      </w:r>
      <w:r w:rsidR="00AB33C6" w:rsidRPr="00997B8E">
        <w:rPr>
          <w:rFonts w:ascii="Trebuchet MS" w:hAnsi="Trebuchet MS" w:cs="Arial"/>
          <w:color w:val="5F5F5F"/>
          <w:kern w:val="28"/>
          <w:sz w:val="20"/>
          <w:szCs w:val="20"/>
        </w:rPr>
        <w:t xml:space="preserve"> </w:t>
      </w:r>
      <w:r w:rsidR="001B7A88" w:rsidRPr="00997B8E">
        <w:rPr>
          <w:rFonts w:ascii="Trebuchet MS" w:hAnsi="Trebuchet MS" w:cs="Arial"/>
          <w:color w:val="5F5F5F"/>
          <w:kern w:val="28"/>
          <w:sz w:val="20"/>
          <w:szCs w:val="20"/>
        </w:rPr>
        <w:t xml:space="preserve">è infatti sceso dal 2,7 per mille </w:t>
      </w:r>
      <w:r w:rsidR="009A1D80" w:rsidRPr="00997B8E">
        <w:rPr>
          <w:rFonts w:ascii="Trebuchet MS" w:hAnsi="Trebuchet MS" w:cs="Arial"/>
          <w:color w:val="5F5F5F"/>
          <w:kern w:val="28"/>
          <w:sz w:val="20"/>
          <w:szCs w:val="20"/>
        </w:rPr>
        <w:t>d</w:t>
      </w:r>
      <w:r w:rsidR="001B7A88" w:rsidRPr="00997B8E">
        <w:rPr>
          <w:rFonts w:ascii="Trebuchet MS" w:hAnsi="Trebuchet MS" w:cs="Arial"/>
          <w:color w:val="5F5F5F"/>
          <w:kern w:val="28"/>
          <w:sz w:val="20"/>
          <w:szCs w:val="20"/>
        </w:rPr>
        <w:t>el 2019 all’1,3 del 2020</w:t>
      </w:r>
      <w:r w:rsidR="00AB33C6" w:rsidRPr="00997B8E">
        <w:rPr>
          <w:rFonts w:ascii="Trebuchet MS" w:hAnsi="Trebuchet MS" w:cs="Arial"/>
          <w:color w:val="5F5F5F"/>
          <w:kern w:val="28"/>
          <w:sz w:val="20"/>
          <w:szCs w:val="20"/>
        </w:rPr>
        <w:t xml:space="preserve">, </w:t>
      </w:r>
      <w:r w:rsidR="001B7A88" w:rsidRPr="00997B8E">
        <w:rPr>
          <w:rFonts w:ascii="Trebuchet MS" w:hAnsi="Trebuchet MS" w:cs="Arial"/>
          <w:color w:val="5F5F5F"/>
          <w:kern w:val="28"/>
          <w:sz w:val="20"/>
          <w:szCs w:val="20"/>
        </w:rPr>
        <w:t>con oscillazioni</w:t>
      </w:r>
      <w:r w:rsidRPr="00997B8E">
        <w:rPr>
          <w:rFonts w:ascii="Trebuchet MS" w:hAnsi="Trebuchet MS" w:cs="Arial"/>
          <w:color w:val="5F5F5F"/>
          <w:kern w:val="28"/>
          <w:sz w:val="20"/>
          <w:szCs w:val="20"/>
        </w:rPr>
        <w:t xml:space="preserve"> tra </w:t>
      </w:r>
      <w:r w:rsidR="00DF5BC7">
        <w:rPr>
          <w:rFonts w:ascii="Trebuchet MS" w:hAnsi="Trebuchet MS" w:cs="Arial"/>
          <w:color w:val="5F5F5F"/>
          <w:kern w:val="28"/>
          <w:sz w:val="20"/>
          <w:szCs w:val="20"/>
        </w:rPr>
        <w:t>lo 0,3</w:t>
      </w:r>
      <w:r w:rsidRPr="00997B8E">
        <w:rPr>
          <w:rFonts w:ascii="Trebuchet MS" w:hAnsi="Trebuchet MS" w:cs="Arial"/>
          <w:color w:val="5F5F5F"/>
          <w:kern w:val="28"/>
          <w:sz w:val="20"/>
          <w:szCs w:val="20"/>
        </w:rPr>
        <w:t xml:space="preserve"> per mille della provincia di </w:t>
      </w:r>
      <w:r w:rsidR="00866349" w:rsidRPr="00997B8E">
        <w:rPr>
          <w:rFonts w:ascii="Trebuchet MS" w:hAnsi="Trebuchet MS" w:cs="Arial"/>
          <w:color w:val="5F5F5F"/>
          <w:kern w:val="28"/>
          <w:sz w:val="20"/>
          <w:szCs w:val="20"/>
        </w:rPr>
        <w:t>Milano e il 3,1 di Monza e della Brianza</w:t>
      </w:r>
      <w:r w:rsidRPr="00997B8E">
        <w:rPr>
          <w:rFonts w:ascii="Trebuchet MS" w:hAnsi="Trebuchet MS" w:cs="Arial"/>
          <w:color w:val="5F5F5F"/>
          <w:kern w:val="28"/>
          <w:sz w:val="20"/>
          <w:szCs w:val="20"/>
        </w:rPr>
        <w:t>.</w:t>
      </w:r>
    </w:p>
    <w:p w14:paraId="09EEB2F6" w14:textId="00297576" w:rsidR="00AE59C4" w:rsidRDefault="001B7A88" w:rsidP="008547E6">
      <w:pPr>
        <w:autoSpaceDE w:val="0"/>
        <w:autoSpaceDN w:val="0"/>
        <w:adjustRightInd w:val="0"/>
        <w:spacing w:after="100"/>
        <w:jc w:val="both"/>
        <w:rPr>
          <w:rFonts w:ascii="Trebuchet MS" w:hAnsi="Trebuchet MS" w:cs="Arial"/>
          <w:color w:val="5F5F5F"/>
          <w:kern w:val="28"/>
          <w:sz w:val="20"/>
          <w:szCs w:val="20"/>
        </w:rPr>
      </w:pPr>
      <w:r w:rsidRPr="00997B8E">
        <w:rPr>
          <w:rFonts w:ascii="Trebuchet MS" w:hAnsi="Trebuchet MS" w:cs="Arial"/>
          <w:color w:val="5F5F5F"/>
          <w:kern w:val="28"/>
          <w:sz w:val="20"/>
          <w:szCs w:val="20"/>
        </w:rPr>
        <w:t xml:space="preserve">Analoghe </w:t>
      </w:r>
      <w:r w:rsidR="008547E6" w:rsidRPr="00997B8E">
        <w:rPr>
          <w:rFonts w:ascii="Trebuchet MS" w:hAnsi="Trebuchet MS" w:cs="Arial"/>
          <w:color w:val="5F5F5F"/>
          <w:kern w:val="28"/>
          <w:sz w:val="20"/>
          <w:szCs w:val="20"/>
        </w:rPr>
        <w:t xml:space="preserve">ripercussioni </w:t>
      </w:r>
      <w:r w:rsidRPr="00997B8E">
        <w:rPr>
          <w:rFonts w:ascii="Trebuchet MS" w:hAnsi="Trebuchet MS" w:cs="Arial"/>
          <w:color w:val="5F5F5F"/>
          <w:kern w:val="28"/>
          <w:sz w:val="20"/>
          <w:szCs w:val="20"/>
        </w:rPr>
        <w:t>si rilevano anche</w:t>
      </w:r>
      <w:r w:rsidR="008547E6" w:rsidRPr="00997B8E">
        <w:rPr>
          <w:rFonts w:ascii="Trebuchet MS" w:hAnsi="Trebuchet MS" w:cs="Arial"/>
          <w:color w:val="5F5F5F"/>
          <w:kern w:val="28"/>
          <w:sz w:val="20"/>
          <w:szCs w:val="20"/>
        </w:rPr>
        <w:t xml:space="preserve"> sui movimenti migratori internazionali. Il tasso migratorio estero, pur rimanendo positivo in tutte le province, si riduce in modo consistente rispetto al 2019</w:t>
      </w:r>
      <w:r w:rsidR="008547E6" w:rsidRPr="001A4BED">
        <w:rPr>
          <w:rFonts w:ascii="Trebuchet MS" w:hAnsi="Trebuchet MS" w:cs="Arial"/>
          <w:color w:val="5F5F5F"/>
          <w:kern w:val="28"/>
          <w:sz w:val="20"/>
          <w:szCs w:val="20"/>
        </w:rPr>
        <w:t xml:space="preserve"> </w:t>
      </w:r>
      <w:r w:rsidR="00EF74B2">
        <w:rPr>
          <w:rFonts w:ascii="Trebuchet MS" w:hAnsi="Trebuchet MS" w:cs="Arial"/>
          <w:color w:val="5F5F5F"/>
          <w:kern w:val="28"/>
          <w:sz w:val="20"/>
          <w:szCs w:val="20"/>
        </w:rPr>
        <w:t>(dal 3,6 all’1,8</w:t>
      </w:r>
      <w:r w:rsidR="008547E6">
        <w:rPr>
          <w:rFonts w:ascii="Trebuchet MS" w:hAnsi="Trebuchet MS" w:cs="Arial"/>
          <w:color w:val="5F5F5F"/>
          <w:kern w:val="28"/>
          <w:sz w:val="20"/>
          <w:szCs w:val="20"/>
        </w:rPr>
        <w:t xml:space="preserve"> per mille). Spicca il caso di </w:t>
      </w:r>
      <w:r w:rsidR="00B6325F">
        <w:rPr>
          <w:rFonts w:ascii="Trebuchet MS" w:hAnsi="Trebuchet MS" w:cs="Arial"/>
          <w:color w:val="5F5F5F"/>
          <w:kern w:val="28"/>
          <w:sz w:val="20"/>
          <w:szCs w:val="20"/>
        </w:rPr>
        <w:t>Brescia</w:t>
      </w:r>
      <w:r w:rsidR="008547E6" w:rsidRPr="00C438B8">
        <w:rPr>
          <w:rFonts w:ascii="Trebuchet MS" w:hAnsi="Trebuchet MS" w:cs="Arial"/>
          <w:color w:val="5F5F5F"/>
          <w:kern w:val="28"/>
          <w:sz w:val="20"/>
          <w:szCs w:val="20"/>
        </w:rPr>
        <w:t xml:space="preserve">, </w:t>
      </w:r>
      <w:r w:rsidR="00A85631">
        <w:rPr>
          <w:rFonts w:ascii="Trebuchet MS" w:hAnsi="Trebuchet MS" w:cs="Arial"/>
          <w:color w:val="5F5F5F"/>
          <w:kern w:val="28"/>
          <w:sz w:val="20"/>
          <w:szCs w:val="20"/>
        </w:rPr>
        <w:t>dove il tasso migratorio passa dal 3,6 per mille nel 2019 allo 0,9 nel 2020.</w:t>
      </w:r>
    </w:p>
    <w:p w14:paraId="606FB9A8" w14:textId="77777777" w:rsidR="00356DE1" w:rsidRPr="00E17E76" w:rsidRDefault="00356DE1" w:rsidP="008547E6">
      <w:pPr>
        <w:autoSpaceDE w:val="0"/>
        <w:autoSpaceDN w:val="0"/>
        <w:adjustRightInd w:val="0"/>
        <w:spacing w:after="100"/>
        <w:jc w:val="both"/>
        <w:rPr>
          <w:rFonts w:ascii="Trebuchet MS" w:hAnsi="Trebuchet MS" w:cs="Arial"/>
          <w:color w:val="5F5F5F"/>
          <w:kern w:val="28"/>
          <w:sz w:val="14"/>
          <w:szCs w:val="14"/>
        </w:rPr>
      </w:pPr>
    </w:p>
    <w:p w14:paraId="0490DF28" w14:textId="36E39AA7" w:rsidR="009B4983" w:rsidRPr="00047761" w:rsidRDefault="009B4983" w:rsidP="009B4983">
      <w:pPr>
        <w:spacing w:after="120"/>
        <w:jc w:val="both"/>
        <w:rPr>
          <w:rFonts w:ascii="Trebuchet MS" w:hAnsi="Trebuchet MS" w:cs="Arial"/>
          <w:b/>
          <w:color w:val="595959" w:themeColor="text1" w:themeTint="A6"/>
          <w:sz w:val="21"/>
          <w:szCs w:val="21"/>
        </w:rPr>
      </w:pPr>
      <w:r w:rsidRPr="00047761">
        <w:rPr>
          <w:rFonts w:ascii="Arial Narrow" w:hAnsi="Arial Narrow" w:cs="Calibri"/>
          <w:b/>
          <w:bCs/>
          <w:color w:val="595959" w:themeColor="text1" w:themeTint="A6"/>
          <w:sz w:val="22"/>
          <w:szCs w:val="22"/>
        </w:rPr>
        <w:t xml:space="preserve">PROSPETTO 3. </w:t>
      </w:r>
      <w:r w:rsidRPr="00047761">
        <w:rPr>
          <w:rFonts w:ascii="Arial Narrow" w:hAnsi="Arial Narrow" w:cs="Calibri"/>
          <w:color w:val="595959" w:themeColor="text1" w:themeTint="A6"/>
          <w:sz w:val="22"/>
          <w:szCs w:val="22"/>
        </w:rPr>
        <w:t xml:space="preserve">TASSI DI NATALITÀ, MORTALITÀ’ E MIGRATORIETÀ’ INTERNA ED ESTERA PER PROVINCIA. </w:t>
      </w:r>
      <w:r w:rsidR="00F96E4E">
        <w:rPr>
          <w:rFonts w:ascii="Arial Narrow" w:hAnsi="Arial Narrow" w:cs="Calibri"/>
          <w:color w:val="595959" w:themeColor="text1" w:themeTint="A6"/>
          <w:sz w:val="22"/>
          <w:szCs w:val="22"/>
        </w:rPr>
        <w:t>Anni</w:t>
      </w:r>
      <w:r w:rsidR="00F96E4E" w:rsidRPr="00047761">
        <w:rPr>
          <w:rFonts w:ascii="Arial Narrow" w:hAnsi="Arial Narrow" w:cs="Calibri"/>
          <w:color w:val="595959" w:themeColor="text1" w:themeTint="A6"/>
          <w:sz w:val="22"/>
          <w:szCs w:val="22"/>
        </w:rPr>
        <w:t xml:space="preserve"> </w:t>
      </w:r>
      <w:r w:rsidRPr="00047761">
        <w:rPr>
          <w:rFonts w:ascii="Arial Narrow" w:hAnsi="Arial Narrow" w:cs="Calibri"/>
          <w:color w:val="595959" w:themeColor="text1" w:themeTint="A6"/>
          <w:sz w:val="22"/>
          <w:szCs w:val="22"/>
        </w:rPr>
        <w:t>2019 e 2020. Valori per mille</w:t>
      </w:r>
    </w:p>
    <w:tbl>
      <w:tblPr>
        <w:tblW w:w="9640" w:type="dxa"/>
        <w:tblCellMar>
          <w:left w:w="70" w:type="dxa"/>
          <w:right w:w="70" w:type="dxa"/>
        </w:tblCellMar>
        <w:tblLook w:val="04A0" w:firstRow="1" w:lastRow="0" w:firstColumn="1" w:lastColumn="0" w:noHBand="0" w:noVBand="1"/>
      </w:tblPr>
      <w:tblGrid>
        <w:gridCol w:w="1736"/>
        <w:gridCol w:w="988"/>
        <w:gridCol w:w="988"/>
        <w:gridCol w:w="988"/>
        <w:gridCol w:w="988"/>
        <w:gridCol w:w="988"/>
        <w:gridCol w:w="988"/>
        <w:gridCol w:w="988"/>
        <w:gridCol w:w="988"/>
      </w:tblGrid>
      <w:tr w:rsidR="00E36C1E" w14:paraId="20FA3E3B" w14:textId="77777777" w:rsidTr="00E36C1E">
        <w:trPr>
          <w:trHeight w:val="300"/>
        </w:trPr>
        <w:tc>
          <w:tcPr>
            <w:tcW w:w="1736" w:type="dxa"/>
            <w:vMerge w:val="restart"/>
            <w:tcBorders>
              <w:top w:val="single" w:sz="4" w:space="0" w:color="auto"/>
              <w:left w:val="nil"/>
              <w:bottom w:val="single" w:sz="4" w:space="0" w:color="auto"/>
              <w:right w:val="nil"/>
            </w:tcBorders>
            <w:shd w:val="clear" w:color="auto" w:fill="auto"/>
            <w:vAlign w:val="center"/>
            <w:hideMark/>
          </w:tcPr>
          <w:p w14:paraId="3CBF2CEB" w14:textId="77777777" w:rsidR="00E36C1E" w:rsidRDefault="00E36C1E">
            <w:pPr>
              <w:rPr>
                <w:rFonts w:ascii="Arial Narrow" w:hAnsi="Arial Narrow" w:cs="Calibri"/>
                <w:b/>
                <w:bCs/>
                <w:color w:val="000000"/>
                <w:sz w:val="18"/>
                <w:szCs w:val="18"/>
              </w:rPr>
            </w:pPr>
            <w:r>
              <w:rPr>
                <w:rFonts w:ascii="Arial Narrow" w:hAnsi="Arial Narrow" w:cs="Calibri"/>
                <w:b/>
                <w:bCs/>
                <w:color w:val="000000"/>
                <w:sz w:val="18"/>
                <w:szCs w:val="18"/>
              </w:rPr>
              <w:t>PROVINCE</w:t>
            </w:r>
          </w:p>
        </w:tc>
        <w:tc>
          <w:tcPr>
            <w:tcW w:w="1976" w:type="dxa"/>
            <w:gridSpan w:val="2"/>
            <w:tcBorders>
              <w:top w:val="single" w:sz="4" w:space="0" w:color="auto"/>
              <w:left w:val="nil"/>
              <w:bottom w:val="single" w:sz="4" w:space="0" w:color="auto"/>
              <w:right w:val="nil"/>
            </w:tcBorders>
            <w:shd w:val="clear" w:color="000000" w:fill="D9D9D9"/>
            <w:noWrap/>
            <w:vAlign w:val="center"/>
            <w:hideMark/>
          </w:tcPr>
          <w:p w14:paraId="0D2AF4F0" w14:textId="77777777" w:rsidR="00E36C1E" w:rsidRDefault="00E36C1E">
            <w:pPr>
              <w:jc w:val="center"/>
              <w:rPr>
                <w:rFonts w:ascii="Arial Narrow" w:hAnsi="Arial Narrow" w:cs="Calibri"/>
                <w:b/>
                <w:bCs/>
                <w:color w:val="000000"/>
                <w:sz w:val="18"/>
                <w:szCs w:val="18"/>
              </w:rPr>
            </w:pPr>
            <w:r>
              <w:rPr>
                <w:rFonts w:ascii="Arial Narrow" w:hAnsi="Arial Narrow" w:cs="Calibri"/>
                <w:b/>
                <w:bCs/>
                <w:color w:val="000000"/>
                <w:sz w:val="18"/>
                <w:szCs w:val="18"/>
              </w:rPr>
              <w:t>Tasso natalità</w:t>
            </w:r>
          </w:p>
        </w:tc>
        <w:tc>
          <w:tcPr>
            <w:tcW w:w="1976" w:type="dxa"/>
            <w:gridSpan w:val="2"/>
            <w:tcBorders>
              <w:top w:val="single" w:sz="4" w:space="0" w:color="auto"/>
              <w:left w:val="nil"/>
              <w:bottom w:val="single" w:sz="4" w:space="0" w:color="auto"/>
              <w:right w:val="nil"/>
            </w:tcBorders>
            <w:shd w:val="clear" w:color="000000" w:fill="FFFFFF"/>
            <w:noWrap/>
            <w:vAlign w:val="center"/>
            <w:hideMark/>
          </w:tcPr>
          <w:p w14:paraId="44034C31" w14:textId="77777777" w:rsidR="00E36C1E" w:rsidRDefault="00E36C1E">
            <w:pPr>
              <w:jc w:val="center"/>
              <w:rPr>
                <w:rFonts w:ascii="Arial Narrow" w:hAnsi="Arial Narrow" w:cs="Calibri"/>
                <w:b/>
                <w:bCs/>
                <w:color w:val="000000"/>
                <w:sz w:val="18"/>
                <w:szCs w:val="18"/>
              </w:rPr>
            </w:pPr>
            <w:r>
              <w:rPr>
                <w:rFonts w:ascii="Arial Narrow" w:hAnsi="Arial Narrow" w:cs="Calibri"/>
                <w:b/>
                <w:bCs/>
                <w:color w:val="000000"/>
                <w:sz w:val="18"/>
                <w:szCs w:val="18"/>
              </w:rPr>
              <w:t>Tasso di mortalità</w:t>
            </w:r>
          </w:p>
        </w:tc>
        <w:tc>
          <w:tcPr>
            <w:tcW w:w="1976" w:type="dxa"/>
            <w:gridSpan w:val="2"/>
            <w:tcBorders>
              <w:top w:val="single" w:sz="4" w:space="0" w:color="auto"/>
              <w:left w:val="nil"/>
              <w:bottom w:val="single" w:sz="4" w:space="0" w:color="auto"/>
              <w:right w:val="nil"/>
            </w:tcBorders>
            <w:shd w:val="clear" w:color="000000" w:fill="D9D9D9"/>
            <w:noWrap/>
            <w:vAlign w:val="center"/>
            <w:hideMark/>
          </w:tcPr>
          <w:p w14:paraId="4D8EC5B2" w14:textId="77777777" w:rsidR="00E36C1E" w:rsidRDefault="00E36C1E">
            <w:pPr>
              <w:jc w:val="center"/>
              <w:rPr>
                <w:rFonts w:ascii="Arial Narrow" w:hAnsi="Arial Narrow" w:cs="Calibri"/>
                <w:b/>
                <w:bCs/>
                <w:color w:val="000000"/>
                <w:sz w:val="18"/>
                <w:szCs w:val="18"/>
              </w:rPr>
            </w:pPr>
            <w:r>
              <w:rPr>
                <w:rFonts w:ascii="Arial Narrow" w:hAnsi="Arial Narrow" w:cs="Calibri"/>
                <w:b/>
                <w:bCs/>
                <w:color w:val="000000"/>
                <w:sz w:val="18"/>
                <w:szCs w:val="18"/>
              </w:rPr>
              <w:t>Tasso migratorio interno</w:t>
            </w:r>
          </w:p>
        </w:tc>
        <w:tc>
          <w:tcPr>
            <w:tcW w:w="1976" w:type="dxa"/>
            <w:gridSpan w:val="2"/>
            <w:tcBorders>
              <w:top w:val="single" w:sz="4" w:space="0" w:color="auto"/>
              <w:left w:val="nil"/>
              <w:bottom w:val="single" w:sz="4" w:space="0" w:color="auto"/>
              <w:right w:val="nil"/>
            </w:tcBorders>
            <w:shd w:val="clear" w:color="000000" w:fill="FFFFFF"/>
            <w:noWrap/>
            <w:vAlign w:val="center"/>
            <w:hideMark/>
          </w:tcPr>
          <w:p w14:paraId="79432BF5" w14:textId="77777777" w:rsidR="00E36C1E" w:rsidRDefault="00E36C1E">
            <w:pPr>
              <w:jc w:val="center"/>
              <w:rPr>
                <w:rFonts w:ascii="Arial Narrow" w:hAnsi="Arial Narrow" w:cs="Calibri"/>
                <w:b/>
                <w:bCs/>
                <w:color w:val="000000"/>
                <w:sz w:val="18"/>
                <w:szCs w:val="18"/>
              </w:rPr>
            </w:pPr>
            <w:r>
              <w:rPr>
                <w:rFonts w:ascii="Arial Narrow" w:hAnsi="Arial Narrow" w:cs="Calibri"/>
                <w:b/>
                <w:bCs/>
                <w:color w:val="000000"/>
                <w:sz w:val="18"/>
                <w:szCs w:val="18"/>
              </w:rPr>
              <w:t>Tasso migratorio estero</w:t>
            </w:r>
          </w:p>
        </w:tc>
      </w:tr>
      <w:tr w:rsidR="00E36C1E" w14:paraId="39498016" w14:textId="77777777" w:rsidTr="00E36C1E">
        <w:trPr>
          <w:trHeight w:val="300"/>
        </w:trPr>
        <w:tc>
          <w:tcPr>
            <w:tcW w:w="1736" w:type="dxa"/>
            <w:vMerge/>
            <w:tcBorders>
              <w:top w:val="single" w:sz="4" w:space="0" w:color="auto"/>
              <w:left w:val="nil"/>
              <w:bottom w:val="single" w:sz="4" w:space="0" w:color="auto"/>
              <w:right w:val="nil"/>
            </w:tcBorders>
            <w:vAlign w:val="center"/>
            <w:hideMark/>
          </w:tcPr>
          <w:p w14:paraId="3B322A63" w14:textId="77777777" w:rsidR="00E36C1E" w:rsidRDefault="00E36C1E">
            <w:pPr>
              <w:rPr>
                <w:rFonts w:ascii="Arial Narrow" w:hAnsi="Arial Narrow" w:cs="Calibri"/>
                <w:b/>
                <w:bCs/>
                <w:color w:val="000000"/>
                <w:sz w:val="18"/>
                <w:szCs w:val="18"/>
              </w:rPr>
            </w:pPr>
          </w:p>
        </w:tc>
        <w:tc>
          <w:tcPr>
            <w:tcW w:w="988" w:type="dxa"/>
            <w:tcBorders>
              <w:top w:val="nil"/>
              <w:left w:val="nil"/>
              <w:bottom w:val="single" w:sz="4" w:space="0" w:color="auto"/>
              <w:right w:val="nil"/>
            </w:tcBorders>
            <w:shd w:val="clear" w:color="000000" w:fill="FFFFFF"/>
            <w:noWrap/>
            <w:vAlign w:val="center"/>
            <w:hideMark/>
          </w:tcPr>
          <w:p w14:paraId="0E90E059"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2019</w:t>
            </w:r>
          </w:p>
        </w:tc>
        <w:tc>
          <w:tcPr>
            <w:tcW w:w="988" w:type="dxa"/>
            <w:tcBorders>
              <w:top w:val="nil"/>
              <w:left w:val="nil"/>
              <w:bottom w:val="single" w:sz="4" w:space="0" w:color="auto"/>
              <w:right w:val="nil"/>
            </w:tcBorders>
            <w:shd w:val="clear" w:color="000000" w:fill="FFFFFF"/>
            <w:noWrap/>
            <w:vAlign w:val="center"/>
            <w:hideMark/>
          </w:tcPr>
          <w:p w14:paraId="66FB7BA3"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2020</w:t>
            </w:r>
          </w:p>
        </w:tc>
        <w:tc>
          <w:tcPr>
            <w:tcW w:w="988" w:type="dxa"/>
            <w:tcBorders>
              <w:top w:val="nil"/>
              <w:left w:val="nil"/>
              <w:bottom w:val="single" w:sz="4" w:space="0" w:color="auto"/>
              <w:right w:val="nil"/>
            </w:tcBorders>
            <w:shd w:val="clear" w:color="000000" w:fill="FFFFFF"/>
            <w:noWrap/>
            <w:vAlign w:val="center"/>
            <w:hideMark/>
          </w:tcPr>
          <w:p w14:paraId="58C31D17"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2019</w:t>
            </w:r>
          </w:p>
        </w:tc>
        <w:tc>
          <w:tcPr>
            <w:tcW w:w="988" w:type="dxa"/>
            <w:tcBorders>
              <w:top w:val="nil"/>
              <w:left w:val="nil"/>
              <w:bottom w:val="single" w:sz="4" w:space="0" w:color="auto"/>
              <w:right w:val="nil"/>
            </w:tcBorders>
            <w:shd w:val="clear" w:color="000000" w:fill="FFFFFF"/>
            <w:noWrap/>
            <w:vAlign w:val="center"/>
            <w:hideMark/>
          </w:tcPr>
          <w:p w14:paraId="503FE561"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2020</w:t>
            </w:r>
          </w:p>
        </w:tc>
        <w:tc>
          <w:tcPr>
            <w:tcW w:w="988" w:type="dxa"/>
            <w:tcBorders>
              <w:top w:val="nil"/>
              <w:left w:val="nil"/>
              <w:bottom w:val="single" w:sz="4" w:space="0" w:color="auto"/>
              <w:right w:val="nil"/>
            </w:tcBorders>
            <w:shd w:val="clear" w:color="000000" w:fill="FFFFFF"/>
            <w:noWrap/>
            <w:vAlign w:val="center"/>
            <w:hideMark/>
          </w:tcPr>
          <w:p w14:paraId="3E4F94E7"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2019</w:t>
            </w:r>
          </w:p>
        </w:tc>
        <w:tc>
          <w:tcPr>
            <w:tcW w:w="988" w:type="dxa"/>
            <w:tcBorders>
              <w:top w:val="nil"/>
              <w:left w:val="nil"/>
              <w:bottom w:val="single" w:sz="4" w:space="0" w:color="auto"/>
              <w:right w:val="nil"/>
            </w:tcBorders>
            <w:shd w:val="clear" w:color="000000" w:fill="FFFFFF"/>
            <w:noWrap/>
            <w:vAlign w:val="center"/>
            <w:hideMark/>
          </w:tcPr>
          <w:p w14:paraId="0E103385"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2020</w:t>
            </w:r>
          </w:p>
        </w:tc>
        <w:tc>
          <w:tcPr>
            <w:tcW w:w="988" w:type="dxa"/>
            <w:tcBorders>
              <w:top w:val="nil"/>
              <w:left w:val="nil"/>
              <w:bottom w:val="single" w:sz="4" w:space="0" w:color="auto"/>
              <w:right w:val="nil"/>
            </w:tcBorders>
            <w:shd w:val="clear" w:color="000000" w:fill="FFFFFF"/>
            <w:noWrap/>
            <w:vAlign w:val="center"/>
            <w:hideMark/>
          </w:tcPr>
          <w:p w14:paraId="1E952160"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2019</w:t>
            </w:r>
          </w:p>
        </w:tc>
        <w:tc>
          <w:tcPr>
            <w:tcW w:w="988" w:type="dxa"/>
            <w:tcBorders>
              <w:top w:val="nil"/>
              <w:left w:val="nil"/>
              <w:bottom w:val="single" w:sz="4" w:space="0" w:color="auto"/>
              <w:right w:val="nil"/>
            </w:tcBorders>
            <w:shd w:val="clear" w:color="000000" w:fill="FFFFFF"/>
            <w:noWrap/>
            <w:vAlign w:val="center"/>
            <w:hideMark/>
          </w:tcPr>
          <w:p w14:paraId="5A2E3238"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2020</w:t>
            </w:r>
          </w:p>
        </w:tc>
      </w:tr>
      <w:tr w:rsidR="00E36C1E" w14:paraId="685411E2" w14:textId="77777777" w:rsidTr="00E36C1E">
        <w:trPr>
          <w:trHeight w:val="300"/>
        </w:trPr>
        <w:tc>
          <w:tcPr>
            <w:tcW w:w="1736" w:type="dxa"/>
            <w:tcBorders>
              <w:top w:val="single" w:sz="4" w:space="0" w:color="262626"/>
              <w:left w:val="nil"/>
              <w:bottom w:val="single" w:sz="4" w:space="0" w:color="262626"/>
              <w:right w:val="nil"/>
            </w:tcBorders>
            <w:shd w:val="clear" w:color="auto" w:fill="auto"/>
            <w:noWrap/>
            <w:vAlign w:val="center"/>
            <w:hideMark/>
          </w:tcPr>
          <w:p w14:paraId="53C39B7D" w14:textId="77777777" w:rsidR="00E36C1E" w:rsidRDefault="00E36C1E">
            <w:pPr>
              <w:rPr>
                <w:rFonts w:ascii="Arial Narrow" w:hAnsi="Arial Narrow" w:cs="Calibri"/>
                <w:color w:val="000000"/>
                <w:sz w:val="18"/>
                <w:szCs w:val="18"/>
              </w:rPr>
            </w:pPr>
            <w:r>
              <w:rPr>
                <w:rFonts w:ascii="Arial Narrow" w:hAnsi="Arial Narrow" w:cs="Calibri"/>
                <w:color w:val="000000"/>
                <w:sz w:val="18"/>
                <w:szCs w:val="18"/>
              </w:rPr>
              <w:t>Bergamo</w:t>
            </w:r>
          </w:p>
        </w:tc>
        <w:tc>
          <w:tcPr>
            <w:tcW w:w="988" w:type="dxa"/>
            <w:tcBorders>
              <w:top w:val="single" w:sz="4" w:space="0" w:color="262626"/>
              <w:left w:val="nil"/>
              <w:bottom w:val="single" w:sz="4" w:space="0" w:color="262626"/>
              <w:right w:val="nil"/>
            </w:tcBorders>
            <w:shd w:val="clear" w:color="000000" w:fill="D9D9D9"/>
            <w:noWrap/>
            <w:vAlign w:val="center"/>
            <w:hideMark/>
          </w:tcPr>
          <w:p w14:paraId="1230FFE7"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7,5</w:t>
            </w:r>
          </w:p>
        </w:tc>
        <w:tc>
          <w:tcPr>
            <w:tcW w:w="988" w:type="dxa"/>
            <w:tcBorders>
              <w:top w:val="single" w:sz="4" w:space="0" w:color="262626"/>
              <w:left w:val="nil"/>
              <w:bottom w:val="single" w:sz="4" w:space="0" w:color="262626"/>
              <w:right w:val="nil"/>
            </w:tcBorders>
            <w:shd w:val="clear" w:color="auto" w:fill="auto"/>
            <w:noWrap/>
            <w:vAlign w:val="center"/>
            <w:hideMark/>
          </w:tcPr>
          <w:p w14:paraId="7CD5ED32"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6,9</w:t>
            </w:r>
          </w:p>
        </w:tc>
        <w:tc>
          <w:tcPr>
            <w:tcW w:w="988" w:type="dxa"/>
            <w:tcBorders>
              <w:top w:val="single" w:sz="4" w:space="0" w:color="262626"/>
              <w:left w:val="nil"/>
              <w:bottom w:val="single" w:sz="4" w:space="0" w:color="262626"/>
              <w:right w:val="nil"/>
            </w:tcBorders>
            <w:shd w:val="clear" w:color="000000" w:fill="D9D9D9"/>
            <w:noWrap/>
            <w:vAlign w:val="center"/>
            <w:hideMark/>
          </w:tcPr>
          <w:p w14:paraId="35F9A4C8"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9,2</w:t>
            </w:r>
          </w:p>
        </w:tc>
        <w:tc>
          <w:tcPr>
            <w:tcW w:w="988" w:type="dxa"/>
            <w:tcBorders>
              <w:top w:val="single" w:sz="4" w:space="0" w:color="262626"/>
              <w:left w:val="nil"/>
              <w:bottom w:val="single" w:sz="4" w:space="0" w:color="262626"/>
              <w:right w:val="nil"/>
            </w:tcBorders>
            <w:shd w:val="clear" w:color="auto" w:fill="auto"/>
            <w:noWrap/>
            <w:vAlign w:val="center"/>
            <w:hideMark/>
          </w:tcPr>
          <w:p w14:paraId="45334BD2"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14,7</w:t>
            </w:r>
          </w:p>
        </w:tc>
        <w:tc>
          <w:tcPr>
            <w:tcW w:w="988" w:type="dxa"/>
            <w:tcBorders>
              <w:top w:val="single" w:sz="4" w:space="0" w:color="262626"/>
              <w:left w:val="nil"/>
              <w:bottom w:val="single" w:sz="4" w:space="0" w:color="262626"/>
              <w:right w:val="nil"/>
            </w:tcBorders>
            <w:shd w:val="clear" w:color="000000" w:fill="D9D9D9"/>
            <w:noWrap/>
            <w:vAlign w:val="center"/>
            <w:hideMark/>
          </w:tcPr>
          <w:p w14:paraId="5BF095D9"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2,1</w:t>
            </w:r>
          </w:p>
        </w:tc>
        <w:tc>
          <w:tcPr>
            <w:tcW w:w="988" w:type="dxa"/>
            <w:tcBorders>
              <w:top w:val="single" w:sz="4" w:space="0" w:color="262626"/>
              <w:left w:val="nil"/>
              <w:bottom w:val="single" w:sz="4" w:space="0" w:color="262626"/>
              <w:right w:val="nil"/>
            </w:tcBorders>
            <w:shd w:val="clear" w:color="auto" w:fill="auto"/>
            <w:noWrap/>
            <w:vAlign w:val="center"/>
            <w:hideMark/>
          </w:tcPr>
          <w:p w14:paraId="37B18883"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1,7</w:t>
            </w:r>
          </w:p>
        </w:tc>
        <w:tc>
          <w:tcPr>
            <w:tcW w:w="988" w:type="dxa"/>
            <w:tcBorders>
              <w:top w:val="single" w:sz="4" w:space="0" w:color="262626"/>
              <w:left w:val="nil"/>
              <w:bottom w:val="single" w:sz="4" w:space="0" w:color="262626"/>
              <w:right w:val="nil"/>
            </w:tcBorders>
            <w:shd w:val="clear" w:color="000000" w:fill="D9D9D9"/>
            <w:noWrap/>
            <w:vAlign w:val="center"/>
            <w:hideMark/>
          </w:tcPr>
          <w:p w14:paraId="30CEEBE6"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3,1</w:t>
            </w:r>
          </w:p>
        </w:tc>
        <w:tc>
          <w:tcPr>
            <w:tcW w:w="988" w:type="dxa"/>
            <w:tcBorders>
              <w:top w:val="single" w:sz="4" w:space="0" w:color="262626"/>
              <w:left w:val="nil"/>
              <w:bottom w:val="single" w:sz="4" w:space="0" w:color="262626"/>
              <w:right w:val="nil"/>
            </w:tcBorders>
            <w:shd w:val="clear" w:color="auto" w:fill="auto"/>
            <w:noWrap/>
            <w:vAlign w:val="center"/>
            <w:hideMark/>
          </w:tcPr>
          <w:p w14:paraId="0D3C9606"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0,9</w:t>
            </w:r>
          </w:p>
        </w:tc>
      </w:tr>
      <w:tr w:rsidR="00E36C1E" w14:paraId="63B03715" w14:textId="77777777" w:rsidTr="00E36C1E">
        <w:trPr>
          <w:trHeight w:val="300"/>
        </w:trPr>
        <w:tc>
          <w:tcPr>
            <w:tcW w:w="1736" w:type="dxa"/>
            <w:tcBorders>
              <w:top w:val="nil"/>
              <w:left w:val="nil"/>
              <w:bottom w:val="single" w:sz="4" w:space="0" w:color="262626"/>
              <w:right w:val="nil"/>
            </w:tcBorders>
            <w:shd w:val="clear" w:color="auto" w:fill="auto"/>
            <w:noWrap/>
            <w:vAlign w:val="center"/>
            <w:hideMark/>
          </w:tcPr>
          <w:p w14:paraId="7C3F03A8" w14:textId="77777777" w:rsidR="00E36C1E" w:rsidRDefault="00E36C1E">
            <w:pPr>
              <w:rPr>
                <w:rFonts w:ascii="Arial Narrow" w:hAnsi="Arial Narrow" w:cs="Calibri"/>
                <w:color w:val="000000"/>
                <w:sz w:val="18"/>
                <w:szCs w:val="18"/>
              </w:rPr>
            </w:pPr>
            <w:r>
              <w:rPr>
                <w:rFonts w:ascii="Arial Narrow" w:hAnsi="Arial Narrow" w:cs="Calibri"/>
                <w:color w:val="000000"/>
                <w:sz w:val="18"/>
                <w:szCs w:val="18"/>
              </w:rPr>
              <w:t>Brescia</w:t>
            </w:r>
          </w:p>
        </w:tc>
        <w:tc>
          <w:tcPr>
            <w:tcW w:w="988" w:type="dxa"/>
            <w:tcBorders>
              <w:top w:val="nil"/>
              <w:left w:val="nil"/>
              <w:bottom w:val="single" w:sz="4" w:space="0" w:color="262626"/>
              <w:right w:val="nil"/>
            </w:tcBorders>
            <w:shd w:val="clear" w:color="000000" w:fill="D9D9D9"/>
            <w:noWrap/>
            <w:vAlign w:val="center"/>
            <w:hideMark/>
          </w:tcPr>
          <w:p w14:paraId="187C4E34"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7,5</w:t>
            </w:r>
          </w:p>
        </w:tc>
        <w:tc>
          <w:tcPr>
            <w:tcW w:w="988" w:type="dxa"/>
            <w:tcBorders>
              <w:top w:val="nil"/>
              <w:left w:val="nil"/>
              <w:bottom w:val="single" w:sz="4" w:space="0" w:color="262626"/>
              <w:right w:val="nil"/>
            </w:tcBorders>
            <w:shd w:val="clear" w:color="auto" w:fill="auto"/>
            <w:noWrap/>
            <w:vAlign w:val="center"/>
            <w:hideMark/>
          </w:tcPr>
          <w:p w14:paraId="73D0D244"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7,2</w:t>
            </w:r>
          </w:p>
        </w:tc>
        <w:tc>
          <w:tcPr>
            <w:tcW w:w="988" w:type="dxa"/>
            <w:tcBorders>
              <w:top w:val="nil"/>
              <w:left w:val="nil"/>
              <w:bottom w:val="single" w:sz="4" w:space="0" w:color="262626"/>
              <w:right w:val="nil"/>
            </w:tcBorders>
            <w:shd w:val="clear" w:color="000000" w:fill="D9D9D9"/>
            <w:noWrap/>
            <w:vAlign w:val="center"/>
            <w:hideMark/>
          </w:tcPr>
          <w:p w14:paraId="2D1F6F71"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9,5</w:t>
            </w:r>
          </w:p>
        </w:tc>
        <w:tc>
          <w:tcPr>
            <w:tcW w:w="988" w:type="dxa"/>
            <w:tcBorders>
              <w:top w:val="nil"/>
              <w:left w:val="nil"/>
              <w:bottom w:val="single" w:sz="4" w:space="0" w:color="262626"/>
              <w:right w:val="nil"/>
            </w:tcBorders>
            <w:shd w:val="clear" w:color="auto" w:fill="auto"/>
            <w:noWrap/>
            <w:vAlign w:val="center"/>
            <w:hideMark/>
          </w:tcPr>
          <w:p w14:paraId="2A031BE4"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13,1</w:t>
            </w:r>
          </w:p>
        </w:tc>
        <w:tc>
          <w:tcPr>
            <w:tcW w:w="988" w:type="dxa"/>
            <w:tcBorders>
              <w:top w:val="nil"/>
              <w:left w:val="nil"/>
              <w:bottom w:val="single" w:sz="4" w:space="0" w:color="262626"/>
              <w:right w:val="nil"/>
            </w:tcBorders>
            <w:shd w:val="clear" w:color="000000" w:fill="D9D9D9"/>
            <w:noWrap/>
            <w:vAlign w:val="center"/>
            <w:hideMark/>
          </w:tcPr>
          <w:p w14:paraId="5451CB80"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2,3</w:t>
            </w:r>
          </w:p>
        </w:tc>
        <w:tc>
          <w:tcPr>
            <w:tcW w:w="988" w:type="dxa"/>
            <w:tcBorders>
              <w:top w:val="nil"/>
              <w:left w:val="nil"/>
              <w:bottom w:val="single" w:sz="4" w:space="0" w:color="262626"/>
              <w:right w:val="nil"/>
            </w:tcBorders>
            <w:shd w:val="clear" w:color="auto" w:fill="auto"/>
            <w:noWrap/>
            <w:vAlign w:val="center"/>
            <w:hideMark/>
          </w:tcPr>
          <w:p w14:paraId="60F8C6E3"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1,5</w:t>
            </w:r>
          </w:p>
        </w:tc>
        <w:tc>
          <w:tcPr>
            <w:tcW w:w="988" w:type="dxa"/>
            <w:tcBorders>
              <w:top w:val="nil"/>
              <w:left w:val="nil"/>
              <w:bottom w:val="single" w:sz="4" w:space="0" w:color="262626"/>
              <w:right w:val="nil"/>
            </w:tcBorders>
            <w:shd w:val="clear" w:color="000000" w:fill="D9D9D9"/>
            <w:noWrap/>
            <w:vAlign w:val="center"/>
            <w:hideMark/>
          </w:tcPr>
          <w:p w14:paraId="42F2E70E"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3,6</w:t>
            </w:r>
          </w:p>
        </w:tc>
        <w:tc>
          <w:tcPr>
            <w:tcW w:w="988" w:type="dxa"/>
            <w:tcBorders>
              <w:top w:val="nil"/>
              <w:left w:val="nil"/>
              <w:bottom w:val="single" w:sz="4" w:space="0" w:color="262626"/>
              <w:right w:val="nil"/>
            </w:tcBorders>
            <w:shd w:val="clear" w:color="auto" w:fill="auto"/>
            <w:noWrap/>
            <w:vAlign w:val="center"/>
            <w:hideMark/>
          </w:tcPr>
          <w:p w14:paraId="7B96CFD6"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0,9</w:t>
            </w:r>
          </w:p>
        </w:tc>
      </w:tr>
      <w:tr w:rsidR="00E36C1E" w14:paraId="65CC5328" w14:textId="77777777" w:rsidTr="00E36C1E">
        <w:trPr>
          <w:trHeight w:val="300"/>
        </w:trPr>
        <w:tc>
          <w:tcPr>
            <w:tcW w:w="1736" w:type="dxa"/>
            <w:tcBorders>
              <w:top w:val="nil"/>
              <w:left w:val="nil"/>
              <w:bottom w:val="single" w:sz="4" w:space="0" w:color="262626"/>
              <w:right w:val="nil"/>
            </w:tcBorders>
            <w:shd w:val="clear" w:color="auto" w:fill="auto"/>
            <w:noWrap/>
            <w:vAlign w:val="center"/>
            <w:hideMark/>
          </w:tcPr>
          <w:p w14:paraId="7A3E01A8" w14:textId="77777777" w:rsidR="00E36C1E" w:rsidRDefault="00E36C1E">
            <w:pPr>
              <w:rPr>
                <w:rFonts w:ascii="Arial Narrow" w:hAnsi="Arial Narrow" w:cs="Calibri"/>
                <w:color w:val="000000"/>
                <w:sz w:val="18"/>
                <w:szCs w:val="18"/>
              </w:rPr>
            </w:pPr>
            <w:r>
              <w:rPr>
                <w:rFonts w:ascii="Arial Narrow" w:hAnsi="Arial Narrow" w:cs="Calibri"/>
                <w:color w:val="000000"/>
                <w:sz w:val="18"/>
                <w:szCs w:val="18"/>
              </w:rPr>
              <w:t>Como</w:t>
            </w:r>
          </w:p>
        </w:tc>
        <w:tc>
          <w:tcPr>
            <w:tcW w:w="988" w:type="dxa"/>
            <w:tcBorders>
              <w:top w:val="nil"/>
              <w:left w:val="nil"/>
              <w:bottom w:val="single" w:sz="4" w:space="0" w:color="262626"/>
              <w:right w:val="nil"/>
            </w:tcBorders>
            <w:shd w:val="clear" w:color="000000" w:fill="D9D9D9"/>
            <w:noWrap/>
            <w:vAlign w:val="center"/>
            <w:hideMark/>
          </w:tcPr>
          <w:p w14:paraId="37D292DA"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7,1</w:t>
            </w:r>
          </w:p>
        </w:tc>
        <w:tc>
          <w:tcPr>
            <w:tcW w:w="988" w:type="dxa"/>
            <w:tcBorders>
              <w:top w:val="nil"/>
              <w:left w:val="nil"/>
              <w:bottom w:val="single" w:sz="4" w:space="0" w:color="262626"/>
              <w:right w:val="nil"/>
            </w:tcBorders>
            <w:shd w:val="clear" w:color="auto" w:fill="auto"/>
            <w:noWrap/>
            <w:vAlign w:val="center"/>
            <w:hideMark/>
          </w:tcPr>
          <w:p w14:paraId="245882C0"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6,7</w:t>
            </w:r>
          </w:p>
        </w:tc>
        <w:tc>
          <w:tcPr>
            <w:tcW w:w="988" w:type="dxa"/>
            <w:tcBorders>
              <w:top w:val="nil"/>
              <w:left w:val="nil"/>
              <w:bottom w:val="single" w:sz="4" w:space="0" w:color="262626"/>
              <w:right w:val="nil"/>
            </w:tcBorders>
            <w:shd w:val="clear" w:color="000000" w:fill="D9D9D9"/>
            <w:noWrap/>
            <w:vAlign w:val="center"/>
            <w:hideMark/>
          </w:tcPr>
          <w:p w14:paraId="729CB326"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10,3</w:t>
            </w:r>
          </w:p>
        </w:tc>
        <w:tc>
          <w:tcPr>
            <w:tcW w:w="988" w:type="dxa"/>
            <w:tcBorders>
              <w:top w:val="nil"/>
              <w:left w:val="nil"/>
              <w:bottom w:val="single" w:sz="4" w:space="0" w:color="262626"/>
              <w:right w:val="nil"/>
            </w:tcBorders>
            <w:shd w:val="clear" w:color="auto" w:fill="auto"/>
            <w:noWrap/>
            <w:vAlign w:val="center"/>
            <w:hideMark/>
          </w:tcPr>
          <w:p w14:paraId="0091A9E0"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13,1</w:t>
            </w:r>
          </w:p>
        </w:tc>
        <w:tc>
          <w:tcPr>
            <w:tcW w:w="988" w:type="dxa"/>
            <w:tcBorders>
              <w:top w:val="nil"/>
              <w:left w:val="nil"/>
              <w:bottom w:val="single" w:sz="4" w:space="0" w:color="262626"/>
              <w:right w:val="nil"/>
            </w:tcBorders>
            <w:shd w:val="clear" w:color="000000" w:fill="D9D9D9"/>
            <w:noWrap/>
            <w:vAlign w:val="center"/>
            <w:hideMark/>
          </w:tcPr>
          <w:p w14:paraId="6F2EAD98"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2,6</w:t>
            </w:r>
          </w:p>
        </w:tc>
        <w:tc>
          <w:tcPr>
            <w:tcW w:w="988" w:type="dxa"/>
            <w:tcBorders>
              <w:top w:val="nil"/>
              <w:left w:val="nil"/>
              <w:bottom w:val="single" w:sz="4" w:space="0" w:color="262626"/>
              <w:right w:val="nil"/>
            </w:tcBorders>
            <w:shd w:val="clear" w:color="auto" w:fill="auto"/>
            <w:noWrap/>
            <w:vAlign w:val="center"/>
            <w:hideMark/>
          </w:tcPr>
          <w:p w14:paraId="6CC69B66"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2,4</w:t>
            </w:r>
          </w:p>
        </w:tc>
        <w:tc>
          <w:tcPr>
            <w:tcW w:w="988" w:type="dxa"/>
            <w:tcBorders>
              <w:top w:val="nil"/>
              <w:left w:val="nil"/>
              <w:bottom w:val="single" w:sz="4" w:space="0" w:color="262626"/>
              <w:right w:val="nil"/>
            </w:tcBorders>
            <w:shd w:val="clear" w:color="000000" w:fill="D9D9D9"/>
            <w:noWrap/>
            <w:vAlign w:val="center"/>
            <w:hideMark/>
          </w:tcPr>
          <w:p w14:paraId="1A44951D"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1,6</w:t>
            </w:r>
          </w:p>
        </w:tc>
        <w:tc>
          <w:tcPr>
            <w:tcW w:w="988" w:type="dxa"/>
            <w:tcBorders>
              <w:top w:val="nil"/>
              <w:left w:val="nil"/>
              <w:bottom w:val="single" w:sz="4" w:space="0" w:color="262626"/>
              <w:right w:val="nil"/>
            </w:tcBorders>
            <w:shd w:val="clear" w:color="auto" w:fill="auto"/>
            <w:noWrap/>
            <w:vAlign w:val="center"/>
            <w:hideMark/>
          </w:tcPr>
          <w:p w14:paraId="54193327"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1,4</w:t>
            </w:r>
          </w:p>
        </w:tc>
      </w:tr>
      <w:tr w:rsidR="00E36C1E" w14:paraId="617556C0" w14:textId="77777777" w:rsidTr="00E36C1E">
        <w:trPr>
          <w:trHeight w:val="300"/>
        </w:trPr>
        <w:tc>
          <w:tcPr>
            <w:tcW w:w="1736" w:type="dxa"/>
            <w:tcBorders>
              <w:top w:val="nil"/>
              <w:left w:val="nil"/>
              <w:bottom w:val="single" w:sz="4" w:space="0" w:color="262626"/>
              <w:right w:val="nil"/>
            </w:tcBorders>
            <w:shd w:val="clear" w:color="auto" w:fill="auto"/>
            <w:noWrap/>
            <w:vAlign w:val="center"/>
            <w:hideMark/>
          </w:tcPr>
          <w:p w14:paraId="6A9F0643" w14:textId="77777777" w:rsidR="00E36C1E" w:rsidRDefault="00E36C1E">
            <w:pPr>
              <w:rPr>
                <w:rFonts w:ascii="Arial Narrow" w:hAnsi="Arial Narrow" w:cs="Calibri"/>
                <w:color w:val="000000"/>
                <w:sz w:val="18"/>
                <w:szCs w:val="18"/>
              </w:rPr>
            </w:pPr>
            <w:r>
              <w:rPr>
                <w:rFonts w:ascii="Arial Narrow" w:hAnsi="Arial Narrow" w:cs="Calibri"/>
                <w:color w:val="000000"/>
                <w:sz w:val="18"/>
                <w:szCs w:val="18"/>
              </w:rPr>
              <w:t>Cremona</w:t>
            </w:r>
          </w:p>
        </w:tc>
        <w:tc>
          <w:tcPr>
            <w:tcW w:w="988" w:type="dxa"/>
            <w:tcBorders>
              <w:top w:val="nil"/>
              <w:left w:val="nil"/>
              <w:bottom w:val="single" w:sz="4" w:space="0" w:color="262626"/>
              <w:right w:val="nil"/>
            </w:tcBorders>
            <w:shd w:val="clear" w:color="000000" w:fill="D9D9D9"/>
            <w:noWrap/>
            <w:vAlign w:val="center"/>
            <w:hideMark/>
          </w:tcPr>
          <w:p w14:paraId="71C02548"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7,0</w:t>
            </w:r>
          </w:p>
        </w:tc>
        <w:tc>
          <w:tcPr>
            <w:tcW w:w="988" w:type="dxa"/>
            <w:tcBorders>
              <w:top w:val="nil"/>
              <w:left w:val="nil"/>
              <w:bottom w:val="single" w:sz="4" w:space="0" w:color="262626"/>
              <w:right w:val="nil"/>
            </w:tcBorders>
            <w:shd w:val="clear" w:color="auto" w:fill="auto"/>
            <w:noWrap/>
            <w:vAlign w:val="center"/>
            <w:hideMark/>
          </w:tcPr>
          <w:p w14:paraId="73633F67"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6,6</w:t>
            </w:r>
          </w:p>
        </w:tc>
        <w:tc>
          <w:tcPr>
            <w:tcW w:w="988" w:type="dxa"/>
            <w:tcBorders>
              <w:top w:val="nil"/>
              <w:left w:val="nil"/>
              <w:bottom w:val="single" w:sz="4" w:space="0" w:color="262626"/>
              <w:right w:val="nil"/>
            </w:tcBorders>
            <w:shd w:val="clear" w:color="000000" w:fill="D9D9D9"/>
            <w:noWrap/>
            <w:vAlign w:val="center"/>
            <w:hideMark/>
          </w:tcPr>
          <w:p w14:paraId="4184432F"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11,2</w:t>
            </w:r>
          </w:p>
        </w:tc>
        <w:tc>
          <w:tcPr>
            <w:tcW w:w="988" w:type="dxa"/>
            <w:tcBorders>
              <w:top w:val="nil"/>
              <w:left w:val="nil"/>
              <w:bottom w:val="single" w:sz="4" w:space="0" w:color="262626"/>
              <w:right w:val="nil"/>
            </w:tcBorders>
            <w:shd w:val="clear" w:color="auto" w:fill="auto"/>
            <w:noWrap/>
            <w:vAlign w:val="center"/>
            <w:hideMark/>
          </w:tcPr>
          <w:p w14:paraId="0A124A27"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17,7</w:t>
            </w:r>
          </w:p>
        </w:tc>
        <w:tc>
          <w:tcPr>
            <w:tcW w:w="988" w:type="dxa"/>
            <w:tcBorders>
              <w:top w:val="nil"/>
              <w:left w:val="nil"/>
              <w:bottom w:val="single" w:sz="4" w:space="0" w:color="262626"/>
              <w:right w:val="nil"/>
            </w:tcBorders>
            <w:shd w:val="clear" w:color="000000" w:fill="D9D9D9"/>
            <w:noWrap/>
            <w:vAlign w:val="center"/>
            <w:hideMark/>
          </w:tcPr>
          <w:p w14:paraId="7AB3791B"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2,5</w:t>
            </w:r>
          </w:p>
        </w:tc>
        <w:tc>
          <w:tcPr>
            <w:tcW w:w="988" w:type="dxa"/>
            <w:tcBorders>
              <w:top w:val="nil"/>
              <w:left w:val="nil"/>
              <w:bottom w:val="single" w:sz="4" w:space="0" w:color="262626"/>
              <w:right w:val="nil"/>
            </w:tcBorders>
            <w:shd w:val="clear" w:color="auto" w:fill="auto"/>
            <w:noWrap/>
            <w:vAlign w:val="center"/>
            <w:hideMark/>
          </w:tcPr>
          <w:p w14:paraId="5239F0D3"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1,0</w:t>
            </w:r>
          </w:p>
        </w:tc>
        <w:tc>
          <w:tcPr>
            <w:tcW w:w="988" w:type="dxa"/>
            <w:tcBorders>
              <w:top w:val="nil"/>
              <w:left w:val="nil"/>
              <w:bottom w:val="single" w:sz="4" w:space="0" w:color="262626"/>
              <w:right w:val="nil"/>
            </w:tcBorders>
            <w:shd w:val="clear" w:color="000000" w:fill="D9D9D9"/>
            <w:noWrap/>
            <w:vAlign w:val="center"/>
            <w:hideMark/>
          </w:tcPr>
          <w:p w14:paraId="13D8BDC6"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2,7</w:t>
            </w:r>
          </w:p>
        </w:tc>
        <w:tc>
          <w:tcPr>
            <w:tcW w:w="988" w:type="dxa"/>
            <w:tcBorders>
              <w:top w:val="nil"/>
              <w:left w:val="nil"/>
              <w:bottom w:val="single" w:sz="4" w:space="0" w:color="262626"/>
              <w:right w:val="nil"/>
            </w:tcBorders>
            <w:shd w:val="clear" w:color="auto" w:fill="auto"/>
            <w:noWrap/>
            <w:vAlign w:val="center"/>
            <w:hideMark/>
          </w:tcPr>
          <w:p w14:paraId="7CF516B7"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 xml:space="preserve">              1,7 </w:t>
            </w:r>
          </w:p>
        </w:tc>
      </w:tr>
      <w:tr w:rsidR="00E36C1E" w14:paraId="1E911A7C" w14:textId="77777777" w:rsidTr="00E36C1E">
        <w:trPr>
          <w:trHeight w:val="300"/>
        </w:trPr>
        <w:tc>
          <w:tcPr>
            <w:tcW w:w="1736" w:type="dxa"/>
            <w:tcBorders>
              <w:top w:val="nil"/>
              <w:left w:val="nil"/>
              <w:bottom w:val="single" w:sz="4" w:space="0" w:color="262626"/>
              <w:right w:val="nil"/>
            </w:tcBorders>
            <w:shd w:val="clear" w:color="auto" w:fill="auto"/>
            <w:noWrap/>
            <w:vAlign w:val="center"/>
            <w:hideMark/>
          </w:tcPr>
          <w:p w14:paraId="6D8DEFB8" w14:textId="77777777" w:rsidR="00E36C1E" w:rsidRDefault="00E36C1E">
            <w:pPr>
              <w:rPr>
                <w:rFonts w:ascii="Arial Narrow" w:hAnsi="Arial Narrow" w:cs="Calibri"/>
                <w:color w:val="000000"/>
                <w:sz w:val="18"/>
                <w:szCs w:val="18"/>
              </w:rPr>
            </w:pPr>
            <w:r>
              <w:rPr>
                <w:rFonts w:ascii="Arial Narrow" w:hAnsi="Arial Narrow" w:cs="Calibri"/>
                <w:color w:val="000000"/>
                <w:sz w:val="18"/>
                <w:szCs w:val="18"/>
              </w:rPr>
              <w:t>Lecco</w:t>
            </w:r>
          </w:p>
        </w:tc>
        <w:tc>
          <w:tcPr>
            <w:tcW w:w="988" w:type="dxa"/>
            <w:tcBorders>
              <w:top w:val="nil"/>
              <w:left w:val="nil"/>
              <w:bottom w:val="single" w:sz="4" w:space="0" w:color="262626"/>
              <w:right w:val="nil"/>
            </w:tcBorders>
            <w:shd w:val="clear" w:color="000000" w:fill="D9D9D9"/>
            <w:noWrap/>
            <w:vAlign w:val="center"/>
            <w:hideMark/>
          </w:tcPr>
          <w:p w14:paraId="79325C3A"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6,9</w:t>
            </w:r>
          </w:p>
        </w:tc>
        <w:tc>
          <w:tcPr>
            <w:tcW w:w="988" w:type="dxa"/>
            <w:tcBorders>
              <w:top w:val="nil"/>
              <w:left w:val="nil"/>
              <w:bottom w:val="single" w:sz="4" w:space="0" w:color="262626"/>
              <w:right w:val="nil"/>
            </w:tcBorders>
            <w:shd w:val="clear" w:color="auto" w:fill="auto"/>
            <w:noWrap/>
            <w:vAlign w:val="center"/>
            <w:hideMark/>
          </w:tcPr>
          <w:p w14:paraId="1C091CFA"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6,4</w:t>
            </w:r>
          </w:p>
        </w:tc>
        <w:tc>
          <w:tcPr>
            <w:tcW w:w="988" w:type="dxa"/>
            <w:tcBorders>
              <w:top w:val="nil"/>
              <w:left w:val="nil"/>
              <w:bottom w:val="single" w:sz="4" w:space="0" w:color="262626"/>
              <w:right w:val="nil"/>
            </w:tcBorders>
            <w:shd w:val="clear" w:color="000000" w:fill="D9D9D9"/>
            <w:noWrap/>
            <w:vAlign w:val="center"/>
            <w:hideMark/>
          </w:tcPr>
          <w:p w14:paraId="24A958B2"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10,0</w:t>
            </w:r>
          </w:p>
        </w:tc>
        <w:tc>
          <w:tcPr>
            <w:tcW w:w="988" w:type="dxa"/>
            <w:tcBorders>
              <w:top w:val="nil"/>
              <w:left w:val="nil"/>
              <w:bottom w:val="single" w:sz="4" w:space="0" w:color="262626"/>
              <w:right w:val="nil"/>
            </w:tcBorders>
            <w:shd w:val="clear" w:color="auto" w:fill="auto"/>
            <w:noWrap/>
            <w:vAlign w:val="center"/>
            <w:hideMark/>
          </w:tcPr>
          <w:p w14:paraId="0FBC6F25"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13,6</w:t>
            </w:r>
          </w:p>
        </w:tc>
        <w:tc>
          <w:tcPr>
            <w:tcW w:w="988" w:type="dxa"/>
            <w:tcBorders>
              <w:top w:val="nil"/>
              <w:left w:val="nil"/>
              <w:bottom w:val="single" w:sz="4" w:space="0" w:color="262626"/>
              <w:right w:val="nil"/>
            </w:tcBorders>
            <w:shd w:val="clear" w:color="000000" w:fill="D9D9D9"/>
            <w:noWrap/>
            <w:vAlign w:val="center"/>
            <w:hideMark/>
          </w:tcPr>
          <w:p w14:paraId="4B00A70C"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0,8</w:t>
            </w:r>
          </w:p>
        </w:tc>
        <w:tc>
          <w:tcPr>
            <w:tcW w:w="988" w:type="dxa"/>
            <w:tcBorders>
              <w:top w:val="nil"/>
              <w:left w:val="nil"/>
              <w:bottom w:val="single" w:sz="4" w:space="0" w:color="262626"/>
              <w:right w:val="nil"/>
            </w:tcBorders>
            <w:shd w:val="clear" w:color="auto" w:fill="auto"/>
            <w:noWrap/>
            <w:vAlign w:val="center"/>
            <w:hideMark/>
          </w:tcPr>
          <w:p w14:paraId="73155192"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1,0</w:t>
            </w:r>
          </w:p>
        </w:tc>
        <w:tc>
          <w:tcPr>
            <w:tcW w:w="988" w:type="dxa"/>
            <w:tcBorders>
              <w:top w:val="nil"/>
              <w:left w:val="nil"/>
              <w:bottom w:val="single" w:sz="4" w:space="0" w:color="262626"/>
              <w:right w:val="nil"/>
            </w:tcBorders>
            <w:shd w:val="clear" w:color="000000" w:fill="D9D9D9"/>
            <w:noWrap/>
            <w:vAlign w:val="center"/>
            <w:hideMark/>
          </w:tcPr>
          <w:p w14:paraId="13E7428E"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2,0</w:t>
            </w:r>
          </w:p>
        </w:tc>
        <w:tc>
          <w:tcPr>
            <w:tcW w:w="988" w:type="dxa"/>
            <w:tcBorders>
              <w:top w:val="nil"/>
              <w:left w:val="nil"/>
              <w:bottom w:val="single" w:sz="4" w:space="0" w:color="262626"/>
              <w:right w:val="nil"/>
            </w:tcBorders>
            <w:shd w:val="clear" w:color="auto" w:fill="auto"/>
            <w:noWrap/>
            <w:vAlign w:val="center"/>
            <w:hideMark/>
          </w:tcPr>
          <w:p w14:paraId="29F10672"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1,8</w:t>
            </w:r>
          </w:p>
        </w:tc>
      </w:tr>
      <w:tr w:rsidR="00E36C1E" w14:paraId="60E5A615" w14:textId="77777777" w:rsidTr="00E36C1E">
        <w:trPr>
          <w:trHeight w:val="300"/>
        </w:trPr>
        <w:tc>
          <w:tcPr>
            <w:tcW w:w="1736" w:type="dxa"/>
            <w:tcBorders>
              <w:top w:val="nil"/>
              <w:left w:val="nil"/>
              <w:bottom w:val="single" w:sz="4" w:space="0" w:color="262626"/>
              <w:right w:val="nil"/>
            </w:tcBorders>
            <w:shd w:val="clear" w:color="auto" w:fill="auto"/>
            <w:noWrap/>
            <w:vAlign w:val="center"/>
            <w:hideMark/>
          </w:tcPr>
          <w:p w14:paraId="3FB1BD12" w14:textId="77777777" w:rsidR="00E36C1E" w:rsidRDefault="00E36C1E">
            <w:pPr>
              <w:rPr>
                <w:rFonts w:ascii="Arial Narrow" w:hAnsi="Arial Narrow" w:cs="Calibri"/>
                <w:color w:val="000000"/>
                <w:sz w:val="18"/>
                <w:szCs w:val="18"/>
              </w:rPr>
            </w:pPr>
            <w:r>
              <w:rPr>
                <w:rFonts w:ascii="Arial Narrow" w:hAnsi="Arial Narrow" w:cs="Calibri"/>
                <w:color w:val="000000"/>
                <w:sz w:val="18"/>
                <w:szCs w:val="18"/>
              </w:rPr>
              <w:t>Lodi</w:t>
            </w:r>
          </w:p>
        </w:tc>
        <w:tc>
          <w:tcPr>
            <w:tcW w:w="988" w:type="dxa"/>
            <w:tcBorders>
              <w:top w:val="nil"/>
              <w:left w:val="nil"/>
              <w:bottom w:val="single" w:sz="4" w:space="0" w:color="262626"/>
              <w:right w:val="nil"/>
            </w:tcBorders>
            <w:shd w:val="clear" w:color="000000" w:fill="D9D9D9"/>
            <w:noWrap/>
            <w:vAlign w:val="center"/>
            <w:hideMark/>
          </w:tcPr>
          <w:p w14:paraId="20AF33F5"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7,4</w:t>
            </w:r>
          </w:p>
        </w:tc>
        <w:tc>
          <w:tcPr>
            <w:tcW w:w="988" w:type="dxa"/>
            <w:tcBorders>
              <w:top w:val="nil"/>
              <w:left w:val="nil"/>
              <w:bottom w:val="single" w:sz="4" w:space="0" w:color="262626"/>
              <w:right w:val="nil"/>
            </w:tcBorders>
            <w:shd w:val="clear" w:color="auto" w:fill="auto"/>
            <w:noWrap/>
            <w:vAlign w:val="center"/>
            <w:hideMark/>
          </w:tcPr>
          <w:p w14:paraId="7C68FE5D"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6,9</w:t>
            </w:r>
          </w:p>
        </w:tc>
        <w:tc>
          <w:tcPr>
            <w:tcW w:w="988" w:type="dxa"/>
            <w:tcBorders>
              <w:top w:val="nil"/>
              <w:left w:val="nil"/>
              <w:bottom w:val="single" w:sz="4" w:space="0" w:color="262626"/>
              <w:right w:val="nil"/>
            </w:tcBorders>
            <w:shd w:val="clear" w:color="000000" w:fill="D9D9D9"/>
            <w:noWrap/>
            <w:vAlign w:val="center"/>
            <w:hideMark/>
          </w:tcPr>
          <w:p w14:paraId="62F3371C"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9,5</w:t>
            </w:r>
          </w:p>
        </w:tc>
        <w:tc>
          <w:tcPr>
            <w:tcW w:w="988" w:type="dxa"/>
            <w:tcBorders>
              <w:top w:val="nil"/>
              <w:left w:val="nil"/>
              <w:bottom w:val="single" w:sz="4" w:space="0" w:color="262626"/>
              <w:right w:val="nil"/>
            </w:tcBorders>
            <w:shd w:val="clear" w:color="auto" w:fill="auto"/>
            <w:noWrap/>
            <w:vAlign w:val="center"/>
            <w:hideMark/>
          </w:tcPr>
          <w:p w14:paraId="27961ACB"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14,8</w:t>
            </w:r>
          </w:p>
        </w:tc>
        <w:tc>
          <w:tcPr>
            <w:tcW w:w="988" w:type="dxa"/>
            <w:tcBorders>
              <w:top w:val="nil"/>
              <w:left w:val="nil"/>
              <w:bottom w:val="single" w:sz="4" w:space="0" w:color="262626"/>
              <w:right w:val="nil"/>
            </w:tcBorders>
            <w:shd w:val="clear" w:color="000000" w:fill="D9D9D9"/>
            <w:noWrap/>
            <w:vAlign w:val="center"/>
            <w:hideMark/>
          </w:tcPr>
          <w:p w14:paraId="448EAD9F"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2,4</w:t>
            </w:r>
          </w:p>
        </w:tc>
        <w:tc>
          <w:tcPr>
            <w:tcW w:w="988" w:type="dxa"/>
            <w:tcBorders>
              <w:top w:val="nil"/>
              <w:left w:val="nil"/>
              <w:bottom w:val="single" w:sz="4" w:space="0" w:color="262626"/>
              <w:right w:val="nil"/>
            </w:tcBorders>
            <w:shd w:val="clear" w:color="auto" w:fill="auto"/>
            <w:noWrap/>
            <w:vAlign w:val="center"/>
            <w:hideMark/>
          </w:tcPr>
          <w:p w14:paraId="30A7785E"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2,1</w:t>
            </w:r>
          </w:p>
        </w:tc>
        <w:tc>
          <w:tcPr>
            <w:tcW w:w="988" w:type="dxa"/>
            <w:tcBorders>
              <w:top w:val="nil"/>
              <w:left w:val="nil"/>
              <w:bottom w:val="single" w:sz="4" w:space="0" w:color="262626"/>
              <w:right w:val="nil"/>
            </w:tcBorders>
            <w:shd w:val="clear" w:color="000000" w:fill="D9D9D9"/>
            <w:noWrap/>
            <w:vAlign w:val="center"/>
            <w:hideMark/>
          </w:tcPr>
          <w:p w14:paraId="23C16C31"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2,8</w:t>
            </w:r>
          </w:p>
        </w:tc>
        <w:tc>
          <w:tcPr>
            <w:tcW w:w="988" w:type="dxa"/>
            <w:tcBorders>
              <w:top w:val="nil"/>
              <w:left w:val="nil"/>
              <w:bottom w:val="single" w:sz="4" w:space="0" w:color="262626"/>
              <w:right w:val="nil"/>
            </w:tcBorders>
            <w:shd w:val="clear" w:color="auto" w:fill="auto"/>
            <w:noWrap/>
            <w:vAlign w:val="center"/>
            <w:hideMark/>
          </w:tcPr>
          <w:p w14:paraId="4E605690"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1,4</w:t>
            </w:r>
          </w:p>
        </w:tc>
      </w:tr>
      <w:tr w:rsidR="00E36C1E" w14:paraId="4E28C256" w14:textId="77777777" w:rsidTr="00E36C1E">
        <w:trPr>
          <w:trHeight w:val="300"/>
        </w:trPr>
        <w:tc>
          <w:tcPr>
            <w:tcW w:w="1736" w:type="dxa"/>
            <w:tcBorders>
              <w:top w:val="nil"/>
              <w:left w:val="nil"/>
              <w:bottom w:val="single" w:sz="4" w:space="0" w:color="262626"/>
              <w:right w:val="nil"/>
            </w:tcBorders>
            <w:shd w:val="clear" w:color="auto" w:fill="auto"/>
            <w:noWrap/>
            <w:vAlign w:val="center"/>
            <w:hideMark/>
          </w:tcPr>
          <w:p w14:paraId="65215050" w14:textId="77777777" w:rsidR="00E36C1E" w:rsidRDefault="00E36C1E">
            <w:pPr>
              <w:rPr>
                <w:rFonts w:ascii="Arial Narrow" w:hAnsi="Arial Narrow" w:cs="Calibri"/>
                <w:color w:val="000000"/>
                <w:sz w:val="18"/>
                <w:szCs w:val="18"/>
              </w:rPr>
            </w:pPr>
            <w:r>
              <w:rPr>
                <w:rFonts w:ascii="Arial Narrow" w:hAnsi="Arial Narrow" w:cs="Calibri"/>
                <w:color w:val="000000"/>
                <w:sz w:val="18"/>
                <w:szCs w:val="18"/>
              </w:rPr>
              <w:t>Mantova</w:t>
            </w:r>
          </w:p>
        </w:tc>
        <w:tc>
          <w:tcPr>
            <w:tcW w:w="988" w:type="dxa"/>
            <w:tcBorders>
              <w:top w:val="nil"/>
              <w:left w:val="nil"/>
              <w:bottom w:val="single" w:sz="4" w:space="0" w:color="262626"/>
              <w:right w:val="nil"/>
            </w:tcBorders>
            <w:shd w:val="clear" w:color="000000" w:fill="D9D9D9"/>
            <w:noWrap/>
            <w:vAlign w:val="center"/>
            <w:hideMark/>
          </w:tcPr>
          <w:p w14:paraId="4A13015A"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7,1</w:t>
            </w:r>
          </w:p>
        </w:tc>
        <w:tc>
          <w:tcPr>
            <w:tcW w:w="988" w:type="dxa"/>
            <w:tcBorders>
              <w:top w:val="nil"/>
              <w:left w:val="nil"/>
              <w:bottom w:val="single" w:sz="4" w:space="0" w:color="262626"/>
              <w:right w:val="nil"/>
            </w:tcBorders>
            <w:shd w:val="clear" w:color="auto" w:fill="auto"/>
            <w:noWrap/>
            <w:vAlign w:val="center"/>
            <w:hideMark/>
          </w:tcPr>
          <w:p w14:paraId="5627AFF0"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6,7</w:t>
            </w:r>
          </w:p>
        </w:tc>
        <w:tc>
          <w:tcPr>
            <w:tcW w:w="988" w:type="dxa"/>
            <w:tcBorders>
              <w:top w:val="nil"/>
              <w:left w:val="nil"/>
              <w:bottom w:val="single" w:sz="4" w:space="0" w:color="262626"/>
              <w:right w:val="nil"/>
            </w:tcBorders>
            <w:shd w:val="clear" w:color="000000" w:fill="D9D9D9"/>
            <w:noWrap/>
            <w:vAlign w:val="center"/>
            <w:hideMark/>
          </w:tcPr>
          <w:p w14:paraId="4B9566A6"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11,6</w:t>
            </w:r>
          </w:p>
        </w:tc>
        <w:tc>
          <w:tcPr>
            <w:tcW w:w="988" w:type="dxa"/>
            <w:tcBorders>
              <w:top w:val="nil"/>
              <w:left w:val="nil"/>
              <w:bottom w:val="single" w:sz="4" w:space="0" w:color="262626"/>
              <w:right w:val="nil"/>
            </w:tcBorders>
            <w:shd w:val="clear" w:color="auto" w:fill="auto"/>
            <w:noWrap/>
            <w:vAlign w:val="center"/>
            <w:hideMark/>
          </w:tcPr>
          <w:p w14:paraId="3D8FCDB0"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14,2</w:t>
            </w:r>
          </w:p>
        </w:tc>
        <w:tc>
          <w:tcPr>
            <w:tcW w:w="988" w:type="dxa"/>
            <w:tcBorders>
              <w:top w:val="nil"/>
              <w:left w:val="nil"/>
              <w:bottom w:val="single" w:sz="4" w:space="0" w:color="262626"/>
              <w:right w:val="nil"/>
            </w:tcBorders>
            <w:shd w:val="clear" w:color="000000" w:fill="D9D9D9"/>
            <w:noWrap/>
            <w:vAlign w:val="center"/>
            <w:hideMark/>
          </w:tcPr>
          <w:p w14:paraId="50D2BB8B"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1,4</w:t>
            </w:r>
          </w:p>
        </w:tc>
        <w:tc>
          <w:tcPr>
            <w:tcW w:w="988" w:type="dxa"/>
            <w:tcBorders>
              <w:top w:val="nil"/>
              <w:left w:val="nil"/>
              <w:bottom w:val="single" w:sz="4" w:space="0" w:color="262626"/>
              <w:right w:val="nil"/>
            </w:tcBorders>
            <w:shd w:val="clear" w:color="auto" w:fill="auto"/>
            <w:noWrap/>
            <w:vAlign w:val="center"/>
            <w:hideMark/>
          </w:tcPr>
          <w:p w14:paraId="3F719ED6"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1,8</w:t>
            </w:r>
          </w:p>
        </w:tc>
        <w:tc>
          <w:tcPr>
            <w:tcW w:w="988" w:type="dxa"/>
            <w:tcBorders>
              <w:top w:val="nil"/>
              <w:left w:val="nil"/>
              <w:bottom w:val="single" w:sz="4" w:space="0" w:color="262626"/>
              <w:right w:val="nil"/>
            </w:tcBorders>
            <w:shd w:val="clear" w:color="000000" w:fill="D9D9D9"/>
            <w:noWrap/>
            <w:vAlign w:val="center"/>
            <w:hideMark/>
          </w:tcPr>
          <w:p w14:paraId="04E73B55"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4,1</w:t>
            </w:r>
          </w:p>
        </w:tc>
        <w:tc>
          <w:tcPr>
            <w:tcW w:w="988" w:type="dxa"/>
            <w:tcBorders>
              <w:top w:val="nil"/>
              <w:left w:val="nil"/>
              <w:bottom w:val="single" w:sz="4" w:space="0" w:color="262626"/>
              <w:right w:val="nil"/>
            </w:tcBorders>
            <w:shd w:val="clear" w:color="auto" w:fill="auto"/>
            <w:noWrap/>
            <w:vAlign w:val="center"/>
            <w:hideMark/>
          </w:tcPr>
          <w:p w14:paraId="35DBD936"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1,7</w:t>
            </w:r>
          </w:p>
        </w:tc>
      </w:tr>
      <w:tr w:rsidR="00E36C1E" w14:paraId="274260A5" w14:textId="77777777" w:rsidTr="00E36C1E">
        <w:trPr>
          <w:trHeight w:val="300"/>
        </w:trPr>
        <w:tc>
          <w:tcPr>
            <w:tcW w:w="1736" w:type="dxa"/>
            <w:tcBorders>
              <w:top w:val="nil"/>
              <w:left w:val="nil"/>
              <w:bottom w:val="single" w:sz="4" w:space="0" w:color="262626"/>
              <w:right w:val="nil"/>
            </w:tcBorders>
            <w:shd w:val="clear" w:color="auto" w:fill="auto"/>
            <w:noWrap/>
            <w:vAlign w:val="center"/>
            <w:hideMark/>
          </w:tcPr>
          <w:p w14:paraId="0CB42F4B" w14:textId="77777777" w:rsidR="00E36C1E" w:rsidRDefault="00E36C1E">
            <w:pPr>
              <w:rPr>
                <w:rFonts w:ascii="Arial Narrow" w:hAnsi="Arial Narrow" w:cs="Calibri"/>
                <w:color w:val="000000"/>
                <w:sz w:val="18"/>
                <w:szCs w:val="18"/>
              </w:rPr>
            </w:pPr>
            <w:r>
              <w:rPr>
                <w:rFonts w:ascii="Arial Narrow" w:hAnsi="Arial Narrow" w:cs="Calibri"/>
                <w:color w:val="000000"/>
                <w:sz w:val="18"/>
                <w:szCs w:val="18"/>
              </w:rPr>
              <w:t>Milano</w:t>
            </w:r>
          </w:p>
        </w:tc>
        <w:tc>
          <w:tcPr>
            <w:tcW w:w="988" w:type="dxa"/>
            <w:tcBorders>
              <w:top w:val="nil"/>
              <w:left w:val="nil"/>
              <w:bottom w:val="single" w:sz="4" w:space="0" w:color="262626"/>
              <w:right w:val="nil"/>
            </w:tcBorders>
            <w:shd w:val="clear" w:color="000000" w:fill="D9D9D9"/>
            <w:noWrap/>
            <w:vAlign w:val="center"/>
            <w:hideMark/>
          </w:tcPr>
          <w:p w14:paraId="7786FFBF"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7,4</w:t>
            </w:r>
          </w:p>
        </w:tc>
        <w:tc>
          <w:tcPr>
            <w:tcW w:w="988" w:type="dxa"/>
            <w:tcBorders>
              <w:top w:val="nil"/>
              <w:left w:val="nil"/>
              <w:bottom w:val="single" w:sz="4" w:space="0" w:color="262626"/>
              <w:right w:val="nil"/>
            </w:tcBorders>
            <w:shd w:val="clear" w:color="auto" w:fill="auto"/>
            <w:noWrap/>
            <w:vAlign w:val="center"/>
            <w:hideMark/>
          </w:tcPr>
          <w:p w14:paraId="110E48BD"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7,1</w:t>
            </w:r>
          </w:p>
        </w:tc>
        <w:tc>
          <w:tcPr>
            <w:tcW w:w="988" w:type="dxa"/>
            <w:tcBorders>
              <w:top w:val="nil"/>
              <w:left w:val="nil"/>
              <w:bottom w:val="single" w:sz="4" w:space="0" w:color="262626"/>
              <w:right w:val="nil"/>
            </w:tcBorders>
            <w:shd w:val="clear" w:color="000000" w:fill="D9D9D9"/>
            <w:noWrap/>
            <w:vAlign w:val="center"/>
            <w:hideMark/>
          </w:tcPr>
          <w:p w14:paraId="6C0921FF"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9,6</w:t>
            </w:r>
          </w:p>
        </w:tc>
        <w:tc>
          <w:tcPr>
            <w:tcW w:w="988" w:type="dxa"/>
            <w:tcBorders>
              <w:top w:val="nil"/>
              <w:left w:val="nil"/>
              <w:bottom w:val="single" w:sz="4" w:space="0" w:color="262626"/>
              <w:right w:val="nil"/>
            </w:tcBorders>
            <w:shd w:val="clear" w:color="auto" w:fill="auto"/>
            <w:noWrap/>
            <w:vAlign w:val="center"/>
            <w:hideMark/>
          </w:tcPr>
          <w:p w14:paraId="356A1B57"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12,7</w:t>
            </w:r>
          </w:p>
        </w:tc>
        <w:tc>
          <w:tcPr>
            <w:tcW w:w="988" w:type="dxa"/>
            <w:tcBorders>
              <w:top w:val="nil"/>
              <w:left w:val="nil"/>
              <w:bottom w:val="single" w:sz="4" w:space="0" w:color="262626"/>
              <w:right w:val="nil"/>
            </w:tcBorders>
            <w:shd w:val="clear" w:color="000000" w:fill="D9D9D9"/>
            <w:noWrap/>
            <w:vAlign w:val="center"/>
            <w:hideMark/>
          </w:tcPr>
          <w:p w14:paraId="42A79B11" w14:textId="05AD7A2E" w:rsidR="00E36C1E" w:rsidRDefault="00E36C1E" w:rsidP="00391630">
            <w:pPr>
              <w:jc w:val="right"/>
              <w:rPr>
                <w:rFonts w:ascii="Arial Narrow" w:hAnsi="Arial Narrow" w:cs="Calibri"/>
                <w:color w:val="000000"/>
                <w:sz w:val="18"/>
                <w:szCs w:val="18"/>
              </w:rPr>
            </w:pPr>
            <w:r>
              <w:rPr>
                <w:rFonts w:ascii="Arial Narrow" w:hAnsi="Arial Narrow" w:cs="Calibri"/>
                <w:color w:val="000000"/>
                <w:sz w:val="18"/>
                <w:szCs w:val="18"/>
              </w:rPr>
              <w:t>3</w:t>
            </w:r>
            <w:r w:rsidR="00391630">
              <w:rPr>
                <w:rFonts w:ascii="Arial Narrow" w:hAnsi="Arial Narrow" w:cs="Calibri"/>
                <w:color w:val="000000"/>
                <w:sz w:val="18"/>
                <w:szCs w:val="18"/>
              </w:rPr>
              <w:t>,0</w:t>
            </w:r>
          </w:p>
        </w:tc>
        <w:tc>
          <w:tcPr>
            <w:tcW w:w="988" w:type="dxa"/>
            <w:tcBorders>
              <w:top w:val="nil"/>
              <w:left w:val="nil"/>
              <w:bottom w:val="single" w:sz="4" w:space="0" w:color="262626"/>
              <w:right w:val="nil"/>
            </w:tcBorders>
            <w:shd w:val="clear" w:color="auto" w:fill="auto"/>
            <w:noWrap/>
            <w:vAlign w:val="center"/>
            <w:hideMark/>
          </w:tcPr>
          <w:p w14:paraId="32F4B970" w14:textId="3FE67068" w:rsidR="00E36C1E" w:rsidRDefault="00E36C1E" w:rsidP="00391630">
            <w:pPr>
              <w:jc w:val="right"/>
              <w:rPr>
                <w:rFonts w:ascii="Arial Narrow" w:hAnsi="Arial Narrow" w:cs="Calibri"/>
                <w:color w:val="000000"/>
                <w:sz w:val="18"/>
                <w:szCs w:val="18"/>
              </w:rPr>
            </w:pPr>
            <w:r>
              <w:rPr>
                <w:rFonts w:ascii="Arial Narrow" w:hAnsi="Arial Narrow" w:cs="Calibri"/>
                <w:color w:val="000000"/>
                <w:sz w:val="18"/>
                <w:szCs w:val="18"/>
              </w:rPr>
              <w:t>0</w:t>
            </w:r>
            <w:r w:rsidR="00391630">
              <w:rPr>
                <w:rFonts w:ascii="Arial Narrow" w:hAnsi="Arial Narrow" w:cs="Calibri"/>
                <w:color w:val="000000"/>
                <w:sz w:val="18"/>
                <w:szCs w:val="18"/>
              </w:rPr>
              <w:t>,3</w:t>
            </w:r>
          </w:p>
        </w:tc>
        <w:tc>
          <w:tcPr>
            <w:tcW w:w="988" w:type="dxa"/>
            <w:tcBorders>
              <w:top w:val="nil"/>
              <w:left w:val="nil"/>
              <w:bottom w:val="single" w:sz="4" w:space="0" w:color="262626"/>
              <w:right w:val="nil"/>
            </w:tcBorders>
            <w:shd w:val="clear" w:color="000000" w:fill="D9D9D9"/>
            <w:noWrap/>
            <w:vAlign w:val="center"/>
            <w:hideMark/>
          </w:tcPr>
          <w:p w14:paraId="717AC47E" w14:textId="5C62F157" w:rsidR="00E36C1E" w:rsidRDefault="00E36C1E" w:rsidP="00391630">
            <w:pPr>
              <w:jc w:val="right"/>
              <w:rPr>
                <w:rFonts w:ascii="Arial Narrow" w:hAnsi="Arial Narrow" w:cs="Calibri"/>
                <w:color w:val="000000"/>
                <w:sz w:val="18"/>
                <w:szCs w:val="18"/>
              </w:rPr>
            </w:pPr>
            <w:r>
              <w:rPr>
                <w:rFonts w:ascii="Arial Narrow" w:hAnsi="Arial Narrow" w:cs="Calibri"/>
                <w:color w:val="000000"/>
                <w:sz w:val="18"/>
                <w:szCs w:val="18"/>
              </w:rPr>
              <w:t>5</w:t>
            </w:r>
            <w:r w:rsidR="00391630">
              <w:rPr>
                <w:rFonts w:ascii="Arial Narrow" w:hAnsi="Arial Narrow" w:cs="Calibri"/>
                <w:color w:val="000000"/>
                <w:sz w:val="18"/>
                <w:szCs w:val="18"/>
              </w:rPr>
              <w:t>,1</w:t>
            </w:r>
          </w:p>
        </w:tc>
        <w:tc>
          <w:tcPr>
            <w:tcW w:w="988" w:type="dxa"/>
            <w:tcBorders>
              <w:top w:val="nil"/>
              <w:left w:val="nil"/>
              <w:bottom w:val="single" w:sz="4" w:space="0" w:color="262626"/>
              <w:right w:val="nil"/>
            </w:tcBorders>
            <w:shd w:val="clear" w:color="auto" w:fill="auto"/>
            <w:noWrap/>
            <w:vAlign w:val="center"/>
            <w:hideMark/>
          </w:tcPr>
          <w:p w14:paraId="0DD10891"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3,1</w:t>
            </w:r>
          </w:p>
        </w:tc>
      </w:tr>
      <w:tr w:rsidR="00E36C1E" w14:paraId="776A51B5" w14:textId="77777777" w:rsidTr="00E36C1E">
        <w:trPr>
          <w:trHeight w:val="300"/>
        </w:trPr>
        <w:tc>
          <w:tcPr>
            <w:tcW w:w="1736" w:type="dxa"/>
            <w:tcBorders>
              <w:top w:val="nil"/>
              <w:left w:val="nil"/>
              <w:bottom w:val="single" w:sz="4" w:space="0" w:color="262626"/>
              <w:right w:val="nil"/>
            </w:tcBorders>
            <w:shd w:val="clear" w:color="auto" w:fill="auto"/>
            <w:noWrap/>
            <w:vAlign w:val="center"/>
            <w:hideMark/>
          </w:tcPr>
          <w:p w14:paraId="388255BC" w14:textId="77777777" w:rsidR="00E36C1E" w:rsidRDefault="00E36C1E">
            <w:pPr>
              <w:rPr>
                <w:rFonts w:ascii="Arial Narrow" w:hAnsi="Arial Narrow" w:cs="Calibri"/>
                <w:color w:val="000000"/>
                <w:sz w:val="18"/>
                <w:szCs w:val="18"/>
              </w:rPr>
            </w:pPr>
            <w:r>
              <w:rPr>
                <w:rFonts w:ascii="Arial Narrow" w:hAnsi="Arial Narrow" w:cs="Calibri"/>
                <w:color w:val="000000"/>
                <w:sz w:val="18"/>
                <w:szCs w:val="18"/>
              </w:rPr>
              <w:t>Monza e della Brianza</w:t>
            </w:r>
          </w:p>
        </w:tc>
        <w:tc>
          <w:tcPr>
            <w:tcW w:w="988" w:type="dxa"/>
            <w:tcBorders>
              <w:top w:val="nil"/>
              <w:left w:val="nil"/>
              <w:bottom w:val="single" w:sz="4" w:space="0" w:color="262626"/>
              <w:right w:val="nil"/>
            </w:tcBorders>
            <w:shd w:val="clear" w:color="000000" w:fill="D9D9D9"/>
            <w:noWrap/>
            <w:vAlign w:val="center"/>
            <w:hideMark/>
          </w:tcPr>
          <w:p w14:paraId="7B1FE52F"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7,3</w:t>
            </w:r>
          </w:p>
        </w:tc>
        <w:tc>
          <w:tcPr>
            <w:tcW w:w="988" w:type="dxa"/>
            <w:tcBorders>
              <w:top w:val="nil"/>
              <w:left w:val="nil"/>
              <w:bottom w:val="single" w:sz="4" w:space="0" w:color="262626"/>
              <w:right w:val="nil"/>
            </w:tcBorders>
            <w:shd w:val="clear" w:color="auto" w:fill="auto"/>
            <w:noWrap/>
            <w:vAlign w:val="center"/>
            <w:hideMark/>
          </w:tcPr>
          <w:p w14:paraId="11A83EC1"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7,0</w:t>
            </w:r>
          </w:p>
        </w:tc>
        <w:tc>
          <w:tcPr>
            <w:tcW w:w="988" w:type="dxa"/>
            <w:tcBorders>
              <w:top w:val="nil"/>
              <w:left w:val="nil"/>
              <w:bottom w:val="single" w:sz="4" w:space="0" w:color="262626"/>
              <w:right w:val="nil"/>
            </w:tcBorders>
            <w:shd w:val="clear" w:color="000000" w:fill="D9D9D9"/>
            <w:noWrap/>
            <w:vAlign w:val="center"/>
            <w:hideMark/>
          </w:tcPr>
          <w:p w14:paraId="7E7C1D32"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9,2</w:t>
            </w:r>
          </w:p>
        </w:tc>
        <w:tc>
          <w:tcPr>
            <w:tcW w:w="988" w:type="dxa"/>
            <w:tcBorders>
              <w:top w:val="nil"/>
              <w:left w:val="nil"/>
              <w:bottom w:val="single" w:sz="4" w:space="0" w:color="262626"/>
              <w:right w:val="nil"/>
            </w:tcBorders>
            <w:shd w:val="clear" w:color="auto" w:fill="auto"/>
            <w:noWrap/>
            <w:vAlign w:val="center"/>
            <w:hideMark/>
          </w:tcPr>
          <w:p w14:paraId="7A78F202"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12,0</w:t>
            </w:r>
          </w:p>
        </w:tc>
        <w:tc>
          <w:tcPr>
            <w:tcW w:w="988" w:type="dxa"/>
            <w:tcBorders>
              <w:top w:val="nil"/>
              <w:left w:val="nil"/>
              <w:bottom w:val="single" w:sz="4" w:space="0" w:color="262626"/>
              <w:right w:val="nil"/>
            </w:tcBorders>
            <w:shd w:val="clear" w:color="000000" w:fill="D9D9D9"/>
            <w:noWrap/>
            <w:vAlign w:val="center"/>
            <w:hideMark/>
          </w:tcPr>
          <w:p w14:paraId="0CE937D5"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4,5</w:t>
            </w:r>
          </w:p>
        </w:tc>
        <w:tc>
          <w:tcPr>
            <w:tcW w:w="988" w:type="dxa"/>
            <w:tcBorders>
              <w:top w:val="nil"/>
              <w:left w:val="nil"/>
              <w:bottom w:val="single" w:sz="4" w:space="0" w:color="262626"/>
              <w:right w:val="nil"/>
            </w:tcBorders>
            <w:shd w:val="clear" w:color="auto" w:fill="auto"/>
            <w:noWrap/>
            <w:vAlign w:val="center"/>
            <w:hideMark/>
          </w:tcPr>
          <w:p w14:paraId="6A0F98A7"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3,1</w:t>
            </w:r>
          </w:p>
        </w:tc>
        <w:tc>
          <w:tcPr>
            <w:tcW w:w="988" w:type="dxa"/>
            <w:tcBorders>
              <w:top w:val="nil"/>
              <w:left w:val="nil"/>
              <w:bottom w:val="single" w:sz="4" w:space="0" w:color="262626"/>
              <w:right w:val="nil"/>
            </w:tcBorders>
            <w:shd w:val="clear" w:color="000000" w:fill="D9D9D9"/>
            <w:noWrap/>
            <w:vAlign w:val="center"/>
            <w:hideMark/>
          </w:tcPr>
          <w:p w14:paraId="73603A4C"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2,6</w:t>
            </w:r>
          </w:p>
        </w:tc>
        <w:tc>
          <w:tcPr>
            <w:tcW w:w="988" w:type="dxa"/>
            <w:tcBorders>
              <w:top w:val="nil"/>
              <w:left w:val="nil"/>
              <w:bottom w:val="single" w:sz="4" w:space="0" w:color="262626"/>
              <w:right w:val="nil"/>
            </w:tcBorders>
            <w:shd w:val="clear" w:color="auto" w:fill="auto"/>
            <w:noWrap/>
            <w:vAlign w:val="center"/>
            <w:hideMark/>
          </w:tcPr>
          <w:p w14:paraId="4DA96A92"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0,9</w:t>
            </w:r>
          </w:p>
        </w:tc>
      </w:tr>
      <w:tr w:rsidR="00E36C1E" w14:paraId="05C0C0BD" w14:textId="77777777" w:rsidTr="00E36C1E">
        <w:trPr>
          <w:trHeight w:val="300"/>
        </w:trPr>
        <w:tc>
          <w:tcPr>
            <w:tcW w:w="1736" w:type="dxa"/>
            <w:tcBorders>
              <w:top w:val="nil"/>
              <w:left w:val="nil"/>
              <w:bottom w:val="single" w:sz="4" w:space="0" w:color="262626"/>
              <w:right w:val="nil"/>
            </w:tcBorders>
            <w:shd w:val="clear" w:color="auto" w:fill="auto"/>
            <w:noWrap/>
            <w:vAlign w:val="center"/>
            <w:hideMark/>
          </w:tcPr>
          <w:p w14:paraId="44CD7175" w14:textId="77777777" w:rsidR="00E36C1E" w:rsidRDefault="00E36C1E">
            <w:pPr>
              <w:rPr>
                <w:rFonts w:ascii="Arial Narrow" w:hAnsi="Arial Narrow" w:cs="Calibri"/>
                <w:color w:val="000000"/>
                <w:sz w:val="18"/>
                <w:szCs w:val="18"/>
              </w:rPr>
            </w:pPr>
            <w:r>
              <w:rPr>
                <w:rFonts w:ascii="Arial Narrow" w:hAnsi="Arial Narrow" w:cs="Calibri"/>
                <w:color w:val="000000"/>
                <w:sz w:val="18"/>
                <w:szCs w:val="18"/>
              </w:rPr>
              <w:t>Pavia</w:t>
            </w:r>
          </w:p>
        </w:tc>
        <w:tc>
          <w:tcPr>
            <w:tcW w:w="988" w:type="dxa"/>
            <w:tcBorders>
              <w:top w:val="nil"/>
              <w:left w:val="nil"/>
              <w:bottom w:val="single" w:sz="4" w:space="0" w:color="262626"/>
              <w:right w:val="nil"/>
            </w:tcBorders>
            <w:shd w:val="clear" w:color="000000" w:fill="D9D9D9"/>
            <w:noWrap/>
            <w:vAlign w:val="center"/>
            <w:hideMark/>
          </w:tcPr>
          <w:p w14:paraId="18867424"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6,7</w:t>
            </w:r>
          </w:p>
        </w:tc>
        <w:tc>
          <w:tcPr>
            <w:tcW w:w="988" w:type="dxa"/>
            <w:tcBorders>
              <w:top w:val="nil"/>
              <w:left w:val="nil"/>
              <w:bottom w:val="single" w:sz="4" w:space="0" w:color="262626"/>
              <w:right w:val="nil"/>
            </w:tcBorders>
            <w:shd w:val="clear" w:color="auto" w:fill="auto"/>
            <w:noWrap/>
            <w:vAlign w:val="center"/>
            <w:hideMark/>
          </w:tcPr>
          <w:p w14:paraId="79224C5C"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6,3</w:t>
            </w:r>
          </w:p>
        </w:tc>
        <w:tc>
          <w:tcPr>
            <w:tcW w:w="988" w:type="dxa"/>
            <w:tcBorders>
              <w:top w:val="nil"/>
              <w:left w:val="nil"/>
              <w:bottom w:val="single" w:sz="4" w:space="0" w:color="262626"/>
              <w:right w:val="nil"/>
            </w:tcBorders>
            <w:shd w:val="clear" w:color="000000" w:fill="D9D9D9"/>
            <w:noWrap/>
            <w:vAlign w:val="center"/>
            <w:hideMark/>
          </w:tcPr>
          <w:p w14:paraId="33D869F9"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12,9</w:t>
            </w:r>
          </w:p>
        </w:tc>
        <w:tc>
          <w:tcPr>
            <w:tcW w:w="988" w:type="dxa"/>
            <w:tcBorders>
              <w:top w:val="nil"/>
              <w:left w:val="nil"/>
              <w:bottom w:val="single" w:sz="4" w:space="0" w:color="262626"/>
              <w:right w:val="nil"/>
            </w:tcBorders>
            <w:shd w:val="clear" w:color="auto" w:fill="auto"/>
            <w:noWrap/>
            <w:vAlign w:val="center"/>
            <w:hideMark/>
          </w:tcPr>
          <w:p w14:paraId="10663560"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17,2</w:t>
            </w:r>
          </w:p>
        </w:tc>
        <w:tc>
          <w:tcPr>
            <w:tcW w:w="988" w:type="dxa"/>
            <w:tcBorders>
              <w:top w:val="nil"/>
              <w:left w:val="nil"/>
              <w:bottom w:val="single" w:sz="4" w:space="0" w:color="262626"/>
              <w:right w:val="nil"/>
            </w:tcBorders>
            <w:shd w:val="clear" w:color="000000" w:fill="D9D9D9"/>
            <w:noWrap/>
            <w:vAlign w:val="center"/>
            <w:hideMark/>
          </w:tcPr>
          <w:p w14:paraId="3C1A5507"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2,8</w:t>
            </w:r>
          </w:p>
        </w:tc>
        <w:tc>
          <w:tcPr>
            <w:tcW w:w="988" w:type="dxa"/>
            <w:tcBorders>
              <w:top w:val="nil"/>
              <w:left w:val="nil"/>
              <w:bottom w:val="single" w:sz="4" w:space="0" w:color="262626"/>
              <w:right w:val="nil"/>
            </w:tcBorders>
            <w:shd w:val="clear" w:color="auto" w:fill="auto"/>
            <w:noWrap/>
            <w:vAlign w:val="center"/>
            <w:hideMark/>
          </w:tcPr>
          <w:p w14:paraId="593CCD60"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1,7</w:t>
            </w:r>
          </w:p>
        </w:tc>
        <w:tc>
          <w:tcPr>
            <w:tcW w:w="988" w:type="dxa"/>
            <w:tcBorders>
              <w:top w:val="nil"/>
              <w:left w:val="nil"/>
              <w:bottom w:val="single" w:sz="4" w:space="0" w:color="262626"/>
              <w:right w:val="nil"/>
            </w:tcBorders>
            <w:shd w:val="clear" w:color="000000" w:fill="D9D9D9"/>
            <w:noWrap/>
            <w:vAlign w:val="center"/>
            <w:hideMark/>
          </w:tcPr>
          <w:p w14:paraId="0C9FC1EE"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3,3</w:t>
            </w:r>
          </w:p>
        </w:tc>
        <w:tc>
          <w:tcPr>
            <w:tcW w:w="988" w:type="dxa"/>
            <w:tcBorders>
              <w:top w:val="nil"/>
              <w:left w:val="nil"/>
              <w:bottom w:val="single" w:sz="4" w:space="0" w:color="262626"/>
              <w:right w:val="nil"/>
            </w:tcBorders>
            <w:shd w:val="clear" w:color="auto" w:fill="auto"/>
            <w:noWrap/>
            <w:vAlign w:val="center"/>
            <w:hideMark/>
          </w:tcPr>
          <w:p w14:paraId="67DF8A12"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1,7</w:t>
            </w:r>
          </w:p>
        </w:tc>
      </w:tr>
      <w:tr w:rsidR="00E36C1E" w14:paraId="71337C04" w14:textId="77777777" w:rsidTr="00E36C1E">
        <w:trPr>
          <w:trHeight w:val="300"/>
        </w:trPr>
        <w:tc>
          <w:tcPr>
            <w:tcW w:w="1736" w:type="dxa"/>
            <w:tcBorders>
              <w:top w:val="nil"/>
              <w:left w:val="nil"/>
              <w:bottom w:val="single" w:sz="4" w:space="0" w:color="262626"/>
              <w:right w:val="nil"/>
            </w:tcBorders>
            <w:shd w:val="clear" w:color="auto" w:fill="auto"/>
            <w:noWrap/>
            <w:vAlign w:val="center"/>
            <w:hideMark/>
          </w:tcPr>
          <w:p w14:paraId="4EAED13A" w14:textId="77777777" w:rsidR="00E36C1E" w:rsidRDefault="00E36C1E">
            <w:pPr>
              <w:rPr>
                <w:rFonts w:ascii="Arial Narrow" w:hAnsi="Arial Narrow" w:cs="Calibri"/>
                <w:color w:val="000000"/>
                <w:sz w:val="18"/>
                <w:szCs w:val="18"/>
              </w:rPr>
            </w:pPr>
            <w:r>
              <w:rPr>
                <w:rFonts w:ascii="Arial Narrow" w:hAnsi="Arial Narrow" w:cs="Calibri"/>
                <w:color w:val="000000"/>
                <w:sz w:val="18"/>
                <w:szCs w:val="18"/>
              </w:rPr>
              <w:t>Sondrio</w:t>
            </w:r>
          </w:p>
        </w:tc>
        <w:tc>
          <w:tcPr>
            <w:tcW w:w="988" w:type="dxa"/>
            <w:tcBorders>
              <w:top w:val="nil"/>
              <w:left w:val="nil"/>
              <w:bottom w:val="single" w:sz="4" w:space="0" w:color="262626"/>
              <w:right w:val="nil"/>
            </w:tcBorders>
            <w:shd w:val="clear" w:color="000000" w:fill="D9D9D9"/>
            <w:noWrap/>
            <w:vAlign w:val="center"/>
            <w:hideMark/>
          </w:tcPr>
          <w:p w14:paraId="239D6B40"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7,3</w:t>
            </w:r>
          </w:p>
        </w:tc>
        <w:tc>
          <w:tcPr>
            <w:tcW w:w="988" w:type="dxa"/>
            <w:tcBorders>
              <w:top w:val="nil"/>
              <w:left w:val="nil"/>
              <w:bottom w:val="single" w:sz="4" w:space="0" w:color="262626"/>
              <w:right w:val="nil"/>
            </w:tcBorders>
            <w:shd w:val="clear" w:color="auto" w:fill="auto"/>
            <w:noWrap/>
            <w:vAlign w:val="center"/>
            <w:hideMark/>
          </w:tcPr>
          <w:p w14:paraId="69282D2C"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6,6</w:t>
            </w:r>
          </w:p>
        </w:tc>
        <w:tc>
          <w:tcPr>
            <w:tcW w:w="988" w:type="dxa"/>
            <w:tcBorders>
              <w:top w:val="nil"/>
              <w:left w:val="nil"/>
              <w:bottom w:val="single" w:sz="4" w:space="0" w:color="262626"/>
              <w:right w:val="nil"/>
            </w:tcBorders>
            <w:shd w:val="clear" w:color="000000" w:fill="D9D9D9"/>
            <w:noWrap/>
            <w:vAlign w:val="center"/>
            <w:hideMark/>
          </w:tcPr>
          <w:p w14:paraId="4559D04B"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11,3</w:t>
            </w:r>
          </w:p>
        </w:tc>
        <w:tc>
          <w:tcPr>
            <w:tcW w:w="988" w:type="dxa"/>
            <w:tcBorders>
              <w:top w:val="nil"/>
              <w:left w:val="nil"/>
              <w:bottom w:val="single" w:sz="4" w:space="0" w:color="262626"/>
              <w:right w:val="nil"/>
            </w:tcBorders>
            <w:shd w:val="clear" w:color="auto" w:fill="auto"/>
            <w:noWrap/>
            <w:vAlign w:val="center"/>
            <w:hideMark/>
          </w:tcPr>
          <w:p w14:paraId="2198A8E3"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14,1</w:t>
            </w:r>
          </w:p>
        </w:tc>
        <w:tc>
          <w:tcPr>
            <w:tcW w:w="988" w:type="dxa"/>
            <w:tcBorders>
              <w:top w:val="nil"/>
              <w:left w:val="nil"/>
              <w:bottom w:val="single" w:sz="4" w:space="0" w:color="262626"/>
              <w:right w:val="nil"/>
            </w:tcBorders>
            <w:shd w:val="clear" w:color="000000" w:fill="D9D9D9"/>
            <w:noWrap/>
            <w:vAlign w:val="center"/>
            <w:hideMark/>
          </w:tcPr>
          <w:p w14:paraId="7893C58F"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2,4</w:t>
            </w:r>
          </w:p>
        </w:tc>
        <w:tc>
          <w:tcPr>
            <w:tcW w:w="988" w:type="dxa"/>
            <w:tcBorders>
              <w:top w:val="nil"/>
              <w:left w:val="nil"/>
              <w:bottom w:val="single" w:sz="4" w:space="0" w:color="262626"/>
              <w:right w:val="nil"/>
            </w:tcBorders>
            <w:shd w:val="clear" w:color="auto" w:fill="auto"/>
            <w:noWrap/>
            <w:vAlign w:val="center"/>
            <w:hideMark/>
          </w:tcPr>
          <w:p w14:paraId="580EE886"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2,2</w:t>
            </w:r>
          </w:p>
        </w:tc>
        <w:tc>
          <w:tcPr>
            <w:tcW w:w="988" w:type="dxa"/>
            <w:tcBorders>
              <w:top w:val="nil"/>
              <w:left w:val="nil"/>
              <w:bottom w:val="single" w:sz="4" w:space="0" w:color="262626"/>
              <w:right w:val="nil"/>
            </w:tcBorders>
            <w:shd w:val="clear" w:color="000000" w:fill="D9D9D9"/>
            <w:noWrap/>
            <w:vAlign w:val="center"/>
            <w:hideMark/>
          </w:tcPr>
          <w:p w14:paraId="4EFB33F8"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2,7</w:t>
            </w:r>
          </w:p>
        </w:tc>
        <w:tc>
          <w:tcPr>
            <w:tcW w:w="988" w:type="dxa"/>
            <w:tcBorders>
              <w:top w:val="nil"/>
              <w:left w:val="nil"/>
              <w:bottom w:val="single" w:sz="4" w:space="0" w:color="262626"/>
              <w:right w:val="nil"/>
            </w:tcBorders>
            <w:shd w:val="clear" w:color="auto" w:fill="auto"/>
            <w:noWrap/>
            <w:vAlign w:val="center"/>
            <w:hideMark/>
          </w:tcPr>
          <w:p w14:paraId="1605A263"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1,3</w:t>
            </w:r>
          </w:p>
        </w:tc>
      </w:tr>
      <w:tr w:rsidR="00E36C1E" w14:paraId="4049E6E3" w14:textId="77777777" w:rsidTr="00E36C1E">
        <w:trPr>
          <w:trHeight w:val="300"/>
        </w:trPr>
        <w:tc>
          <w:tcPr>
            <w:tcW w:w="1736" w:type="dxa"/>
            <w:tcBorders>
              <w:top w:val="nil"/>
              <w:left w:val="nil"/>
              <w:bottom w:val="single" w:sz="4" w:space="0" w:color="262626"/>
              <w:right w:val="nil"/>
            </w:tcBorders>
            <w:shd w:val="clear" w:color="auto" w:fill="auto"/>
            <w:noWrap/>
            <w:vAlign w:val="center"/>
            <w:hideMark/>
          </w:tcPr>
          <w:p w14:paraId="5F298D4D" w14:textId="77777777" w:rsidR="00E36C1E" w:rsidRDefault="00E36C1E">
            <w:pPr>
              <w:rPr>
                <w:rFonts w:ascii="Arial Narrow" w:hAnsi="Arial Narrow" w:cs="Calibri"/>
                <w:color w:val="000000"/>
                <w:sz w:val="18"/>
                <w:szCs w:val="18"/>
              </w:rPr>
            </w:pPr>
            <w:r>
              <w:rPr>
                <w:rFonts w:ascii="Arial Narrow" w:hAnsi="Arial Narrow" w:cs="Calibri"/>
                <w:color w:val="000000"/>
                <w:sz w:val="18"/>
                <w:szCs w:val="18"/>
              </w:rPr>
              <w:t>Varese</w:t>
            </w:r>
          </w:p>
        </w:tc>
        <w:tc>
          <w:tcPr>
            <w:tcW w:w="988" w:type="dxa"/>
            <w:tcBorders>
              <w:top w:val="nil"/>
              <w:left w:val="nil"/>
              <w:bottom w:val="single" w:sz="4" w:space="0" w:color="262626"/>
              <w:right w:val="nil"/>
            </w:tcBorders>
            <w:shd w:val="clear" w:color="000000" w:fill="D9D9D9"/>
            <w:noWrap/>
            <w:vAlign w:val="center"/>
            <w:hideMark/>
          </w:tcPr>
          <w:p w14:paraId="581EB9E2"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7,1</w:t>
            </w:r>
          </w:p>
        </w:tc>
        <w:tc>
          <w:tcPr>
            <w:tcW w:w="988" w:type="dxa"/>
            <w:tcBorders>
              <w:top w:val="nil"/>
              <w:left w:val="nil"/>
              <w:bottom w:val="single" w:sz="4" w:space="0" w:color="262626"/>
              <w:right w:val="nil"/>
            </w:tcBorders>
            <w:shd w:val="clear" w:color="auto" w:fill="auto"/>
            <w:noWrap/>
            <w:vAlign w:val="center"/>
            <w:hideMark/>
          </w:tcPr>
          <w:p w14:paraId="2DCDF70F"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6,6</w:t>
            </w:r>
          </w:p>
        </w:tc>
        <w:tc>
          <w:tcPr>
            <w:tcW w:w="988" w:type="dxa"/>
            <w:tcBorders>
              <w:top w:val="nil"/>
              <w:left w:val="nil"/>
              <w:bottom w:val="single" w:sz="4" w:space="0" w:color="262626"/>
              <w:right w:val="nil"/>
            </w:tcBorders>
            <w:shd w:val="clear" w:color="000000" w:fill="D9D9D9"/>
            <w:noWrap/>
            <w:vAlign w:val="center"/>
            <w:hideMark/>
          </w:tcPr>
          <w:p w14:paraId="518BB9C3"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10,5</w:t>
            </w:r>
          </w:p>
        </w:tc>
        <w:tc>
          <w:tcPr>
            <w:tcW w:w="988" w:type="dxa"/>
            <w:tcBorders>
              <w:top w:val="nil"/>
              <w:left w:val="nil"/>
              <w:bottom w:val="single" w:sz="4" w:space="0" w:color="262626"/>
              <w:right w:val="nil"/>
            </w:tcBorders>
            <w:shd w:val="clear" w:color="auto" w:fill="auto"/>
            <w:noWrap/>
            <w:vAlign w:val="center"/>
            <w:hideMark/>
          </w:tcPr>
          <w:p w14:paraId="78625A55"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13,2</w:t>
            </w:r>
          </w:p>
        </w:tc>
        <w:tc>
          <w:tcPr>
            <w:tcW w:w="988" w:type="dxa"/>
            <w:tcBorders>
              <w:top w:val="nil"/>
              <w:left w:val="nil"/>
              <w:bottom w:val="single" w:sz="4" w:space="0" w:color="262626"/>
              <w:right w:val="nil"/>
            </w:tcBorders>
            <w:shd w:val="clear" w:color="000000" w:fill="D9D9D9"/>
            <w:noWrap/>
            <w:vAlign w:val="center"/>
            <w:hideMark/>
          </w:tcPr>
          <w:p w14:paraId="70306FAE"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2,8</w:t>
            </w:r>
          </w:p>
        </w:tc>
        <w:tc>
          <w:tcPr>
            <w:tcW w:w="988" w:type="dxa"/>
            <w:tcBorders>
              <w:top w:val="nil"/>
              <w:left w:val="nil"/>
              <w:bottom w:val="single" w:sz="4" w:space="0" w:color="262626"/>
              <w:right w:val="nil"/>
            </w:tcBorders>
            <w:shd w:val="clear" w:color="auto" w:fill="auto"/>
            <w:noWrap/>
            <w:vAlign w:val="center"/>
            <w:hideMark/>
          </w:tcPr>
          <w:p w14:paraId="0D394958"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1,4</w:t>
            </w:r>
          </w:p>
        </w:tc>
        <w:tc>
          <w:tcPr>
            <w:tcW w:w="988" w:type="dxa"/>
            <w:tcBorders>
              <w:top w:val="nil"/>
              <w:left w:val="nil"/>
              <w:bottom w:val="single" w:sz="4" w:space="0" w:color="262626"/>
              <w:right w:val="nil"/>
            </w:tcBorders>
            <w:shd w:val="clear" w:color="000000" w:fill="D9D9D9"/>
            <w:noWrap/>
            <w:vAlign w:val="center"/>
            <w:hideMark/>
          </w:tcPr>
          <w:p w14:paraId="69BF746E"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2,1</w:t>
            </w:r>
          </w:p>
        </w:tc>
        <w:tc>
          <w:tcPr>
            <w:tcW w:w="988" w:type="dxa"/>
            <w:tcBorders>
              <w:top w:val="nil"/>
              <w:left w:val="nil"/>
              <w:bottom w:val="single" w:sz="4" w:space="0" w:color="262626"/>
              <w:right w:val="nil"/>
            </w:tcBorders>
            <w:shd w:val="clear" w:color="auto" w:fill="auto"/>
            <w:noWrap/>
            <w:vAlign w:val="center"/>
            <w:hideMark/>
          </w:tcPr>
          <w:p w14:paraId="70E29A64" w14:textId="77777777" w:rsidR="00E36C1E" w:rsidRDefault="00E36C1E">
            <w:pPr>
              <w:jc w:val="right"/>
              <w:rPr>
                <w:rFonts w:ascii="Arial Narrow" w:hAnsi="Arial Narrow" w:cs="Calibri"/>
                <w:color w:val="000000"/>
                <w:sz w:val="18"/>
                <w:szCs w:val="18"/>
              </w:rPr>
            </w:pPr>
            <w:r>
              <w:rPr>
                <w:rFonts w:ascii="Arial Narrow" w:hAnsi="Arial Narrow" w:cs="Calibri"/>
                <w:color w:val="000000"/>
                <w:sz w:val="18"/>
                <w:szCs w:val="18"/>
              </w:rPr>
              <w:t>0,9</w:t>
            </w:r>
          </w:p>
        </w:tc>
      </w:tr>
      <w:tr w:rsidR="00E36C1E" w14:paraId="15C7F096" w14:textId="77777777" w:rsidTr="00E36C1E">
        <w:trPr>
          <w:trHeight w:val="300"/>
        </w:trPr>
        <w:tc>
          <w:tcPr>
            <w:tcW w:w="1736" w:type="dxa"/>
            <w:tcBorders>
              <w:top w:val="single" w:sz="4" w:space="0" w:color="262626"/>
              <w:left w:val="nil"/>
              <w:bottom w:val="single" w:sz="4" w:space="0" w:color="262626"/>
              <w:right w:val="nil"/>
            </w:tcBorders>
            <w:shd w:val="clear" w:color="000000" w:fill="C9321F"/>
            <w:noWrap/>
            <w:vAlign w:val="center"/>
            <w:hideMark/>
          </w:tcPr>
          <w:p w14:paraId="6E2B7657" w14:textId="77777777" w:rsidR="00E36C1E" w:rsidRDefault="00E36C1E">
            <w:pPr>
              <w:rPr>
                <w:rFonts w:ascii="Arial Narrow" w:hAnsi="Arial Narrow" w:cs="Calibri"/>
                <w:b/>
                <w:bCs/>
                <w:color w:val="FFFFFF"/>
                <w:sz w:val="18"/>
                <w:szCs w:val="18"/>
              </w:rPr>
            </w:pPr>
            <w:r>
              <w:rPr>
                <w:rFonts w:ascii="Arial Narrow" w:hAnsi="Arial Narrow" w:cs="Calibri"/>
                <w:b/>
                <w:bCs/>
                <w:color w:val="FFFFFF"/>
                <w:sz w:val="18"/>
                <w:szCs w:val="18"/>
              </w:rPr>
              <w:t>LOMBARDIA</w:t>
            </w:r>
          </w:p>
        </w:tc>
        <w:tc>
          <w:tcPr>
            <w:tcW w:w="988" w:type="dxa"/>
            <w:tcBorders>
              <w:top w:val="single" w:sz="4" w:space="0" w:color="262626"/>
              <w:left w:val="nil"/>
              <w:bottom w:val="single" w:sz="4" w:space="0" w:color="262626"/>
              <w:right w:val="nil"/>
            </w:tcBorders>
            <w:shd w:val="clear" w:color="000000" w:fill="C9321F"/>
            <w:noWrap/>
            <w:vAlign w:val="center"/>
            <w:hideMark/>
          </w:tcPr>
          <w:p w14:paraId="1467ECAE" w14:textId="77777777" w:rsidR="00E36C1E" w:rsidRDefault="00E36C1E">
            <w:pPr>
              <w:jc w:val="right"/>
              <w:rPr>
                <w:rFonts w:ascii="Arial Narrow" w:hAnsi="Arial Narrow" w:cs="Calibri"/>
                <w:b/>
                <w:bCs/>
                <w:color w:val="FFFFFF"/>
                <w:sz w:val="18"/>
                <w:szCs w:val="18"/>
              </w:rPr>
            </w:pPr>
            <w:r>
              <w:rPr>
                <w:rFonts w:ascii="Arial Narrow" w:hAnsi="Arial Narrow" w:cs="Calibri"/>
                <w:b/>
                <w:bCs/>
                <w:color w:val="FFFFFF"/>
                <w:sz w:val="18"/>
                <w:szCs w:val="18"/>
              </w:rPr>
              <w:t>7,3</w:t>
            </w:r>
          </w:p>
        </w:tc>
        <w:tc>
          <w:tcPr>
            <w:tcW w:w="988" w:type="dxa"/>
            <w:tcBorders>
              <w:top w:val="single" w:sz="4" w:space="0" w:color="262626"/>
              <w:left w:val="nil"/>
              <w:bottom w:val="single" w:sz="4" w:space="0" w:color="262626"/>
              <w:right w:val="nil"/>
            </w:tcBorders>
            <w:shd w:val="clear" w:color="000000" w:fill="C9321F"/>
            <w:noWrap/>
            <w:vAlign w:val="center"/>
            <w:hideMark/>
          </w:tcPr>
          <w:p w14:paraId="71EF9976" w14:textId="77777777" w:rsidR="00E36C1E" w:rsidRDefault="00E36C1E">
            <w:pPr>
              <w:jc w:val="right"/>
              <w:rPr>
                <w:rFonts w:ascii="Arial Narrow" w:hAnsi="Arial Narrow" w:cs="Calibri"/>
                <w:b/>
                <w:bCs/>
                <w:color w:val="FFFFFF"/>
                <w:sz w:val="18"/>
                <w:szCs w:val="18"/>
              </w:rPr>
            </w:pPr>
            <w:r>
              <w:rPr>
                <w:rFonts w:ascii="Arial Narrow" w:hAnsi="Arial Narrow" w:cs="Calibri"/>
                <w:b/>
                <w:bCs/>
                <w:color w:val="FFFFFF"/>
                <w:sz w:val="18"/>
                <w:szCs w:val="18"/>
              </w:rPr>
              <w:t>6,9</w:t>
            </w:r>
          </w:p>
        </w:tc>
        <w:tc>
          <w:tcPr>
            <w:tcW w:w="988" w:type="dxa"/>
            <w:tcBorders>
              <w:top w:val="single" w:sz="4" w:space="0" w:color="262626"/>
              <w:left w:val="nil"/>
              <w:bottom w:val="single" w:sz="4" w:space="0" w:color="262626"/>
              <w:right w:val="nil"/>
            </w:tcBorders>
            <w:shd w:val="clear" w:color="000000" w:fill="C9321F"/>
            <w:noWrap/>
            <w:vAlign w:val="center"/>
            <w:hideMark/>
          </w:tcPr>
          <w:p w14:paraId="0FDF444C" w14:textId="77777777" w:rsidR="00E36C1E" w:rsidRDefault="00E36C1E">
            <w:pPr>
              <w:jc w:val="right"/>
              <w:rPr>
                <w:rFonts w:ascii="Arial Narrow" w:hAnsi="Arial Narrow" w:cs="Calibri"/>
                <w:b/>
                <w:bCs/>
                <w:color w:val="FFFFFF"/>
                <w:sz w:val="18"/>
                <w:szCs w:val="18"/>
              </w:rPr>
            </w:pPr>
            <w:r>
              <w:rPr>
                <w:rFonts w:ascii="Arial Narrow" w:hAnsi="Arial Narrow" w:cs="Calibri"/>
                <w:b/>
                <w:bCs/>
                <w:color w:val="FFFFFF"/>
                <w:sz w:val="18"/>
                <w:szCs w:val="18"/>
              </w:rPr>
              <w:t>10,0</w:t>
            </w:r>
          </w:p>
        </w:tc>
        <w:tc>
          <w:tcPr>
            <w:tcW w:w="988" w:type="dxa"/>
            <w:tcBorders>
              <w:top w:val="single" w:sz="4" w:space="0" w:color="262626"/>
              <w:left w:val="nil"/>
              <w:bottom w:val="single" w:sz="4" w:space="0" w:color="262626"/>
              <w:right w:val="nil"/>
            </w:tcBorders>
            <w:shd w:val="clear" w:color="000000" w:fill="C9321F"/>
            <w:noWrap/>
            <w:vAlign w:val="center"/>
            <w:hideMark/>
          </w:tcPr>
          <w:p w14:paraId="034BD7FA" w14:textId="77777777" w:rsidR="00E36C1E" w:rsidRDefault="00E36C1E">
            <w:pPr>
              <w:jc w:val="right"/>
              <w:rPr>
                <w:rFonts w:ascii="Arial Narrow" w:hAnsi="Arial Narrow" w:cs="Calibri"/>
                <w:b/>
                <w:bCs/>
                <w:color w:val="FFFFFF"/>
                <w:sz w:val="18"/>
                <w:szCs w:val="18"/>
              </w:rPr>
            </w:pPr>
            <w:r>
              <w:rPr>
                <w:rFonts w:ascii="Arial Narrow" w:hAnsi="Arial Narrow" w:cs="Calibri"/>
                <w:b/>
                <w:bCs/>
                <w:color w:val="FFFFFF"/>
                <w:sz w:val="18"/>
                <w:szCs w:val="18"/>
              </w:rPr>
              <w:t>13,6</w:t>
            </w:r>
          </w:p>
        </w:tc>
        <w:tc>
          <w:tcPr>
            <w:tcW w:w="988" w:type="dxa"/>
            <w:tcBorders>
              <w:top w:val="single" w:sz="4" w:space="0" w:color="262626"/>
              <w:left w:val="nil"/>
              <w:bottom w:val="single" w:sz="4" w:space="0" w:color="262626"/>
              <w:right w:val="nil"/>
            </w:tcBorders>
            <w:shd w:val="clear" w:color="000000" w:fill="C9321F"/>
            <w:noWrap/>
            <w:vAlign w:val="center"/>
            <w:hideMark/>
          </w:tcPr>
          <w:p w14:paraId="0FA9466C" w14:textId="77777777" w:rsidR="00E36C1E" w:rsidRDefault="00E36C1E">
            <w:pPr>
              <w:jc w:val="right"/>
              <w:rPr>
                <w:rFonts w:ascii="Arial Narrow" w:hAnsi="Arial Narrow" w:cs="Calibri"/>
                <w:b/>
                <w:bCs/>
                <w:color w:val="FFFFFF"/>
                <w:sz w:val="18"/>
                <w:szCs w:val="18"/>
              </w:rPr>
            </w:pPr>
            <w:r>
              <w:rPr>
                <w:rFonts w:ascii="Arial Narrow" w:hAnsi="Arial Narrow" w:cs="Calibri"/>
                <w:b/>
                <w:bCs/>
                <w:color w:val="FFFFFF"/>
                <w:sz w:val="18"/>
                <w:szCs w:val="18"/>
              </w:rPr>
              <w:t>2,7</w:t>
            </w:r>
          </w:p>
        </w:tc>
        <w:tc>
          <w:tcPr>
            <w:tcW w:w="988" w:type="dxa"/>
            <w:tcBorders>
              <w:top w:val="single" w:sz="4" w:space="0" w:color="262626"/>
              <w:left w:val="nil"/>
              <w:bottom w:val="single" w:sz="4" w:space="0" w:color="262626"/>
              <w:right w:val="nil"/>
            </w:tcBorders>
            <w:shd w:val="clear" w:color="000000" w:fill="C9321F"/>
            <w:noWrap/>
            <w:vAlign w:val="center"/>
            <w:hideMark/>
          </w:tcPr>
          <w:p w14:paraId="6BFF6457" w14:textId="77777777" w:rsidR="00E36C1E" w:rsidRDefault="00E36C1E">
            <w:pPr>
              <w:jc w:val="right"/>
              <w:rPr>
                <w:rFonts w:ascii="Arial Narrow" w:hAnsi="Arial Narrow" w:cs="Calibri"/>
                <w:b/>
                <w:bCs/>
                <w:color w:val="FFFFFF"/>
                <w:sz w:val="18"/>
                <w:szCs w:val="18"/>
              </w:rPr>
            </w:pPr>
            <w:r>
              <w:rPr>
                <w:rFonts w:ascii="Arial Narrow" w:hAnsi="Arial Narrow" w:cs="Calibri"/>
                <w:b/>
                <w:bCs/>
                <w:color w:val="FFFFFF"/>
                <w:sz w:val="18"/>
                <w:szCs w:val="18"/>
              </w:rPr>
              <w:t>1,3</w:t>
            </w:r>
          </w:p>
        </w:tc>
        <w:tc>
          <w:tcPr>
            <w:tcW w:w="988" w:type="dxa"/>
            <w:tcBorders>
              <w:top w:val="single" w:sz="4" w:space="0" w:color="262626"/>
              <w:left w:val="nil"/>
              <w:bottom w:val="single" w:sz="4" w:space="0" w:color="262626"/>
              <w:right w:val="nil"/>
            </w:tcBorders>
            <w:shd w:val="clear" w:color="000000" w:fill="C9321F"/>
            <w:noWrap/>
            <w:vAlign w:val="center"/>
            <w:hideMark/>
          </w:tcPr>
          <w:p w14:paraId="3FB95CE9" w14:textId="77777777" w:rsidR="00E36C1E" w:rsidRDefault="00E36C1E">
            <w:pPr>
              <w:jc w:val="right"/>
              <w:rPr>
                <w:rFonts w:ascii="Arial Narrow" w:hAnsi="Arial Narrow" w:cs="Calibri"/>
                <w:b/>
                <w:bCs/>
                <w:color w:val="FFFFFF"/>
                <w:sz w:val="18"/>
                <w:szCs w:val="18"/>
              </w:rPr>
            </w:pPr>
            <w:r>
              <w:rPr>
                <w:rFonts w:ascii="Arial Narrow" w:hAnsi="Arial Narrow" w:cs="Calibri"/>
                <w:b/>
                <w:bCs/>
                <w:color w:val="FFFFFF"/>
                <w:sz w:val="18"/>
                <w:szCs w:val="18"/>
              </w:rPr>
              <w:t>3,6</w:t>
            </w:r>
          </w:p>
        </w:tc>
        <w:tc>
          <w:tcPr>
            <w:tcW w:w="988" w:type="dxa"/>
            <w:tcBorders>
              <w:top w:val="single" w:sz="4" w:space="0" w:color="262626"/>
              <w:left w:val="nil"/>
              <w:bottom w:val="single" w:sz="4" w:space="0" w:color="262626"/>
              <w:right w:val="nil"/>
            </w:tcBorders>
            <w:shd w:val="clear" w:color="000000" w:fill="C9321F"/>
            <w:noWrap/>
            <w:vAlign w:val="center"/>
            <w:hideMark/>
          </w:tcPr>
          <w:p w14:paraId="452E217F" w14:textId="77777777" w:rsidR="00E36C1E" w:rsidRDefault="00E36C1E">
            <w:pPr>
              <w:jc w:val="right"/>
              <w:rPr>
                <w:rFonts w:ascii="Arial Narrow" w:hAnsi="Arial Narrow" w:cs="Calibri"/>
                <w:b/>
                <w:bCs/>
                <w:color w:val="FFFFFF"/>
                <w:sz w:val="18"/>
                <w:szCs w:val="18"/>
              </w:rPr>
            </w:pPr>
            <w:r>
              <w:rPr>
                <w:rFonts w:ascii="Arial Narrow" w:hAnsi="Arial Narrow" w:cs="Calibri"/>
                <w:b/>
                <w:bCs/>
                <w:color w:val="FFFFFF"/>
                <w:sz w:val="18"/>
                <w:szCs w:val="18"/>
              </w:rPr>
              <w:t>1,8</w:t>
            </w:r>
          </w:p>
        </w:tc>
      </w:tr>
      <w:tr w:rsidR="00E36C1E" w14:paraId="5E52C4F4" w14:textId="77777777" w:rsidTr="00E36C1E">
        <w:trPr>
          <w:trHeight w:val="300"/>
        </w:trPr>
        <w:tc>
          <w:tcPr>
            <w:tcW w:w="1736" w:type="dxa"/>
            <w:tcBorders>
              <w:top w:val="single" w:sz="4" w:space="0" w:color="262626"/>
              <w:left w:val="nil"/>
              <w:bottom w:val="single" w:sz="4" w:space="0" w:color="262626"/>
              <w:right w:val="nil"/>
            </w:tcBorders>
            <w:shd w:val="clear" w:color="000000" w:fill="C9321F"/>
            <w:noWrap/>
            <w:vAlign w:val="center"/>
            <w:hideMark/>
          </w:tcPr>
          <w:p w14:paraId="3265701A" w14:textId="77777777" w:rsidR="00E36C1E" w:rsidRDefault="00E36C1E">
            <w:pPr>
              <w:rPr>
                <w:rFonts w:ascii="Arial Narrow" w:hAnsi="Arial Narrow" w:cs="Calibri"/>
                <w:b/>
                <w:bCs/>
                <w:color w:val="FFFFFF"/>
                <w:sz w:val="18"/>
                <w:szCs w:val="18"/>
              </w:rPr>
            </w:pPr>
            <w:r>
              <w:rPr>
                <w:rFonts w:ascii="Arial Narrow" w:hAnsi="Arial Narrow" w:cs="Calibri"/>
                <w:b/>
                <w:bCs/>
                <w:color w:val="FFFFFF"/>
                <w:sz w:val="18"/>
                <w:szCs w:val="18"/>
              </w:rPr>
              <w:t>ITALIA</w:t>
            </w:r>
          </w:p>
        </w:tc>
        <w:tc>
          <w:tcPr>
            <w:tcW w:w="988" w:type="dxa"/>
            <w:tcBorders>
              <w:top w:val="single" w:sz="4" w:space="0" w:color="262626"/>
              <w:left w:val="nil"/>
              <w:bottom w:val="single" w:sz="4" w:space="0" w:color="262626"/>
              <w:right w:val="nil"/>
            </w:tcBorders>
            <w:shd w:val="clear" w:color="000000" w:fill="C9321F"/>
            <w:noWrap/>
            <w:vAlign w:val="center"/>
            <w:hideMark/>
          </w:tcPr>
          <w:p w14:paraId="788A6577" w14:textId="77777777" w:rsidR="00E36C1E" w:rsidRDefault="00E36C1E">
            <w:pPr>
              <w:jc w:val="right"/>
              <w:rPr>
                <w:rFonts w:ascii="Arial Narrow" w:hAnsi="Arial Narrow" w:cs="Calibri"/>
                <w:b/>
                <w:bCs/>
                <w:color w:val="FFFFFF"/>
                <w:sz w:val="18"/>
                <w:szCs w:val="18"/>
              </w:rPr>
            </w:pPr>
            <w:r>
              <w:rPr>
                <w:rFonts w:ascii="Arial Narrow" w:hAnsi="Arial Narrow" w:cs="Calibri"/>
                <w:b/>
                <w:bCs/>
                <w:color w:val="FFFFFF"/>
                <w:sz w:val="18"/>
                <w:szCs w:val="18"/>
              </w:rPr>
              <w:t>7,0</w:t>
            </w:r>
          </w:p>
        </w:tc>
        <w:tc>
          <w:tcPr>
            <w:tcW w:w="988" w:type="dxa"/>
            <w:tcBorders>
              <w:top w:val="single" w:sz="4" w:space="0" w:color="262626"/>
              <w:left w:val="nil"/>
              <w:bottom w:val="single" w:sz="4" w:space="0" w:color="262626"/>
              <w:right w:val="nil"/>
            </w:tcBorders>
            <w:shd w:val="clear" w:color="000000" w:fill="C9321F"/>
            <w:noWrap/>
            <w:vAlign w:val="center"/>
            <w:hideMark/>
          </w:tcPr>
          <w:p w14:paraId="70638621" w14:textId="77777777" w:rsidR="00E36C1E" w:rsidRDefault="00E36C1E">
            <w:pPr>
              <w:jc w:val="right"/>
              <w:rPr>
                <w:rFonts w:ascii="Arial Narrow" w:hAnsi="Arial Narrow" w:cs="Calibri"/>
                <w:b/>
                <w:bCs/>
                <w:color w:val="FFFFFF"/>
                <w:sz w:val="18"/>
                <w:szCs w:val="18"/>
              </w:rPr>
            </w:pPr>
            <w:r>
              <w:rPr>
                <w:rFonts w:ascii="Arial Narrow" w:hAnsi="Arial Narrow" w:cs="Calibri"/>
                <w:b/>
                <w:bCs/>
                <w:color w:val="FFFFFF"/>
                <w:sz w:val="18"/>
                <w:szCs w:val="18"/>
              </w:rPr>
              <w:t>6,8</w:t>
            </w:r>
          </w:p>
        </w:tc>
        <w:tc>
          <w:tcPr>
            <w:tcW w:w="988" w:type="dxa"/>
            <w:tcBorders>
              <w:top w:val="single" w:sz="4" w:space="0" w:color="262626"/>
              <w:left w:val="nil"/>
              <w:bottom w:val="single" w:sz="4" w:space="0" w:color="262626"/>
              <w:right w:val="nil"/>
            </w:tcBorders>
            <w:shd w:val="clear" w:color="000000" w:fill="C9321F"/>
            <w:noWrap/>
            <w:vAlign w:val="center"/>
            <w:hideMark/>
          </w:tcPr>
          <w:p w14:paraId="351DA297" w14:textId="77777777" w:rsidR="00E36C1E" w:rsidRDefault="00E36C1E">
            <w:pPr>
              <w:jc w:val="right"/>
              <w:rPr>
                <w:rFonts w:ascii="Arial Narrow" w:hAnsi="Arial Narrow" w:cs="Calibri"/>
                <w:b/>
                <w:bCs/>
                <w:color w:val="FFFFFF"/>
                <w:sz w:val="18"/>
                <w:szCs w:val="18"/>
              </w:rPr>
            </w:pPr>
            <w:r>
              <w:rPr>
                <w:rFonts w:ascii="Arial Narrow" w:hAnsi="Arial Narrow" w:cs="Calibri"/>
                <w:b/>
                <w:bCs/>
                <w:color w:val="FFFFFF"/>
                <w:sz w:val="18"/>
                <w:szCs w:val="18"/>
              </w:rPr>
              <w:t>10,6</w:t>
            </w:r>
          </w:p>
        </w:tc>
        <w:tc>
          <w:tcPr>
            <w:tcW w:w="988" w:type="dxa"/>
            <w:tcBorders>
              <w:top w:val="single" w:sz="4" w:space="0" w:color="262626"/>
              <w:left w:val="nil"/>
              <w:bottom w:val="single" w:sz="4" w:space="0" w:color="262626"/>
              <w:right w:val="nil"/>
            </w:tcBorders>
            <w:shd w:val="clear" w:color="000000" w:fill="C9321F"/>
            <w:noWrap/>
            <w:vAlign w:val="center"/>
            <w:hideMark/>
          </w:tcPr>
          <w:p w14:paraId="4CF34569" w14:textId="77777777" w:rsidR="00E36C1E" w:rsidRDefault="00E36C1E">
            <w:pPr>
              <w:jc w:val="right"/>
              <w:rPr>
                <w:rFonts w:ascii="Arial Narrow" w:hAnsi="Arial Narrow" w:cs="Calibri"/>
                <w:b/>
                <w:bCs/>
                <w:color w:val="FFFFFF"/>
                <w:sz w:val="18"/>
                <w:szCs w:val="18"/>
              </w:rPr>
            </w:pPr>
            <w:r>
              <w:rPr>
                <w:rFonts w:ascii="Arial Narrow" w:hAnsi="Arial Narrow" w:cs="Calibri"/>
                <w:b/>
                <w:bCs/>
                <w:color w:val="FFFFFF"/>
                <w:sz w:val="18"/>
                <w:szCs w:val="18"/>
              </w:rPr>
              <w:t>12,5</w:t>
            </w:r>
          </w:p>
        </w:tc>
        <w:tc>
          <w:tcPr>
            <w:tcW w:w="988" w:type="dxa"/>
            <w:tcBorders>
              <w:top w:val="single" w:sz="4" w:space="0" w:color="262626"/>
              <w:left w:val="nil"/>
              <w:bottom w:val="single" w:sz="4" w:space="0" w:color="262626"/>
              <w:right w:val="nil"/>
            </w:tcBorders>
            <w:shd w:val="clear" w:color="000000" w:fill="C9321F"/>
            <w:noWrap/>
            <w:vAlign w:val="center"/>
            <w:hideMark/>
          </w:tcPr>
          <w:p w14:paraId="2BBA9CB8" w14:textId="77777777" w:rsidR="00E36C1E" w:rsidRDefault="00E36C1E">
            <w:pPr>
              <w:jc w:val="right"/>
              <w:rPr>
                <w:rFonts w:ascii="Arial Narrow" w:hAnsi="Arial Narrow" w:cs="Calibri"/>
                <w:b/>
                <w:bCs/>
                <w:color w:val="FFFFFF"/>
                <w:sz w:val="18"/>
                <w:szCs w:val="18"/>
              </w:rPr>
            </w:pPr>
            <w:r>
              <w:rPr>
                <w:rFonts w:ascii="Arial Narrow" w:hAnsi="Arial Narrow" w:cs="Calibri"/>
                <w:b/>
                <w:bCs/>
                <w:color w:val="FFFFFF"/>
                <w:sz w:val="18"/>
                <w:szCs w:val="18"/>
              </w:rPr>
              <w:t xml:space="preserve">                -   </w:t>
            </w:r>
          </w:p>
        </w:tc>
        <w:tc>
          <w:tcPr>
            <w:tcW w:w="988" w:type="dxa"/>
            <w:tcBorders>
              <w:top w:val="single" w:sz="4" w:space="0" w:color="262626"/>
              <w:left w:val="nil"/>
              <w:bottom w:val="single" w:sz="4" w:space="0" w:color="262626"/>
              <w:right w:val="nil"/>
            </w:tcBorders>
            <w:shd w:val="clear" w:color="000000" w:fill="C9321F"/>
            <w:noWrap/>
            <w:vAlign w:val="center"/>
            <w:hideMark/>
          </w:tcPr>
          <w:p w14:paraId="311B14F0" w14:textId="77777777" w:rsidR="00E36C1E" w:rsidRDefault="00E36C1E">
            <w:pPr>
              <w:jc w:val="right"/>
              <w:rPr>
                <w:rFonts w:ascii="Arial Narrow" w:hAnsi="Arial Narrow" w:cs="Calibri"/>
                <w:b/>
                <w:bCs/>
                <w:color w:val="FFFFFF"/>
                <w:sz w:val="18"/>
                <w:szCs w:val="18"/>
              </w:rPr>
            </w:pPr>
            <w:r>
              <w:rPr>
                <w:rFonts w:ascii="Arial Narrow" w:hAnsi="Arial Narrow" w:cs="Calibri"/>
                <w:b/>
                <w:bCs/>
                <w:color w:val="FFFFFF"/>
                <w:sz w:val="18"/>
                <w:szCs w:val="18"/>
              </w:rPr>
              <w:t xml:space="preserve">                -   </w:t>
            </w:r>
          </w:p>
        </w:tc>
        <w:tc>
          <w:tcPr>
            <w:tcW w:w="988" w:type="dxa"/>
            <w:tcBorders>
              <w:top w:val="single" w:sz="4" w:space="0" w:color="262626"/>
              <w:left w:val="nil"/>
              <w:bottom w:val="single" w:sz="4" w:space="0" w:color="262626"/>
              <w:right w:val="nil"/>
            </w:tcBorders>
            <w:shd w:val="clear" w:color="000000" w:fill="C9321F"/>
            <w:noWrap/>
            <w:vAlign w:val="center"/>
            <w:hideMark/>
          </w:tcPr>
          <w:p w14:paraId="76FF09B6" w14:textId="77777777" w:rsidR="00E36C1E" w:rsidRDefault="00E36C1E">
            <w:pPr>
              <w:jc w:val="right"/>
              <w:rPr>
                <w:rFonts w:ascii="Arial Narrow" w:hAnsi="Arial Narrow" w:cs="Calibri"/>
                <w:b/>
                <w:bCs/>
                <w:color w:val="FFFFFF"/>
                <w:sz w:val="18"/>
                <w:szCs w:val="18"/>
              </w:rPr>
            </w:pPr>
            <w:r>
              <w:rPr>
                <w:rFonts w:ascii="Arial Narrow" w:hAnsi="Arial Narrow" w:cs="Calibri"/>
                <w:b/>
                <w:bCs/>
                <w:color w:val="FFFFFF"/>
                <w:sz w:val="18"/>
                <w:szCs w:val="18"/>
              </w:rPr>
              <w:t>2,6</w:t>
            </w:r>
          </w:p>
        </w:tc>
        <w:tc>
          <w:tcPr>
            <w:tcW w:w="988" w:type="dxa"/>
            <w:tcBorders>
              <w:top w:val="single" w:sz="4" w:space="0" w:color="262626"/>
              <w:left w:val="nil"/>
              <w:bottom w:val="single" w:sz="4" w:space="0" w:color="262626"/>
              <w:right w:val="nil"/>
            </w:tcBorders>
            <w:shd w:val="clear" w:color="000000" w:fill="C9321F"/>
            <w:noWrap/>
            <w:vAlign w:val="center"/>
            <w:hideMark/>
          </w:tcPr>
          <w:p w14:paraId="312472BF" w14:textId="77777777" w:rsidR="00E36C1E" w:rsidRDefault="00E36C1E">
            <w:pPr>
              <w:jc w:val="right"/>
              <w:rPr>
                <w:rFonts w:ascii="Arial Narrow" w:hAnsi="Arial Narrow" w:cs="Calibri"/>
                <w:b/>
                <w:bCs/>
                <w:color w:val="FFFFFF"/>
                <w:sz w:val="18"/>
                <w:szCs w:val="18"/>
              </w:rPr>
            </w:pPr>
            <w:r>
              <w:rPr>
                <w:rFonts w:ascii="Arial Narrow" w:hAnsi="Arial Narrow" w:cs="Calibri"/>
                <w:b/>
                <w:bCs/>
                <w:color w:val="FFFFFF"/>
                <w:sz w:val="18"/>
                <w:szCs w:val="18"/>
              </w:rPr>
              <w:t>1,5</w:t>
            </w:r>
          </w:p>
        </w:tc>
      </w:tr>
    </w:tbl>
    <w:p w14:paraId="07FC9F6F" w14:textId="5EA14DE3" w:rsidR="00DA4C5B" w:rsidRPr="00B13ADF" w:rsidRDefault="00DA4C5B" w:rsidP="00047761">
      <w:pPr>
        <w:spacing w:before="120" w:after="120"/>
        <w:jc w:val="both"/>
        <w:rPr>
          <w:rFonts w:ascii="Trebuchet MS" w:hAnsi="Trebuchet MS" w:cs="Arial"/>
          <w:b/>
          <w:i/>
          <w:color w:val="5F5F5F"/>
          <w:kern w:val="28"/>
          <w:sz w:val="14"/>
          <w:szCs w:val="14"/>
        </w:rPr>
      </w:pPr>
    </w:p>
    <w:p w14:paraId="7CF29237" w14:textId="77777777" w:rsidR="00D31139" w:rsidRDefault="00D31139" w:rsidP="002A4527">
      <w:pPr>
        <w:spacing w:after="120"/>
        <w:jc w:val="both"/>
        <w:rPr>
          <w:rFonts w:ascii="Trebuchet MS" w:hAnsi="Trebuchet MS" w:cs="Arial"/>
          <w:b/>
          <w:iCs/>
          <w:color w:val="5F5F5F"/>
          <w:kern w:val="28"/>
          <w:sz w:val="22"/>
          <w:szCs w:val="22"/>
        </w:rPr>
      </w:pPr>
    </w:p>
    <w:p w14:paraId="1F4808B0" w14:textId="5C3DB754" w:rsidR="00D26C74" w:rsidRDefault="008C7BC5" w:rsidP="002A4527">
      <w:pPr>
        <w:spacing w:after="120"/>
        <w:jc w:val="both"/>
        <w:rPr>
          <w:rFonts w:ascii="Trebuchet MS" w:hAnsi="Trebuchet MS" w:cs="Arial"/>
          <w:b/>
          <w:i/>
          <w:color w:val="5F5F5F"/>
          <w:kern w:val="28"/>
          <w:sz w:val="22"/>
          <w:szCs w:val="22"/>
        </w:rPr>
      </w:pPr>
      <w:r>
        <w:rPr>
          <w:rFonts w:ascii="Trebuchet MS" w:hAnsi="Trebuchet MS" w:cs="Arial"/>
          <w:b/>
          <w:iCs/>
          <w:color w:val="5F5F5F"/>
          <w:kern w:val="28"/>
          <w:sz w:val="22"/>
          <w:szCs w:val="22"/>
        </w:rPr>
        <w:t>S</w:t>
      </w:r>
      <w:r w:rsidR="00DB312F" w:rsidRPr="0004755B">
        <w:rPr>
          <w:rFonts w:ascii="Trebuchet MS" w:hAnsi="Trebuchet MS" w:cs="Arial"/>
          <w:b/>
          <w:iCs/>
          <w:color w:val="5F5F5F"/>
          <w:kern w:val="28"/>
          <w:sz w:val="22"/>
          <w:szCs w:val="22"/>
        </w:rPr>
        <w:t>truttura della popolazione per genere</w:t>
      </w:r>
      <w:r w:rsidR="003C5237">
        <w:rPr>
          <w:rFonts w:ascii="Trebuchet MS" w:hAnsi="Trebuchet MS" w:cs="Arial"/>
          <w:b/>
          <w:iCs/>
          <w:color w:val="5F5F5F"/>
          <w:kern w:val="28"/>
          <w:sz w:val="22"/>
          <w:szCs w:val="22"/>
        </w:rPr>
        <w:t xml:space="preserve"> ed età</w:t>
      </w:r>
      <w:r w:rsidR="00DB312F">
        <w:rPr>
          <w:rFonts w:ascii="Trebuchet MS" w:hAnsi="Trebuchet MS" w:cs="Arial"/>
          <w:b/>
          <w:i/>
          <w:color w:val="5F5F5F"/>
          <w:kern w:val="28"/>
          <w:sz w:val="22"/>
          <w:szCs w:val="22"/>
        </w:rPr>
        <w:t xml:space="preserve"> </w:t>
      </w:r>
    </w:p>
    <w:p w14:paraId="06BFF95F" w14:textId="4FCDFED9" w:rsidR="005B6568" w:rsidRDefault="00153D5A" w:rsidP="002A4527">
      <w:pPr>
        <w:spacing w:after="120"/>
        <w:jc w:val="both"/>
        <w:rPr>
          <w:rFonts w:ascii="Trebuchet MS" w:hAnsi="Trebuchet MS" w:cs="Arial"/>
          <w:color w:val="5F5F5F"/>
          <w:sz w:val="20"/>
          <w:szCs w:val="20"/>
        </w:rPr>
      </w:pPr>
      <w:r>
        <w:rPr>
          <w:rFonts w:ascii="Trebuchet MS" w:hAnsi="Trebuchet MS" w:cs="Arial"/>
          <w:color w:val="5F5F5F"/>
          <w:sz w:val="20"/>
          <w:szCs w:val="20"/>
        </w:rPr>
        <w:t xml:space="preserve">La prevalenza della componente femminile nella </w:t>
      </w:r>
      <w:r w:rsidR="007177F4" w:rsidRPr="003B71FA">
        <w:rPr>
          <w:rFonts w:ascii="Trebuchet MS" w:hAnsi="Trebuchet MS" w:cs="Arial"/>
          <w:color w:val="5F5F5F"/>
          <w:sz w:val="20"/>
          <w:szCs w:val="20"/>
        </w:rPr>
        <w:t xml:space="preserve">struttura per genere della popolazione residente </w:t>
      </w:r>
      <w:r>
        <w:rPr>
          <w:rFonts w:ascii="Trebuchet MS" w:hAnsi="Trebuchet MS" w:cs="Arial"/>
          <w:color w:val="5F5F5F"/>
          <w:sz w:val="20"/>
          <w:szCs w:val="20"/>
        </w:rPr>
        <w:t>si conferma anche nel 2020.</w:t>
      </w:r>
      <w:r w:rsidR="007177F4" w:rsidRPr="003B71FA">
        <w:rPr>
          <w:rFonts w:ascii="Trebuchet MS" w:hAnsi="Trebuchet MS" w:cs="Arial"/>
          <w:color w:val="5F5F5F"/>
          <w:sz w:val="20"/>
          <w:szCs w:val="20"/>
        </w:rPr>
        <w:t xml:space="preserve"> </w:t>
      </w:r>
      <w:r>
        <w:rPr>
          <w:rFonts w:ascii="Trebuchet MS" w:hAnsi="Trebuchet MS" w:cs="Arial"/>
          <w:color w:val="5F5F5F"/>
          <w:sz w:val="20"/>
          <w:szCs w:val="20"/>
        </w:rPr>
        <w:t>Le donne, infatti, rappresentano il 51,</w:t>
      </w:r>
      <w:r w:rsidR="00906878">
        <w:rPr>
          <w:rFonts w:ascii="Trebuchet MS" w:hAnsi="Trebuchet MS" w:cs="Arial"/>
          <w:color w:val="5F5F5F"/>
          <w:sz w:val="20"/>
          <w:szCs w:val="20"/>
        </w:rPr>
        <w:t>0</w:t>
      </w:r>
      <w:r w:rsidRPr="003B71FA">
        <w:rPr>
          <w:rFonts w:ascii="Trebuchet MS" w:hAnsi="Trebuchet MS" w:cs="Arial"/>
          <w:color w:val="5F5F5F"/>
          <w:sz w:val="20"/>
          <w:szCs w:val="20"/>
        </w:rPr>
        <w:t xml:space="preserve">% del totale </w:t>
      </w:r>
      <w:r w:rsidR="007177F4" w:rsidRPr="003B71FA">
        <w:rPr>
          <w:rFonts w:ascii="Trebuchet MS" w:hAnsi="Trebuchet MS" w:cs="Arial"/>
          <w:color w:val="5F5F5F"/>
          <w:sz w:val="20"/>
          <w:szCs w:val="20"/>
        </w:rPr>
        <w:t xml:space="preserve">e superano gli uomini di </w:t>
      </w:r>
      <w:r w:rsidR="00030CB4" w:rsidRPr="003B71FA">
        <w:rPr>
          <w:rFonts w:ascii="Trebuchet MS" w:hAnsi="Trebuchet MS" w:cs="Arial"/>
          <w:color w:val="5F5F5F"/>
          <w:sz w:val="20"/>
          <w:szCs w:val="20"/>
        </w:rPr>
        <w:t>1</w:t>
      </w:r>
      <w:r w:rsidR="00906878">
        <w:rPr>
          <w:rFonts w:ascii="Trebuchet MS" w:hAnsi="Trebuchet MS" w:cs="Arial"/>
          <w:color w:val="5F5F5F"/>
          <w:sz w:val="20"/>
          <w:szCs w:val="20"/>
        </w:rPr>
        <w:t>90.662</w:t>
      </w:r>
      <w:r w:rsidR="00030CB4" w:rsidRPr="003B71FA">
        <w:rPr>
          <w:rFonts w:ascii="Trebuchet MS" w:hAnsi="Trebuchet MS" w:cs="Arial"/>
          <w:color w:val="5F5F5F"/>
          <w:sz w:val="20"/>
          <w:szCs w:val="20"/>
        </w:rPr>
        <w:t xml:space="preserve"> </w:t>
      </w:r>
      <w:r w:rsidR="007177F4" w:rsidRPr="003B71FA">
        <w:rPr>
          <w:rFonts w:ascii="Trebuchet MS" w:hAnsi="Trebuchet MS" w:cs="Arial"/>
          <w:color w:val="5F5F5F"/>
          <w:sz w:val="20"/>
          <w:szCs w:val="20"/>
        </w:rPr>
        <w:t>unità</w:t>
      </w:r>
      <w:r w:rsidR="0089295B">
        <w:rPr>
          <w:rFonts w:ascii="Trebuchet MS" w:hAnsi="Trebuchet MS" w:cs="Arial"/>
          <w:color w:val="5F5F5F"/>
          <w:sz w:val="20"/>
          <w:szCs w:val="20"/>
        </w:rPr>
        <w:t xml:space="preserve"> (Prospetto 4)</w:t>
      </w:r>
      <w:r w:rsidR="007177F4" w:rsidRPr="003B71FA">
        <w:rPr>
          <w:rFonts w:ascii="Trebuchet MS" w:hAnsi="Trebuchet MS" w:cs="Arial"/>
          <w:color w:val="5F5F5F"/>
          <w:sz w:val="20"/>
          <w:szCs w:val="20"/>
        </w:rPr>
        <w:t xml:space="preserve">. </w:t>
      </w:r>
      <w:r>
        <w:rPr>
          <w:rFonts w:ascii="Trebuchet MS" w:hAnsi="Trebuchet MS" w:cs="Arial"/>
          <w:color w:val="5F5F5F"/>
          <w:sz w:val="20"/>
          <w:szCs w:val="20"/>
        </w:rPr>
        <w:t>Il rapporto di mascolinità nella regione</w:t>
      </w:r>
      <w:r w:rsidR="00EA3C02">
        <w:rPr>
          <w:rFonts w:ascii="Trebuchet MS" w:hAnsi="Trebuchet MS" w:cs="Arial"/>
          <w:color w:val="5F5F5F"/>
          <w:sz w:val="20"/>
          <w:szCs w:val="20"/>
        </w:rPr>
        <w:t xml:space="preserve"> è</w:t>
      </w:r>
      <w:r w:rsidR="00AB33C6">
        <w:rPr>
          <w:rFonts w:ascii="Trebuchet MS" w:hAnsi="Trebuchet MS" w:cs="Arial"/>
          <w:color w:val="5F5F5F"/>
          <w:sz w:val="20"/>
          <w:szCs w:val="20"/>
        </w:rPr>
        <w:t xml:space="preserve"> pari al</w:t>
      </w:r>
      <w:r w:rsidR="00906878">
        <w:rPr>
          <w:rFonts w:ascii="Trebuchet MS" w:hAnsi="Trebuchet MS" w:cs="Arial"/>
          <w:color w:val="5F5F5F"/>
          <w:sz w:val="20"/>
          <w:szCs w:val="20"/>
        </w:rPr>
        <w:t xml:space="preserve"> 96,3</w:t>
      </w:r>
      <w:r>
        <w:rPr>
          <w:rFonts w:ascii="Trebuchet MS" w:hAnsi="Trebuchet MS" w:cs="Arial"/>
          <w:color w:val="5F5F5F"/>
          <w:sz w:val="20"/>
          <w:szCs w:val="20"/>
        </w:rPr>
        <w:t>% mentre in Italia si attesta al 95</w:t>
      </w:r>
      <w:r w:rsidR="00906878">
        <w:rPr>
          <w:rFonts w:ascii="Trebuchet MS" w:hAnsi="Trebuchet MS" w:cs="Arial"/>
          <w:color w:val="5F5F5F"/>
          <w:sz w:val="20"/>
          <w:szCs w:val="20"/>
        </w:rPr>
        <w:t>,0</w:t>
      </w:r>
      <w:r>
        <w:rPr>
          <w:rFonts w:ascii="Trebuchet MS" w:hAnsi="Trebuchet MS" w:cs="Arial"/>
          <w:color w:val="5F5F5F"/>
          <w:sz w:val="20"/>
          <w:szCs w:val="20"/>
        </w:rPr>
        <w:t>%</w:t>
      </w:r>
      <w:r w:rsidR="001401F2">
        <w:rPr>
          <w:rFonts w:ascii="Trebuchet MS" w:hAnsi="Trebuchet MS" w:cs="Arial"/>
          <w:color w:val="5F5F5F"/>
          <w:sz w:val="20"/>
          <w:szCs w:val="20"/>
        </w:rPr>
        <w:t xml:space="preserve">. </w:t>
      </w:r>
    </w:p>
    <w:p w14:paraId="2CB69FA7" w14:textId="17A0F504" w:rsidR="00D31139" w:rsidRDefault="00D31139" w:rsidP="002A4527">
      <w:pPr>
        <w:spacing w:after="120"/>
        <w:jc w:val="both"/>
        <w:rPr>
          <w:rFonts w:ascii="Trebuchet MS" w:hAnsi="Trebuchet MS" w:cs="Arial"/>
          <w:color w:val="5F5F5F"/>
          <w:sz w:val="20"/>
          <w:szCs w:val="20"/>
        </w:rPr>
      </w:pPr>
    </w:p>
    <w:p w14:paraId="24B51D40" w14:textId="532FD586" w:rsidR="00D31139" w:rsidRDefault="00D31139" w:rsidP="002A4527">
      <w:pPr>
        <w:spacing w:after="120"/>
        <w:jc w:val="both"/>
        <w:rPr>
          <w:rFonts w:ascii="Trebuchet MS" w:hAnsi="Trebuchet MS" w:cs="Arial"/>
          <w:color w:val="5F5F5F"/>
          <w:sz w:val="20"/>
          <w:szCs w:val="20"/>
        </w:rPr>
      </w:pPr>
    </w:p>
    <w:p w14:paraId="6D1F5523" w14:textId="66120949" w:rsidR="00D31139" w:rsidRDefault="00D31139" w:rsidP="002A4527">
      <w:pPr>
        <w:spacing w:after="120"/>
        <w:jc w:val="both"/>
        <w:rPr>
          <w:rFonts w:ascii="Trebuchet MS" w:hAnsi="Trebuchet MS" w:cs="Arial"/>
          <w:color w:val="5F5F5F"/>
          <w:sz w:val="20"/>
          <w:szCs w:val="20"/>
        </w:rPr>
      </w:pPr>
    </w:p>
    <w:p w14:paraId="5CFB332C" w14:textId="2BE71047" w:rsidR="00D31139" w:rsidRDefault="00D31139" w:rsidP="002A4527">
      <w:pPr>
        <w:spacing w:after="120"/>
        <w:jc w:val="both"/>
        <w:rPr>
          <w:rFonts w:ascii="Trebuchet MS" w:hAnsi="Trebuchet MS" w:cs="Arial"/>
          <w:color w:val="5F5F5F"/>
          <w:sz w:val="20"/>
          <w:szCs w:val="20"/>
        </w:rPr>
      </w:pPr>
    </w:p>
    <w:p w14:paraId="5A683FD8" w14:textId="6C662951" w:rsidR="00D31139" w:rsidRDefault="00D31139" w:rsidP="002A4527">
      <w:pPr>
        <w:spacing w:after="120"/>
        <w:jc w:val="both"/>
        <w:rPr>
          <w:rFonts w:ascii="Trebuchet MS" w:hAnsi="Trebuchet MS" w:cs="Arial"/>
          <w:color w:val="5F5F5F"/>
          <w:sz w:val="20"/>
          <w:szCs w:val="20"/>
        </w:rPr>
      </w:pPr>
    </w:p>
    <w:p w14:paraId="264BFF30" w14:textId="45353A40" w:rsidR="00D31139" w:rsidRDefault="00D31139" w:rsidP="002A4527">
      <w:pPr>
        <w:spacing w:after="120"/>
        <w:jc w:val="both"/>
        <w:rPr>
          <w:rFonts w:ascii="Trebuchet MS" w:hAnsi="Trebuchet MS" w:cs="Arial"/>
          <w:color w:val="5F5F5F"/>
          <w:sz w:val="20"/>
          <w:szCs w:val="20"/>
        </w:rPr>
      </w:pPr>
    </w:p>
    <w:p w14:paraId="26088304" w14:textId="384CC5E0" w:rsidR="0096531D" w:rsidRDefault="0096531D" w:rsidP="002A4527">
      <w:pPr>
        <w:spacing w:after="120"/>
        <w:jc w:val="both"/>
        <w:rPr>
          <w:rFonts w:ascii="Trebuchet MS" w:hAnsi="Trebuchet MS" w:cs="Arial"/>
          <w:color w:val="5F5F5F"/>
          <w:sz w:val="20"/>
          <w:szCs w:val="20"/>
        </w:rPr>
      </w:pPr>
    </w:p>
    <w:p w14:paraId="744FE7AE" w14:textId="77777777" w:rsidR="0096531D" w:rsidRDefault="0096531D" w:rsidP="002A4527">
      <w:pPr>
        <w:spacing w:after="120"/>
        <w:jc w:val="both"/>
        <w:rPr>
          <w:rFonts w:ascii="Trebuchet MS" w:hAnsi="Trebuchet MS" w:cs="Arial"/>
          <w:color w:val="5F5F5F"/>
          <w:sz w:val="20"/>
          <w:szCs w:val="20"/>
        </w:rPr>
      </w:pPr>
    </w:p>
    <w:p w14:paraId="585FF1EE" w14:textId="77777777" w:rsidR="00D31139" w:rsidRDefault="00D31139" w:rsidP="002A4527">
      <w:pPr>
        <w:spacing w:after="120"/>
        <w:jc w:val="both"/>
        <w:rPr>
          <w:rFonts w:ascii="Trebuchet MS" w:hAnsi="Trebuchet MS" w:cs="Arial"/>
          <w:color w:val="5F5F5F"/>
          <w:sz w:val="20"/>
          <w:szCs w:val="20"/>
        </w:rPr>
      </w:pPr>
    </w:p>
    <w:tbl>
      <w:tblPr>
        <w:tblStyle w:val="Grigliatabella"/>
        <w:tblW w:w="0" w:type="auto"/>
        <w:tblLook w:val="04A0" w:firstRow="1" w:lastRow="0" w:firstColumn="1" w:lastColumn="0" w:noHBand="0" w:noVBand="1"/>
      </w:tblPr>
      <w:tblGrid>
        <w:gridCol w:w="4680"/>
        <w:gridCol w:w="4958"/>
      </w:tblGrid>
      <w:tr w:rsidR="009B4983" w14:paraId="7C0A723F" w14:textId="77777777" w:rsidTr="00E17E76">
        <w:tc>
          <w:tcPr>
            <w:tcW w:w="4680" w:type="dxa"/>
            <w:tcBorders>
              <w:top w:val="nil"/>
              <w:left w:val="nil"/>
              <w:bottom w:val="single" w:sz="4" w:space="0" w:color="BFBFBF" w:themeColor="background1" w:themeShade="BF"/>
              <w:right w:val="nil"/>
            </w:tcBorders>
          </w:tcPr>
          <w:p w14:paraId="18BA44BA" w14:textId="77777777" w:rsidR="00E17E76" w:rsidRPr="00786A29" w:rsidRDefault="00E17E76" w:rsidP="00F13D9F">
            <w:pPr>
              <w:spacing w:after="120"/>
              <w:ind w:left="-105"/>
              <w:rPr>
                <w:rFonts w:ascii="Arial Narrow" w:eastAsia="Calibri" w:hAnsi="Arial Narrow" w:cs="Arial"/>
                <w:b/>
                <w:bCs/>
                <w:color w:val="595959" w:themeColor="text1" w:themeTint="A6"/>
                <w:sz w:val="12"/>
                <w:szCs w:val="12"/>
              </w:rPr>
            </w:pPr>
          </w:p>
          <w:p w14:paraId="7604EE7B" w14:textId="763D5ECA" w:rsidR="009B4983" w:rsidRPr="00047761" w:rsidRDefault="009B4983" w:rsidP="00FC4C43">
            <w:pPr>
              <w:spacing w:after="120"/>
              <w:ind w:left="-105"/>
              <w:jc w:val="both"/>
              <w:rPr>
                <w:rFonts w:ascii="Trebuchet MS" w:hAnsi="Trebuchet MS" w:cs="Arial"/>
                <w:color w:val="595959" w:themeColor="text1" w:themeTint="A6"/>
                <w:sz w:val="20"/>
                <w:szCs w:val="20"/>
              </w:rPr>
            </w:pPr>
            <w:r w:rsidRPr="00047761">
              <w:rPr>
                <w:rFonts w:ascii="Arial Narrow" w:eastAsia="Calibri" w:hAnsi="Arial Narrow" w:cs="Arial"/>
                <w:b/>
                <w:bCs/>
                <w:color w:val="595959" w:themeColor="text1" w:themeTint="A6"/>
                <w:sz w:val="22"/>
                <w:szCs w:val="22"/>
              </w:rPr>
              <w:t>PROSPETTO 4.</w:t>
            </w:r>
            <w:r w:rsidRPr="00047761">
              <w:rPr>
                <w:rFonts w:ascii="Arial Narrow" w:eastAsia="Calibri" w:hAnsi="Arial Narrow" w:cs="Arial"/>
                <w:color w:val="595959" w:themeColor="text1" w:themeTint="A6"/>
                <w:sz w:val="22"/>
                <w:szCs w:val="22"/>
              </w:rPr>
              <w:t xml:space="preserve"> POPOLAZIONE RESIDENTE PER GENERE.</w:t>
            </w:r>
            <w:r w:rsidRPr="00047761">
              <w:rPr>
                <w:rFonts w:ascii="Arial Narrow" w:eastAsia="Calibri" w:hAnsi="Arial Narrow" w:cs="Arial"/>
                <w:color w:val="595959" w:themeColor="text1" w:themeTint="A6"/>
                <w:sz w:val="20"/>
                <w:szCs w:val="20"/>
              </w:rPr>
              <w:t xml:space="preserve"> Censimenti 2020 e 2019. Valori assoluti e composizione percentuale</w:t>
            </w:r>
          </w:p>
        </w:tc>
        <w:tc>
          <w:tcPr>
            <w:tcW w:w="4958" w:type="dxa"/>
            <w:tcBorders>
              <w:top w:val="nil"/>
              <w:left w:val="nil"/>
              <w:bottom w:val="single" w:sz="4" w:space="0" w:color="BFBFBF" w:themeColor="background1" w:themeShade="BF"/>
              <w:right w:val="nil"/>
            </w:tcBorders>
          </w:tcPr>
          <w:p w14:paraId="2A5913E6" w14:textId="77777777" w:rsidR="00B205F6" w:rsidRDefault="00B205F6" w:rsidP="00156220">
            <w:pPr>
              <w:rPr>
                <w:rFonts w:ascii="Arial Narrow" w:hAnsi="Arial Narrow" w:cs="Calibri"/>
                <w:b/>
                <w:bCs/>
                <w:color w:val="595959" w:themeColor="text1" w:themeTint="A6"/>
                <w:sz w:val="22"/>
                <w:szCs w:val="22"/>
              </w:rPr>
            </w:pPr>
          </w:p>
          <w:p w14:paraId="363DCDBC" w14:textId="5EA99229" w:rsidR="009B4983" w:rsidRPr="00047761" w:rsidRDefault="009B4983" w:rsidP="00FC4C43">
            <w:pPr>
              <w:jc w:val="both"/>
              <w:rPr>
                <w:rFonts w:ascii="Trebuchet MS" w:hAnsi="Trebuchet MS" w:cs="Arial"/>
                <w:color w:val="595959" w:themeColor="text1" w:themeTint="A6"/>
                <w:sz w:val="20"/>
                <w:szCs w:val="20"/>
              </w:rPr>
            </w:pPr>
            <w:r w:rsidRPr="00047761">
              <w:rPr>
                <w:rFonts w:ascii="Arial Narrow" w:hAnsi="Arial Narrow" w:cs="Calibri"/>
                <w:b/>
                <w:bCs/>
                <w:color w:val="595959" w:themeColor="text1" w:themeTint="A6"/>
                <w:sz w:val="22"/>
                <w:szCs w:val="22"/>
              </w:rPr>
              <w:t>FIGURA 1.</w:t>
            </w:r>
            <w:r w:rsidRPr="00047761">
              <w:rPr>
                <w:rFonts w:ascii="Arial Narrow" w:hAnsi="Arial Narrow" w:cs="Calibri"/>
                <w:color w:val="595959" w:themeColor="text1" w:themeTint="A6"/>
                <w:sz w:val="22"/>
                <w:szCs w:val="22"/>
              </w:rPr>
              <w:t xml:space="preserve"> PIRAMIDE DELLE ETÀ DELLA POPOLAZIONE RESIDENTE, </w:t>
            </w:r>
            <w:r w:rsidR="000B6DF6">
              <w:rPr>
                <w:rFonts w:ascii="Arial Narrow" w:hAnsi="Arial Narrow" w:cs="Calibri"/>
                <w:color w:val="595959" w:themeColor="text1" w:themeTint="A6"/>
                <w:sz w:val="22"/>
                <w:szCs w:val="22"/>
              </w:rPr>
              <w:t>LOMBARDIA</w:t>
            </w:r>
            <w:r w:rsidRPr="00047761">
              <w:rPr>
                <w:rFonts w:ascii="Arial Narrow" w:hAnsi="Arial Narrow" w:cs="Calibri"/>
                <w:color w:val="595959" w:themeColor="text1" w:themeTint="A6"/>
                <w:sz w:val="22"/>
                <w:szCs w:val="22"/>
              </w:rPr>
              <w:t xml:space="preserve"> E ITALIA.</w:t>
            </w:r>
            <w:r w:rsidRPr="00047761">
              <w:rPr>
                <w:rFonts w:ascii="Arial Narrow" w:hAnsi="Arial Narrow" w:cs="Calibri"/>
                <w:color w:val="595959" w:themeColor="text1" w:themeTint="A6"/>
                <w:sz w:val="20"/>
                <w:szCs w:val="20"/>
              </w:rPr>
              <w:t xml:space="preserve"> Censimento 2020. Valori percentuali</w:t>
            </w:r>
          </w:p>
        </w:tc>
      </w:tr>
      <w:tr w:rsidR="009B4983" w14:paraId="545AE5D2" w14:textId="77777777" w:rsidTr="00E17E76">
        <w:tblPrEx>
          <w:tblCellMar>
            <w:left w:w="70" w:type="dxa"/>
            <w:right w:w="70" w:type="dxa"/>
          </w:tblCellMar>
        </w:tblPrEx>
        <w:tc>
          <w:tcPr>
            <w:tcW w:w="46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tbl>
            <w:tblPr>
              <w:tblW w:w="4160" w:type="dxa"/>
              <w:tblCellMar>
                <w:left w:w="70" w:type="dxa"/>
                <w:right w:w="70" w:type="dxa"/>
              </w:tblCellMar>
              <w:tblLook w:val="04A0" w:firstRow="1" w:lastRow="0" w:firstColumn="1" w:lastColumn="0" w:noHBand="0" w:noVBand="1"/>
            </w:tblPr>
            <w:tblGrid>
              <w:gridCol w:w="1176"/>
              <w:gridCol w:w="1468"/>
              <w:gridCol w:w="1516"/>
            </w:tblGrid>
            <w:tr w:rsidR="009816DA" w14:paraId="0636F350" w14:textId="77777777" w:rsidTr="009816DA">
              <w:trPr>
                <w:trHeight w:val="300"/>
              </w:trPr>
              <w:tc>
                <w:tcPr>
                  <w:tcW w:w="1176" w:type="dxa"/>
                  <w:tcBorders>
                    <w:top w:val="single" w:sz="4" w:space="0" w:color="auto"/>
                    <w:left w:val="nil"/>
                    <w:bottom w:val="single" w:sz="4" w:space="0" w:color="auto"/>
                    <w:right w:val="nil"/>
                  </w:tcBorders>
                  <w:shd w:val="clear" w:color="auto" w:fill="auto"/>
                  <w:noWrap/>
                  <w:vAlign w:val="center"/>
                  <w:hideMark/>
                </w:tcPr>
                <w:p w14:paraId="79B56AE6" w14:textId="77777777" w:rsidR="009816DA" w:rsidRDefault="009816DA" w:rsidP="009816DA">
                  <w:pPr>
                    <w:rPr>
                      <w:rFonts w:ascii="Arial Narrow" w:hAnsi="Arial Narrow" w:cs="Calibri"/>
                      <w:b/>
                      <w:bCs/>
                      <w:color w:val="000000"/>
                      <w:sz w:val="18"/>
                      <w:szCs w:val="18"/>
                    </w:rPr>
                  </w:pPr>
                  <w:r>
                    <w:rPr>
                      <w:rFonts w:ascii="Arial Narrow" w:hAnsi="Arial Narrow" w:cs="Calibri"/>
                      <w:b/>
                      <w:bCs/>
                      <w:color w:val="000000"/>
                      <w:sz w:val="18"/>
                      <w:szCs w:val="18"/>
                    </w:rPr>
                    <w:t> </w:t>
                  </w:r>
                </w:p>
              </w:tc>
              <w:tc>
                <w:tcPr>
                  <w:tcW w:w="1468" w:type="dxa"/>
                  <w:tcBorders>
                    <w:top w:val="single" w:sz="4" w:space="0" w:color="auto"/>
                    <w:left w:val="nil"/>
                    <w:bottom w:val="single" w:sz="4" w:space="0" w:color="auto"/>
                    <w:right w:val="nil"/>
                  </w:tcBorders>
                  <w:shd w:val="clear" w:color="000000" w:fill="D9D9D9"/>
                  <w:vAlign w:val="center"/>
                  <w:hideMark/>
                </w:tcPr>
                <w:p w14:paraId="3FD2EC92" w14:textId="77777777" w:rsidR="009816DA" w:rsidRPr="000A438A" w:rsidRDefault="009816DA" w:rsidP="009816DA">
                  <w:pPr>
                    <w:jc w:val="center"/>
                    <w:rPr>
                      <w:rFonts w:ascii="Arial Narrow" w:hAnsi="Arial Narrow" w:cs="Calibri"/>
                      <w:b/>
                      <w:bCs/>
                      <w:color w:val="000000"/>
                      <w:sz w:val="18"/>
                      <w:szCs w:val="18"/>
                    </w:rPr>
                  </w:pPr>
                  <w:r w:rsidRPr="000A438A">
                    <w:rPr>
                      <w:rFonts w:ascii="Arial Narrow" w:hAnsi="Arial Narrow" w:cs="Calibri"/>
                      <w:b/>
                      <w:bCs/>
                      <w:color w:val="000000"/>
                      <w:sz w:val="18"/>
                      <w:szCs w:val="18"/>
                    </w:rPr>
                    <w:t>2020</w:t>
                  </w:r>
                </w:p>
              </w:tc>
              <w:tc>
                <w:tcPr>
                  <w:tcW w:w="1516" w:type="dxa"/>
                  <w:tcBorders>
                    <w:top w:val="single" w:sz="4" w:space="0" w:color="auto"/>
                    <w:left w:val="nil"/>
                    <w:bottom w:val="single" w:sz="4" w:space="0" w:color="auto"/>
                    <w:right w:val="nil"/>
                  </w:tcBorders>
                  <w:shd w:val="clear" w:color="auto" w:fill="auto"/>
                  <w:noWrap/>
                  <w:vAlign w:val="center"/>
                  <w:hideMark/>
                </w:tcPr>
                <w:p w14:paraId="19CA6FFD" w14:textId="77777777" w:rsidR="009816DA" w:rsidRPr="000A438A" w:rsidRDefault="009816DA" w:rsidP="009816DA">
                  <w:pPr>
                    <w:jc w:val="center"/>
                    <w:rPr>
                      <w:rFonts w:ascii="Arial Narrow" w:hAnsi="Arial Narrow" w:cs="Calibri"/>
                      <w:b/>
                      <w:bCs/>
                      <w:color w:val="000000"/>
                      <w:sz w:val="18"/>
                      <w:szCs w:val="18"/>
                    </w:rPr>
                  </w:pPr>
                  <w:r w:rsidRPr="000A438A">
                    <w:rPr>
                      <w:rFonts w:ascii="Arial Narrow" w:hAnsi="Arial Narrow" w:cs="Calibri"/>
                      <w:b/>
                      <w:bCs/>
                      <w:color w:val="000000"/>
                      <w:sz w:val="18"/>
                      <w:szCs w:val="18"/>
                    </w:rPr>
                    <w:t>2019</w:t>
                  </w:r>
                </w:p>
              </w:tc>
            </w:tr>
            <w:tr w:rsidR="009816DA" w14:paraId="5C078357" w14:textId="77777777" w:rsidTr="009816DA">
              <w:trPr>
                <w:trHeight w:val="300"/>
              </w:trPr>
              <w:tc>
                <w:tcPr>
                  <w:tcW w:w="4160" w:type="dxa"/>
                  <w:gridSpan w:val="3"/>
                  <w:tcBorders>
                    <w:top w:val="nil"/>
                    <w:left w:val="nil"/>
                    <w:bottom w:val="nil"/>
                    <w:right w:val="nil"/>
                  </w:tcBorders>
                  <w:shd w:val="clear" w:color="000000" w:fill="FFFFFF"/>
                  <w:vAlign w:val="center"/>
                  <w:hideMark/>
                </w:tcPr>
                <w:p w14:paraId="0520F299" w14:textId="77777777" w:rsidR="009816DA" w:rsidRDefault="009816DA" w:rsidP="009816DA">
                  <w:pPr>
                    <w:jc w:val="center"/>
                    <w:rPr>
                      <w:rFonts w:ascii="Arial Narrow" w:hAnsi="Arial Narrow" w:cs="Calibri"/>
                      <w:color w:val="000000"/>
                      <w:sz w:val="18"/>
                      <w:szCs w:val="18"/>
                    </w:rPr>
                  </w:pPr>
                  <w:r>
                    <w:rPr>
                      <w:rFonts w:ascii="Arial Narrow" w:hAnsi="Arial Narrow" w:cs="Calibri"/>
                      <w:color w:val="000000"/>
                      <w:sz w:val="18"/>
                      <w:szCs w:val="18"/>
                    </w:rPr>
                    <w:t>Valori assoluti</w:t>
                  </w:r>
                </w:p>
              </w:tc>
            </w:tr>
            <w:tr w:rsidR="009816DA" w14:paraId="721937EF" w14:textId="77777777" w:rsidTr="009816DA">
              <w:trPr>
                <w:trHeight w:val="300"/>
              </w:trPr>
              <w:tc>
                <w:tcPr>
                  <w:tcW w:w="1176" w:type="dxa"/>
                  <w:tcBorders>
                    <w:top w:val="single" w:sz="4" w:space="0" w:color="auto"/>
                    <w:left w:val="nil"/>
                    <w:bottom w:val="single" w:sz="4" w:space="0" w:color="auto"/>
                    <w:right w:val="nil"/>
                  </w:tcBorders>
                  <w:shd w:val="clear" w:color="auto" w:fill="auto"/>
                  <w:noWrap/>
                  <w:vAlign w:val="center"/>
                  <w:hideMark/>
                </w:tcPr>
                <w:p w14:paraId="27467D72" w14:textId="77777777" w:rsidR="009816DA" w:rsidRDefault="009816DA" w:rsidP="009816DA">
                  <w:pPr>
                    <w:rPr>
                      <w:rFonts w:ascii="Arial Narrow" w:hAnsi="Arial Narrow" w:cs="Calibri"/>
                      <w:color w:val="000000"/>
                      <w:sz w:val="18"/>
                      <w:szCs w:val="18"/>
                    </w:rPr>
                  </w:pPr>
                  <w:r>
                    <w:rPr>
                      <w:rFonts w:ascii="Arial Narrow" w:hAnsi="Arial Narrow" w:cs="Calibri"/>
                      <w:color w:val="000000"/>
                      <w:sz w:val="18"/>
                      <w:szCs w:val="18"/>
                    </w:rPr>
                    <w:t>Femmine</w:t>
                  </w:r>
                </w:p>
              </w:tc>
              <w:tc>
                <w:tcPr>
                  <w:tcW w:w="1468" w:type="dxa"/>
                  <w:tcBorders>
                    <w:top w:val="single" w:sz="4" w:space="0" w:color="auto"/>
                    <w:left w:val="nil"/>
                    <w:bottom w:val="single" w:sz="4" w:space="0" w:color="auto"/>
                    <w:right w:val="nil"/>
                  </w:tcBorders>
                  <w:shd w:val="clear" w:color="000000" w:fill="D9D9D9"/>
                  <w:noWrap/>
                  <w:vAlign w:val="center"/>
                  <w:hideMark/>
                </w:tcPr>
                <w:p w14:paraId="564733E9" w14:textId="77777777" w:rsidR="009816DA" w:rsidRDefault="009816DA" w:rsidP="009816DA">
                  <w:pPr>
                    <w:jc w:val="right"/>
                    <w:rPr>
                      <w:rFonts w:ascii="Arial Narrow" w:hAnsi="Arial Narrow" w:cs="Calibri"/>
                      <w:color w:val="000000"/>
                      <w:sz w:val="18"/>
                      <w:szCs w:val="18"/>
                    </w:rPr>
                  </w:pPr>
                  <w:r>
                    <w:rPr>
                      <w:rFonts w:ascii="Arial Narrow" w:hAnsi="Arial Narrow" w:cs="Calibri"/>
                      <w:color w:val="000000"/>
                      <w:sz w:val="18"/>
                      <w:szCs w:val="18"/>
                    </w:rPr>
                    <w:t>5.086.108</w:t>
                  </w:r>
                </w:p>
              </w:tc>
              <w:tc>
                <w:tcPr>
                  <w:tcW w:w="1516" w:type="dxa"/>
                  <w:tcBorders>
                    <w:top w:val="single" w:sz="4" w:space="0" w:color="auto"/>
                    <w:left w:val="nil"/>
                    <w:bottom w:val="single" w:sz="4" w:space="0" w:color="auto"/>
                    <w:right w:val="nil"/>
                  </w:tcBorders>
                  <w:shd w:val="clear" w:color="000000" w:fill="FFFFFF"/>
                  <w:noWrap/>
                  <w:vAlign w:val="center"/>
                  <w:hideMark/>
                </w:tcPr>
                <w:p w14:paraId="049F6603" w14:textId="77777777" w:rsidR="009816DA" w:rsidRDefault="009816DA" w:rsidP="009816DA">
                  <w:pPr>
                    <w:jc w:val="right"/>
                    <w:rPr>
                      <w:rFonts w:ascii="Arial Narrow" w:hAnsi="Arial Narrow" w:cs="Calibri"/>
                      <w:color w:val="000000"/>
                      <w:sz w:val="18"/>
                      <w:szCs w:val="18"/>
                    </w:rPr>
                  </w:pPr>
                  <w:r>
                    <w:rPr>
                      <w:rFonts w:ascii="Arial Narrow" w:hAnsi="Arial Narrow" w:cs="Calibri"/>
                      <w:color w:val="000000"/>
                      <w:sz w:val="18"/>
                      <w:szCs w:val="18"/>
                    </w:rPr>
                    <w:t>5.115.227</w:t>
                  </w:r>
                </w:p>
              </w:tc>
            </w:tr>
            <w:tr w:rsidR="009816DA" w14:paraId="763AD5B8" w14:textId="77777777" w:rsidTr="009816DA">
              <w:trPr>
                <w:trHeight w:val="300"/>
              </w:trPr>
              <w:tc>
                <w:tcPr>
                  <w:tcW w:w="1176" w:type="dxa"/>
                  <w:tcBorders>
                    <w:top w:val="single" w:sz="4" w:space="0" w:color="auto"/>
                    <w:left w:val="nil"/>
                    <w:bottom w:val="single" w:sz="4" w:space="0" w:color="auto"/>
                    <w:right w:val="nil"/>
                  </w:tcBorders>
                  <w:shd w:val="clear" w:color="auto" w:fill="auto"/>
                  <w:noWrap/>
                  <w:vAlign w:val="center"/>
                  <w:hideMark/>
                </w:tcPr>
                <w:p w14:paraId="4C83CA87" w14:textId="77777777" w:rsidR="009816DA" w:rsidRDefault="009816DA" w:rsidP="009816DA">
                  <w:pPr>
                    <w:rPr>
                      <w:rFonts w:ascii="Arial Narrow" w:hAnsi="Arial Narrow" w:cs="Calibri"/>
                      <w:color w:val="000000"/>
                      <w:sz w:val="18"/>
                      <w:szCs w:val="18"/>
                    </w:rPr>
                  </w:pPr>
                  <w:r>
                    <w:rPr>
                      <w:rFonts w:ascii="Arial Narrow" w:hAnsi="Arial Narrow" w:cs="Calibri"/>
                      <w:color w:val="000000"/>
                      <w:sz w:val="18"/>
                      <w:szCs w:val="18"/>
                    </w:rPr>
                    <w:t>Maschi</w:t>
                  </w:r>
                </w:p>
              </w:tc>
              <w:tc>
                <w:tcPr>
                  <w:tcW w:w="1468" w:type="dxa"/>
                  <w:tcBorders>
                    <w:top w:val="single" w:sz="4" w:space="0" w:color="auto"/>
                    <w:left w:val="nil"/>
                    <w:bottom w:val="single" w:sz="4" w:space="0" w:color="auto"/>
                    <w:right w:val="nil"/>
                  </w:tcBorders>
                  <w:shd w:val="clear" w:color="000000" w:fill="D9D9D9"/>
                  <w:noWrap/>
                  <w:vAlign w:val="center"/>
                  <w:hideMark/>
                </w:tcPr>
                <w:p w14:paraId="76FD7CE0" w14:textId="77777777" w:rsidR="009816DA" w:rsidRDefault="009816DA" w:rsidP="009816DA">
                  <w:pPr>
                    <w:jc w:val="right"/>
                    <w:rPr>
                      <w:rFonts w:ascii="Arial Narrow" w:hAnsi="Arial Narrow" w:cs="Calibri"/>
                      <w:color w:val="000000"/>
                      <w:sz w:val="18"/>
                      <w:szCs w:val="18"/>
                    </w:rPr>
                  </w:pPr>
                  <w:r>
                    <w:rPr>
                      <w:rFonts w:ascii="Arial Narrow" w:hAnsi="Arial Narrow" w:cs="Calibri"/>
                      <w:color w:val="000000"/>
                      <w:sz w:val="18"/>
                      <w:szCs w:val="18"/>
                    </w:rPr>
                    <w:t>4.895.446</w:t>
                  </w:r>
                </w:p>
              </w:tc>
              <w:tc>
                <w:tcPr>
                  <w:tcW w:w="1516" w:type="dxa"/>
                  <w:tcBorders>
                    <w:top w:val="single" w:sz="4" w:space="0" w:color="auto"/>
                    <w:left w:val="nil"/>
                    <w:bottom w:val="single" w:sz="4" w:space="0" w:color="auto"/>
                    <w:right w:val="nil"/>
                  </w:tcBorders>
                  <w:shd w:val="clear" w:color="000000" w:fill="FFFFFF"/>
                  <w:noWrap/>
                  <w:vAlign w:val="center"/>
                  <w:hideMark/>
                </w:tcPr>
                <w:p w14:paraId="75AC836D" w14:textId="77777777" w:rsidR="009816DA" w:rsidRDefault="009816DA" w:rsidP="009816DA">
                  <w:pPr>
                    <w:jc w:val="right"/>
                    <w:rPr>
                      <w:rFonts w:ascii="Arial Narrow" w:hAnsi="Arial Narrow" w:cs="Calibri"/>
                      <w:color w:val="000000"/>
                      <w:sz w:val="18"/>
                      <w:szCs w:val="18"/>
                    </w:rPr>
                  </w:pPr>
                  <w:r>
                    <w:rPr>
                      <w:rFonts w:ascii="Arial Narrow" w:hAnsi="Arial Narrow" w:cs="Calibri"/>
                      <w:color w:val="000000"/>
                      <w:sz w:val="18"/>
                      <w:szCs w:val="18"/>
                    </w:rPr>
                    <w:t>4.912.375</w:t>
                  </w:r>
                </w:p>
              </w:tc>
            </w:tr>
            <w:tr w:rsidR="009816DA" w14:paraId="0BE5B982" w14:textId="77777777" w:rsidTr="009816DA">
              <w:trPr>
                <w:trHeight w:val="300"/>
              </w:trPr>
              <w:tc>
                <w:tcPr>
                  <w:tcW w:w="1176" w:type="dxa"/>
                  <w:tcBorders>
                    <w:top w:val="single" w:sz="4" w:space="0" w:color="auto"/>
                    <w:left w:val="nil"/>
                    <w:bottom w:val="single" w:sz="4" w:space="0" w:color="auto"/>
                    <w:right w:val="nil"/>
                  </w:tcBorders>
                  <w:shd w:val="clear" w:color="000000" w:fill="C9321F"/>
                  <w:noWrap/>
                  <w:vAlign w:val="center"/>
                  <w:hideMark/>
                </w:tcPr>
                <w:p w14:paraId="4A25EE0D" w14:textId="77777777" w:rsidR="009816DA" w:rsidRDefault="009816DA" w:rsidP="009816DA">
                  <w:pPr>
                    <w:rPr>
                      <w:rFonts w:ascii="Arial Narrow" w:hAnsi="Arial Narrow" w:cs="Calibri"/>
                      <w:b/>
                      <w:bCs/>
                      <w:color w:val="FFFFFF"/>
                      <w:sz w:val="18"/>
                      <w:szCs w:val="18"/>
                    </w:rPr>
                  </w:pPr>
                  <w:r>
                    <w:rPr>
                      <w:rFonts w:ascii="Arial Narrow" w:hAnsi="Arial Narrow" w:cs="Calibri"/>
                      <w:b/>
                      <w:bCs/>
                      <w:color w:val="FFFFFF"/>
                      <w:sz w:val="18"/>
                      <w:szCs w:val="18"/>
                    </w:rPr>
                    <w:t>TOTALE</w:t>
                  </w:r>
                </w:p>
              </w:tc>
              <w:tc>
                <w:tcPr>
                  <w:tcW w:w="1468" w:type="dxa"/>
                  <w:tcBorders>
                    <w:top w:val="single" w:sz="4" w:space="0" w:color="auto"/>
                    <w:left w:val="nil"/>
                    <w:bottom w:val="single" w:sz="4" w:space="0" w:color="auto"/>
                    <w:right w:val="nil"/>
                  </w:tcBorders>
                  <w:shd w:val="clear" w:color="000000" w:fill="C9321F"/>
                  <w:noWrap/>
                  <w:vAlign w:val="center"/>
                  <w:hideMark/>
                </w:tcPr>
                <w:p w14:paraId="2C2A4C74" w14:textId="77777777" w:rsidR="009816DA" w:rsidRDefault="009816DA" w:rsidP="009816DA">
                  <w:pPr>
                    <w:jc w:val="right"/>
                    <w:rPr>
                      <w:rFonts w:ascii="Arial Narrow" w:hAnsi="Arial Narrow" w:cs="Calibri"/>
                      <w:b/>
                      <w:bCs/>
                      <w:color w:val="FFFFFF"/>
                      <w:sz w:val="18"/>
                      <w:szCs w:val="18"/>
                    </w:rPr>
                  </w:pPr>
                  <w:r>
                    <w:rPr>
                      <w:rFonts w:ascii="Arial Narrow" w:hAnsi="Arial Narrow" w:cs="Calibri"/>
                      <w:b/>
                      <w:bCs/>
                      <w:color w:val="FFFFFF"/>
                      <w:sz w:val="18"/>
                      <w:szCs w:val="18"/>
                    </w:rPr>
                    <w:t>9.981.554</w:t>
                  </w:r>
                </w:p>
              </w:tc>
              <w:tc>
                <w:tcPr>
                  <w:tcW w:w="1516" w:type="dxa"/>
                  <w:tcBorders>
                    <w:top w:val="single" w:sz="4" w:space="0" w:color="auto"/>
                    <w:left w:val="nil"/>
                    <w:bottom w:val="single" w:sz="4" w:space="0" w:color="auto"/>
                    <w:right w:val="nil"/>
                  </w:tcBorders>
                  <w:shd w:val="clear" w:color="000000" w:fill="C9321F"/>
                  <w:noWrap/>
                  <w:vAlign w:val="center"/>
                  <w:hideMark/>
                </w:tcPr>
                <w:p w14:paraId="6DC3CEE9" w14:textId="77777777" w:rsidR="009816DA" w:rsidRDefault="009816DA" w:rsidP="009816DA">
                  <w:pPr>
                    <w:jc w:val="right"/>
                    <w:rPr>
                      <w:rFonts w:ascii="Arial Narrow" w:hAnsi="Arial Narrow" w:cs="Calibri"/>
                      <w:b/>
                      <w:bCs/>
                      <w:color w:val="FFFFFF"/>
                      <w:sz w:val="18"/>
                      <w:szCs w:val="18"/>
                    </w:rPr>
                  </w:pPr>
                  <w:r>
                    <w:rPr>
                      <w:rFonts w:ascii="Arial Narrow" w:hAnsi="Arial Narrow" w:cs="Calibri"/>
                      <w:b/>
                      <w:bCs/>
                      <w:color w:val="FFFFFF"/>
                      <w:sz w:val="18"/>
                      <w:szCs w:val="18"/>
                    </w:rPr>
                    <w:t>10.027.602</w:t>
                  </w:r>
                </w:p>
              </w:tc>
            </w:tr>
            <w:tr w:rsidR="009816DA" w14:paraId="348E82D7" w14:textId="77777777" w:rsidTr="009816DA">
              <w:trPr>
                <w:trHeight w:val="300"/>
              </w:trPr>
              <w:tc>
                <w:tcPr>
                  <w:tcW w:w="4160" w:type="dxa"/>
                  <w:gridSpan w:val="3"/>
                  <w:tcBorders>
                    <w:top w:val="nil"/>
                    <w:left w:val="nil"/>
                    <w:bottom w:val="nil"/>
                    <w:right w:val="nil"/>
                  </w:tcBorders>
                  <w:shd w:val="clear" w:color="000000" w:fill="FFFFFF"/>
                  <w:vAlign w:val="center"/>
                  <w:hideMark/>
                </w:tcPr>
                <w:p w14:paraId="070A6342" w14:textId="77777777" w:rsidR="009816DA" w:rsidRDefault="009816DA" w:rsidP="009816DA">
                  <w:pPr>
                    <w:jc w:val="center"/>
                    <w:rPr>
                      <w:rFonts w:ascii="Arial Narrow" w:hAnsi="Arial Narrow" w:cs="Calibri"/>
                      <w:color w:val="000000"/>
                      <w:sz w:val="18"/>
                      <w:szCs w:val="18"/>
                    </w:rPr>
                  </w:pPr>
                  <w:r>
                    <w:rPr>
                      <w:rFonts w:ascii="Arial Narrow" w:hAnsi="Arial Narrow" w:cs="Calibri"/>
                      <w:color w:val="000000"/>
                      <w:sz w:val="18"/>
                      <w:szCs w:val="18"/>
                    </w:rPr>
                    <w:t>Valori %</w:t>
                  </w:r>
                </w:p>
              </w:tc>
            </w:tr>
            <w:tr w:rsidR="009816DA" w14:paraId="4924E135" w14:textId="77777777" w:rsidTr="009816DA">
              <w:trPr>
                <w:trHeight w:val="300"/>
              </w:trPr>
              <w:tc>
                <w:tcPr>
                  <w:tcW w:w="1176" w:type="dxa"/>
                  <w:tcBorders>
                    <w:top w:val="single" w:sz="4" w:space="0" w:color="auto"/>
                    <w:left w:val="nil"/>
                    <w:bottom w:val="single" w:sz="4" w:space="0" w:color="auto"/>
                    <w:right w:val="nil"/>
                  </w:tcBorders>
                  <w:shd w:val="clear" w:color="auto" w:fill="auto"/>
                  <w:noWrap/>
                  <w:vAlign w:val="center"/>
                  <w:hideMark/>
                </w:tcPr>
                <w:p w14:paraId="5A3E3DDB" w14:textId="77777777" w:rsidR="009816DA" w:rsidRDefault="009816DA" w:rsidP="009816DA">
                  <w:pPr>
                    <w:rPr>
                      <w:rFonts w:ascii="Arial Narrow" w:hAnsi="Arial Narrow" w:cs="Calibri"/>
                      <w:color w:val="000000"/>
                      <w:sz w:val="18"/>
                      <w:szCs w:val="18"/>
                    </w:rPr>
                  </w:pPr>
                  <w:r>
                    <w:rPr>
                      <w:rFonts w:ascii="Arial Narrow" w:hAnsi="Arial Narrow" w:cs="Calibri"/>
                      <w:color w:val="000000"/>
                      <w:sz w:val="18"/>
                      <w:szCs w:val="18"/>
                    </w:rPr>
                    <w:t>Femmine</w:t>
                  </w:r>
                </w:p>
              </w:tc>
              <w:tc>
                <w:tcPr>
                  <w:tcW w:w="1468" w:type="dxa"/>
                  <w:tcBorders>
                    <w:top w:val="single" w:sz="4" w:space="0" w:color="auto"/>
                    <w:left w:val="nil"/>
                    <w:bottom w:val="single" w:sz="4" w:space="0" w:color="auto"/>
                    <w:right w:val="nil"/>
                  </w:tcBorders>
                  <w:shd w:val="clear" w:color="000000" w:fill="D9D9D9"/>
                  <w:noWrap/>
                  <w:vAlign w:val="center"/>
                  <w:hideMark/>
                </w:tcPr>
                <w:p w14:paraId="20D7ECE7" w14:textId="77777777" w:rsidR="009816DA" w:rsidRDefault="009816DA" w:rsidP="009816DA">
                  <w:pPr>
                    <w:jc w:val="right"/>
                    <w:rPr>
                      <w:rFonts w:ascii="Arial Narrow" w:hAnsi="Arial Narrow" w:cs="Calibri"/>
                      <w:color w:val="000000"/>
                      <w:sz w:val="18"/>
                      <w:szCs w:val="18"/>
                    </w:rPr>
                  </w:pPr>
                  <w:r>
                    <w:rPr>
                      <w:rFonts w:ascii="Arial Narrow" w:hAnsi="Arial Narrow" w:cs="Calibri"/>
                      <w:color w:val="000000"/>
                      <w:sz w:val="18"/>
                      <w:szCs w:val="18"/>
                    </w:rPr>
                    <w:t>51,0</w:t>
                  </w:r>
                </w:p>
              </w:tc>
              <w:tc>
                <w:tcPr>
                  <w:tcW w:w="1516" w:type="dxa"/>
                  <w:tcBorders>
                    <w:top w:val="single" w:sz="4" w:space="0" w:color="auto"/>
                    <w:left w:val="nil"/>
                    <w:bottom w:val="single" w:sz="4" w:space="0" w:color="auto"/>
                    <w:right w:val="nil"/>
                  </w:tcBorders>
                  <w:shd w:val="clear" w:color="000000" w:fill="FFFFFF"/>
                  <w:noWrap/>
                  <w:vAlign w:val="center"/>
                  <w:hideMark/>
                </w:tcPr>
                <w:p w14:paraId="16A81471" w14:textId="77777777" w:rsidR="009816DA" w:rsidRDefault="009816DA" w:rsidP="009816DA">
                  <w:pPr>
                    <w:jc w:val="right"/>
                    <w:rPr>
                      <w:rFonts w:ascii="Arial Narrow" w:hAnsi="Arial Narrow" w:cs="Calibri"/>
                      <w:color w:val="000000"/>
                      <w:sz w:val="18"/>
                      <w:szCs w:val="18"/>
                    </w:rPr>
                  </w:pPr>
                  <w:r>
                    <w:rPr>
                      <w:rFonts w:ascii="Arial Narrow" w:hAnsi="Arial Narrow" w:cs="Calibri"/>
                      <w:color w:val="000000"/>
                      <w:sz w:val="18"/>
                      <w:szCs w:val="18"/>
                    </w:rPr>
                    <w:t>51,0</w:t>
                  </w:r>
                </w:p>
              </w:tc>
            </w:tr>
            <w:tr w:rsidR="009816DA" w14:paraId="15F918B8" w14:textId="77777777" w:rsidTr="009816DA">
              <w:trPr>
                <w:trHeight w:val="300"/>
              </w:trPr>
              <w:tc>
                <w:tcPr>
                  <w:tcW w:w="1176" w:type="dxa"/>
                  <w:tcBorders>
                    <w:top w:val="single" w:sz="4" w:space="0" w:color="auto"/>
                    <w:left w:val="nil"/>
                    <w:bottom w:val="single" w:sz="4" w:space="0" w:color="auto"/>
                    <w:right w:val="nil"/>
                  </w:tcBorders>
                  <w:shd w:val="clear" w:color="auto" w:fill="auto"/>
                  <w:noWrap/>
                  <w:vAlign w:val="center"/>
                  <w:hideMark/>
                </w:tcPr>
                <w:p w14:paraId="26E083E6" w14:textId="77777777" w:rsidR="009816DA" w:rsidRDefault="009816DA" w:rsidP="009816DA">
                  <w:pPr>
                    <w:rPr>
                      <w:rFonts w:ascii="Arial Narrow" w:hAnsi="Arial Narrow" w:cs="Calibri"/>
                      <w:color w:val="000000"/>
                      <w:sz w:val="18"/>
                      <w:szCs w:val="18"/>
                    </w:rPr>
                  </w:pPr>
                  <w:r>
                    <w:rPr>
                      <w:rFonts w:ascii="Arial Narrow" w:hAnsi="Arial Narrow" w:cs="Calibri"/>
                      <w:color w:val="000000"/>
                      <w:sz w:val="18"/>
                      <w:szCs w:val="18"/>
                    </w:rPr>
                    <w:t>Maschi</w:t>
                  </w:r>
                </w:p>
              </w:tc>
              <w:tc>
                <w:tcPr>
                  <w:tcW w:w="1468" w:type="dxa"/>
                  <w:tcBorders>
                    <w:top w:val="single" w:sz="4" w:space="0" w:color="auto"/>
                    <w:left w:val="nil"/>
                    <w:bottom w:val="single" w:sz="4" w:space="0" w:color="auto"/>
                    <w:right w:val="nil"/>
                  </w:tcBorders>
                  <w:shd w:val="clear" w:color="000000" w:fill="D9D9D9"/>
                  <w:noWrap/>
                  <w:vAlign w:val="center"/>
                  <w:hideMark/>
                </w:tcPr>
                <w:p w14:paraId="0E30D9A3" w14:textId="77777777" w:rsidR="009816DA" w:rsidRDefault="009816DA" w:rsidP="009816DA">
                  <w:pPr>
                    <w:jc w:val="right"/>
                    <w:rPr>
                      <w:rFonts w:ascii="Arial Narrow" w:hAnsi="Arial Narrow" w:cs="Calibri"/>
                      <w:color w:val="000000"/>
                      <w:sz w:val="18"/>
                      <w:szCs w:val="18"/>
                    </w:rPr>
                  </w:pPr>
                  <w:r>
                    <w:rPr>
                      <w:rFonts w:ascii="Arial Narrow" w:hAnsi="Arial Narrow" w:cs="Calibri"/>
                      <w:color w:val="000000"/>
                      <w:sz w:val="18"/>
                      <w:szCs w:val="18"/>
                    </w:rPr>
                    <w:t>49,0</w:t>
                  </w:r>
                </w:p>
              </w:tc>
              <w:tc>
                <w:tcPr>
                  <w:tcW w:w="1516" w:type="dxa"/>
                  <w:tcBorders>
                    <w:top w:val="single" w:sz="4" w:space="0" w:color="auto"/>
                    <w:left w:val="nil"/>
                    <w:bottom w:val="single" w:sz="4" w:space="0" w:color="auto"/>
                    <w:right w:val="nil"/>
                  </w:tcBorders>
                  <w:shd w:val="clear" w:color="000000" w:fill="FFFFFF"/>
                  <w:noWrap/>
                  <w:vAlign w:val="center"/>
                  <w:hideMark/>
                </w:tcPr>
                <w:p w14:paraId="0319F5D8" w14:textId="77777777" w:rsidR="009816DA" w:rsidRDefault="009816DA" w:rsidP="009816DA">
                  <w:pPr>
                    <w:jc w:val="right"/>
                    <w:rPr>
                      <w:rFonts w:ascii="Arial Narrow" w:hAnsi="Arial Narrow" w:cs="Calibri"/>
                      <w:color w:val="000000"/>
                      <w:sz w:val="18"/>
                      <w:szCs w:val="18"/>
                    </w:rPr>
                  </w:pPr>
                  <w:r>
                    <w:rPr>
                      <w:rFonts w:ascii="Arial Narrow" w:hAnsi="Arial Narrow" w:cs="Calibri"/>
                      <w:color w:val="000000"/>
                      <w:sz w:val="18"/>
                      <w:szCs w:val="18"/>
                    </w:rPr>
                    <w:t>49,0</w:t>
                  </w:r>
                </w:p>
              </w:tc>
            </w:tr>
            <w:tr w:rsidR="009816DA" w14:paraId="0B5DE81E" w14:textId="77777777" w:rsidTr="009816DA">
              <w:trPr>
                <w:trHeight w:val="300"/>
              </w:trPr>
              <w:tc>
                <w:tcPr>
                  <w:tcW w:w="1176" w:type="dxa"/>
                  <w:tcBorders>
                    <w:top w:val="single" w:sz="4" w:space="0" w:color="auto"/>
                    <w:left w:val="nil"/>
                    <w:bottom w:val="single" w:sz="4" w:space="0" w:color="auto"/>
                    <w:right w:val="nil"/>
                  </w:tcBorders>
                  <w:shd w:val="clear" w:color="000000" w:fill="C9321F"/>
                  <w:noWrap/>
                  <w:vAlign w:val="center"/>
                  <w:hideMark/>
                </w:tcPr>
                <w:p w14:paraId="1035F5A2" w14:textId="77777777" w:rsidR="009816DA" w:rsidRDefault="009816DA" w:rsidP="009816DA">
                  <w:pPr>
                    <w:rPr>
                      <w:rFonts w:ascii="Arial Narrow" w:hAnsi="Arial Narrow" w:cs="Calibri"/>
                      <w:b/>
                      <w:bCs/>
                      <w:color w:val="FFFFFF"/>
                      <w:sz w:val="18"/>
                      <w:szCs w:val="18"/>
                    </w:rPr>
                  </w:pPr>
                  <w:r>
                    <w:rPr>
                      <w:rFonts w:ascii="Arial Narrow" w:hAnsi="Arial Narrow" w:cs="Calibri"/>
                      <w:b/>
                      <w:bCs/>
                      <w:color w:val="FFFFFF"/>
                      <w:sz w:val="18"/>
                      <w:szCs w:val="18"/>
                    </w:rPr>
                    <w:t>TOTALE</w:t>
                  </w:r>
                </w:p>
              </w:tc>
              <w:tc>
                <w:tcPr>
                  <w:tcW w:w="1468" w:type="dxa"/>
                  <w:tcBorders>
                    <w:top w:val="single" w:sz="4" w:space="0" w:color="auto"/>
                    <w:left w:val="nil"/>
                    <w:bottom w:val="single" w:sz="4" w:space="0" w:color="auto"/>
                    <w:right w:val="nil"/>
                  </w:tcBorders>
                  <w:shd w:val="clear" w:color="000000" w:fill="C9321F"/>
                  <w:noWrap/>
                  <w:vAlign w:val="center"/>
                  <w:hideMark/>
                </w:tcPr>
                <w:p w14:paraId="011D0778" w14:textId="77777777" w:rsidR="009816DA" w:rsidRDefault="009816DA" w:rsidP="009816DA">
                  <w:pPr>
                    <w:jc w:val="right"/>
                    <w:rPr>
                      <w:rFonts w:ascii="Arial Narrow" w:hAnsi="Arial Narrow" w:cs="Calibri"/>
                      <w:b/>
                      <w:bCs/>
                      <w:color w:val="FFFFFF"/>
                      <w:sz w:val="18"/>
                      <w:szCs w:val="18"/>
                    </w:rPr>
                  </w:pPr>
                  <w:r>
                    <w:rPr>
                      <w:rFonts w:ascii="Arial Narrow" w:hAnsi="Arial Narrow" w:cs="Calibri"/>
                      <w:b/>
                      <w:bCs/>
                      <w:color w:val="FFFFFF"/>
                      <w:sz w:val="18"/>
                      <w:szCs w:val="18"/>
                    </w:rPr>
                    <w:t>100,0</w:t>
                  </w:r>
                </w:p>
              </w:tc>
              <w:tc>
                <w:tcPr>
                  <w:tcW w:w="1516" w:type="dxa"/>
                  <w:tcBorders>
                    <w:top w:val="single" w:sz="4" w:space="0" w:color="auto"/>
                    <w:left w:val="nil"/>
                    <w:bottom w:val="single" w:sz="4" w:space="0" w:color="auto"/>
                    <w:right w:val="nil"/>
                  </w:tcBorders>
                  <w:shd w:val="clear" w:color="000000" w:fill="C9321F"/>
                  <w:noWrap/>
                  <w:vAlign w:val="center"/>
                  <w:hideMark/>
                </w:tcPr>
                <w:p w14:paraId="51B4423C" w14:textId="77777777" w:rsidR="009816DA" w:rsidRDefault="009816DA" w:rsidP="009816DA">
                  <w:pPr>
                    <w:jc w:val="right"/>
                    <w:rPr>
                      <w:rFonts w:ascii="Arial Narrow" w:hAnsi="Arial Narrow" w:cs="Calibri"/>
                      <w:b/>
                      <w:bCs/>
                      <w:color w:val="FFFFFF"/>
                      <w:sz w:val="18"/>
                      <w:szCs w:val="18"/>
                    </w:rPr>
                  </w:pPr>
                  <w:r>
                    <w:rPr>
                      <w:rFonts w:ascii="Arial Narrow" w:hAnsi="Arial Narrow" w:cs="Calibri"/>
                      <w:b/>
                      <w:bCs/>
                      <w:color w:val="FFFFFF"/>
                      <w:sz w:val="18"/>
                      <w:szCs w:val="18"/>
                    </w:rPr>
                    <w:t>100,0</w:t>
                  </w:r>
                </w:p>
              </w:tc>
            </w:tr>
          </w:tbl>
          <w:p w14:paraId="36AF351E" w14:textId="77777777" w:rsidR="009B4983" w:rsidRDefault="009B4983" w:rsidP="00047761">
            <w:pPr>
              <w:spacing w:after="120"/>
              <w:jc w:val="both"/>
              <w:rPr>
                <w:rFonts w:ascii="Trebuchet MS" w:hAnsi="Trebuchet MS" w:cs="Arial"/>
                <w:color w:val="5F5F5F"/>
                <w:sz w:val="20"/>
                <w:szCs w:val="20"/>
              </w:rPr>
            </w:pPr>
          </w:p>
        </w:tc>
        <w:tc>
          <w:tcPr>
            <w:tcW w:w="49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957FF5" w14:textId="770622AD" w:rsidR="009B4983" w:rsidRDefault="009816DA" w:rsidP="00047761">
            <w:pPr>
              <w:spacing w:after="120"/>
              <w:jc w:val="both"/>
              <w:rPr>
                <w:rFonts w:ascii="Trebuchet MS" w:hAnsi="Trebuchet MS" w:cs="Arial"/>
                <w:color w:val="5F5F5F"/>
                <w:sz w:val="20"/>
                <w:szCs w:val="20"/>
              </w:rPr>
            </w:pPr>
            <w:r>
              <w:rPr>
                <w:noProof/>
              </w:rPr>
              <w:drawing>
                <wp:inline distT="0" distB="0" distL="0" distR="0" wp14:anchorId="416D34C5" wp14:editId="158E2F07">
                  <wp:extent cx="3060000" cy="1980000"/>
                  <wp:effectExtent l="0" t="0" r="0" b="0"/>
                  <wp:docPr id="1" name="Grafico 1">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bl>
    <w:p w14:paraId="38A270D9" w14:textId="77777777" w:rsidR="00D31139" w:rsidRDefault="00D31139" w:rsidP="0004755B">
      <w:pPr>
        <w:spacing w:after="120"/>
        <w:jc w:val="both"/>
        <w:rPr>
          <w:rFonts w:ascii="Trebuchet MS" w:hAnsi="Trebuchet MS" w:cs="Arial"/>
          <w:color w:val="5F5F5F"/>
          <w:sz w:val="20"/>
          <w:szCs w:val="20"/>
        </w:rPr>
      </w:pPr>
    </w:p>
    <w:p w14:paraId="7C13CE23" w14:textId="73D11F15" w:rsidR="0004755B" w:rsidRPr="002E0D54" w:rsidRDefault="0004755B" w:rsidP="0004755B">
      <w:pPr>
        <w:spacing w:after="120"/>
        <w:jc w:val="both"/>
        <w:rPr>
          <w:rFonts w:ascii="Trebuchet MS" w:hAnsi="Trebuchet MS" w:cs="Arial"/>
          <w:color w:val="5F5F5F"/>
          <w:sz w:val="2"/>
          <w:szCs w:val="2"/>
        </w:rPr>
      </w:pPr>
      <w:r>
        <w:rPr>
          <w:rFonts w:ascii="Trebuchet MS" w:hAnsi="Trebuchet MS" w:cs="Arial"/>
          <w:color w:val="5F5F5F"/>
          <w:sz w:val="20"/>
          <w:szCs w:val="20"/>
        </w:rPr>
        <w:t>Nei territori le d</w:t>
      </w:r>
      <w:r w:rsidRPr="003B71FA">
        <w:rPr>
          <w:rFonts w:ascii="Trebuchet MS" w:hAnsi="Trebuchet MS" w:cs="Arial"/>
          <w:color w:val="5F5F5F"/>
          <w:sz w:val="20"/>
          <w:szCs w:val="20"/>
        </w:rPr>
        <w:t xml:space="preserve">ifferenze </w:t>
      </w:r>
      <w:r>
        <w:rPr>
          <w:rFonts w:ascii="Trebuchet MS" w:hAnsi="Trebuchet MS" w:cs="Arial"/>
          <w:color w:val="5F5F5F"/>
          <w:sz w:val="20"/>
          <w:szCs w:val="20"/>
        </w:rPr>
        <w:t xml:space="preserve">non sono </w:t>
      </w:r>
      <w:r w:rsidR="0040401A">
        <w:rPr>
          <w:rFonts w:ascii="Trebuchet MS" w:hAnsi="Trebuchet MS" w:cs="Arial"/>
          <w:color w:val="5F5F5F"/>
          <w:sz w:val="20"/>
          <w:szCs w:val="20"/>
        </w:rPr>
        <w:t xml:space="preserve">molto </w:t>
      </w:r>
      <w:r w:rsidRPr="003B71FA">
        <w:rPr>
          <w:rFonts w:ascii="Trebuchet MS" w:hAnsi="Trebuchet MS" w:cs="Arial"/>
          <w:color w:val="5F5F5F"/>
          <w:sz w:val="20"/>
          <w:szCs w:val="20"/>
        </w:rPr>
        <w:t>significative</w:t>
      </w:r>
      <w:r>
        <w:rPr>
          <w:rFonts w:ascii="Trebuchet MS" w:hAnsi="Trebuchet MS" w:cs="Arial"/>
          <w:color w:val="5F5F5F"/>
          <w:sz w:val="20"/>
          <w:szCs w:val="20"/>
        </w:rPr>
        <w:t xml:space="preserve">. Il </w:t>
      </w:r>
      <w:r w:rsidRPr="003B71FA">
        <w:rPr>
          <w:rFonts w:ascii="Trebuchet MS" w:hAnsi="Trebuchet MS" w:cs="Arial"/>
          <w:color w:val="5F5F5F"/>
          <w:sz w:val="20"/>
          <w:szCs w:val="20"/>
        </w:rPr>
        <w:t>rapporto di mascolinità più basso</w:t>
      </w:r>
      <w:r>
        <w:rPr>
          <w:rFonts w:ascii="Trebuchet MS" w:hAnsi="Trebuchet MS" w:cs="Arial"/>
          <w:color w:val="5F5F5F"/>
          <w:sz w:val="20"/>
          <w:szCs w:val="20"/>
        </w:rPr>
        <w:t xml:space="preserve"> si registra nella </w:t>
      </w:r>
      <w:r w:rsidRPr="00033ECD">
        <w:rPr>
          <w:rFonts w:ascii="Trebuchet MS" w:hAnsi="Trebuchet MS" w:cs="Arial"/>
          <w:color w:val="5F5F5F"/>
          <w:sz w:val="20"/>
          <w:szCs w:val="20"/>
        </w:rPr>
        <w:t xml:space="preserve">provincia di </w:t>
      </w:r>
      <w:r w:rsidR="004414D7" w:rsidRPr="00033ECD">
        <w:rPr>
          <w:rFonts w:ascii="Trebuchet MS" w:hAnsi="Trebuchet MS" w:cs="Arial"/>
          <w:color w:val="5F5F5F"/>
          <w:sz w:val="20"/>
          <w:szCs w:val="20"/>
        </w:rPr>
        <w:t>Milano</w:t>
      </w:r>
      <w:r w:rsidRPr="00033ECD">
        <w:rPr>
          <w:rFonts w:ascii="Trebuchet MS" w:hAnsi="Trebuchet MS" w:cs="Arial"/>
          <w:color w:val="5F5F5F"/>
          <w:sz w:val="20"/>
          <w:szCs w:val="20"/>
        </w:rPr>
        <w:t xml:space="preserve"> </w:t>
      </w:r>
      <w:r w:rsidR="004414D7" w:rsidRPr="00033ECD">
        <w:rPr>
          <w:rFonts w:ascii="Trebuchet MS" w:hAnsi="Trebuchet MS" w:cs="Arial"/>
          <w:color w:val="5F5F5F"/>
          <w:sz w:val="20"/>
          <w:szCs w:val="20"/>
        </w:rPr>
        <w:t>(94,5</w:t>
      </w:r>
      <w:r w:rsidRPr="00033ECD">
        <w:rPr>
          <w:rFonts w:ascii="Trebuchet MS" w:hAnsi="Trebuchet MS" w:cs="Arial"/>
          <w:color w:val="5F5F5F"/>
          <w:sz w:val="20"/>
          <w:szCs w:val="20"/>
        </w:rPr>
        <w:t xml:space="preserve">%), quello più alto a </w:t>
      </w:r>
      <w:r w:rsidR="004414D7" w:rsidRPr="00033ECD">
        <w:rPr>
          <w:rFonts w:ascii="Trebuchet MS" w:hAnsi="Trebuchet MS" w:cs="Arial"/>
          <w:color w:val="5F5F5F"/>
          <w:sz w:val="20"/>
          <w:szCs w:val="20"/>
        </w:rPr>
        <w:t>Bergamo</w:t>
      </w:r>
      <w:r w:rsidRPr="00033ECD">
        <w:rPr>
          <w:rFonts w:ascii="Trebuchet MS" w:hAnsi="Trebuchet MS" w:cs="Arial"/>
          <w:color w:val="5F5F5F"/>
          <w:sz w:val="20"/>
          <w:szCs w:val="20"/>
        </w:rPr>
        <w:t xml:space="preserve"> </w:t>
      </w:r>
      <w:r w:rsidR="004414D7" w:rsidRPr="00033ECD">
        <w:rPr>
          <w:rFonts w:ascii="Trebuchet MS" w:hAnsi="Trebuchet MS" w:cs="Arial"/>
          <w:color w:val="5F5F5F"/>
          <w:sz w:val="20"/>
          <w:szCs w:val="20"/>
        </w:rPr>
        <w:t>(98,7</w:t>
      </w:r>
      <w:r w:rsidRPr="00033ECD">
        <w:rPr>
          <w:rFonts w:ascii="Trebuchet MS" w:hAnsi="Trebuchet MS" w:cs="Arial"/>
          <w:color w:val="5F5F5F"/>
          <w:sz w:val="20"/>
          <w:szCs w:val="20"/>
        </w:rPr>
        <w:t>%). Tuttavia</w:t>
      </w:r>
      <w:r w:rsidR="00B13ADF" w:rsidRPr="00033ECD">
        <w:rPr>
          <w:rFonts w:ascii="Trebuchet MS" w:hAnsi="Trebuchet MS" w:cs="Arial"/>
          <w:color w:val="5F5F5F"/>
          <w:sz w:val="20"/>
          <w:szCs w:val="20"/>
        </w:rPr>
        <w:t xml:space="preserve">, </w:t>
      </w:r>
      <w:r w:rsidR="00C62A02" w:rsidRPr="00033ECD">
        <w:rPr>
          <w:rFonts w:ascii="Trebuchet MS" w:hAnsi="Trebuchet MS" w:cs="Arial"/>
          <w:color w:val="5F5F5F"/>
          <w:sz w:val="20"/>
          <w:szCs w:val="20"/>
        </w:rPr>
        <w:t xml:space="preserve">in </w:t>
      </w:r>
      <w:r w:rsidR="00033ECD" w:rsidRPr="00033ECD">
        <w:rPr>
          <w:rFonts w:ascii="Trebuchet MS" w:hAnsi="Trebuchet MS" w:cs="Arial"/>
          <w:color w:val="5F5F5F"/>
          <w:sz w:val="20"/>
          <w:szCs w:val="20"/>
        </w:rPr>
        <w:t>61</w:t>
      </w:r>
      <w:r w:rsidR="0083349C">
        <w:rPr>
          <w:rFonts w:ascii="Trebuchet MS" w:hAnsi="Trebuchet MS" w:cs="Arial"/>
          <w:color w:val="5F5F5F"/>
          <w:sz w:val="20"/>
          <w:szCs w:val="20"/>
        </w:rPr>
        <w:t>3</w:t>
      </w:r>
      <w:r w:rsidR="00B13ADF" w:rsidRPr="00033ECD">
        <w:rPr>
          <w:rFonts w:ascii="Trebuchet MS" w:hAnsi="Trebuchet MS" w:cs="Arial"/>
          <w:color w:val="5F5F5F"/>
          <w:sz w:val="20"/>
          <w:szCs w:val="20"/>
        </w:rPr>
        <w:t xml:space="preserve"> </w:t>
      </w:r>
      <w:r w:rsidRPr="00033ECD">
        <w:rPr>
          <w:rFonts w:ascii="Trebuchet MS" w:hAnsi="Trebuchet MS" w:cs="Arial"/>
          <w:color w:val="5F5F5F"/>
          <w:sz w:val="20"/>
          <w:szCs w:val="20"/>
        </w:rPr>
        <w:t xml:space="preserve">comuni </w:t>
      </w:r>
      <w:r w:rsidR="00033ECD" w:rsidRPr="00033ECD">
        <w:rPr>
          <w:rFonts w:ascii="Trebuchet MS" w:hAnsi="Trebuchet MS" w:cs="Arial"/>
          <w:color w:val="5F5F5F"/>
          <w:sz w:val="20"/>
          <w:szCs w:val="20"/>
        </w:rPr>
        <w:t>lombardi</w:t>
      </w:r>
      <w:r w:rsidRPr="00033ECD">
        <w:rPr>
          <w:rFonts w:ascii="Trebuchet MS" w:hAnsi="Trebuchet MS" w:cs="Arial"/>
          <w:color w:val="5F5F5F"/>
          <w:sz w:val="20"/>
          <w:szCs w:val="20"/>
        </w:rPr>
        <w:t xml:space="preserve"> il rapporto di </w:t>
      </w:r>
      <w:r w:rsidRPr="004D3CA7">
        <w:rPr>
          <w:rFonts w:ascii="Trebuchet MS" w:hAnsi="Trebuchet MS" w:cs="Arial"/>
          <w:color w:val="5F5F5F"/>
          <w:sz w:val="20"/>
          <w:szCs w:val="20"/>
        </w:rPr>
        <w:t>mascolinità risulta sbilanciato a favore della componente maschile,</w:t>
      </w:r>
      <w:r w:rsidR="00033ECD" w:rsidRPr="004D3CA7">
        <w:rPr>
          <w:rFonts w:ascii="Trebuchet MS" w:hAnsi="Trebuchet MS" w:cs="Arial"/>
          <w:color w:val="5F5F5F"/>
          <w:sz w:val="20"/>
          <w:szCs w:val="20"/>
        </w:rPr>
        <w:t xml:space="preserve"> con il primato di Duno in provincia di Varese</w:t>
      </w:r>
      <w:r w:rsidR="00BC2451" w:rsidRPr="004D3CA7">
        <w:rPr>
          <w:rFonts w:ascii="Trebuchet MS" w:hAnsi="Trebuchet MS" w:cs="Arial"/>
          <w:color w:val="5F5F5F"/>
          <w:sz w:val="20"/>
          <w:szCs w:val="20"/>
        </w:rPr>
        <w:t xml:space="preserve"> (153,7</w:t>
      </w:r>
      <w:r w:rsidRPr="004D3CA7">
        <w:rPr>
          <w:rFonts w:ascii="Trebuchet MS" w:hAnsi="Trebuchet MS" w:cs="Arial"/>
          <w:color w:val="5F5F5F"/>
          <w:sz w:val="20"/>
          <w:szCs w:val="20"/>
        </w:rPr>
        <w:t>%),</w:t>
      </w:r>
      <w:r w:rsidRPr="00033ECD">
        <w:rPr>
          <w:rFonts w:ascii="Trebuchet MS" w:hAnsi="Trebuchet MS" w:cs="Arial"/>
          <w:color w:val="5F5F5F"/>
          <w:sz w:val="20"/>
          <w:szCs w:val="20"/>
        </w:rPr>
        <w:t xml:space="preserve"> seguito da </w:t>
      </w:r>
      <w:r w:rsidR="00033ECD" w:rsidRPr="00033ECD">
        <w:rPr>
          <w:rFonts w:ascii="Trebuchet MS" w:hAnsi="Trebuchet MS" w:cs="Arial"/>
          <w:color w:val="5F5F5F"/>
          <w:sz w:val="20"/>
          <w:szCs w:val="20"/>
        </w:rPr>
        <w:t>Gerola Alta in provincia di Sondrio (148,4</w:t>
      </w:r>
      <w:r w:rsidRPr="00033ECD">
        <w:rPr>
          <w:rFonts w:ascii="Trebuchet MS" w:hAnsi="Trebuchet MS" w:cs="Arial"/>
          <w:color w:val="5F5F5F"/>
          <w:sz w:val="20"/>
          <w:szCs w:val="20"/>
        </w:rPr>
        <w:t>%)</w:t>
      </w:r>
      <w:r w:rsidR="00033ECD" w:rsidRPr="00033ECD">
        <w:rPr>
          <w:rFonts w:ascii="Trebuchet MS" w:hAnsi="Trebuchet MS" w:cs="Arial"/>
          <w:color w:val="5F5F5F"/>
          <w:sz w:val="20"/>
          <w:szCs w:val="20"/>
        </w:rPr>
        <w:t>. All’opposto si colloca</w:t>
      </w:r>
      <w:r w:rsidRPr="00033ECD">
        <w:rPr>
          <w:rFonts w:ascii="Trebuchet MS" w:hAnsi="Trebuchet MS" w:cs="Arial"/>
          <w:color w:val="5F5F5F"/>
          <w:sz w:val="20"/>
          <w:szCs w:val="20"/>
        </w:rPr>
        <w:t xml:space="preserve"> i</w:t>
      </w:r>
      <w:r w:rsidR="00033ECD" w:rsidRPr="00033ECD">
        <w:rPr>
          <w:rFonts w:ascii="Trebuchet MS" w:hAnsi="Trebuchet MS" w:cs="Arial"/>
          <w:color w:val="5F5F5F"/>
          <w:sz w:val="20"/>
          <w:szCs w:val="20"/>
        </w:rPr>
        <w:t>l comune Villa Biscossi (provincia di Pavia)</w:t>
      </w:r>
      <w:r w:rsidRPr="00033ECD">
        <w:rPr>
          <w:rFonts w:ascii="Trebuchet MS" w:hAnsi="Trebuchet MS" w:cs="Arial"/>
          <w:color w:val="5F5F5F"/>
          <w:sz w:val="20"/>
          <w:szCs w:val="20"/>
        </w:rPr>
        <w:t xml:space="preserve"> do</w:t>
      </w:r>
      <w:r w:rsidR="00033ECD" w:rsidRPr="00033ECD">
        <w:rPr>
          <w:rFonts w:ascii="Trebuchet MS" w:hAnsi="Trebuchet MS" w:cs="Arial"/>
          <w:color w:val="5F5F5F"/>
          <w:sz w:val="20"/>
          <w:szCs w:val="20"/>
        </w:rPr>
        <w:t>ve si osservano 75,0</w:t>
      </w:r>
      <w:r w:rsidRPr="00033ECD">
        <w:rPr>
          <w:rFonts w:ascii="Trebuchet MS" w:hAnsi="Trebuchet MS" w:cs="Arial"/>
          <w:color w:val="5F5F5F"/>
          <w:sz w:val="20"/>
          <w:szCs w:val="20"/>
        </w:rPr>
        <w:t xml:space="preserve"> uomini ogni 100 donne</w:t>
      </w:r>
      <w:r w:rsidR="00033ECD" w:rsidRPr="00033ECD">
        <w:rPr>
          <w:rFonts w:ascii="Trebuchet MS" w:hAnsi="Trebuchet MS" w:cs="Arial"/>
          <w:color w:val="5F5F5F"/>
          <w:sz w:val="20"/>
          <w:szCs w:val="20"/>
        </w:rPr>
        <w:t>, seguono quattro comuni della provincia di Bergamo (Piazzolo, 81,3%; Blello, 82,9%; Carona, 84,1%; Lovere, 84,</w:t>
      </w:r>
      <w:r w:rsidR="00C42078">
        <w:rPr>
          <w:rFonts w:ascii="Trebuchet MS" w:hAnsi="Trebuchet MS" w:cs="Arial"/>
          <w:color w:val="5F5F5F"/>
          <w:sz w:val="20"/>
          <w:szCs w:val="20"/>
        </w:rPr>
        <w:t>8</w:t>
      </w:r>
      <w:r w:rsidR="00033ECD" w:rsidRPr="00033ECD">
        <w:rPr>
          <w:rFonts w:ascii="Trebuchet MS" w:hAnsi="Trebuchet MS" w:cs="Arial"/>
          <w:color w:val="5F5F5F"/>
          <w:sz w:val="20"/>
          <w:szCs w:val="20"/>
        </w:rPr>
        <w:t>%)</w:t>
      </w:r>
      <w:r w:rsidRPr="00033ECD">
        <w:rPr>
          <w:rFonts w:ascii="Trebuchet MS" w:hAnsi="Trebuchet MS" w:cs="Arial"/>
          <w:color w:val="5F5F5F"/>
          <w:sz w:val="20"/>
          <w:szCs w:val="20"/>
        </w:rPr>
        <w:t>.</w:t>
      </w:r>
      <w:r>
        <w:rPr>
          <w:rFonts w:ascii="Trebuchet MS" w:hAnsi="Trebuchet MS" w:cs="Arial"/>
          <w:color w:val="5F5F5F"/>
          <w:sz w:val="20"/>
          <w:szCs w:val="20"/>
        </w:rPr>
        <w:t xml:space="preserve"> </w:t>
      </w:r>
    </w:p>
    <w:p w14:paraId="36E95CA7" w14:textId="0E93503C" w:rsidR="0004755B" w:rsidRDefault="0004755B" w:rsidP="0004755B">
      <w:pPr>
        <w:spacing w:after="120"/>
        <w:jc w:val="both"/>
        <w:rPr>
          <w:rFonts w:ascii="Trebuchet MS" w:hAnsi="Trebuchet MS" w:cs="Arial"/>
          <w:color w:val="5F5F5F"/>
          <w:sz w:val="20"/>
          <w:szCs w:val="20"/>
        </w:rPr>
      </w:pPr>
      <w:r w:rsidRPr="003B71FA">
        <w:rPr>
          <w:rFonts w:ascii="Trebuchet MS" w:hAnsi="Trebuchet MS" w:cs="Arial"/>
          <w:color w:val="5F5F5F"/>
          <w:sz w:val="20"/>
          <w:szCs w:val="20"/>
        </w:rPr>
        <w:t xml:space="preserve">La popolazione </w:t>
      </w:r>
      <w:r w:rsidR="004414D7">
        <w:rPr>
          <w:rFonts w:ascii="Trebuchet MS" w:hAnsi="Trebuchet MS" w:cs="Arial"/>
          <w:color w:val="5F5F5F"/>
          <w:sz w:val="20"/>
          <w:szCs w:val="20"/>
        </w:rPr>
        <w:t>lombard</w:t>
      </w:r>
      <w:r w:rsidR="00B82610">
        <w:rPr>
          <w:rFonts w:ascii="Trebuchet MS" w:hAnsi="Trebuchet MS" w:cs="Arial"/>
          <w:color w:val="5F5F5F"/>
          <w:sz w:val="20"/>
          <w:szCs w:val="20"/>
        </w:rPr>
        <w:t>a</w:t>
      </w:r>
      <w:r w:rsidRPr="003B71FA">
        <w:rPr>
          <w:rFonts w:ascii="Trebuchet MS" w:hAnsi="Trebuchet MS" w:cs="Arial"/>
          <w:color w:val="5F5F5F"/>
          <w:sz w:val="20"/>
          <w:szCs w:val="20"/>
        </w:rPr>
        <w:t xml:space="preserve"> presenta</w:t>
      </w:r>
      <w:r>
        <w:rPr>
          <w:rFonts w:ascii="Trebuchet MS" w:hAnsi="Trebuchet MS" w:cs="Arial"/>
          <w:color w:val="5F5F5F"/>
          <w:sz w:val="20"/>
          <w:szCs w:val="20"/>
        </w:rPr>
        <w:t>, nel 2020,</w:t>
      </w:r>
      <w:r w:rsidRPr="003B71FA">
        <w:rPr>
          <w:rFonts w:ascii="Trebuchet MS" w:hAnsi="Trebuchet MS" w:cs="Arial"/>
          <w:color w:val="5F5F5F"/>
          <w:sz w:val="20"/>
          <w:szCs w:val="20"/>
        </w:rPr>
        <w:t xml:space="preserve"> una struttura per età </w:t>
      </w:r>
      <w:r w:rsidR="008C2A50">
        <w:rPr>
          <w:rFonts w:ascii="Trebuchet MS" w:hAnsi="Trebuchet MS" w:cs="Arial"/>
          <w:color w:val="5F5F5F"/>
          <w:sz w:val="20"/>
          <w:szCs w:val="20"/>
        </w:rPr>
        <w:t>che ricalca quella de</w:t>
      </w:r>
      <w:r w:rsidR="00C62A02">
        <w:rPr>
          <w:rFonts w:ascii="Trebuchet MS" w:hAnsi="Trebuchet MS" w:cs="Arial"/>
          <w:color w:val="5F5F5F"/>
          <w:sz w:val="20"/>
          <w:szCs w:val="20"/>
        </w:rPr>
        <w:t>l resto del Paese</w:t>
      </w:r>
      <w:r>
        <w:rPr>
          <w:rFonts w:ascii="Trebuchet MS" w:hAnsi="Trebuchet MS" w:cs="Arial"/>
          <w:color w:val="5F5F5F"/>
          <w:sz w:val="20"/>
          <w:szCs w:val="20"/>
        </w:rPr>
        <w:t>, come emerge dal profilo delle piramidi di età</w:t>
      </w:r>
      <w:r w:rsidR="00E77827">
        <w:rPr>
          <w:rFonts w:ascii="Trebuchet MS" w:hAnsi="Trebuchet MS" w:cs="Arial"/>
          <w:color w:val="5F5F5F"/>
          <w:sz w:val="20"/>
          <w:szCs w:val="20"/>
        </w:rPr>
        <w:t xml:space="preserve"> (Figura 1)</w:t>
      </w:r>
      <w:r>
        <w:rPr>
          <w:rFonts w:ascii="Trebuchet MS" w:hAnsi="Trebuchet MS" w:cs="Arial"/>
          <w:color w:val="5F5F5F"/>
          <w:sz w:val="20"/>
          <w:szCs w:val="20"/>
        </w:rPr>
        <w:t xml:space="preserve">. </w:t>
      </w:r>
    </w:p>
    <w:p w14:paraId="73383E00" w14:textId="2DEC61C9" w:rsidR="00C62A02" w:rsidRDefault="00DA4C5B" w:rsidP="00635226">
      <w:pPr>
        <w:spacing w:after="120"/>
        <w:jc w:val="both"/>
        <w:rPr>
          <w:rFonts w:ascii="Trebuchet MS" w:hAnsi="Trebuchet MS" w:cs="Arial"/>
          <w:color w:val="5F5F5F"/>
          <w:sz w:val="20"/>
          <w:szCs w:val="20"/>
        </w:rPr>
      </w:pPr>
      <w:r>
        <w:rPr>
          <w:rFonts w:ascii="Trebuchet MS" w:hAnsi="Trebuchet MS" w:cs="Arial"/>
          <w:color w:val="5F5F5F"/>
          <w:sz w:val="20"/>
          <w:szCs w:val="20"/>
        </w:rPr>
        <w:t>L’età media,</w:t>
      </w:r>
      <w:r w:rsidR="0051160B">
        <w:rPr>
          <w:rFonts w:ascii="Trebuchet MS" w:hAnsi="Trebuchet MS" w:cs="Arial"/>
          <w:color w:val="5F5F5F"/>
          <w:sz w:val="20"/>
          <w:szCs w:val="20"/>
        </w:rPr>
        <w:t xml:space="preserve"> sostanzialmente</w:t>
      </w:r>
      <w:r>
        <w:rPr>
          <w:rFonts w:ascii="Trebuchet MS" w:hAnsi="Trebuchet MS" w:cs="Arial"/>
          <w:color w:val="5F5F5F"/>
          <w:sz w:val="20"/>
          <w:szCs w:val="20"/>
        </w:rPr>
        <w:t xml:space="preserve"> </w:t>
      </w:r>
      <w:r w:rsidRPr="005565AB">
        <w:rPr>
          <w:rFonts w:ascii="Trebuchet MS" w:hAnsi="Trebuchet MS" w:cs="Arial"/>
          <w:color w:val="5F5F5F"/>
          <w:sz w:val="20"/>
          <w:szCs w:val="20"/>
        </w:rPr>
        <w:t>s</w:t>
      </w:r>
      <w:r w:rsidR="004414D7">
        <w:rPr>
          <w:rFonts w:ascii="Trebuchet MS" w:hAnsi="Trebuchet MS" w:cs="Arial"/>
          <w:color w:val="5F5F5F"/>
          <w:sz w:val="20"/>
          <w:szCs w:val="20"/>
        </w:rPr>
        <w:t>tabile rispetto al 2019, è di 45,1</w:t>
      </w:r>
      <w:r w:rsidRPr="005565AB">
        <w:rPr>
          <w:rFonts w:ascii="Trebuchet MS" w:hAnsi="Trebuchet MS" w:cs="Arial"/>
          <w:color w:val="5F5F5F"/>
          <w:sz w:val="20"/>
          <w:szCs w:val="20"/>
        </w:rPr>
        <w:t xml:space="preserve"> anni contro i 45,4 della media nazionale</w:t>
      </w:r>
      <w:r w:rsidR="00A833D0" w:rsidRPr="005565AB">
        <w:rPr>
          <w:rFonts w:ascii="Trebuchet MS" w:hAnsi="Trebuchet MS" w:cs="Arial"/>
          <w:color w:val="5F5F5F"/>
          <w:sz w:val="20"/>
          <w:szCs w:val="20"/>
        </w:rPr>
        <w:t xml:space="preserve"> (Prospetto 5)</w:t>
      </w:r>
      <w:r w:rsidRPr="005565AB">
        <w:rPr>
          <w:rFonts w:ascii="Trebuchet MS" w:hAnsi="Trebuchet MS" w:cs="Arial"/>
          <w:color w:val="5F5F5F"/>
          <w:sz w:val="20"/>
          <w:szCs w:val="20"/>
        </w:rPr>
        <w:t>. Aumenta l’indice di vecchiaia (</w:t>
      </w:r>
      <w:r w:rsidR="00215579" w:rsidRPr="005565AB">
        <w:rPr>
          <w:rFonts w:ascii="Trebuchet MS" w:hAnsi="Trebuchet MS" w:cs="Arial"/>
          <w:color w:val="5F5F5F"/>
          <w:sz w:val="20"/>
          <w:szCs w:val="20"/>
        </w:rPr>
        <w:t>rapporto percentuale tra la</w:t>
      </w:r>
      <w:r w:rsidRPr="005565AB">
        <w:rPr>
          <w:rFonts w:ascii="Trebuchet MS" w:hAnsi="Trebuchet MS" w:cs="Arial"/>
          <w:color w:val="5F5F5F"/>
          <w:sz w:val="20"/>
          <w:szCs w:val="20"/>
        </w:rPr>
        <w:t xml:space="preserve"> popolazione </w:t>
      </w:r>
      <w:r w:rsidR="00215579" w:rsidRPr="005565AB">
        <w:rPr>
          <w:rFonts w:ascii="Trebuchet MS" w:hAnsi="Trebuchet MS" w:cs="Arial"/>
          <w:color w:val="5F5F5F"/>
          <w:sz w:val="20"/>
          <w:szCs w:val="20"/>
        </w:rPr>
        <w:t>di</w:t>
      </w:r>
      <w:r w:rsidRPr="005565AB">
        <w:rPr>
          <w:rFonts w:ascii="Trebuchet MS" w:hAnsi="Trebuchet MS" w:cs="Arial"/>
          <w:color w:val="5F5F5F"/>
          <w:sz w:val="20"/>
          <w:szCs w:val="20"/>
        </w:rPr>
        <w:t xml:space="preserve"> 65</w:t>
      </w:r>
      <w:r w:rsidR="00215579" w:rsidRPr="005565AB">
        <w:rPr>
          <w:rFonts w:ascii="Trebuchet MS" w:hAnsi="Trebuchet MS" w:cs="Arial"/>
          <w:color w:val="5F5F5F"/>
          <w:sz w:val="20"/>
          <w:szCs w:val="20"/>
        </w:rPr>
        <w:t xml:space="preserve"> anni</w:t>
      </w:r>
      <w:r w:rsidRPr="005565AB">
        <w:rPr>
          <w:rFonts w:ascii="Trebuchet MS" w:hAnsi="Trebuchet MS" w:cs="Arial"/>
          <w:color w:val="5F5F5F"/>
          <w:sz w:val="20"/>
          <w:szCs w:val="20"/>
        </w:rPr>
        <w:t xml:space="preserve"> e più </w:t>
      </w:r>
      <w:r w:rsidR="00215579" w:rsidRPr="005565AB">
        <w:rPr>
          <w:rFonts w:ascii="Trebuchet MS" w:hAnsi="Trebuchet MS" w:cs="Arial"/>
          <w:color w:val="5F5F5F"/>
          <w:sz w:val="20"/>
          <w:szCs w:val="20"/>
        </w:rPr>
        <w:t>e la</w:t>
      </w:r>
      <w:r w:rsidRPr="005565AB">
        <w:rPr>
          <w:rFonts w:ascii="Trebuchet MS" w:hAnsi="Trebuchet MS" w:cs="Arial"/>
          <w:color w:val="5F5F5F"/>
          <w:sz w:val="20"/>
          <w:szCs w:val="20"/>
        </w:rPr>
        <w:t xml:space="preserve"> popolazione </w:t>
      </w:r>
      <w:r w:rsidR="005569D9" w:rsidRPr="005565AB">
        <w:rPr>
          <w:rFonts w:ascii="Trebuchet MS" w:hAnsi="Trebuchet MS" w:cs="Arial"/>
          <w:color w:val="5F5F5F"/>
          <w:sz w:val="20"/>
          <w:szCs w:val="20"/>
        </w:rPr>
        <w:t xml:space="preserve">di </w:t>
      </w:r>
      <w:r w:rsidRPr="005565AB">
        <w:rPr>
          <w:rFonts w:ascii="Trebuchet MS" w:hAnsi="Trebuchet MS" w:cs="Arial"/>
          <w:color w:val="5F5F5F"/>
          <w:sz w:val="20"/>
          <w:szCs w:val="20"/>
        </w:rPr>
        <w:t>età 0-14)</w:t>
      </w:r>
      <w:r w:rsidR="00E77827">
        <w:rPr>
          <w:rFonts w:ascii="Trebuchet MS" w:hAnsi="Trebuchet MS" w:cs="Arial"/>
          <w:color w:val="5F5F5F"/>
          <w:sz w:val="20"/>
          <w:szCs w:val="20"/>
        </w:rPr>
        <w:t>,</w:t>
      </w:r>
      <w:r w:rsidR="00BB34F8">
        <w:rPr>
          <w:rFonts w:ascii="Trebuchet MS" w:hAnsi="Trebuchet MS" w:cs="Arial"/>
          <w:color w:val="5F5F5F"/>
          <w:sz w:val="20"/>
          <w:szCs w:val="20"/>
        </w:rPr>
        <w:t xml:space="preserve"> da 170,9 del 2019 a 172,3</w:t>
      </w:r>
      <w:r w:rsidRPr="005565AB">
        <w:rPr>
          <w:rFonts w:ascii="Trebuchet MS" w:hAnsi="Trebuchet MS" w:cs="Arial"/>
          <w:color w:val="5F5F5F"/>
          <w:sz w:val="20"/>
          <w:szCs w:val="20"/>
        </w:rPr>
        <w:t xml:space="preserve"> del 2020 mentre </w:t>
      </w:r>
      <w:r w:rsidR="00215579" w:rsidRPr="005565AB">
        <w:rPr>
          <w:rFonts w:ascii="Trebuchet MS" w:hAnsi="Trebuchet MS" w:cs="Arial"/>
          <w:color w:val="5F5F5F"/>
          <w:sz w:val="20"/>
          <w:szCs w:val="20"/>
        </w:rPr>
        <w:t>resta</w:t>
      </w:r>
      <w:r w:rsidR="00BB34F8">
        <w:rPr>
          <w:rFonts w:ascii="Trebuchet MS" w:hAnsi="Trebuchet MS" w:cs="Arial"/>
          <w:color w:val="5F5F5F"/>
          <w:sz w:val="20"/>
          <w:szCs w:val="20"/>
        </w:rPr>
        <w:t xml:space="preserve"> invariato (35,9</w:t>
      </w:r>
      <w:r w:rsidRPr="005565AB">
        <w:rPr>
          <w:rFonts w:ascii="Trebuchet MS" w:hAnsi="Trebuchet MS" w:cs="Arial"/>
          <w:color w:val="5F5F5F"/>
          <w:sz w:val="20"/>
          <w:szCs w:val="20"/>
        </w:rPr>
        <w:t>) l’indice di dipendenza degli anziani (</w:t>
      </w:r>
      <w:r w:rsidR="00215579" w:rsidRPr="005565AB">
        <w:rPr>
          <w:rFonts w:ascii="Trebuchet MS" w:hAnsi="Trebuchet MS" w:cs="Arial"/>
          <w:color w:val="5F5F5F"/>
          <w:sz w:val="20"/>
          <w:szCs w:val="20"/>
        </w:rPr>
        <w:t>rapporto percentuale tra la</w:t>
      </w:r>
      <w:r w:rsidRPr="005565AB">
        <w:rPr>
          <w:rFonts w:ascii="Trebuchet MS" w:hAnsi="Trebuchet MS" w:cs="Arial"/>
          <w:color w:val="5F5F5F"/>
          <w:sz w:val="20"/>
          <w:szCs w:val="20"/>
        </w:rPr>
        <w:t xml:space="preserve"> popolazione </w:t>
      </w:r>
      <w:r w:rsidR="00215579" w:rsidRPr="005565AB">
        <w:rPr>
          <w:rFonts w:ascii="Trebuchet MS" w:hAnsi="Trebuchet MS" w:cs="Arial"/>
          <w:color w:val="5F5F5F"/>
          <w:sz w:val="20"/>
          <w:szCs w:val="20"/>
        </w:rPr>
        <w:t>di</w:t>
      </w:r>
      <w:r w:rsidRPr="005565AB">
        <w:rPr>
          <w:rFonts w:ascii="Trebuchet MS" w:hAnsi="Trebuchet MS" w:cs="Arial"/>
          <w:color w:val="5F5F5F"/>
          <w:sz w:val="20"/>
          <w:szCs w:val="20"/>
        </w:rPr>
        <w:t xml:space="preserve"> 65</w:t>
      </w:r>
      <w:r w:rsidR="00215579" w:rsidRPr="005565AB">
        <w:rPr>
          <w:rFonts w:ascii="Trebuchet MS" w:hAnsi="Trebuchet MS" w:cs="Arial"/>
          <w:color w:val="5F5F5F"/>
          <w:sz w:val="20"/>
          <w:szCs w:val="20"/>
        </w:rPr>
        <w:t xml:space="preserve"> anni</w:t>
      </w:r>
      <w:r w:rsidRPr="005565AB">
        <w:rPr>
          <w:rFonts w:ascii="Trebuchet MS" w:hAnsi="Trebuchet MS" w:cs="Arial"/>
          <w:color w:val="5F5F5F"/>
          <w:sz w:val="20"/>
          <w:szCs w:val="20"/>
        </w:rPr>
        <w:t xml:space="preserve"> e più </w:t>
      </w:r>
      <w:r w:rsidR="00215579" w:rsidRPr="005565AB">
        <w:rPr>
          <w:rFonts w:ascii="Trebuchet MS" w:hAnsi="Trebuchet MS" w:cs="Arial"/>
          <w:color w:val="5F5F5F"/>
          <w:sz w:val="20"/>
          <w:szCs w:val="20"/>
        </w:rPr>
        <w:t xml:space="preserve">e la </w:t>
      </w:r>
      <w:r w:rsidRPr="005565AB">
        <w:rPr>
          <w:rFonts w:ascii="Trebuchet MS" w:hAnsi="Trebuchet MS" w:cs="Arial"/>
          <w:color w:val="5F5F5F"/>
          <w:sz w:val="20"/>
          <w:szCs w:val="20"/>
        </w:rPr>
        <w:t>popo</w:t>
      </w:r>
      <w:r w:rsidR="00BB34F8">
        <w:rPr>
          <w:rFonts w:ascii="Trebuchet MS" w:hAnsi="Trebuchet MS" w:cs="Arial"/>
          <w:color w:val="5F5F5F"/>
          <w:sz w:val="20"/>
          <w:szCs w:val="20"/>
        </w:rPr>
        <w:t>lazione in età 15-64).</w:t>
      </w:r>
      <w:r w:rsidR="0096531D">
        <w:rPr>
          <w:rFonts w:ascii="Trebuchet MS" w:hAnsi="Trebuchet MS" w:cs="Arial"/>
          <w:color w:val="5F5F5F"/>
          <w:sz w:val="20"/>
          <w:szCs w:val="20"/>
        </w:rPr>
        <w:t xml:space="preserve"> S</w:t>
      </w:r>
      <w:r w:rsidR="008C5F0F" w:rsidRPr="002752FA">
        <w:rPr>
          <w:rFonts w:ascii="Trebuchet MS" w:hAnsi="Trebuchet MS" w:cs="Arial"/>
          <w:color w:val="5F5F5F"/>
          <w:sz w:val="20"/>
          <w:szCs w:val="20"/>
        </w:rPr>
        <w:t>ostanzialmente</w:t>
      </w:r>
      <w:r w:rsidR="008C5F0F">
        <w:rPr>
          <w:rFonts w:ascii="Trebuchet MS" w:hAnsi="Trebuchet MS" w:cs="Arial"/>
          <w:color w:val="5F5F5F"/>
          <w:sz w:val="20"/>
          <w:szCs w:val="20"/>
        </w:rPr>
        <w:t xml:space="preserve"> </w:t>
      </w:r>
      <w:r w:rsidR="0096531D">
        <w:rPr>
          <w:rFonts w:ascii="Trebuchet MS" w:hAnsi="Trebuchet MS" w:cs="Arial"/>
          <w:color w:val="5F5F5F"/>
          <w:sz w:val="20"/>
          <w:szCs w:val="20"/>
        </w:rPr>
        <w:t>stabile</w:t>
      </w:r>
      <w:r w:rsidR="00BB34F8">
        <w:rPr>
          <w:rFonts w:ascii="Trebuchet MS" w:hAnsi="Trebuchet MS" w:cs="Arial"/>
          <w:color w:val="5F5F5F"/>
          <w:sz w:val="20"/>
          <w:szCs w:val="20"/>
        </w:rPr>
        <w:t xml:space="preserve"> anche</w:t>
      </w:r>
      <w:r w:rsidRPr="005565AB">
        <w:rPr>
          <w:rFonts w:ascii="Trebuchet MS" w:hAnsi="Trebuchet MS" w:cs="Arial"/>
          <w:color w:val="5F5F5F"/>
          <w:sz w:val="20"/>
          <w:szCs w:val="20"/>
        </w:rPr>
        <w:t xml:space="preserve"> </w:t>
      </w:r>
      <w:r w:rsidR="0096531D">
        <w:rPr>
          <w:rFonts w:ascii="Trebuchet MS" w:hAnsi="Trebuchet MS" w:cs="Arial"/>
          <w:color w:val="5F5F5F"/>
          <w:sz w:val="20"/>
          <w:szCs w:val="20"/>
        </w:rPr>
        <w:t>l’indice di struttura della popolazione attiva (</w:t>
      </w:r>
      <w:r w:rsidRPr="005565AB">
        <w:rPr>
          <w:rFonts w:ascii="Trebuchet MS" w:hAnsi="Trebuchet MS" w:cs="Arial"/>
          <w:color w:val="5F5F5F"/>
          <w:sz w:val="20"/>
          <w:szCs w:val="20"/>
        </w:rPr>
        <w:t>rapporto tra la componente più anziana e quella più giovane della popolazione in età lavorativa</w:t>
      </w:r>
      <w:r w:rsidR="0096531D">
        <w:rPr>
          <w:rFonts w:ascii="Trebuchet MS" w:hAnsi="Trebuchet MS" w:cs="Arial"/>
          <w:color w:val="5F5F5F"/>
          <w:sz w:val="20"/>
          <w:szCs w:val="20"/>
        </w:rPr>
        <w:t>)</w:t>
      </w:r>
      <w:r>
        <w:rPr>
          <w:rFonts w:ascii="Trebuchet MS" w:hAnsi="Trebuchet MS" w:cs="Arial"/>
          <w:color w:val="5F5F5F"/>
          <w:sz w:val="20"/>
          <w:szCs w:val="20"/>
        </w:rPr>
        <w:t xml:space="preserve">: </w:t>
      </w:r>
      <w:r w:rsidRPr="003B71FA">
        <w:rPr>
          <w:rFonts w:ascii="Trebuchet MS" w:hAnsi="Trebuchet MS" w:cs="Arial"/>
          <w:color w:val="5F5F5F"/>
          <w:sz w:val="20"/>
          <w:szCs w:val="20"/>
        </w:rPr>
        <w:t>nel 20</w:t>
      </w:r>
      <w:r>
        <w:rPr>
          <w:rFonts w:ascii="Trebuchet MS" w:hAnsi="Trebuchet MS" w:cs="Arial"/>
          <w:color w:val="5F5F5F"/>
          <w:sz w:val="20"/>
          <w:szCs w:val="20"/>
        </w:rPr>
        <w:t>20 ci sono</w:t>
      </w:r>
      <w:r w:rsidRPr="003B71FA">
        <w:rPr>
          <w:rFonts w:ascii="Trebuchet MS" w:hAnsi="Trebuchet MS" w:cs="Arial"/>
          <w:color w:val="5F5F5F"/>
          <w:sz w:val="20"/>
          <w:szCs w:val="20"/>
        </w:rPr>
        <w:t xml:space="preserve"> </w:t>
      </w:r>
      <w:r w:rsidR="00BB34F8">
        <w:rPr>
          <w:rFonts w:ascii="Trebuchet MS" w:hAnsi="Trebuchet MS" w:cs="Arial"/>
          <w:color w:val="5F5F5F"/>
          <w:sz w:val="20"/>
          <w:szCs w:val="20"/>
        </w:rPr>
        <w:t>143,3</w:t>
      </w:r>
      <w:r>
        <w:rPr>
          <w:rFonts w:ascii="Trebuchet MS" w:hAnsi="Trebuchet MS" w:cs="Arial"/>
          <w:color w:val="5F5F5F"/>
          <w:sz w:val="20"/>
          <w:szCs w:val="20"/>
        </w:rPr>
        <w:t xml:space="preserve"> </w:t>
      </w:r>
      <w:r w:rsidRPr="003B71FA">
        <w:rPr>
          <w:rFonts w:ascii="Trebuchet MS" w:hAnsi="Trebuchet MS" w:cs="Arial"/>
          <w:color w:val="5F5F5F"/>
          <w:sz w:val="20"/>
          <w:szCs w:val="20"/>
        </w:rPr>
        <w:t xml:space="preserve">residenti nella classe di età 40-64 ogni 100 </w:t>
      </w:r>
      <w:r w:rsidR="00215579">
        <w:rPr>
          <w:rFonts w:ascii="Trebuchet MS" w:hAnsi="Trebuchet MS" w:cs="Arial"/>
          <w:color w:val="5F5F5F"/>
          <w:sz w:val="20"/>
          <w:szCs w:val="20"/>
        </w:rPr>
        <w:t>di</w:t>
      </w:r>
      <w:r w:rsidRPr="003B71FA">
        <w:rPr>
          <w:rFonts w:ascii="Trebuchet MS" w:hAnsi="Trebuchet MS" w:cs="Arial"/>
          <w:color w:val="5F5F5F"/>
          <w:sz w:val="20"/>
          <w:szCs w:val="20"/>
        </w:rPr>
        <w:t xml:space="preserve"> 15</w:t>
      </w:r>
      <w:r w:rsidR="00215579">
        <w:rPr>
          <w:rFonts w:ascii="Trebuchet MS" w:hAnsi="Trebuchet MS" w:cs="Arial"/>
          <w:color w:val="5F5F5F"/>
          <w:sz w:val="20"/>
          <w:szCs w:val="20"/>
        </w:rPr>
        <w:t>-</w:t>
      </w:r>
      <w:r w:rsidRPr="003B71FA">
        <w:rPr>
          <w:rFonts w:ascii="Trebuchet MS" w:hAnsi="Trebuchet MS" w:cs="Arial"/>
          <w:color w:val="5F5F5F"/>
          <w:sz w:val="20"/>
          <w:szCs w:val="20"/>
        </w:rPr>
        <w:t>39 anni.</w:t>
      </w:r>
      <w:r w:rsidR="00D26C74">
        <w:rPr>
          <w:rFonts w:ascii="Trebuchet MS" w:hAnsi="Trebuchet MS" w:cs="Arial"/>
          <w:color w:val="5F5F5F"/>
          <w:sz w:val="20"/>
          <w:szCs w:val="20"/>
        </w:rPr>
        <w:t xml:space="preserve"> </w:t>
      </w:r>
    </w:p>
    <w:p w14:paraId="099AD7F6" w14:textId="4DCCD9EE" w:rsidR="00635226" w:rsidRDefault="00703628" w:rsidP="00635226">
      <w:pPr>
        <w:spacing w:after="120"/>
        <w:jc w:val="both"/>
        <w:rPr>
          <w:rFonts w:ascii="Trebuchet MS" w:hAnsi="Trebuchet MS" w:cs="Arial"/>
          <w:color w:val="5F5F5F"/>
          <w:sz w:val="20"/>
          <w:szCs w:val="20"/>
        </w:rPr>
      </w:pPr>
      <w:r>
        <w:rPr>
          <w:rFonts w:ascii="Trebuchet MS" w:hAnsi="Trebuchet MS" w:cs="Arial"/>
          <w:color w:val="5F5F5F"/>
          <w:sz w:val="20"/>
          <w:szCs w:val="20"/>
        </w:rPr>
        <w:t>A livello provinciale</w:t>
      </w:r>
      <w:r w:rsidR="00215579">
        <w:rPr>
          <w:rFonts w:ascii="Trebuchet MS" w:hAnsi="Trebuchet MS" w:cs="Arial"/>
          <w:color w:val="5F5F5F"/>
          <w:sz w:val="20"/>
          <w:szCs w:val="20"/>
        </w:rPr>
        <w:t>,</w:t>
      </w:r>
      <w:r>
        <w:rPr>
          <w:rFonts w:ascii="Trebuchet MS" w:hAnsi="Trebuchet MS" w:cs="Arial"/>
          <w:color w:val="5F5F5F"/>
          <w:sz w:val="20"/>
          <w:szCs w:val="20"/>
        </w:rPr>
        <w:t xml:space="preserve"> </w:t>
      </w:r>
      <w:r w:rsidR="00372894">
        <w:rPr>
          <w:rFonts w:ascii="Trebuchet MS" w:hAnsi="Trebuchet MS" w:cs="Arial"/>
          <w:color w:val="5F5F5F"/>
          <w:sz w:val="20"/>
          <w:szCs w:val="20"/>
        </w:rPr>
        <w:t>Bergamo</w:t>
      </w:r>
      <w:r w:rsidR="009F7C9E">
        <w:rPr>
          <w:rFonts w:ascii="Trebuchet MS" w:hAnsi="Trebuchet MS" w:cs="Arial"/>
          <w:color w:val="5F5F5F"/>
          <w:sz w:val="20"/>
          <w:szCs w:val="20"/>
        </w:rPr>
        <w:t>,</w:t>
      </w:r>
      <w:r w:rsidR="0090088B">
        <w:rPr>
          <w:rFonts w:ascii="Trebuchet MS" w:hAnsi="Trebuchet MS" w:cs="Arial"/>
          <w:color w:val="5F5F5F"/>
          <w:sz w:val="20"/>
          <w:szCs w:val="20"/>
        </w:rPr>
        <w:t xml:space="preserve"> </w:t>
      </w:r>
      <w:r w:rsidR="00372894">
        <w:rPr>
          <w:rFonts w:ascii="Trebuchet MS" w:hAnsi="Trebuchet MS" w:cs="Arial"/>
          <w:color w:val="5F5F5F"/>
          <w:sz w:val="20"/>
          <w:szCs w:val="20"/>
        </w:rPr>
        <w:t>Brescia</w:t>
      </w:r>
      <w:r w:rsidR="009F7C9E">
        <w:rPr>
          <w:rFonts w:ascii="Trebuchet MS" w:hAnsi="Trebuchet MS" w:cs="Arial"/>
          <w:color w:val="5F5F5F"/>
          <w:sz w:val="20"/>
          <w:szCs w:val="20"/>
        </w:rPr>
        <w:t xml:space="preserve"> e Lodi</w:t>
      </w:r>
      <w:r w:rsidR="0090088B">
        <w:rPr>
          <w:rFonts w:ascii="Trebuchet MS" w:hAnsi="Trebuchet MS" w:cs="Arial"/>
          <w:color w:val="5F5F5F"/>
          <w:sz w:val="20"/>
          <w:szCs w:val="20"/>
        </w:rPr>
        <w:t xml:space="preserve"> presentano la struttura demografica più giovane, con un’e</w:t>
      </w:r>
      <w:r w:rsidR="00372894">
        <w:rPr>
          <w:rFonts w:ascii="Trebuchet MS" w:hAnsi="Trebuchet MS" w:cs="Arial"/>
          <w:color w:val="5F5F5F"/>
          <w:sz w:val="20"/>
          <w:szCs w:val="20"/>
        </w:rPr>
        <w:t>tà media rispettivamente di 44,1</w:t>
      </w:r>
      <w:r w:rsidR="009F7C9E">
        <w:rPr>
          <w:rFonts w:ascii="Trebuchet MS" w:hAnsi="Trebuchet MS" w:cs="Arial"/>
          <w:color w:val="5F5F5F"/>
          <w:sz w:val="20"/>
          <w:szCs w:val="20"/>
        </w:rPr>
        <w:t>,</w:t>
      </w:r>
      <w:r w:rsidR="00372894">
        <w:rPr>
          <w:rFonts w:ascii="Trebuchet MS" w:hAnsi="Trebuchet MS" w:cs="Arial"/>
          <w:color w:val="5F5F5F"/>
          <w:sz w:val="20"/>
          <w:szCs w:val="20"/>
        </w:rPr>
        <w:t xml:space="preserve"> 44</w:t>
      </w:r>
      <w:r w:rsidR="0090088B">
        <w:rPr>
          <w:rFonts w:ascii="Trebuchet MS" w:hAnsi="Trebuchet MS" w:cs="Arial"/>
          <w:color w:val="5F5F5F"/>
          <w:sz w:val="20"/>
          <w:szCs w:val="20"/>
        </w:rPr>
        <w:t>,</w:t>
      </w:r>
      <w:r w:rsidR="00372894">
        <w:rPr>
          <w:rFonts w:ascii="Trebuchet MS" w:hAnsi="Trebuchet MS" w:cs="Arial"/>
          <w:color w:val="5F5F5F"/>
          <w:sz w:val="20"/>
          <w:szCs w:val="20"/>
        </w:rPr>
        <w:t>5</w:t>
      </w:r>
      <w:r w:rsidR="0090088B">
        <w:rPr>
          <w:rFonts w:ascii="Trebuchet MS" w:hAnsi="Trebuchet MS" w:cs="Arial"/>
          <w:color w:val="5F5F5F"/>
          <w:sz w:val="20"/>
          <w:szCs w:val="20"/>
        </w:rPr>
        <w:t xml:space="preserve"> anni</w:t>
      </w:r>
      <w:r>
        <w:rPr>
          <w:rFonts w:ascii="Trebuchet MS" w:hAnsi="Trebuchet MS" w:cs="Arial"/>
          <w:color w:val="5F5F5F"/>
          <w:sz w:val="20"/>
          <w:szCs w:val="20"/>
        </w:rPr>
        <w:t xml:space="preserve"> </w:t>
      </w:r>
      <w:r w:rsidR="009F7C9E">
        <w:rPr>
          <w:rFonts w:ascii="Trebuchet MS" w:hAnsi="Trebuchet MS" w:cs="Arial"/>
          <w:color w:val="5F5F5F"/>
          <w:sz w:val="20"/>
          <w:szCs w:val="20"/>
        </w:rPr>
        <w:t xml:space="preserve">e 44,6 </w:t>
      </w:r>
      <w:r>
        <w:rPr>
          <w:rFonts w:ascii="Trebuchet MS" w:hAnsi="Trebuchet MS" w:cs="Arial"/>
          <w:color w:val="5F5F5F"/>
          <w:sz w:val="20"/>
          <w:szCs w:val="20"/>
        </w:rPr>
        <w:t xml:space="preserve">e </w:t>
      </w:r>
      <w:r w:rsidR="000C6C65">
        <w:rPr>
          <w:rFonts w:ascii="Trebuchet MS" w:hAnsi="Trebuchet MS" w:cs="Arial"/>
          <w:color w:val="5F5F5F"/>
          <w:sz w:val="20"/>
          <w:szCs w:val="20"/>
        </w:rPr>
        <w:t>l</w:t>
      </w:r>
      <w:r w:rsidR="00810EBA">
        <w:rPr>
          <w:rFonts w:ascii="Trebuchet MS" w:hAnsi="Trebuchet MS" w:cs="Arial"/>
          <w:color w:val="5F5F5F"/>
          <w:sz w:val="20"/>
          <w:szCs w:val="20"/>
        </w:rPr>
        <w:t>’</w:t>
      </w:r>
      <w:r w:rsidR="0090088B">
        <w:rPr>
          <w:rFonts w:ascii="Trebuchet MS" w:hAnsi="Trebuchet MS" w:cs="Arial"/>
          <w:color w:val="5F5F5F"/>
          <w:sz w:val="20"/>
          <w:szCs w:val="20"/>
        </w:rPr>
        <w:t>indice di vec</w:t>
      </w:r>
      <w:r w:rsidR="00372894">
        <w:rPr>
          <w:rFonts w:ascii="Trebuchet MS" w:hAnsi="Trebuchet MS" w:cs="Arial"/>
          <w:color w:val="5F5F5F"/>
          <w:sz w:val="20"/>
          <w:szCs w:val="20"/>
        </w:rPr>
        <w:t xml:space="preserve">chiaia inferiore </w:t>
      </w:r>
      <w:r w:rsidR="009F7C9E">
        <w:rPr>
          <w:rFonts w:ascii="Trebuchet MS" w:hAnsi="Trebuchet MS" w:cs="Arial"/>
          <w:color w:val="5F5F5F"/>
          <w:sz w:val="20"/>
          <w:szCs w:val="20"/>
        </w:rPr>
        <w:t xml:space="preserve">o uguale </w:t>
      </w:r>
      <w:r w:rsidR="00372894">
        <w:rPr>
          <w:rFonts w:ascii="Trebuchet MS" w:hAnsi="Trebuchet MS" w:cs="Arial"/>
          <w:color w:val="5F5F5F"/>
          <w:sz w:val="20"/>
          <w:szCs w:val="20"/>
        </w:rPr>
        <w:t>a 160 (153,3</w:t>
      </w:r>
      <w:r w:rsidR="0090088B">
        <w:rPr>
          <w:rFonts w:ascii="Trebuchet MS" w:hAnsi="Trebuchet MS" w:cs="Arial"/>
          <w:color w:val="5F5F5F"/>
          <w:sz w:val="20"/>
          <w:szCs w:val="20"/>
        </w:rPr>
        <w:t xml:space="preserve"> a </w:t>
      </w:r>
      <w:r w:rsidR="00372894">
        <w:rPr>
          <w:rFonts w:ascii="Trebuchet MS" w:hAnsi="Trebuchet MS" w:cs="Arial"/>
          <w:color w:val="5F5F5F"/>
          <w:sz w:val="20"/>
          <w:szCs w:val="20"/>
        </w:rPr>
        <w:t>Bergamo</w:t>
      </w:r>
      <w:r w:rsidR="009F7C9E">
        <w:rPr>
          <w:rFonts w:ascii="Trebuchet MS" w:hAnsi="Trebuchet MS" w:cs="Arial"/>
          <w:color w:val="5F5F5F"/>
          <w:sz w:val="20"/>
          <w:szCs w:val="20"/>
        </w:rPr>
        <w:t>,</w:t>
      </w:r>
      <w:r w:rsidR="00372894">
        <w:rPr>
          <w:rFonts w:ascii="Trebuchet MS" w:hAnsi="Trebuchet MS" w:cs="Arial"/>
          <w:color w:val="5F5F5F"/>
          <w:sz w:val="20"/>
          <w:szCs w:val="20"/>
        </w:rPr>
        <w:t xml:space="preserve"> 159,3</w:t>
      </w:r>
      <w:r w:rsidR="0090088B">
        <w:rPr>
          <w:rFonts w:ascii="Trebuchet MS" w:hAnsi="Trebuchet MS" w:cs="Arial"/>
          <w:color w:val="5F5F5F"/>
          <w:sz w:val="20"/>
          <w:szCs w:val="20"/>
        </w:rPr>
        <w:t xml:space="preserve"> a </w:t>
      </w:r>
      <w:r w:rsidR="00372894">
        <w:rPr>
          <w:rFonts w:ascii="Trebuchet MS" w:hAnsi="Trebuchet MS" w:cs="Arial"/>
          <w:color w:val="5F5F5F"/>
          <w:sz w:val="20"/>
          <w:szCs w:val="20"/>
        </w:rPr>
        <w:t>Brescia</w:t>
      </w:r>
      <w:r w:rsidR="0040401A">
        <w:rPr>
          <w:rFonts w:ascii="Trebuchet MS" w:hAnsi="Trebuchet MS" w:cs="Arial"/>
          <w:color w:val="5F5F5F"/>
          <w:sz w:val="20"/>
          <w:szCs w:val="20"/>
        </w:rPr>
        <w:t xml:space="preserve"> e 160</w:t>
      </w:r>
      <w:r w:rsidR="009F7C9E">
        <w:rPr>
          <w:rFonts w:ascii="Trebuchet MS" w:hAnsi="Trebuchet MS" w:cs="Arial"/>
          <w:color w:val="5F5F5F"/>
          <w:sz w:val="20"/>
          <w:szCs w:val="20"/>
        </w:rPr>
        <w:t>,0 a Lodi</w:t>
      </w:r>
      <w:r w:rsidR="0090088B">
        <w:rPr>
          <w:rFonts w:ascii="Trebuchet MS" w:hAnsi="Trebuchet MS" w:cs="Arial"/>
          <w:color w:val="5F5F5F"/>
          <w:sz w:val="20"/>
          <w:szCs w:val="20"/>
        </w:rPr>
        <w:t>)</w:t>
      </w:r>
      <w:r w:rsidR="009F7C9E">
        <w:rPr>
          <w:rFonts w:ascii="Trebuchet MS" w:hAnsi="Trebuchet MS" w:cs="Arial"/>
          <w:color w:val="5F5F5F"/>
          <w:sz w:val="20"/>
          <w:szCs w:val="20"/>
        </w:rPr>
        <w:t>. Le tre</w:t>
      </w:r>
      <w:r>
        <w:rPr>
          <w:rFonts w:ascii="Trebuchet MS" w:hAnsi="Trebuchet MS" w:cs="Arial"/>
          <w:color w:val="5F5F5F"/>
          <w:sz w:val="20"/>
          <w:szCs w:val="20"/>
        </w:rPr>
        <w:t xml:space="preserve"> province registrano inoltre un </w:t>
      </w:r>
      <w:r w:rsidR="0042636F">
        <w:rPr>
          <w:rFonts w:ascii="Trebuchet MS" w:hAnsi="Trebuchet MS" w:cs="Arial"/>
          <w:color w:val="5F5F5F"/>
          <w:sz w:val="20"/>
          <w:szCs w:val="20"/>
        </w:rPr>
        <w:t>indice di d</w:t>
      </w:r>
      <w:r w:rsidR="009F7C9E">
        <w:rPr>
          <w:rFonts w:ascii="Trebuchet MS" w:hAnsi="Trebuchet MS" w:cs="Arial"/>
          <w:color w:val="5F5F5F"/>
          <w:sz w:val="20"/>
          <w:szCs w:val="20"/>
        </w:rPr>
        <w:t>ipendenza degli anziani inferiore alla media regionale: 33,2 a Bergamo, 34,1 a Brescia e 33,9 a Lodi. L’indic</w:t>
      </w:r>
      <w:r w:rsidR="0042636F">
        <w:rPr>
          <w:rFonts w:ascii="Trebuchet MS" w:hAnsi="Trebuchet MS" w:cs="Arial"/>
          <w:color w:val="5F5F5F"/>
          <w:sz w:val="20"/>
          <w:szCs w:val="20"/>
        </w:rPr>
        <w:t>e di strutt</w:t>
      </w:r>
      <w:r w:rsidR="00BF45E2">
        <w:rPr>
          <w:rFonts w:ascii="Trebuchet MS" w:hAnsi="Trebuchet MS" w:cs="Arial"/>
          <w:color w:val="5F5F5F"/>
          <w:sz w:val="20"/>
          <w:szCs w:val="20"/>
        </w:rPr>
        <w:t>u</w:t>
      </w:r>
      <w:r w:rsidR="0042636F">
        <w:rPr>
          <w:rFonts w:ascii="Trebuchet MS" w:hAnsi="Trebuchet MS" w:cs="Arial"/>
          <w:color w:val="5F5F5F"/>
          <w:sz w:val="20"/>
          <w:szCs w:val="20"/>
        </w:rPr>
        <w:t xml:space="preserve">ra della popolazione attiva </w:t>
      </w:r>
      <w:r w:rsidR="009F7C9E">
        <w:rPr>
          <w:rFonts w:ascii="Trebuchet MS" w:hAnsi="Trebuchet MS" w:cs="Arial"/>
          <w:color w:val="5F5F5F"/>
          <w:sz w:val="20"/>
          <w:szCs w:val="20"/>
        </w:rPr>
        <w:t>più contenuto si osserva invece nella provincia di Milano: 137,</w:t>
      </w:r>
      <w:r w:rsidR="0006176B">
        <w:rPr>
          <w:rFonts w:ascii="Trebuchet MS" w:hAnsi="Trebuchet MS" w:cs="Arial"/>
          <w:color w:val="5F5F5F"/>
          <w:sz w:val="20"/>
          <w:szCs w:val="20"/>
        </w:rPr>
        <w:t>3</w:t>
      </w:r>
      <w:r w:rsidR="009F7C9E">
        <w:rPr>
          <w:rFonts w:ascii="Trebuchet MS" w:hAnsi="Trebuchet MS" w:cs="Arial"/>
          <w:color w:val="5F5F5F"/>
          <w:sz w:val="20"/>
          <w:szCs w:val="20"/>
        </w:rPr>
        <w:t xml:space="preserve"> contro la media regionale di 143,3.</w:t>
      </w:r>
    </w:p>
    <w:p w14:paraId="09A7EEBD" w14:textId="4AD0175D" w:rsidR="0042636F" w:rsidRDefault="009F7C9E" w:rsidP="00635226">
      <w:pPr>
        <w:spacing w:after="120"/>
        <w:jc w:val="both"/>
        <w:rPr>
          <w:rFonts w:ascii="Trebuchet MS" w:hAnsi="Trebuchet MS" w:cs="Arial"/>
          <w:color w:val="5F5F5F"/>
          <w:sz w:val="20"/>
          <w:szCs w:val="20"/>
        </w:rPr>
      </w:pPr>
      <w:r>
        <w:rPr>
          <w:rFonts w:ascii="Trebuchet MS" w:hAnsi="Trebuchet MS" w:cs="Arial"/>
          <w:color w:val="5F5F5F"/>
          <w:sz w:val="20"/>
          <w:szCs w:val="20"/>
        </w:rPr>
        <w:t>All’opposto, la provincia</w:t>
      </w:r>
      <w:r w:rsidR="0042636F">
        <w:rPr>
          <w:rFonts w:ascii="Trebuchet MS" w:hAnsi="Trebuchet MS" w:cs="Arial"/>
          <w:color w:val="5F5F5F"/>
          <w:sz w:val="20"/>
          <w:szCs w:val="20"/>
        </w:rPr>
        <w:t xml:space="preserve"> di </w:t>
      </w:r>
      <w:r>
        <w:rPr>
          <w:rFonts w:ascii="Trebuchet MS" w:hAnsi="Trebuchet MS" w:cs="Arial"/>
          <w:color w:val="5F5F5F"/>
          <w:sz w:val="20"/>
          <w:szCs w:val="20"/>
        </w:rPr>
        <w:t>Pavia</w:t>
      </w:r>
      <w:r w:rsidR="0042636F">
        <w:rPr>
          <w:rFonts w:ascii="Trebuchet MS" w:hAnsi="Trebuchet MS" w:cs="Arial"/>
          <w:color w:val="5F5F5F"/>
          <w:sz w:val="20"/>
          <w:szCs w:val="20"/>
        </w:rPr>
        <w:t xml:space="preserve"> ha</w:t>
      </w:r>
      <w:r>
        <w:rPr>
          <w:rFonts w:ascii="Trebuchet MS" w:hAnsi="Trebuchet MS" w:cs="Arial"/>
          <w:color w:val="5F5F5F"/>
          <w:sz w:val="20"/>
          <w:szCs w:val="20"/>
        </w:rPr>
        <w:t xml:space="preserve"> una struttura demografica più invecchiata</w:t>
      </w:r>
      <w:r w:rsidR="0042636F">
        <w:rPr>
          <w:rFonts w:ascii="Trebuchet MS" w:hAnsi="Trebuchet MS" w:cs="Arial"/>
          <w:color w:val="5F5F5F"/>
          <w:sz w:val="20"/>
          <w:szCs w:val="20"/>
        </w:rPr>
        <w:t xml:space="preserve">, </w:t>
      </w:r>
      <w:r w:rsidR="00122827">
        <w:rPr>
          <w:rFonts w:ascii="Trebuchet MS" w:hAnsi="Trebuchet MS" w:cs="Arial"/>
          <w:color w:val="5F5F5F"/>
          <w:sz w:val="20"/>
          <w:szCs w:val="20"/>
        </w:rPr>
        <w:t>in cui l’</w:t>
      </w:r>
      <w:r w:rsidR="0042636F">
        <w:rPr>
          <w:rFonts w:ascii="Trebuchet MS" w:hAnsi="Trebuchet MS" w:cs="Arial"/>
          <w:color w:val="5F5F5F"/>
          <w:sz w:val="20"/>
          <w:szCs w:val="20"/>
        </w:rPr>
        <w:t xml:space="preserve">età media </w:t>
      </w:r>
      <w:r>
        <w:rPr>
          <w:rFonts w:ascii="Trebuchet MS" w:hAnsi="Trebuchet MS" w:cs="Arial"/>
          <w:color w:val="5F5F5F"/>
          <w:sz w:val="20"/>
          <w:szCs w:val="20"/>
        </w:rPr>
        <w:t>è pari a 46,6 anni</w:t>
      </w:r>
      <w:r w:rsidR="0042636F">
        <w:rPr>
          <w:rFonts w:ascii="Trebuchet MS" w:hAnsi="Trebuchet MS" w:cs="Arial"/>
          <w:color w:val="5F5F5F"/>
          <w:sz w:val="20"/>
          <w:szCs w:val="20"/>
        </w:rPr>
        <w:t xml:space="preserve"> e </w:t>
      </w:r>
      <w:r>
        <w:rPr>
          <w:rFonts w:ascii="Trebuchet MS" w:hAnsi="Trebuchet MS" w:cs="Arial"/>
          <w:color w:val="5F5F5F"/>
          <w:sz w:val="20"/>
          <w:szCs w:val="20"/>
        </w:rPr>
        <w:t>ci sono più di 200</w:t>
      </w:r>
      <w:r w:rsidR="00122827">
        <w:rPr>
          <w:rFonts w:ascii="Trebuchet MS" w:hAnsi="Trebuchet MS" w:cs="Arial"/>
          <w:color w:val="5F5F5F"/>
          <w:sz w:val="20"/>
          <w:szCs w:val="20"/>
        </w:rPr>
        <w:t xml:space="preserve"> persone con età superiore a 65 anni ogni 100 ragazzi tra 0 e 14 anni (indice di vecchiaia)</w:t>
      </w:r>
      <w:r w:rsidR="00A833D0">
        <w:rPr>
          <w:rFonts w:ascii="Trebuchet MS" w:hAnsi="Trebuchet MS" w:cs="Arial"/>
          <w:color w:val="5F5F5F"/>
          <w:sz w:val="20"/>
          <w:szCs w:val="20"/>
        </w:rPr>
        <w:t>.</w:t>
      </w:r>
      <w:r w:rsidR="0042636F">
        <w:rPr>
          <w:rFonts w:ascii="Trebuchet MS" w:hAnsi="Trebuchet MS" w:cs="Arial"/>
          <w:color w:val="5F5F5F"/>
          <w:sz w:val="20"/>
          <w:szCs w:val="20"/>
        </w:rPr>
        <w:t xml:space="preserve"> </w:t>
      </w:r>
      <w:r w:rsidR="00215579">
        <w:rPr>
          <w:rFonts w:ascii="Trebuchet MS" w:hAnsi="Trebuchet MS" w:cs="Arial"/>
          <w:color w:val="5F5F5F"/>
          <w:sz w:val="20"/>
          <w:szCs w:val="20"/>
        </w:rPr>
        <w:t>Il</w:t>
      </w:r>
      <w:r w:rsidR="0042636F">
        <w:rPr>
          <w:rFonts w:ascii="Trebuchet MS" w:hAnsi="Trebuchet MS" w:cs="Arial"/>
          <w:color w:val="5F5F5F"/>
          <w:sz w:val="20"/>
          <w:szCs w:val="20"/>
        </w:rPr>
        <w:t xml:space="preserve"> processo di invecchiamento </w:t>
      </w:r>
      <w:r w:rsidR="00215579">
        <w:rPr>
          <w:rFonts w:ascii="Trebuchet MS" w:hAnsi="Trebuchet MS" w:cs="Arial"/>
          <w:color w:val="5F5F5F"/>
          <w:sz w:val="20"/>
          <w:szCs w:val="20"/>
        </w:rPr>
        <w:t xml:space="preserve">coinvolge </w:t>
      </w:r>
      <w:r w:rsidR="00C51BFB">
        <w:rPr>
          <w:rFonts w:ascii="Trebuchet MS" w:hAnsi="Trebuchet MS" w:cs="Arial"/>
          <w:color w:val="5F5F5F"/>
          <w:sz w:val="20"/>
          <w:szCs w:val="20"/>
        </w:rPr>
        <w:t xml:space="preserve">in modo marcato </w:t>
      </w:r>
      <w:r w:rsidR="0042636F">
        <w:rPr>
          <w:rFonts w:ascii="Trebuchet MS" w:hAnsi="Trebuchet MS" w:cs="Arial"/>
          <w:color w:val="5F5F5F"/>
          <w:sz w:val="20"/>
          <w:szCs w:val="20"/>
        </w:rPr>
        <w:t xml:space="preserve">anche la popolazione residente nella provincia di </w:t>
      </w:r>
      <w:r w:rsidR="00C51BFB">
        <w:rPr>
          <w:rFonts w:ascii="Trebuchet MS" w:hAnsi="Trebuchet MS" w:cs="Arial"/>
          <w:color w:val="5F5F5F"/>
          <w:sz w:val="20"/>
          <w:szCs w:val="20"/>
        </w:rPr>
        <w:t>Cremona</w:t>
      </w:r>
      <w:r w:rsidR="0042636F">
        <w:rPr>
          <w:rFonts w:ascii="Trebuchet MS" w:hAnsi="Trebuchet MS" w:cs="Arial"/>
          <w:color w:val="5F5F5F"/>
          <w:sz w:val="20"/>
          <w:szCs w:val="20"/>
        </w:rPr>
        <w:t xml:space="preserve">, dove </w:t>
      </w:r>
      <w:r w:rsidR="00BF45E2">
        <w:rPr>
          <w:rFonts w:ascii="Trebuchet MS" w:hAnsi="Trebuchet MS" w:cs="Arial"/>
          <w:color w:val="5F5F5F"/>
          <w:sz w:val="20"/>
          <w:szCs w:val="20"/>
        </w:rPr>
        <w:t>l’indice di dipe</w:t>
      </w:r>
      <w:r w:rsidR="00122827">
        <w:rPr>
          <w:rFonts w:ascii="Trebuchet MS" w:hAnsi="Trebuchet MS" w:cs="Arial"/>
          <w:color w:val="5F5F5F"/>
          <w:sz w:val="20"/>
          <w:szCs w:val="20"/>
        </w:rPr>
        <w:t>n</w:t>
      </w:r>
      <w:r w:rsidR="00BF45E2">
        <w:rPr>
          <w:rFonts w:ascii="Trebuchet MS" w:hAnsi="Trebuchet MS" w:cs="Arial"/>
          <w:color w:val="5F5F5F"/>
          <w:sz w:val="20"/>
          <w:szCs w:val="20"/>
        </w:rPr>
        <w:t>denza degli anziani risulta particolarmente elevato</w:t>
      </w:r>
      <w:r w:rsidR="00C51BFB">
        <w:rPr>
          <w:rFonts w:ascii="Trebuchet MS" w:hAnsi="Trebuchet MS" w:cs="Arial"/>
          <w:color w:val="5F5F5F"/>
          <w:sz w:val="20"/>
          <w:szCs w:val="20"/>
        </w:rPr>
        <w:t xml:space="preserve"> (39,1</w:t>
      </w:r>
      <w:r w:rsidR="0042636F">
        <w:rPr>
          <w:rFonts w:ascii="Trebuchet MS" w:hAnsi="Trebuchet MS" w:cs="Arial"/>
          <w:color w:val="5F5F5F"/>
          <w:sz w:val="20"/>
          <w:szCs w:val="20"/>
        </w:rPr>
        <w:t xml:space="preserve"> c</w:t>
      </w:r>
      <w:r w:rsidR="00C51BFB">
        <w:rPr>
          <w:rFonts w:ascii="Trebuchet MS" w:hAnsi="Trebuchet MS" w:cs="Arial"/>
          <w:color w:val="5F5F5F"/>
          <w:sz w:val="20"/>
          <w:szCs w:val="20"/>
        </w:rPr>
        <w:t>ontro la media regionale di 35,9</w:t>
      </w:r>
      <w:r w:rsidR="0042636F">
        <w:rPr>
          <w:rFonts w:ascii="Trebuchet MS" w:hAnsi="Trebuchet MS" w:cs="Arial"/>
          <w:color w:val="5F5F5F"/>
          <w:sz w:val="20"/>
          <w:szCs w:val="20"/>
        </w:rPr>
        <w:t xml:space="preserve">). </w:t>
      </w:r>
    </w:p>
    <w:p w14:paraId="2C1D1F28" w14:textId="7441093C" w:rsidR="00D31139" w:rsidRDefault="00D31139" w:rsidP="00635226">
      <w:pPr>
        <w:spacing w:after="120"/>
        <w:jc w:val="both"/>
        <w:rPr>
          <w:rFonts w:ascii="Trebuchet MS" w:hAnsi="Trebuchet MS" w:cs="Arial"/>
          <w:color w:val="5F5F5F"/>
          <w:sz w:val="20"/>
          <w:szCs w:val="20"/>
        </w:rPr>
      </w:pPr>
    </w:p>
    <w:p w14:paraId="7E0C3C7A" w14:textId="367913ED" w:rsidR="00D31139" w:rsidRDefault="00D31139" w:rsidP="00635226">
      <w:pPr>
        <w:spacing w:after="120"/>
        <w:jc w:val="both"/>
        <w:rPr>
          <w:rFonts w:ascii="Trebuchet MS" w:hAnsi="Trebuchet MS" w:cs="Arial"/>
          <w:color w:val="5F5F5F"/>
          <w:sz w:val="20"/>
          <w:szCs w:val="20"/>
        </w:rPr>
      </w:pPr>
    </w:p>
    <w:p w14:paraId="5DFE2B76" w14:textId="7AD628D4" w:rsidR="00D31139" w:rsidRDefault="00D31139" w:rsidP="00635226">
      <w:pPr>
        <w:spacing w:after="120"/>
        <w:jc w:val="both"/>
        <w:rPr>
          <w:rFonts w:ascii="Trebuchet MS" w:hAnsi="Trebuchet MS" w:cs="Arial"/>
          <w:color w:val="5F5F5F"/>
          <w:sz w:val="20"/>
          <w:szCs w:val="20"/>
        </w:rPr>
      </w:pPr>
    </w:p>
    <w:p w14:paraId="04E93A7D" w14:textId="02758F6D" w:rsidR="00D31139" w:rsidRDefault="00D31139" w:rsidP="00635226">
      <w:pPr>
        <w:spacing w:after="120"/>
        <w:jc w:val="both"/>
        <w:rPr>
          <w:rFonts w:ascii="Trebuchet MS" w:hAnsi="Trebuchet MS" w:cs="Arial"/>
          <w:color w:val="5F5F5F"/>
          <w:sz w:val="20"/>
          <w:szCs w:val="20"/>
        </w:rPr>
      </w:pPr>
    </w:p>
    <w:p w14:paraId="730BFD0B" w14:textId="2DF794E6" w:rsidR="00D31139" w:rsidRDefault="00D31139" w:rsidP="00635226">
      <w:pPr>
        <w:spacing w:after="120"/>
        <w:jc w:val="both"/>
        <w:rPr>
          <w:rFonts w:ascii="Trebuchet MS" w:hAnsi="Trebuchet MS" w:cs="Arial"/>
          <w:color w:val="5F5F5F"/>
          <w:sz w:val="20"/>
          <w:szCs w:val="20"/>
        </w:rPr>
      </w:pPr>
    </w:p>
    <w:p w14:paraId="0E17F660" w14:textId="48538AE7" w:rsidR="00D31139" w:rsidRDefault="00D31139" w:rsidP="00635226">
      <w:pPr>
        <w:spacing w:after="120"/>
        <w:jc w:val="both"/>
        <w:rPr>
          <w:rFonts w:ascii="Trebuchet MS" w:hAnsi="Trebuchet MS" w:cs="Arial"/>
          <w:color w:val="5F5F5F"/>
          <w:sz w:val="20"/>
          <w:szCs w:val="20"/>
        </w:rPr>
      </w:pPr>
    </w:p>
    <w:p w14:paraId="5C277E02" w14:textId="2C0F4088" w:rsidR="005C39B1" w:rsidRPr="001A589C" w:rsidRDefault="004902BB" w:rsidP="00E072ED">
      <w:pPr>
        <w:spacing w:before="240" w:after="60"/>
        <w:jc w:val="both"/>
        <w:rPr>
          <w:rFonts w:ascii="Arial Narrow" w:hAnsi="Arial Narrow"/>
          <w:color w:val="595959" w:themeColor="text1" w:themeTint="A6"/>
          <w:sz w:val="20"/>
          <w:szCs w:val="20"/>
        </w:rPr>
      </w:pPr>
      <w:r w:rsidRPr="001A589C">
        <w:rPr>
          <w:rFonts w:ascii="Arial Narrow" w:hAnsi="Arial Narrow"/>
          <w:b/>
          <w:color w:val="595959" w:themeColor="text1" w:themeTint="A6"/>
          <w:sz w:val="22"/>
          <w:szCs w:val="22"/>
        </w:rPr>
        <w:lastRenderedPageBreak/>
        <w:t xml:space="preserve">PROSPETTO </w:t>
      </w:r>
      <w:r w:rsidR="000E7CDD" w:rsidRPr="001A589C">
        <w:rPr>
          <w:rFonts w:ascii="Arial Narrow" w:hAnsi="Arial Narrow"/>
          <w:b/>
          <w:color w:val="595959" w:themeColor="text1" w:themeTint="A6"/>
          <w:sz w:val="22"/>
          <w:szCs w:val="22"/>
        </w:rPr>
        <w:t>5</w:t>
      </w:r>
      <w:r w:rsidRPr="001A589C">
        <w:rPr>
          <w:rFonts w:ascii="Arial Narrow" w:hAnsi="Arial Narrow"/>
          <w:color w:val="595959" w:themeColor="text1" w:themeTint="A6"/>
          <w:sz w:val="22"/>
          <w:szCs w:val="22"/>
        </w:rPr>
        <w:t>. INDICATORI DI STRUTTURA DELLA POPOLAZIONE PER PROVINCIA</w:t>
      </w:r>
      <w:r w:rsidRPr="001A589C">
        <w:rPr>
          <w:rFonts w:ascii="Arial Narrow" w:hAnsi="Arial Narrow"/>
          <w:color w:val="595959" w:themeColor="text1" w:themeTint="A6"/>
          <w:sz w:val="20"/>
          <w:szCs w:val="20"/>
        </w:rPr>
        <w:t>. Censimento 2020</w:t>
      </w:r>
    </w:p>
    <w:tbl>
      <w:tblPr>
        <w:tblW w:w="9640" w:type="dxa"/>
        <w:tblCellMar>
          <w:left w:w="70" w:type="dxa"/>
          <w:right w:w="70" w:type="dxa"/>
        </w:tblCellMar>
        <w:tblLook w:val="04A0" w:firstRow="1" w:lastRow="0" w:firstColumn="1" w:lastColumn="0" w:noHBand="0" w:noVBand="1"/>
      </w:tblPr>
      <w:tblGrid>
        <w:gridCol w:w="1876"/>
        <w:gridCol w:w="1178"/>
        <w:gridCol w:w="918"/>
        <w:gridCol w:w="1118"/>
        <w:gridCol w:w="1238"/>
        <w:gridCol w:w="1497"/>
        <w:gridCol w:w="1815"/>
      </w:tblGrid>
      <w:tr w:rsidR="007B5408" w14:paraId="2DEE8E0B" w14:textId="77777777" w:rsidTr="007B5408">
        <w:trPr>
          <w:trHeight w:val="540"/>
        </w:trPr>
        <w:tc>
          <w:tcPr>
            <w:tcW w:w="1876" w:type="dxa"/>
            <w:tcBorders>
              <w:top w:val="single" w:sz="4" w:space="0" w:color="262626"/>
              <w:left w:val="nil"/>
              <w:bottom w:val="single" w:sz="4" w:space="0" w:color="262626"/>
              <w:right w:val="nil"/>
            </w:tcBorders>
            <w:shd w:val="clear" w:color="auto" w:fill="auto"/>
            <w:noWrap/>
            <w:vAlign w:val="center"/>
            <w:hideMark/>
          </w:tcPr>
          <w:p w14:paraId="044D1C90" w14:textId="77777777" w:rsidR="007B5408" w:rsidRDefault="007B5408">
            <w:pPr>
              <w:rPr>
                <w:rFonts w:ascii="Calibri" w:hAnsi="Calibri" w:cs="Calibri"/>
                <w:b/>
                <w:bCs/>
                <w:color w:val="000000"/>
                <w:sz w:val="22"/>
                <w:szCs w:val="22"/>
              </w:rPr>
            </w:pPr>
            <w:r>
              <w:rPr>
                <w:rFonts w:ascii="Calibri" w:hAnsi="Calibri" w:cs="Calibri"/>
                <w:b/>
                <w:bCs/>
                <w:color w:val="000000"/>
                <w:sz w:val="22"/>
                <w:szCs w:val="22"/>
              </w:rPr>
              <w:t>PROVINCE</w:t>
            </w:r>
          </w:p>
        </w:tc>
        <w:tc>
          <w:tcPr>
            <w:tcW w:w="1178" w:type="dxa"/>
            <w:tcBorders>
              <w:top w:val="single" w:sz="4" w:space="0" w:color="262626"/>
              <w:left w:val="nil"/>
              <w:bottom w:val="single" w:sz="4" w:space="0" w:color="262626"/>
              <w:right w:val="nil"/>
            </w:tcBorders>
            <w:shd w:val="clear" w:color="auto" w:fill="auto"/>
            <w:vAlign w:val="center"/>
            <w:hideMark/>
          </w:tcPr>
          <w:p w14:paraId="1D4D5FEF" w14:textId="77777777" w:rsidR="007B5408" w:rsidRDefault="007B5408">
            <w:pPr>
              <w:jc w:val="right"/>
              <w:rPr>
                <w:rFonts w:ascii="Arial Narrow" w:hAnsi="Arial Narrow" w:cs="Calibri"/>
                <w:b/>
                <w:bCs/>
                <w:color w:val="000000"/>
                <w:sz w:val="18"/>
                <w:szCs w:val="18"/>
              </w:rPr>
            </w:pPr>
            <w:r>
              <w:rPr>
                <w:rFonts w:ascii="Arial Narrow" w:hAnsi="Arial Narrow" w:cs="Calibri"/>
                <w:b/>
                <w:bCs/>
                <w:color w:val="000000"/>
                <w:sz w:val="18"/>
                <w:szCs w:val="18"/>
              </w:rPr>
              <w:t>Rapporto di mascolinità</w:t>
            </w:r>
          </w:p>
        </w:tc>
        <w:tc>
          <w:tcPr>
            <w:tcW w:w="918" w:type="dxa"/>
            <w:tcBorders>
              <w:top w:val="single" w:sz="4" w:space="0" w:color="262626"/>
              <w:left w:val="nil"/>
              <w:bottom w:val="single" w:sz="4" w:space="0" w:color="262626"/>
              <w:right w:val="nil"/>
            </w:tcBorders>
            <w:shd w:val="clear" w:color="auto" w:fill="auto"/>
            <w:vAlign w:val="center"/>
            <w:hideMark/>
          </w:tcPr>
          <w:p w14:paraId="3C662054" w14:textId="77777777" w:rsidR="007B5408" w:rsidRDefault="007B5408">
            <w:pPr>
              <w:jc w:val="right"/>
              <w:rPr>
                <w:rFonts w:ascii="Arial Narrow" w:hAnsi="Arial Narrow" w:cs="Calibri"/>
                <w:b/>
                <w:bCs/>
                <w:color w:val="000000"/>
                <w:sz w:val="18"/>
                <w:szCs w:val="18"/>
              </w:rPr>
            </w:pPr>
            <w:r>
              <w:rPr>
                <w:rFonts w:ascii="Arial Narrow" w:hAnsi="Arial Narrow" w:cs="Calibri"/>
                <w:b/>
                <w:bCs/>
                <w:color w:val="000000"/>
                <w:sz w:val="18"/>
                <w:szCs w:val="18"/>
              </w:rPr>
              <w:t>Età media</w:t>
            </w:r>
          </w:p>
        </w:tc>
        <w:tc>
          <w:tcPr>
            <w:tcW w:w="1118" w:type="dxa"/>
            <w:tcBorders>
              <w:top w:val="single" w:sz="4" w:space="0" w:color="262626"/>
              <w:left w:val="nil"/>
              <w:bottom w:val="single" w:sz="4" w:space="0" w:color="262626"/>
              <w:right w:val="nil"/>
            </w:tcBorders>
            <w:shd w:val="clear" w:color="auto" w:fill="auto"/>
            <w:vAlign w:val="center"/>
            <w:hideMark/>
          </w:tcPr>
          <w:p w14:paraId="34F2FB73" w14:textId="77777777" w:rsidR="007B5408" w:rsidRDefault="007B5408">
            <w:pPr>
              <w:jc w:val="right"/>
              <w:rPr>
                <w:rFonts w:ascii="Arial Narrow" w:hAnsi="Arial Narrow" w:cs="Calibri"/>
                <w:b/>
                <w:bCs/>
                <w:color w:val="000000"/>
                <w:sz w:val="18"/>
                <w:szCs w:val="18"/>
              </w:rPr>
            </w:pPr>
            <w:r>
              <w:rPr>
                <w:rFonts w:ascii="Arial Narrow" w:hAnsi="Arial Narrow" w:cs="Calibri"/>
                <w:b/>
                <w:bCs/>
                <w:color w:val="000000"/>
                <w:sz w:val="18"/>
                <w:szCs w:val="18"/>
              </w:rPr>
              <w:t>Indice di vecchiaia</w:t>
            </w:r>
          </w:p>
        </w:tc>
        <w:tc>
          <w:tcPr>
            <w:tcW w:w="1238" w:type="dxa"/>
            <w:tcBorders>
              <w:top w:val="single" w:sz="4" w:space="0" w:color="262626"/>
              <w:left w:val="nil"/>
              <w:bottom w:val="single" w:sz="4" w:space="0" w:color="262626"/>
              <w:right w:val="nil"/>
            </w:tcBorders>
            <w:shd w:val="clear" w:color="auto" w:fill="auto"/>
            <w:vAlign w:val="center"/>
            <w:hideMark/>
          </w:tcPr>
          <w:p w14:paraId="68A548CF" w14:textId="77777777" w:rsidR="007B5408" w:rsidRDefault="007B5408">
            <w:pPr>
              <w:jc w:val="right"/>
              <w:rPr>
                <w:rFonts w:ascii="Arial Narrow" w:hAnsi="Arial Narrow" w:cs="Calibri"/>
                <w:b/>
                <w:bCs/>
                <w:color w:val="000000"/>
                <w:sz w:val="18"/>
                <w:szCs w:val="18"/>
              </w:rPr>
            </w:pPr>
            <w:r>
              <w:rPr>
                <w:rFonts w:ascii="Arial Narrow" w:hAnsi="Arial Narrow" w:cs="Calibri"/>
                <w:b/>
                <w:bCs/>
                <w:color w:val="000000"/>
                <w:sz w:val="18"/>
                <w:szCs w:val="18"/>
              </w:rPr>
              <w:t>Indice di dipendenza</w:t>
            </w:r>
          </w:p>
        </w:tc>
        <w:tc>
          <w:tcPr>
            <w:tcW w:w="1497" w:type="dxa"/>
            <w:tcBorders>
              <w:top w:val="single" w:sz="4" w:space="0" w:color="262626"/>
              <w:left w:val="nil"/>
              <w:bottom w:val="single" w:sz="4" w:space="0" w:color="262626"/>
              <w:right w:val="nil"/>
            </w:tcBorders>
            <w:shd w:val="clear" w:color="auto" w:fill="auto"/>
            <w:vAlign w:val="center"/>
            <w:hideMark/>
          </w:tcPr>
          <w:p w14:paraId="27E72BD4" w14:textId="77777777" w:rsidR="007B5408" w:rsidRDefault="007B5408">
            <w:pPr>
              <w:jc w:val="right"/>
              <w:rPr>
                <w:rFonts w:ascii="Arial Narrow" w:hAnsi="Arial Narrow" w:cs="Calibri"/>
                <w:b/>
                <w:bCs/>
                <w:color w:val="000000"/>
                <w:sz w:val="18"/>
                <w:szCs w:val="18"/>
              </w:rPr>
            </w:pPr>
            <w:r>
              <w:rPr>
                <w:rFonts w:ascii="Arial Narrow" w:hAnsi="Arial Narrow" w:cs="Calibri"/>
                <w:b/>
                <w:bCs/>
                <w:color w:val="000000"/>
                <w:sz w:val="18"/>
                <w:szCs w:val="18"/>
              </w:rPr>
              <w:t>Indice di dipendenza anziani</w:t>
            </w:r>
          </w:p>
        </w:tc>
        <w:tc>
          <w:tcPr>
            <w:tcW w:w="1815" w:type="dxa"/>
            <w:tcBorders>
              <w:top w:val="single" w:sz="4" w:space="0" w:color="262626"/>
              <w:left w:val="nil"/>
              <w:bottom w:val="single" w:sz="4" w:space="0" w:color="262626"/>
              <w:right w:val="nil"/>
            </w:tcBorders>
            <w:shd w:val="clear" w:color="auto" w:fill="auto"/>
            <w:vAlign w:val="center"/>
            <w:hideMark/>
          </w:tcPr>
          <w:p w14:paraId="6A893CCE" w14:textId="77777777" w:rsidR="007B5408" w:rsidRDefault="007B5408">
            <w:pPr>
              <w:jc w:val="right"/>
              <w:rPr>
                <w:rFonts w:ascii="Arial Narrow" w:hAnsi="Arial Narrow" w:cs="Calibri"/>
                <w:b/>
                <w:bCs/>
                <w:color w:val="000000"/>
                <w:sz w:val="18"/>
                <w:szCs w:val="18"/>
              </w:rPr>
            </w:pPr>
            <w:r>
              <w:rPr>
                <w:rFonts w:ascii="Arial Narrow" w:hAnsi="Arial Narrow" w:cs="Calibri"/>
                <w:b/>
                <w:bCs/>
                <w:color w:val="000000"/>
                <w:sz w:val="18"/>
                <w:szCs w:val="18"/>
              </w:rPr>
              <w:t>Indice di struttura della popolazione attiva</w:t>
            </w:r>
          </w:p>
        </w:tc>
      </w:tr>
      <w:tr w:rsidR="007B5408" w14:paraId="77C5D74E" w14:textId="77777777" w:rsidTr="007B5408">
        <w:trPr>
          <w:trHeight w:val="300"/>
        </w:trPr>
        <w:tc>
          <w:tcPr>
            <w:tcW w:w="1876" w:type="dxa"/>
            <w:tcBorders>
              <w:top w:val="nil"/>
              <w:left w:val="nil"/>
              <w:bottom w:val="single" w:sz="4" w:space="0" w:color="262626"/>
              <w:right w:val="nil"/>
            </w:tcBorders>
            <w:shd w:val="clear" w:color="auto" w:fill="auto"/>
            <w:noWrap/>
            <w:vAlign w:val="center"/>
            <w:hideMark/>
          </w:tcPr>
          <w:p w14:paraId="33CC025B" w14:textId="77777777" w:rsidR="007B5408" w:rsidRDefault="007B5408">
            <w:pPr>
              <w:rPr>
                <w:rFonts w:ascii="Arial Narrow" w:hAnsi="Arial Narrow" w:cs="Calibri"/>
                <w:color w:val="000000"/>
                <w:sz w:val="18"/>
                <w:szCs w:val="18"/>
              </w:rPr>
            </w:pPr>
            <w:r>
              <w:rPr>
                <w:rFonts w:ascii="Arial Narrow" w:hAnsi="Arial Narrow" w:cs="Calibri"/>
                <w:color w:val="000000"/>
                <w:sz w:val="18"/>
                <w:szCs w:val="18"/>
              </w:rPr>
              <w:t>Bergamo</w:t>
            </w:r>
          </w:p>
        </w:tc>
        <w:tc>
          <w:tcPr>
            <w:tcW w:w="1178" w:type="dxa"/>
            <w:tcBorders>
              <w:top w:val="nil"/>
              <w:left w:val="nil"/>
              <w:bottom w:val="single" w:sz="4" w:space="0" w:color="262626"/>
              <w:right w:val="nil"/>
            </w:tcBorders>
            <w:shd w:val="clear" w:color="000000" w:fill="D9D9D9"/>
            <w:noWrap/>
            <w:vAlign w:val="center"/>
            <w:hideMark/>
          </w:tcPr>
          <w:p w14:paraId="3483260A"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98,7</w:t>
            </w:r>
          </w:p>
        </w:tc>
        <w:tc>
          <w:tcPr>
            <w:tcW w:w="918" w:type="dxa"/>
            <w:tcBorders>
              <w:top w:val="nil"/>
              <w:left w:val="nil"/>
              <w:bottom w:val="single" w:sz="4" w:space="0" w:color="262626"/>
              <w:right w:val="nil"/>
            </w:tcBorders>
            <w:shd w:val="clear" w:color="auto" w:fill="auto"/>
            <w:noWrap/>
            <w:vAlign w:val="center"/>
            <w:hideMark/>
          </w:tcPr>
          <w:p w14:paraId="26572454"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44,1</w:t>
            </w:r>
          </w:p>
        </w:tc>
        <w:tc>
          <w:tcPr>
            <w:tcW w:w="1118" w:type="dxa"/>
            <w:tcBorders>
              <w:top w:val="nil"/>
              <w:left w:val="nil"/>
              <w:bottom w:val="single" w:sz="4" w:space="0" w:color="262626"/>
              <w:right w:val="nil"/>
            </w:tcBorders>
            <w:shd w:val="clear" w:color="000000" w:fill="D9D9D9"/>
            <w:noWrap/>
            <w:vAlign w:val="center"/>
            <w:hideMark/>
          </w:tcPr>
          <w:p w14:paraId="7819640F"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153,3</w:t>
            </w:r>
          </w:p>
        </w:tc>
        <w:tc>
          <w:tcPr>
            <w:tcW w:w="1238" w:type="dxa"/>
            <w:tcBorders>
              <w:top w:val="nil"/>
              <w:left w:val="nil"/>
              <w:bottom w:val="single" w:sz="4" w:space="0" w:color="262626"/>
              <w:right w:val="nil"/>
            </w:tcBorders>
            <w:shd w:val="clear" w:color="auto" w:fill="auto"/>
            <w:noWrap/>
            <w:vAlign w:val="center"/>
            <w:hideMark/>
          </w:tcPr>
          <w:p w14:paraId="01208079"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54,9</w:t>
            </w:r>
          </w:p>
        </w:tc>
        <w:tc>
          <w:tcPr>
            <w:tcW w:w="1497" w:type="dxa"/>
            <w:tcBorders>
              <w:top w:val="nil"/>
              <w:left w:val="nil"/>
              <w:bottom w:val="single" w:sz="4" w:space="0" w:color="262626"/>
              <w:right w:val="nil"/>
            </w:tcBorders>
            <w:shd w:val="clear" w:color="000000" w:fill="D9D9D9"/>
            <w:noWrap/>
            <w:vAlign w:val="center"/>
            <w:hideMark/>
          </w:tcPr>
          <w:p w14:paraId="56ED6085"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33,2</w:t>
            </w:r>
          </w:p>
        </w:tc>
        <w:tc>
          <w:tcPr>
            <w:tcW w:w="1815" w:type="dxa"/>
            <w:tcBorders>
              <w:top w:val="nil"/>
              <w:left w:val="nil"/>
              <w:bottom w:val="single" w:sz="4" w:space="0" w:color="262626"/>
              <w:right w:val="nil"/>
            </w:tcBorders>
            <w:shd w:val="clear" w:color="auto" w:fill="auto"/>
            <w:noWrap/>
            <w:vAlign w:val="center"/>
            <w:hideMark/>
          </w:tcPr>
          <w:p w14:paraId="6B9CC1DB"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140,8</w:t>
            </w:r>
          </w:p>
        </w:tc>
      </w:tr>
      <w:tr w:rsidR="007B5408" w14:paraId="71CADB3F" w14:textId="77777777" w:rsidTr="007B5408">
        <w:trPr>
          <w:trHeight w:val="300"/>
        </w:trPr>
        <w:tc>
          <w:tcPr>
            <w:tcW w:w="1876" w:type="dxa"/>
            <w:tcBorders>
              <w:top w:val="nil"/>
              <w:left w:val="nil"/>
              <w:bottom w:val="single" w:sz="4" w:space="0" w:color="262626"/>
              <w:right w:val="nil"/>
            </w:tcBorders>
            <w:shd w:val="clear" w:color="auto" w:fill="auto"/>
            <w:noWrap/>
            <w:vAlign w:val="center"/>
            <w:hideMark/>
          </w:tcPr>
          <w:p w14:paraId="7BE1C923" w14:textId="77777777" w:rsidR="007B5408" w:rsidRDefault="007B5408">
            <w:pPr>
              <w:rPr>
                <w:rFonts w:ascii="Arial Narrow" w:hAnsi="Arial Narrow" w:cs="Calibri"/>
                <w:color w:val="000000"/>
                <w:sz w:val="18"/>
                <w:szCs w:val="18"/>
              </w:rPr>
            </w:pPr>
            <w:r>
              <w:rPr>
                <w:rFonts w:ascii="Arial Narrow" w:hAnsi="Arial Narrow" w:cs="Calibri"/>
                <w:color w:val="000000"/>
                <w:sz w:val="18"/>
                <w:szCs w:val="18"/>
              </w:rPr>
              <w:t>Brescia</w:t>
            </w:r>
          </w:p>
        </w:tc>
        <w:tc>
          <w:tcPr>
            <w:tcW w:w="1178" w:type="dxa"/>
            <w:tcBorders>
              <w:top w:val="nil"/>
              <w:left w:val="nil"/>
              <w:bottom w:val="single" w:sz="4" w:space="0" w:color="262626"/>
              <w:right w:val="nil"/>
            </w:tcBorders>
            <w:shd w:val="clear" w:color="000000" w:fill="D9D9D9"/>
            <w:noWrap/>
            <w:vAlign w:val="center"/>
            <w:hideMark/>
          </w:tcPr>
          <w:p w14:paraId="1FEE4305"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98,0</w:t>
            </w:r>
          </w:p>
        </w:tc>
        <w:tc>
          <w:tcPr>
            <w:tcW w:w="918" w:type="dxa"/>
            <w:tcBorders>
              <w:top w:val="nil"/>
              <w:left w:val="nil"/>
              <w:bottom w:val="single" w:sz="4" w:space="0" w:color="262626"/>
              <w:right w:val="nil"/>
            </w:tcBorders>
            <w:shd w:val="clear" w:color="auto" w:fill="auto"/>
            <w:noWrap/>
            <w:vAlign w:val="center"/>
            <w:hideMark/>
          </w:tcPr>
          <w:p w14:paraId="128DE1AC"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44,5</w:t>
            </w:r>
          </w:p>
        </w:tc>
        <w:tc>
          <w:tcPr>
            <w:tcW w:w="1118" w:type="dxa"/>
            <w:tcBorders>
              <w:top w:val="nil"/>
              <w:left w:val="nil"/>
              <w:bottom w:val="single" w:sz="4" w:space="0" w:color="262626"/>
              <w:right w:val="nil"/>
            </w:tcBorders>
            <w:shd w:val="clear" w:color="000000" w:fill="D9D9D9"/>
            <w:noWrap/>
            <w:vAlign w:val="center"/>
            <w:hideMark/>
          </w:tcPr>
          <w:p w14:paraId="68174891"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159,3</w:t>
            </w:r>
          </w:p>
        </w:tc>
        <w:tc>
          <w:tcPr>
            <w:tcW w:w="1238" w:type="dxa"/>
            <w:tcBorders>
              <w:top w:val="nil"/>
              <w:left w:val="nil"/>
              <w:bottom w:val="single" w:sz="4" w:space="0" w:color="262626"/>
              <w:right w:val="nil"/>
            </w:tcBorders>
            <w:shd w:val="clear" w:color="auto" w:fill="auto"/>
            <w:noWrap/>
            <w:vAlign w:val="center"/>
            <w:hideMark/>
          </w:tcPr>
          <w:p w14:paraId="6047CEA5"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55,6</w:t>
            </w:r>
          </w:p>
        </w:tc>
        <w:tc>
          <w:tcPr>
            <w:tcW w:w="1497" w:type="dxa"/>
            <w:tcBorders>
              <w:top w:val="nil"/>
              <w:left w:val="nil"/>
              <w:bottom w:val="single" w:sz="4" w:space="0" w:color="262626"/>
              <w:right w:val="nil"/>
            </w:tcBorders>
            <w:shd w:val="clear" w:color="000000" w:fill="D9D9D9"/>
            <w:noWrap/>
            <w:vAlign w:val="center"/>
            <w:hideMark/>
          </w:tcPr>
          <w:p w14:paraId="3DCF8654"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34,1</w:t>
            </w:r>
          </w:p>
        </w:tc>
        <w:tc>
          <w:tcPr>
            <w:tcW w:w="1815" w:type="dxa"/>
            <w:tcBorders>
              <w:top w:val="nil"/>
              <w:left w:val="nil"/>
              <w:bottom w:val="single" w:sz="4" w:space="0" w:color="262626"/>
              <w:right w:val="nil"/>
            </w:tcBorders>
            <w:shd w:val="clear" w:color="auto" w:fill="auto"/>
            <w:noWrap/>
            <w:vAlign w:val="center"/>
            <w:hideMark/>
          </w:tcPr>
          <w:p w14:paraId="5D611E0E"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141,0</w:t>
            </w:r>
          </w:p>
        </w:tc>
      </w:tr>
      <w:tr w:rsidR="007B5408" w14:paraId="315EBD5D" w14:textId="77777777" w:rsidTr="007B5408">
        <w:trPr>
          <w:trHeight w:val="300"/>
        </w:trPr>
        <w:tc>
          <w:tcPr>
            <w:tcW w:w="1876" w:type="dxa"/>
            <w:tcBorders>
              <w:top w:val="nil"/>
              <w:left w:val="nil"/>
              <w:bottom w:val="single" w:sz="4" w:space="0" w:color="262626"/>
              <w:right w:val="nil"/>
            </w:tcBorders>
            <w:shd w:val="clear" w:color="auto" w:fill="auto"/>
            <w:noWrap/>
            <w:vAlign w:val="center"/>
            <w:hideMark/>
          </w:tcPr>
          <w:p w14:paraId="0E49E9C4" w14:textId="77777777" w:rsidR="007B5408" w:rsidRDefault="007B5408">
            <w:pPr>
              <w:rPr>
                <w:rFonts w:ascii="Arial Narrow" w:hAnsi="Arial Narrow" w:cs="Calibri"/>
                <w:color w:val="000000"/>
                <w:sz w:val="18"/>
                <w:szCs w:val="18"/>
              </w:rPr>
            </w:pPr>
            <w:r>
              <w:rPr>
                <w:rFonts w:ascii="Arial Narrow" w:hAnsi="Arial Narrow" w:cs="Calibri"/>
                <w:color w:val="000000"/>
                <w:sz w:val="18"/>
                <w:szCs w:val="18"/>
              </w:rPr>
              <w:t>Como</w:t>
            </w:r>
          </w:p>
        </w:tc>
        <w:tc>
          <w:tcPr>
            <w:tcW w:w="1178" w:type="dxa"/>
            <w:tcBorders>
              <w:top w:val="nil"/>
              <w:left w:val="nil"/>
              <w:bottom w:val="single" w:sz="4" w:space="0" w:color="262626"/>
              <w:right w:val="nil"/>
            </w:tcBorders>
            <w:shd w:val="clear" w:color="000000" w:fill="D9D9D9"/>
            <w:noWrap/>
            <w:vAlign w:val="center"/>
            <w:hideMark/>
          </w:tcPr>
          <w:p w14:paraId="4499AAA4"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96,8</w:t>
            </w:r>
          </w:p>
        </w:tc>
        <w:tc>
          <w:tcPr>
            <w:tcW w:w="918" w:type="dxa"/>
            <w:tcBorders>
              <w:top w:val="nil"/>
              <w:left w:val="nil"/>
              <w:bottom w:val="single" w:sz="4" w:space="0" w:color="262626"/>
              <w:right w:val="nil"/>
            </w:tcBorders>
            <w:shd w:val="clear" w:color="auto" w:fill="auto"/>
            <w:noWrap/>
            <w:vAlign w:val="center"/>
            <w:hideMark/>
          </w:tcPr>
          <w:p w14:paraId="56343662"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45,4</w:t>
            </w:r>
          </w:p>
        </w:tc>
        <w:tc>
          <w:tcPr>
            <w:tcW w:w="1118" w:type="dxa"/>
            <w:tcBorders>
              <w:top w:val="nil"/>
              <w:left w:val="nil"/>
              <w:bottom w:val="single" w:sz="4" w:space="0" w:color="262626"/>
              <w:right w:val="nil"/>
            </w:tcBorders>
            <w:shd w:val="clear" w:color="000000" w:fill="D9D9D9"/>
            <w:noWrap/>
            <w:vAlign w:val="center"/>
            <w:hideMark/>
          </w:tcPr>
          <w:p w14:paraId="2C174184"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177,9</w:t>
            </w:r>
          </w:p>
        </w:tc>
        <w:tc>
          <w:tcPr>
            <w:tcW w:w="1238" w:type="dxa"/>
            <w:tcBorders>
              <w:top w:val="nil"/>
              <w:left w:val="nil"/>
              <w:bottom w:val="single" w:sz="4" w:space="0" w:color="262626"/>
              <w:right w:val="nil"/>
            </w:tcBorders>
            <w:shd w:val="clear" w:color="auto" w:fill="auto"/>
            <w:noWrap/>
            <w:vAlign w:val="center"/>
            <w:hideMark/>
          </w:tcPr>
          <w:p w14:paraId="13393EB8"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57,3</w:t>
            </w:r>
          </w:p>
        </w:tc>
        <w:tc>
          <w:tcPr>
            <w:tcW w:w="1497" w:type="dxa"/>
            <w:tcBorders>
              <w:top w:val="nil"/>
              <w:left w:val="nil"/>
              <w:bottom w:val="single" w:sz="4" w:space="0" w:color="262626"/>
              <w:right w:val="nil"/>
            </w:tcBorders>
            <w:shd w:val="clear" w:color="000000" w:fill="D9D9D9"/>
            <w:noWrap/>
            <w:vAlign w:val="center"/>
            <w:hideMark/>
          </w:tcPr>
          <w:p w14:paraId="1627E38D"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36,7</w:t>
            </w:r>
          </w:p>
        </w:tc>
        <w:tc>
          <w:tcPr>
            <w:tcW w:w="1815" w:type="dxa"/>
            <w:tcBorders>
              <w:top w:val="nil"/>
              <w:left w:val="nil"/>
              <w:bottom w:val="single" w:sz="4" w:space="0" w:color="262626"/>
              <w:right w:val="nil"/>
            </w:tcBorders>
            <w:shd w:val="clear" w:color="auto" w:fill="auto"/>
            <w:noWrap/>
            <w:vAlign w:val="center"/>
            <w:hideMark/>
          </w:tcPr>
          <w:p w14:paraId="13514F5F"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148,3</w:t>
            </w:r>
          </w:p>
        </w:tc>
      </w:tr>
      <w:tr w:rsidR="007B5408" w14:paraId="24120694" w14:textId="77777777" w:rsidTr="007B5408">
        <w:trPr>
          <w:trHeight w:val="300"/>
        </w:trPr>
        <w:tc>
          <w:tcPr>
            <w:tcW w:w="1876" w:type="dxa"/>
            <w:tcBorders>
              <w:top w:val="nil"/>
              <w:left w:val="nil"/>
              <w:bottom w:val="single" w:sz="4" w:space="0" w:color="262626"/>
              <w:right w:val="nil"/>
            </w:tcBorders>
            <w:shd w:val="clear" w:color="auto" w:fill="auto"/>
            <w:noWrap/>
            <w:vAlign w:val="center"/>
            <w:hideMark/>
          </w:tcPr>
          <w:p w14:paraId="1A936810" w14:textId="77777777" w:rsidR="007B5408" w:rsidRDefault="007B5408">
            <w:pPr>
              <w:rPr>
                <w:rFonts w:ascii="Arial Narrow" w:hAnsi="Arial Narrow" w:cs="Calibri"/>
                <w:color w:val="000000"/>
                <w:sz w:val="18"/>
                <w:szCs w:val="18"/>
              </w:rPr>
            </w:pPr>
            <w:r>
              <w:rPr>
                <w:rFonts w:ascii="Arial Narrow" w:hAnsi="Arial Narrow" w:cs="Calibri"/>
                <w:color w:val="000000"/>
                <w:sz w:val="18"/>
                <w:szCs w:val="18"/>
              </w:rPr>
              <w:t>Cremona</w:t>
            </w:r>
          </w:p>
        </w:tc>
        <w:tc>
          <w:tcPr>
            <w:tcW w:w="1178" w:type="dxa"/>
            <w:tcBorders>
              <w:top w:val="nil"/>
              <w:left w:val="nil"/>
              <w:bottom w:val="single" w:sz="4" w:space="0" w:color="262626"/>
              <w:right w:val="nil"/>
            </w:tcBorders>
            <w:shd w:val="clear" w:color="000000" w:fill="D9D9D9"/>
            <w:noWrap/>
            <w:vAlign w:val="center"/>
            <w:hideMark/>
          </w:tcPr>
          <w:p w14:paraId="240BE809"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97,5</w:t>
            </w:r>
          </w:p>
        </w:tc>
        <w:tc>
          <w:tcPr>
            <w:tcW w:w="918" w:type="dxa"/>
            <w:tcBorders>
              <w:top w:val="nil"/>
              <w:left w:val="nil"/>
              <w:bottom w:val="single" w:sz="4" w:space="0" w:color="262626"/>
              <w:right w:val="nil"/>
            </w:tcBorders>
            <w:shd w:val="clear" w:color="auto" w:fill="auto"/>
            <w:noWrap/>
            <w:vAlign w:val="center"/>
            <w:hideMark/>
          </w:tcPr>
          <w:p w14:paraId="77D159EA"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46,1</w:t>
            </w:r>
          </w:p>
        </w:tc>
        <w:tc>
          <w:tcPr>
            <w:tcW w:w="1118" w:type="dxa"/>
            <w:tcBorders>
              <w:top w:val="nil"/>
              <w:left w:val="nil"/>
              <w:bottom w:val="single" w:sz="4" w:space="0" w:color="262626"/>
              <w:right w:val="nil"/>
            </w:tcBorders>
            <w:shd w:val="clear" w:color="000000" w:fill="D9D9D9"/>
            <w:noWrap/>
            <w:vAlign w:val="center"/>
            <w:hideMark/>
          </w:tcPr>
          <w:p w14:paraId="35734C23"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194,8</w:t>
            </w:r>
          </w:p>
        </w:tc>
        <w:tc>
          <w:tcPr>
            <w:tcW w:w="1238" w:type="dxa"/>
            <w:tcBorders>
              <w:top w:val="nil"/>
              <w:left w:val="nil"/>
              <w:bottom w:val="single" w:sz="4" w:space="0" w:color="262626"/>
              <w:right w:val="nil"/>
            </w:tcBorders>
            <w:shd w:val="clear" w:color="auto" w:fill="auto"/>
            <w:noWrap/>
            <w:vAlign w:val="center"/>
            <w:hideMark/>
          </w:tcPr>
          <w:p w14:paraId="233CA45F"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59,2</w:t>
            </w:r>
          </w:p>
        </w:tc>
        <w:tc>
          <w:tcPr>
            <w:tcW w:w="1497" w:type="dxa"/>
            <w:tcBorders>
              <w:top w:val="nil"/>
              <w:left w:val="nil"/>
              <w:bottom w:val="single" w:sz="4" w:space="0" w:color="262626"/>
              <w:right w:val="nil"/>
            </w:tcBorders>
            <w:shd w:val="clear" w:color="000000" w:fill="D9D9D9"/>
            <w:noWrap/>
            <w:vAlign w:val="center"/>
            <w:hideMark/>
          </w:tcPr>
          <w:p w14:paraId="687A9931"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39,1</w:t>
            </w:r>
          </w:p>
        </w:tc>
        <w:tc>
          <w:tcPr>
            <w:tcW w:w="1815" w:type="dxa"/>
            <w:tcBorders>
              <w:top w:val="nil"/>
              <w:left w:val="nil"/>
              <w:bottom w:val="single" w:sz="4" w:space="0" w:color="262626"/>
              <w:right w:val="nil"/>
            </w:tcBorders>
            <w:shd w:val="clear" w:color="auto" w:fill="auto"/>
            <w:noWrap/>
            <w:vAlign w:val="center"/>
            <w:hideMark/>
          </w:tcPr>
          <w:p w14:paraId="4253CDFC"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148,7</w:t>
            </w:r>
          </w:p>
        </w:tc>
      </w:tr>
      <w:tr w:rsidR="007B5408" w14:paraId="1127F96C" w14:textId="77777777" w:rsidTr="007B5408">
        <w:trPr>
          <w:trHeight w:val="300"/>
        </w:trPr>
        <w:tc>
          <w:tcPr>
            <w:tcW w:w="1876" w:type="dxa"/>
            <w:tcBorders>
              <w:top w:val="nil"/>
              <w:left w:val="nil"/>
              <w:bottom w:val="single" w:sz="4" w:space="0" w:color="262626"/>
              <w:right w:val="nil"/>
            </w:tcBorders>
            <w:shd w:val="clear" w:color="auto" w:fill="auto"/>
            <w:noWrap/>
            <w:vAlign w:val="center"/>
            <w:hideMark/>
          </w:tcPr>
          <w:p w14:paraId="629320EC" w14:textId="77777777" w:rsidR="007B5408" w:rsidRDefault="007B5408">
            <w:pPr>
              <w:rPr>
                <w:rFonts w:ascii="Arial Narrow" w:hAnsi="Arial Narrow" w:cs="Calibri"/>
                <w:color w:val="000000"/>
                <w:sz w:val="18"/>
                <w:szCs w:val="18"/>
              </w:rPr>
            </w:pPr>
            <w:r>
              <w:rPr>
                <w:rFonts w:ascii="Arial Narrow" w:hAnsi="Arial Narrow" w:cs="Calibri"/>
                <w:color w:val="000000"/>
                <w:sz w:val="18"/>
                <w:szCs w:val="18"/>
              </w:rPr>
              <w:t>Lecco</w:t>
            </w:r>
          </w:p>
        </w:tc>
        <w:tc>
          <w:tcPr>
            <w:tcW w:w="1178" w:type="dxa"/>
            <w:tcBorders>
              <w:top w:val="nil"/>
              <w:left w:val="nil"/>
              <w:bottom w:val="single" w:sz="4" w:space="0" w:color="262626"/>
              <w:right w:val="nil"/>
            </w:tcBorders>
            <w:shd w:val="clear" w:color="000000" w:fill="D9D9D9"/>
            <w:noWrap/>
            <w:vAlign w:val="center"/>
            <w:hideMark/>
          </w:tcPr>
          <w:p w14:paraId="4162F0AD"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97,5</w:t>
            </w:r>
          </w:p>
        </w:tc>
        <w:tc>
          <w:tcPr>
            <w:tcW w:w="918" w:type="dxa"/>
            <w:tcBorders>
              <w:top w:val="nil"/>
              <w:left w:val="nil"/>
              <w:bottom w:val="single" w:sz="4" w:space="0" w:color="262626"/>
              <w:right w:val="nil"/>
            </w:tcBorders>
            <w:shd w:val="clear" w:color="auto" w:fill="auto"/>
            <w:noWrap/>
            <w:vAlign w:val="center"/>
            <w:hideMark/>
          </w:tcPr>
          <w:p w14:paraId="0BB7E8C1"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45,7</w:t>
            </w:r>
          </w:p>
        </w:tc>
        <w:tc>
          <w:tcPr>
            <w:tcW w:w="1118" w:type="dxa"/>
            <w:tcBorders>
              <w:top w:val="nil"/>
              <w:left w:val="nil"/>
              <w:bottom w:val="single" w:sz="4" w:space="0" w:color="262626"/>
              <w:right w:val="nil"/>
            </w:tcBorders>
            <w:shd w:val="clear" w:color="000000" w:fill="D9D9D9"/>
            <w:noWrap/>
            <w:vAlign w:val="center"/>
            <w:hideMark/>
          </w:tcPr>
          <w:p w14:paraId="2968E7AA"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185,2</w:t>
            </w:r>
          </w:p>
        </w:tc>
        <w:tc>
          <w:tcPr>
            <w:tcW w:w="1238" w:type="dxa"/>
            <w:tcBorders>
              <w:top w:val="nil"/>
              <w:left w:val="nil"/>
              <w:bottom w:val="single" w:sz="4" w:space="0" w:color="262626"/>
              <w:right w:val="nil"/>
            </w:tcBorders>
            <w:shd w:val="clear" w:color="auto" w:fill="auto"/>
            <w:noWrap/>
            <w:vAlign w:val="center"/>
            <w:hideMark/>
          </w:tcPr>
          <w:p w14:paraId="388C3D66"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59,3</w:t>
            </w:r>
          </w:p>
        </w:tc>
        <w:tc>
          <w:tcPr>
            <w:tcW w:w="1497" w:type="dxa"/>
            <w:tcBorders>
              <w:top w:val="nil"/>
              <w:left w:val="nil"/>
              <w:bottom w:val="single" w:sz="4" w:space="0" w:color="262626"/>
              <w:right w:val="nil"/>
            </w:tcBorders>
            <w:shd w:val="clear" w:color="000000" w:fill="D9D9D9"/>
            <w:noWrap/>
            <w:vAlign w:val="center"/>
            <w:hideMark/>
          </w:tcPr>
          <w:p w14:paraId="771C4752"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38,5</w:t>
            </w:r>
          </w:p>
        </w:tc>
        <w:tc>
          <w:tcPr>
            <w:tcW w:w="1815" w:type="dxa"/>
            <w:tcBorders>
              <w:top w:val="nil"/>
              <w:left w:val="nil"/>
              <w:bottom w:val="single" w:sz="4" w:space="0" w:color="262626"/>
              <w:right w:val="nil"/>
            </w:tcBorders>
            <w:shd w:val="clear" w:color="auto" w:fill="auto"/>
            <w:noWrap/>
            <w:vAlign w:val="center"/>
            <w:hideMark/>
          </w:tcPr>
          <w:p w14:paraId="12E909C1"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147,4</w:t>
            </w:r>
          </w:p>
        </w:tc>
      </w:tr>
      <w:tr w:rsidR="007B5408" w14:paraId="0BE5A970" w14:textId="77777777" w:rsidTr="007B5408">
        <w:trPr>
          <w:trHeight w:val="300"/>
        </w:trPr>
        <w:tc>
          <w:tcPr>
            <w:tcW w:w="1876" w:type="dxa"/>
            <w:tcBorders>
              <w:top w:val="nil"/>
              <w:left w:val="nil"/>
              <w:bottom w:val="single" w:sz="4" w:space="0" w:color="262626"/>
              <w:right w:val="nil"/>
            </w:tcBorders>
            <w:shd w:val="clear" w:color="auto" w:fill="auto"/>
            <w:noWrap/>
            <w:vAlign w:val="center"/>
            <w:hideMark/>
          </w:tcPr>
          <w:p w14:paraId="45986293" w14:textId="77777777" w:rsidR="007B5408" w:rsidRDefault="007B5408">
            <w:pPr>
              <w:rPr>
                <w:rFonts w:ascii="Arial Narrow" w:hAnsi="Arial Narrow" w:cs="Calibri"/>
                <w:color w:val="000000"/>
                <w:sz w:val="18"/>
                <w:szCs w:val="18"/>
              </w:rPr>
            </w:pPr>
            <w:r>
              <w:rPr>
                <w:rFonts w:ascii="Arial Narrow" w:hAnsi="Arial Narrow" w:cs="Calibri"/>
                <w:color w:val="000000"/>
                <w:sz w:val="18"/>
                <w:szCs w:val="18"/>
              </w:rPr>
              <w:t>Lodi</w:t>
            </w:r>
          </w:p>
        </w:tc>
        <w:tc>
          <w:tcPr>
            <w:tcW w:w="1178" w:type="dxa"/>
            <w:tcBorders>
              <w:top w:val="nil"/>
              <w:left w:val="nil"/>
              <w:bottom w:val="single" w:sz="4" w:space="0" w:color="262626"/>
              <w:right w:val="nil"/>
            </w:tcBorders>
            <w:shd w:val="clear" w:color="000000" w:fill="D9D9D9"/>
            <w:noWrap/>
            <w:vAlign w:val="center"/>
            <w:hideMark/>
          </w:tcPr>
          <w:p w14:paraId="020A800A"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98,1</w:t>
            </w:r>
          </w:p>
        </w:tc>
        <w:tc>
          <w:tcPr>
            <w:tcW w:w="918" w:type="dxa"/>
            <w:tcBorders>
              <w:top w:val="nil"/>
              <w:left w:val="nil"/>
              <w:bottom w:val="single" w:sz="4" w:space="0" w:color="262626"/>
              <w:right w:val="nil"/>
            </w:tcBorders>
            <w:shd w:val="clear" w:color="auto" w:fill="auto"/>
            <w:noWrap/>
            <w:vAlign w:val="center"/>
            <w:hideMark/>
          </w:tcPr>
          <w:p w14:paraId="67DEC2EB"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44,6</w:t>
            </w:r>
          </w:p>
        </w:tc>
        <w:tc>
          <w:tcPr>
            <w:tcW w:w="1118" w:type="dxa"/>
            <w:tcBorders>
              <w:top w:val="nil"/>
              <w:left w:val="nil"/>
              <w:bottom w:val="single" w:sz="4" w:space="0" w:color="262626"/>
              <w:right w:val="nil"/>
            </w:tcBorders>
            <w:shd w:val="clear" w:color="000000" w:fill="D9D9D9"/>
            <w:noWrap/>
            <w:vAlign w:val="center"/>
            <w:hideMark/>
          </w:tcPr>
          <w:p w14:paraId="67E88F8E"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160,0</w:t>
            </w:r>
          </w:p>
        </w:tc>
        <w:tc>
          <w:tcPr>
            <w:tcW w:w="1238" w:type="dxa"/>
            <w:tcBorders>
              <w:top w:val="nil"/>
              <w:left w:val="nil"/>
              <w:bottom w:val="single" w:sz="4" w:space="0" w:color="262626"/>
              <w:right w:val="nil"/>
            </w:tcBorders>
            <w:shd w:val="clear" w:color="auto" w:fill="auto"/>
            <w:noWrap/>
            <w:vAlign w:val="center"/>
            <w:hideMark/>
          </w:tcPr>
          <w:p w14:paraId="5FD837CA"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55,1</w:t>
            </w:r>
          </w:p>
        </w:tc>
        <w:tc>
          <w:tcPr>
            <w:tcW w:w="1497" w:type="dxa"/>
            <w:tcBorders>
              <w:top w:val="nil"/>
              <w:left w:val="nil"/>
              <w:bottom w:val="single" w:sz="4" w:space="0" w:color="262626"/>
              <w:right w:val="nil"/>
            </w:tcBorders>
            <w:shd w:val="clear" w:color="000000" w:fill="D9D9D9"/>
            <w:noWrap/>
            <w:vAlign w:val="center"/>
            <w:hideMark/>
          </w:tcPr>
          <w:p w14:paraId="04E12E3B"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33,9</w:t>
            </w:r>
          </w:p>
        </w:tc>
        <w:tc>
          <w:tcPr>
            <w:tcW w:w="1815" w:type="dxa"/>
            <w:tcBorders>
              <w:top w:val="nil"/>
              <w:left w:val="nil"/>
              <w:bottom w:val="single" w:sz="4" w:space="0" w:color="262626"/>
              <w:right w:val="nil"/>
            </w:tcBorders>
            <w:shd w:val="clear" w:color="auto" w:fill="auto"/>
            <w:noWrap/>
            <w:vAlign w:val="center"/>
            <w:hideMark/>
          </w:tcPr>
          <w:p w14:paraId="4DB74BD9"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146,3</w:t>
            </w:r>
          </w:p>
        </w:tc>
      </w:tr>
      <w:tr w:rsidR="007B5408" w14:paraId="2A8765BF" w14:textId="77777777" w:rsidTr="007B5408">
        <w:trPr>
          <w:trHeight w:val="300"/>
        </w:trPr>
        <w:tc>
          <w:tcPr>
            <w:tcW w:w="1876" w:type="dxa"/>
            <w:tcBorders>
              <w:top w:val="nil"/>
              <w:left w:val="nil"/>
              <w:bottom w:val="single" w:sz="4" w:space="0" w:color="262626"/>
              <w:right w:val="nil"/>
            </w:tcBorders>
            <w:shd w:val="clear" w:color="auto" w:fill="auto"/>
            <w:noWrap/>
            <w:vAlign w:val="center"/>
            <w:hideMark/>
          </w:tcPr>
          <w:p w14:paraId="04A1ECDB" w14:textId="77777777" w:rsidR="007B5408" w:rsidRDefault="007B5408">
            <w:pPr>
              <w:rPr>
                <w:rFonts w:ascii="Arial Narrow" w:hAnsi="Arial Narrow" w:cs="Calibri"/>
                <w:color w:val="000000"/>
                <w:sz w:val="18"/>
                <w:szCs w:val="18"/>
              </w:rPr>
            </w:pPr>
            <w:r>
              <w:rPr>
                <w:rFonts w:ascii="Arial Narrow" w:hAnsi="Arial Narrow" w:cs="Calibri"/>
                <w:color w:val="000000"/>
                <w:sz w:val="18"/>
                <w:szCs w:val="18"/>
              </w:rPr>
              <w:t>Mantova</w:t>
            </w:r>
          </w:p>
        </w:tc>
        <w:tc>
          <w:tcPr>
            <w:tcW w:w="1178" w:type="dxa"/>
            <w:tcBorders>
              <w:top w:val="nil"/>
              <w:left w:val="nil"/>
              <w:bottom w:val="single" w:sz="4" w:space="0" w:color="262626"/>
              <w:right w:val="nil"/>
            </w:tcBorders>
            <w:shd w:val="clear" w:color="000000" w:fill="D9D9D9"/>
            <w:noWrap/>
            <w:vAlign w:val="center"/>
            <w:hideMark/>
          </w:tcPr>
          <w:p w14:paraId="530845C1"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97,3</w:t>
            </w:r>
          </w:p>
        </w:tc>
        <w:tc>
          <w:tcPr>
            <w:tcW w:w="918" w:type="dxa"/>
            <w:tcBorders>
              <w:top w:val="nil"/>
              <w:left w:val="nil"/>
              <w:bottom w:val="single" w:sz="4" w:space="0" w:color="262626"/>
              <w:right w:val="nil"/>
            </w:tcBorders>
            <w:shd w:val="clear" w:color="auto" w:fill="auto"/>
            <w:noWrap/>
            <w:vAlign w:val="center"/>
            <w:hideMark/>
          </w:tcPr>
          <w:p w14:paraId="7F68DFCA"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45,8</w:t>
            </w:r>
          </w:p>
        </w:tc>
        <w:tc>
          <w:tcPr>
            <w:tcW w:w="1118" w:type="dxa"/>
            <w:tcBorders>
              <w:top w:val="nil"/>
              <w:left w:val="nil"/>
              <w:bottom w:val="single" w:sz="4" w:space="0" w:color="262626"/>
              <w:right w:val="nil"/>
            </w:tcBorders>
            <w:shd w:val="clear" w:color="000000" w:fill="D9D9D9"/>
            <w:noWrap/>
            <w:vAlign w:val="center"/>
            <w:hideMark/>
          </w:tcPr>
          <w:p w14:paraId="755E510D"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185,0</w:t>
            </w:r>
          </w:p>
        </w:tc>
        <w:tc>
          <w:tcPr>
            <w:tcW w:w="1238" w:type="dxa"/>
            <w:tcBorders>
              <w:top w:val="nil"/>
              <w:left w:val="nil"/>
              <w:bottom w:val="single" w:sz="4" w:space="0" w:color="262626"/>
              <w:right w:val="nil"/>
            </w:tcBorders>
            <w:shd w:val="clear" w:color="auto" w:fill="auto"/>
            <w:noWrap/>
            <w:vAlign w:val="center"/>
            <w:hideMark/>
          </w:tcPr>
          <w:p w14:paraId="3E58458D"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58,8</w:t>
            </w:r>
          </w:p>
        </w:tc>
        <w:tc>
          <w:tcPr>
            <w:tcW w:w="1497" w:type="dxa"/>
            <w:tcBorders>
              <w:top w:val="nil"/>
              <w:left w:val="nil"/>
              <w:bottom w:val="single" w:sz="4" w:space="0" w:color="262626"/>
              <w:right w:val="nil"/>
            </w:tcBorders>
            <w:shd w:val="clear" w:color="000000" w:fill="D9D9D9"/>
            <w:noWrap/>
            <w:vAlign w:val="center"/>
            <w:hideMark/>
          </w:tcPr>
          <w:p w14:paraId="5B71065E"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38,2</w:t>
            </w:r>
          </w:p>
        </w:tc>
        <w:tc>
          <w:tcPr>
            <w:tcW w:w="1815" w:type="dxa"/>
            <w:tcBorders>
              <w:top w:val="nil"/>
              <w:left w:val="nil"/>
              <w:bottom w:val="single" w:sz="4" w:space="0" w:color="262626"/>
              <w:right w:val="nil"/>
            </w:tcBorders>
            <w:shd w:val="clear" w:color="auto" w:fill="auto"/>
            <w:noWrap/>
            <w:vAlign w:val="center"/>
            <w:hideMark/>
          </w:tcPr>
          <w:p w14:paraId="1A0E1D51"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151,7</w:t>
            </w:r>
          </w:p>
        </w:tc>
      </w:tr>
      <w:tr w:rsidR="007B5408" w14:paraId="22B600EF" w14:textId="77777777" w:rsidTr="007B5408">
        <w:trPr>
          <w:trHeight w:val="300"/>
        </w:trPr>
        <w:tc>
          <w:tcPr>
            <w:tcW w:w="1876" w:type="dxa"/>
            <w:tcBorders>
              <w:top w:val="nil"/>
              <w:left w:val="nil"/>
              <w:bottom w:val="single" w:sz="4" w:space="0" w:color="262626"/>
              <w:right w:val="nil"/>
            </w:tcBorders>
            <w:shd w:val="clear" w:color="auto" w:fill="auto"/>
            <w:noWrap/>
            <w:vAlign w:val="center"/>
            <w:hideMark/>
          </w:tcPr>
          <w:p w14:paraId="27572881" w14:textId="77777777" w:rsidR="007B5408" w:rsidRDefault="007B5408">
            <w:pPr>
              <w:rPr>
                <w:rFonts w:ascii="Arial Narrow" w:hAnsi="Arial Narrow" w:cs="Calibri"/>
                <w:color w:val="000000"/>
                <w:sz w:val="18"/>
                <w:szCs w:val="18"/>
              </w:rPr>
            </w:pPr>
            <w:r>
              <w:rPr>
                <w:rFonts w:ascii="Arial Narrow" w:hAnsi="Arial Narrow" w:cs="Calibri"/>
                <w:color w:val="000000"/>
                <w:sz w:val="18"/>
                <w:szCs w:val="18"/>
              </w:rPr>
              <w:t>Milano</w:t>
            </w:r>
          </w:p>
        </w:tc>
        <w:tc>
          <w:tcPr>
            <w:tcW w:w="1178" w:type="dxa"/>
            <w:tcBorders>
              <w:top w:val="nil"/>
              <w:left w:val="nil"/>
              <w:bottom w:val="single" w:sz="4" w:space="0" w:color="262626"/>
              <w:right w:val="nil"/>
            </w:tcBorders>
            <w:shd w:val="clear" w:color="000000" w:fill="D9D9D9"/>
            <w:noWrap/>
            <w:vAlign w:val="center"/>
            <w:hideMark/>
          </w:tcPr>
          <w:p w14:paraId="55B9A7B7"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94,5</w:t>
            </w:r>
          </w:p>
        </w:tc>
        <w:tc>
          <w:tcPr>
            <w:tcW w:w="918" w:type="dxa"/>
            <w:tcBorders>
              <w:top w:val="nil"/>
              <w:left w:val="nil"/>
              <w:bottom w:val="single" w:sz="4" w:space="0" w:color="262626"/>
              <w:right w:val="nil"/>
            </w:tcBorders>
            <w:shd w:val="clear" w:color="auto" w:fill="auto"/>
            <w:noWrap/>
            <w:vAlign w:val="center"/>
            <w:hideMark/>
          </w:tcPr>
          <w:p w14:paraId="4E6402ED"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45,0</w:t>
            </w:r>
          </w:p>
        </w:tc>
        <w:tc>
          <w:tcPr>
            <w:tcW w:w="1118" w:type="dxa"/>
            <w:tcBorders>
              <w:top w:val="nil"/>
              <w:left w:val="nil"/>
              <w:bottom w:val="single" w:sz="4" w:space="0" w:color="262626"/>
              <w:right w:val="nil"/>
            </w:tcBorders>
            <w:shd w:val="clear" w:color="000000" w:fill="D9D9D9"/>
            <w:noWrap/>
            <w:vAlign w:val="center"/>
            <w:hideMark/>
          </w:tcPr>
          <w:p w14:paraId="6DD12A11"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171,9</w:t>
            </w:r>
          </w:p>
        </w:tc>
        <w:tc>
          <w:tcPr>
            <w:tcW w:w="1238" w:type="dxa"/>
            <w:tcBorders>
              <w:top w:val="nil"/>
              <w:left w:val="nil"/>
              <w:bottom w:val="single" w:sz="4" w:space="0" w:color="262626"/>
              <w:right w:val="nil"/>
            </w:tcBorders>
            <w:shd w:val="clear" w:color="auto" w:fill="auto"/>
            <w:noWrap/>
            <w:vAlign w:val="center"/>
            <w:hideMark/>
          </w:tcPr>
          <w:p w14:paraId="0C47C491"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55,9</w:t>
            </w:r>
          </w:p>
        </w:tc>
        <w:tc>
          <w:tcPr>
            <w:tcW w:w="1497" w:type="dxa"/>
            <w:tcBorders>
              <w:top w:val="nil"/>
              <w:left w:val="nil"/>
              <w:bottom w:val="single" w:sz="4" w:space="0" w:color="262626"/>
              <w:right w:val="nil"/>
            </w:tcBorders>
            <w:shd w:val="clear" w:color="000000" w:fill="D9D9D9"/>
            <w:noWrap/>
            <w:vAlign w:val="center"/>
            <w:hideMark/>
          </w:tcPr>
          <w:p w14:paraId="384CA1DA"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35,3</w:t>
            </w:r>
          </w:p>
        </w:tc>
        <w:tc>
          <w:tcPr>
            <w:tcW w:w="1815" w:type="dxa"/>
            <w:tcBorders>
              <w:top w:val="nil"/>
              <w:left w:val="nil"/>
              <w:bottom w:val="single" w:sz="4" w:space="0" w:color="262626"/>
              <w:right w:val="nil"/>
            </w:tcBorders>
            <w:shd w:val="clear" w:color="auto" w:fill="auto"/>
            <w:noWrap/>
            <w:vAlign w:val="center"/>
            <w:hideMark/>
          </w:tcPr>
          <w:p w14:paraId="6EEA045B"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137,3</w:t>
            </w:r>
          </w:p>
        </w:tc>
      </w:tr>
      <w:tr w:rsidR="007B5408" w14:paraId="08671ACF" w14:textId="77777777" w:rsidTr="007B5408">
        <w:trPr>
          <w:trHeight w:val="300"/>
        </w:trPr>
        <w:tc>
          <w:tcPr>
            <w:tcW w:w="1876" w:type="dxa"/>
            <w:tcBorders>
              <w:top w:val="nil"/>
              <w:left w:val="nil"/>
              <w:bottom w:val="single" w:sz="4" w:space="0" w:color="262626"/>
              <w:right w:val="nil"/>
            </w:tcBorders>
            <w:shd w:val="clear" w:color="auto" w:fill="auto"/>
            <w:noWrap/>
            <w:vAlign w:val="center"/>
            <w:hideMark/>
          </w:tcPr>
          <w:p w14:paraId="3B4E9DA0" w14:textId="77777777" w:rsidR="007B5408" w:rsidRDefault="007B5408">
            <w:pPr>
              <w:rPr>
                <w:rFonts w:ascii="Arial Narrow" w:hAnsi="Arial Narrow" w:cs="Calibri"/>
                <w:color w:val="000000"/>
                <w:sz w:val="18"/>
                <w:szCs w:val="18"/>
              </w:rPr>
            </w:pPr>
            <w:r>
              <w:rPr>
                <w:rFonts w:ascii="Arial Narrow" w:hAnsi="Arial Narrow" w:cs="Calibri"/>
                <w:color w:val="000000"/>
                <w:sz w:val="18"/>
                <w:szCs w:val="18"/>
              </w:rPr>
              <w:t>Monza e della Brianza</w:t>
            </w:r>
          </w:p>
        </w:tc>
        <w:tc>
          <w:tcPr>
            <w:tcW w:w="1178" w:type="dxa"/>
            <w:tcBorders>
              <w:top w:val="nil"/>
              <w:left w:val="nil"/>
              <w:bottom w:val="single" w:sz="4" w:space="0" w:color="262626"/>
              <w:right w:val="nil"/>
            </w:tcBorders>
            <w:shd w:val="clear" w:color="000000" w:fill="D9D9D9"/>
            <w:noWrap/>
            <w:vAlign w:val="center"/>
            <w:hideMark/>
          </w:tcPr>
          <w:p w14:paraId="5201E3EE"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96,1</w:t>
            </w:r>
          </w:p>
        </w:tc>
        <w:tc>
          <w:tcPr>
            <w:tcW w:w="918" w:type="dxa"/>
            <w:tcBorders>
              <w:top w:val="nil"/>
              <w:left w:val="nil"/>
              <w:bottom w:val="single" w:sz="4" w:space="0" w:color="262626"/>
              <w:right w:val="nil"/>
            </w:tcBorders>
            <w:shd w:val="clear" w:color="auto" w:fill="auto"/>
            <w:noWrap/>
            <w:vAlign w:val="center"/>
            <w:hideMark/>
          </w:tcPr>
          <w:p w14:paraId="2D921560"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45,0</w:t>
            </w:r>
          </w:p>
        </w:tc>
        <w:tc>
          <w:tcPr>
            <w:tcW w:w="1118" w:type="dxa"/>
            <w:tcBorders>
              <w:top w:val="nil"/>
              <w:left w:val="nil"/>
              <w:bottom w:val="single" w:sz="4" w:space="0" w:color="262626"/>
              <w:right w:val="nil"/>
            </w:tcBorders>
            <w:shd w:val="clear" w:color="000000" w:fill="D9D9D9"/>
            <w:noWrap/>
            <w:vAlign w:val="center"/>
            <w:hideMark/>
          </w:tcPr>
          <w:p w14:paraId="584ADDA3"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167,0</w:t>
            </w:r>
          </w:p>
        </w:tc>
        <w:tc>
          <w:tcPr>
            <w:tcW w:w="1238" w:type="dxa"/>
            <w:tcBorders>
              <w:top w:val="nil"/>
              <w:left w:val="nil"/>
              <w:bottom w:val="single" w:sz="4" w:space="0" w:color="262626"/>
              <w:right w:val="nil"/>
            </w:tcBorders>
            <w:shd w:val="clear" w:color="auto" w:fill="auto"/>
            <w:noWrap/>
            <w:vAlign w:val="center"/>
            <w:hideMark/>
          </w:tcPr>
          <w:p w14:paraId="4B25A748"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57,2</w:t>
            </w:r>
          </w:p>
        </w:tc>
        <w:tc>
          <w:tcPr>
            <w:tcW w:w="1497" w:type="dxa"/>
            <w:tcBorders>
              <w:top w:val="nil"/>
              <w:left w:val="nil"/>
              <w:bottom w:val="single" w:sz="4" w:space="0" w:color="262626"/>
              <w:right w:val="nil"/>
            </w:tcBorders>
            <w:shd w:val="clear" w:color="000000" w:fill="D9D9D9"/>
            <w:noWrap/>
            <w:vAlign w:val="center"/>
            <w:hideMark/>
          </w:tcPr>
          <w:p w14:paraId="7E8F52AA"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35,8</w:t>
            </w:r>
          </w:p>
        </w:tc>
        <w:tc>
          <w:tcPr>
            <w:tcW w:w="1815" w:type="dxa"/>
            <w:tcBorders>
              <w:top w:val="nil"/>
              <w:left w:val="nil"/>
              <w:bottom w:val="single" w:sz="4" w:space="0" w:color="262626"/>
              <w:right w:val="nil"/>
            </w:tcBorders>
            <w:shd w:val="clear" w:color="auto" w:fill="auto"/>
            <w:noWrap/>
            <w:vAlign w:val="center"/>
            <w:hideMark/>
          </w:tcPr>
          <w:p w14:paraId="5B6337F8"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148,6</w:t>
            </w:r>
          </w:p>
        </w:tc>
      </w:tr>
      <w:tr w:rsidR="007B5408" w14:paraId="5F65F081" w14:textId="77777777" w:rsidTr="007B5408">
        <w:trPr>
          <w:trHeight w:val="300"/>
        </w:trPr>
        <w:tc>
          <w:tcPr>
            <w:tcW w:w="1876" w:type="dxa"/>
            <w:tcBorders>
              <w:top w:val="nil"/>
              <w:left w:val="nil"/>
              <w:bottom w:val="single" w:sz="4" w:space="0" w:color="262626"/>
              <w:right w:val="nil"/>
            </w:tcBorders>
            <w:shd w:val="clear" w:color="auto" w:fill="auto"/>
            <w:noWrap/>
            <w:vAlign w:val="center"/>
            <w:hideMark/>
          </w:tcPr>
          <w:p w14:paraId="767C3862" w14:textId="77777777" w:rsidR="007B5408" w:rsidRDefault="007B5408">
            <w:pPr>
              <w:rPr>
                <w:rFonts w:ascii="Arial Narrow" w:hAnsi="Arial Narrow" w:cs="Calibri"/>
                <w:color w:val="000000"/>
                <w:sz w:val="18"/>
                <w:szCs w:val="18"/>
              </w:rPr>
            </w:pPr>
            <w:r>
              <w:rPr>
                <w:rFonts w:ascii="Arial Narrow" w:hAnsi="Arial Narrow" w:cs="Calibri"/>
                <w:color w:val="000000"/>
                <w:sz w:val="18"/>
                <w:szCs w:val="18"/>
              </w:rPr>
              <w:t>Pavia</w:t>
            </w:r>
          </w:p>
        </w:tc>
        <w:tc>
          <w:tcPr>
            <w:tcW w:w="1178" w:type="dxa"/>
            <w:tcBorders>
              <w:top w:val="nil"/>
              <w:left w:val="nil"/>
              <w:bottom w:val="single" w:sz="4" w:space="0" w:color="262626"/>
              <w:right w:val="nil"/>
            </w:tcBorders>
            <w:shd w:val="clear" w:color="000000" w:fill="D9D9D9"/>
            <w:noWrap/>
            <w:vAlign w:val="center"/>
            <w:hideMark/>
          </w:tcPr>
          <w:p w14:paraId="168C08DB"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95,9</w:t>
            </w:r>
          </w:p>
        </w:tc>
        <w:tc>
          <w:tcPr>
            <w:tcW w:w="918" w:type="dxa"/>
            <w:tcBorders>
              <w:top w:val="nil"/>
              <w:left w:val="nil"/>
              <w:bottom w:val="single" w:sz="4" w:space="0" w:color="262626"/>
              <w:right w:val="nil"/>
            </w:tcBorders>
            <w:shd w:val="clear" w:color="auto" w:fill="auto"/>
            <w:noWrap/>
            <w:vAlign w:val="center"/>
            <w:hideMark/>
          </w:tcPr>
          <w:p w14:paraId="153C79C6"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46,6</w:t>
            </w:r>
          </w:p>
        </w:tc>
        <w:tc>
          <w:tcPr>
            <w:tcW w:w="1118" w:type="dxa"/>
            <w:tcBorders>
              <w:top w:val="nil"/>
              <w:left w:val="nil"/>
              <w:bottom w:val="single" w:sz="4" w:space="0" w:color="262626"/>
              <w:right w:val="nil"/>
            </w:tcBorders>
            <w:shd w:val="clear" w:color="000000" w:fill="D9D9D9"/>
            <w:noWrap/>
            <w:vAlign w:val="center"/>
            <w:hideMark/>
          </w:tcPr>
          <w:p w14:paraId="4C186DF5"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203,9</w:t>
            </w:r>
          </w:p>
        </w:tc>
        <w:tc>
          <w:tcPr>
            <w:tcW w:w="1238" w:type="dxa"/>
            <w:tcBorders>
              <w:top w:val="nil"/>
              <w:left w:val="nil"/>
              <w:bottom w:val="single" w:sz="4" w:space="0" w:color="262626"/>
              <w:right w:val="nil"/>
            </w:tcBorders>
            <w:shd w:val="clear" w:color="auto" w:fill="auto"/>
            <w:noWrap/>
            <w:vAlign w:val="center"/>
            <w:hideMark/>
          </w:tcPr>
          <w:p w14:paraId="603F1F5A"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58,4</w:t>
            </w:r>
          </w:p>
        </w:tc>
        <w:tc>
          <w:tcPr>
            <w:tcW w:w="1497" w:type="dxa"/>
            <w:tcBorders>
              <w:top w:val="nil"/>
              <w:left w:val="nil"/>
              <w:bottom w:val="single" w:sz="4" w:space="0" w:color="262626"/>
              <w:right w:val="nil"/>
            </w:tcBorders>
            <w:shd w:val="clear" w:color="000000" w:fill="D9D9D9"/>
            <w:noWrap/>
            <w:vAlign w:val="center"/>
            <w:hideMark/>
          </w:tcPr>
          <w:p w14:paraId="70A2A73E"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39,2</w:t>
            </w:r>
          </w:p>
        </w:tc>
        <w:tc>
          <w:tcPr>
            <w:tcW w:w="1815" w:type="dxa"/>
            <w:tcBorders>
              <w:top w:val="nil"/>
              <w:left w:val="nil"/>
              <w:bottom w:val="single" w:sz="4" w:space="0" w:color="262626"/>
              <w:right w:val="nil"/>
            </w:tcBorders>
            <w:shd w:val="clear" w:color="auto" w:fill="auto"/>
            <w:noWrap/>
            <w:vAlign w:val="center"/>
            <w:hideMark/>
          </w:tcPr>
          <w:p w14:paraId="2AF6F6C7"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155,5</w:t>
            </w:r>
          </w:p>
        </w:tc>
      </w:tr>
      <w:tr w:rsidR="007B5408" w14:paraId="2E0E93A2" w14:textId="77777777" w:rsidTr="007B5408">
        <w:trPr>
          <w:trHeight w:val="300"/>
        </w:trPr>
        <w:tc>
          <w:tcPr>
            <w:tcW w:w="1876" w:type="dxa"/>
            <w:tcBorders>
              <w:top w:val="nil"/>
              <w:left w:val="nil"/>
              <w:bottom w:val="single" w:sz="4" w:space="0" w:color="262626"/>
              <w:right w:val="nil"/>
            </w:tcBorders>
            <w:shd w:val="clear" w:color="auto" w:fill="auto"/>
            <w:noWrap/>
            <w:vAlign w:val="center"/>
            <w:hideMark/>
          </w:tcPr>
          <w:p w14:paraId="64C87840" w14:textId="77777777" w:rsidR="007B5408" w:rsidRDefault="007B5408">
            <w:pPr>
              <w:rPr>
                <w:rFonts w:ascii="Arial Narrow" w:hAnsi="Arial Narrow" w:cs="Calibri"/>
                <w:color w:val="000000"/>
                <w:sz w:val="18"/>
                <w:szCs w:val="18"/>
              </w:rPr>
            </w:pPr>
            <w:r>
              <w:rPr>
                <w:rFonts w:ascii="Arial Narrow" w:hAnsi="Arial Narrow" w:cs="Calibri"/>
                <w:color w:val="000000"/>
                <w:sz w:val="18"/>
                <w:szCs w:val="18"/>
              </w:rPr>
              <w:t>Sondrio</w:t>
            </w:r>
          </w:p>
        </w:tc>
        <w:tc>
          <w:tcPr>
            <w:tcW w:w="1178" w:type="dxa"/>
            <w:tcBorders>
              <w:top w:val="nil"/>
              <w:left w:val="nil"/>
              <w:bottom w:val="single" w:sz="4" w:space="0" w:color="262626"/>
              <w:right w:val="nil"/>
            </w:tcBorders>
            <w:shd w:val="clear" w:color="000000" w:fill="D9D9D9"/>
            <w:noWrap/>
            <w:vAlign w:val="center"/>
            <w:hideMark/>
          </w:tcPr>
          <w:p w14:paraId="79BA24F6"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97,0</w:t>
            </w:r>
          </w:p>
        </w:tc>
        <w:tc>
          <w:tcPr>
            <w:tcW w:w="918" w:type="dxa"/>
            <w:tcBorders>
              <w:top w:val="nil"/>
              <w:left w:val="nil"/>
              <w:bottom w:val="single" w:sz="4" w:space="0" w:color="262626"/>
              <w:right w:val="nil"/>
            </w:tcBorders>
            <w:shd w:val="clear" w:color="auto" w:fill="auto"/>
            <w:noWrap/>
            <w:vAlign w:val="center"/>
            <w:hideMark/>
          </w:tcPr>
          <w:p w14:paraId="7528D8EA"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45,9</w:t>
            </w:r>
          </w:p>
        </w:tc>
        <w:tc>
          <w:tcPr>
            <w:tcW w:w="1118" w:type="dxa"/>
            <w:tcBorders>
              <w:top w:val="nil"/>
              <w:left w:val="nil"/>
              <w:bottom w:val="single" w:sz="4" w:space="0" w:color="262626"/>
              <w:right w:val="nil"/>
            </w:tcBorders>
            <w:shd w:val="clear" w:color="000000" w:fill="D9D9D9"/>
            <w:noWrap/>
            <w:vAlign w:val="center"/>
            <w:hideMark/>
          </w:tcPr>
          <w:p w14:paraId="3B168A69"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189,6</w:t>
            </w:r>
          </w:p>
        </w:tc>
        <w:tc>
          <w:tcPr>
            <w:tcW w:w="1238" w:type="dxa"/>
            <w:tcBorders>
              <w:top w:val="nil"/>
              <w:left w:val="nil"/>
              <w:bottom w:val="single" w:sz="4" w:space="0" w:color="262626"/>
              <w:right w:val="nil"/>
            </w:tcBorders>
            <w:shd w:val="clear" w:color="auto" w:fill="auto"/>
            <w:noWrap/>
            <w:vAlign w:val="center"/>
            <w:hideMark/>
          </w:tcPr>
          <w:p w14:paraId="6AC8AC4B"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58,4</w:t>
            </w:r>
          </w:p>
        </w:tc>
        <w:tc>
          <w:tcPr>
            <w:tcW w:w="1497" w:type="dxa"/>
            <w:tcBorders>
              <w:top w:val="nil"/>
              <w:left w:val="nil"/>
              <w:bottom w:val="single" w:sz="4" w:space="0" w:color="262626"/>
              <w:right w:val="nil"/>
            </w:tcBorders>
            <w:shd w:val="clear" w:color="000000" w:fill="D9D9D9"/>
            <w:noWrap/>
            <w:vAlign w:val="center"/>
            <w:hideMark/>
          </w:tcPr>
          <w:p w14:paraId="2F86A465"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38,3</w:t>
            </w:r>
          </w:p>
        </w:tc>
        <w:tc>
          <w:tcPr>
            <w:tcW w:w="1815" w:type="dxa"/>
            <w:tcBorders>
              <w:top w:val="nil"/>
              <w:left w:val="nil"/>
              <w:bottom w:val="single" w:sz="4" w:space="0" w:color="262626"/>
              <w:right w:val="nil"/>
            </w:tcBorders>
            <w:shd w:val="clear" w:color="auto" w:fill="auto"/>
            <w:noWrap/>
            <w:vAlign w:val="center"/>
            <w:hideMark/>
          </w:tcPr>
          <w:p w14:paraId="5B5D86F0"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147,4</w:t>
            </w:r>
          </w:p>
        </w:tc>
      </w:tr>
      <w:tr w:rsidR="007B5408" w14:paraId="265CCF49" w14:textId="77777777" w:rsidTr="007B5408">
        <w:trPr>
          <w:trHeight w:val="300"/>
        </w:trPr>
        <w:tc>
          <w:tcPr>
            <w:tcW w:w="1876" w:type="dxa"/>
            <w:tcBorders>
              <w:top w:val="nil"/>
              <w:left w:val="nil"/>
              <w:bottom w:val="single" w:sz="4" w:space="0" w:color="262626"/>
              <w:right w:val="nil"/>
            </w:tcBorders>
            <w:shd w:val="clear" w:color="auto" w:fill="auto"/>
            <w:noWrap/>
            <w:vAlign w:val="center"/>
            <w:hideMark/>
          </w:tcPr>
          <w:p w14:paraId="00427DA8" w14:textId="77777777" w:rsidR="007B5408" w:rsidRDefault="007B5408">
            <w:pPr>
              <w:rPr>
                <w:rFonts w:ascii="Arial Narrow" w:hAnsi="Arial Narrow" w:cs="Calibri"/>
                <w:color w:val="000000"/>
                <w:sz w:val="18"/>
                <w:szCs w:val="18"/>
              </w:rPr>
            </w:pPr>
            <w:r>
              <w:rPr>
                <w:rFonts w:ascii="Arial Narrow" w:hAnsi="Arial Narrow" w:cs="Calibri"/>
                <w:color w:val="000000"/>
                <w:sz w:val="18"/>
                <w:szCs w:val="18"/>
              </w:rPr>
              <w:t>Varese</w:t>
            </w:r>
          </w:p>
        </w:tc>
        <w:tc>
          <w:tcPr>
            <w:tcW w:w="1178" w:type="dxa"/>
            <w:tcBorders>
              <w:top w:val="nil"/>
              <w:left w:val="nil"/>
              <w:bottom w:val="single" w:sz="4" w:space="0" w:color="262626"/>
              <w:right w:val="nil"/>
            </w:tcBorders>
            <w:shd w:val="clear" w:color="000000" w:fill="D9D9D9"/>
            <w:noWrap/>
            <w:vAlign w:val="center"/>
            <w:hideMark/>
          </w:tcPr>
          <w:p w14:paraId="11DB344E"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95,1</w:t>
            </w:r>
          </w:p>
        </w:tc>
        <w:tc>
          <w:tcPr>
            <w:tcW w:w="918" w:type="dxa"/>
            <w:tcBorders>
              <w:top w:val="nil"/>
              <w:left w:val="nil"/>
              <w:bottom w:val="single" w:sz="4" w:space="0" w:color="262626"/>
              <w:right w:val="nil"/>
            </w:tcBorders>
            <w:shd w:val="clear" w:color="auto" w:fill="auto"/>
            <w:noWrap/>
            <w:vAlign w:val="center"/>
            <w:hideMark/>
          </w:tcPr>
          <w:p w14:paraId="21725680"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45,7</w:t>
            </w:r>
          </w:p>
        </w:tc>
        <w:tc>
          <w:tcPr>
            <w:tcW w:w="1118" w:type="dxa"/>
            <w:tcBorders>
              <w:top w:val="nil"/>
              <w:left w:val="nil"/>
              <w:bottom w:val="single" w:sz="4" w:space="0" w:color="262626"/>
              <w:right w:val="nil"/>
            </w:tcBorders>
            <w:shd w:val="clear" w:color="000000" w:fill="D9D9D9"/>
            <w:noWrap/>
            <w:vAlign w:val="center"/>
            <w:hideMark/>
          </w:tcPr>
          <w:p w14:paraId="3A6D3D41"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183,5</w:t>
            </w:r>
          </w:p>
        </w:tc>
        <w:tc>
          <w:tcPr>
            <w:tcW w:w="1238" w:type="dxa"/>
            <w:tcBorders>
              <w:top w:val="nil"/>
              <w:left w:val="nil"/>
              <w:bottom w:val="single" w:sz="4" w:space="0" w:color="262626"/>
              <w:right w:val="nil"/>
            </w:tcBorders>
            <w:shd w:val="clear" w:color="auto" w:fill="auto"/>
            <w:noWrap/>
            <w:vAlign w:val="center"/>
            <w:hideMark/>
          </w:tcPr>
          <w:p w14:paraId="0BD3C0FB"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59,4</w:t>
            </w:r>
          </w:p>
        </w:tc>
        <w:tc>
          <w:tcPr>
            <w:tcW w:w="1497" w:type="dxa"/>
            <w:tcBorders>
              <w:top w:val="nil"/>
              <w:left w:val="nil"/>
              <w:bottom w:val="single" w:sz="4" w:space="0" w:color="262626"/>
              <w:right w:val="nil"/>
            </w:tcBorders>
            <w:shd w:val="clear" w:color="000000" w:fill="D9D9D9"/>
            <w:noWrap/>
            <w:vAlign w:val="center"/>
            <w:hideMark/>
          </w:tcPr>
          <w:p w14:paraId="559F12E8"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38,4</w:t>
            </w:r>
          </w:p>
        </w:tc>
        <w:tc>
          <w:tcPr>
            <w:tcW w:w="1815" w:type="dxa"/>
            <w:tcBorders>
              <w:top w:val="nil"/>
              <w:left w:val="nil"/>
              <w:bottom w:val="single" w:sz="4" w:space="0" w:color="262626"/>
              <w:right w:val="nil"/>
            </w:tcBorders>
            <w:shd w:val="clear" w:color="auto" w:fill="auto"/>
            <w:noWrap/>
            <w:vAlign w:val="center"/>
            <w:hideMark/>
          </w:tcPr>
          <w:p w14:paraId="52A53130" w14:textId="77777777" w:rsidR="007B5408" w:rsidRDefault="007B5408">
            <w:pPr>
              <w:jc w:val="right"/>
              <w:rPr>
                <w:rFonts w:ascii="Arial Narrow" w:hAnsi="Arial Narrow" w:cs="Calibri"/>
                <w:color w:val="000000"/>
                <w:sz w:val="18"/>
                <w:szCs w:val="18"/>
              </w:rPr>
            </w:pPr>
            <w:r>
              <w:rPr>
                <w:rFonts w:ascii="Arial Narrow" w:hAnsi="Arial Narrow" w:cs="Calibri"/>
                <w:color w:val="000000"/>
                <w:sz w:val="18"/>
                <w:szCs w:val="18"/>
              </w:rPr>
              <w:t>149,3</w:t>
            </w:r>
          </w:p>
        </w:tc>
      </w:tr>
      <w:tr w:rsidR="007B5408" w14:paraId="430DF956" w14:textId="77777777" w:rsidTr="007B5408">
        <w:trPr>
          <w:trHeight w:val="300"/>
        </w:trPr>
        <w:tc>
          <w:tcPr>
            <w:tcW w:w="1876" w:type="dxa"/>
            <w:tcBorders>
              <w:top w:val="single" w:sz="4" w:space="0" w:color="262626"/>
              <w:left w:val="nil"/>
              <w:bottom w:val="single" w:sz="4" w:space="0" w:color="262626"/>
              <w:right w:val="nil"/>
            </w:tcBorders>
            <w:shd w:val="clear" w:color="000000" w:fill="C9321F"/>
            <w:noWrap/>
            <w:vAlign w:val="center"/>
            <w:hideMark/>
          </w:tcPr>
          <w:p w14:paraId="5188FCFC" w14:textId="77777777" w:rsidR="007B5408" w:rsidRDefault="007B5408">
            <w:pPr>
              <w:rPr>
                <w:rFonts w:ascii="Arial Narrow" w:hAnsi="Arial Narrow" w:cs="Calibri"/>
                <w:b/>
                <w:bCs/>
                <w:color w:val="FFFFFF"/>
                <w:sz w:val="18"/>
                <w:szCs w:val="18"/>
              </w:rPr>
            </w:pPr>
            <w:r>
              <w:rPr>
                <w:rFonts w:ascii="Arial Narrow" w:hAnsi="Arial Narrow" w:cs="Calibri"/>
                <w:b/>
                <w:bCs/>
                <w:color w:val="FFFFFF"/>
                <w:sz w:val="18"/>
                <w:szCs w:val="18"/>
              </w:rPr>
              <w:t>LOMBARDIA</w:t>
            </w:r>
          </w:p>
        </w:tc>
        <w:tc>
          <w:tcPr>
            <w:tcW w:w="1178" w:type="dxa"/>
            <w:tcBorders>
              <w:top w:val="single" w:sz="4" w:space="0" w:color="262626"/>
              <w:left w:val="nil"/>
              <w:bottom w:val="single" w:sz="4" w:space="0" w:color="262626"/>
              <w:right w:val="nil"/>
            </w:tcBorders>
            <w:shd w:val="clear" w:color="000000" w:fill="C9321F"/>
            <w:noWrap/>
            <w:vAlign w:val="center"/>
            <w:hideMark/>
          </w:tcPr>
          <w:p w14:paraId="0F5E24BE" w14:textId="77777777" w:rsidR="007B5408" w:rsidRDefault="007B5408">
            <w:pPr>
              <w:jc w:val="right"/>
              <w:rPr>
                <w:rFonts w:ascii="Arial Narrow" w:hAnsi="Arial Narrow" w:cs="Calibri"/>
                <w:b/>
                <w:bCs/>
                <w:color w:val="FFFFFF"/>
                <w:sz w:val="18"/>
                <w:szCs w:val="18"/>
              </w:rPr>
            </w:pPr>
            <w:r>
              <w:rPr>
                <w:rFonts w:ascii="Arial Narrow" w:hAnsi="Arial Narrow" w:cs="Calibri"/>
                <w:b/>
                <w:bCs/>
                <w:color w:val="FFFFFF"/>
                <w:sz w:val="18"/>
                <w:szCs w:val="18"/>
              </w:rPr>
              <w:t>96,3</w:t>
            </w:r>
          </w:p>
        </w:tc>
        <w:tc>
          <w:tcPr>
            <w:tcW w:w="918" w:type="dxa"/>
            <w:tcBorders>
              <w:top w:val="single" w:sz="4" w:space="0" w:color="262626"/>
              <w:left w:val="nil"/>
              <w:bottom w:val="single" w:sz="4" w:space="0" w:color="262626"/>
              <w:right w:val="nil"/>
            </w:tcBorders>
            <w:shd w:val="clear" w:color="000000" w:fill="C9321F"/>
            <w:noWrap/>
            <w:vAlign w:val="center"/>
            <w:hideMark/>
          </w:tcPr>
          <w:p w14:paraId="29B454A8" w14:textId="77777777" w:rsidR="007B5408" w:rsidRDefault="007B5408">
            <w:pPr>
              <w:jc w:val="right"/>
              <w:rPr>
                <w:rFonts w:ascii="Arial Narrow" w:hAnsi="Arial Narrow" w:cs="Calibri"/>
                <w:b/>
                <w:bCs/>
                <w:color w:val="FFFFFF"/>
                <w:sz w:val="18"/>
                <w:szCs w:val="18"/>
              </w:rPr>
            </w:pPr>
            <w:r>
              <w:rPr>
                <w:rFonts w:ascii="Arial Narrow" w:hAnsi="Arial Narrow" w:cs="Calibri"/>
                <w:b/>
                <w:bCs/>
                <w:color w:val="FFFFFF"/>
                <w:sz w:val="18"/>
                <w:szCs w:val="18"/>
              </w:rPr>
              <w:t>45,1</w:t>
            </w:r>
          </w:p>
        </w:tc>
        <w:tc>
          <w:tcPr>
            <w:tcW w:w="1118" w:type="dxa"/>
            <w:tcBorders>
              <w:top w:val="single" w:sz="4" w:space="0" w:color="262626"/>
              <w:left w:val="nil"/>
              <w:bottom w:val="single" w:sz="4" w:space="0" w:color="262626"/>
              <w:right w:val="nil"/>
            </w:tcBorders>
            <w:shd w:val="clear" w:color="000000" w:fill="C9321F"/>
            <w:noWrap/>
            <w:vAlign w:val="center"/>
            <w:hideMark/>
          </w:tcPr>
          <w:p w14:paraId="06207D63" w14:textId="77777777" w:rsidR="007B5408" w:rsidRDefault="007B5408">
            <w:pPr>
              <w:jc w:val="right"/>
              <w:rPr>
                <w:rFonts w:ascii="Arial Narrow" w:hAnsi="Arial Narrow" w:cs="Calibri"/>
                <w:b/>
                <w:bCs/>
                <w:color w:val="FFFFFF"/>
                <w:sz w:val="18"/>
                <w:szCs w:val="18"/>
              </w:rPr>
            </w:pPr>
            <w:r>
              <w:rPr>
                <w:rFonts w:ascii="Arial Narrow" w:hAnsi="Arial Narrow" w:cs="Calibri"/>
                <w:b/>
                <w:bCs/>
                <w:color w:val="FFFFFF"/>
                <w:sz w:val="18"/>
                <w:szCs w:val="18"/>
              </w:rPr>
              <w:t>172,3</w:t>
            </w:r>
          </w:p>
        </w:tc>
        <w:tc>
          <w:tcPr>
            <w:tcW w:w="1238" w:type="dxa"/>
            <w:tcBorders>
              <w:top w:val="single" w:sz="4" w:space="0" w:color="262626"/>
              <w:left w:val="nil"/>
              <w:bottom w:val="single" w:sz="4" w:space="0" w:color="262626"/>
              <w:right w:val="nil"/>
            </w:tcBorders>
            <w:shd w:val="clear" w:color="000000" w:fill="C9321F"/>
            <w:noWrap/>
            <w:vAlign w:val="center"/>
            <w:hideMark/>
          </w:tcPr>
          <w:p w14:paraId="2776F5F7" w14:textId="77777777" w:rsidR="007B5408" w:rsidRDefault="007B5408">
            <w:pPr>
              <w:jc w:val="right"/>
              <w:rPr>
                <w:rFonts w:ascii="Arial Narrow" w:hAnsi="Arial Narrow" w:cs="Calibri"/>
                <w:b/>
                <w:bCs/>
                <w:color w:val="FFFFFF"/>
                <w:sz w:val="18"/>
                <w:szCs w:val="18"/>
              </w:rPr>
            </w:pPr>
            <w:r>
              <w:rPr>
                <w:rFonts w:ascii="Arial Narrow" w:hAnsi="Arial Narrow" w:cs="Calibri"/>
                <w:b/>
                <w:bCs/>
                <w:color w:val="FFFFFF"/>
                <w:sz w:val="18"/>
                <w:szCs w:val="18"/>
              </w:rPr>
              <w:t>56,7</w:t>
            </w:r>
          </w:p>
        </w:tc>
        <w:tc>
          <w:tcPr>
            <w:tcW w:w="1497" w:type="dxa"/>
            <w:tcBorders>
              <w:top w:val="single" w:sz="4" w:space="0" w:color="262626"/>
              <w:left w:val="nil"/>
              <w:bottom w:val="single" w:sz="4" w:space="0" w:color="262626"/>
              <w:right w:val="nil"/>
            </w:tcBorders>
            <w:shd w:val="clear" w:color="000000" w:fill="C9321F"/>
            <w:noWrap/>
            <w:vAlign w:val="center"/>
            <w:hideMark/>
          </w:tcPr>
          <w:p w14:paraId="19C6C4A6" w14:textId="77777777" w:rsidR="007B5408" w:rsidRDefault="007B5408">
            <w:pPr>
              <w:jc w:val="right"/>
              <w:rPr>
                <w:rFonts w:ascii="Arial Narrow" w:hAnsi="Arial Narrow" w:cs="Calibri"/>
                <w:b/>
                <w:bCs/>
                <w:color w:val="FFFFFF"/>
                <w:sz w:val="18"/>
                <w:szCs w:val="18"/>
              </w:rPr>
            </w:pPr>
            <w:r>
              <w:rPr>
                <w:rFonts w:ascii="Arial Narrow" w:hAnsi="Arial Narrow" w:cs="Calibri"/>
                <w:b/>
                <w:bCs/>
                <w:color w:val="FFFFFF"/>
                <w:sz w:val="18"/>
                <w:szCs w:val="18"/>
              </w:rPr>
              <w:t>35,9</w:t>
            </w:r>
          </w:p>
        </w:tc>
        <w:tc>
          <w:tcPr>
            <w:tcW w:w="1815" w:type="dxa"/>
            <w:tcBorders>
              <w:top w:val="single" w:sz="4" w:space="0" w:color="262626"/>
              <w:left w:val="nil"/>
              <w:bottom w:val="single" w:sz="4" w:space="0" w:color="262626"/>
              <w:right w:val="nil"/>
            </w:tcBorders>
            <w:shd w:val="clear" w:color="000000" w:fill="C9321F"/>
            <w:noWrap/>
            <w:vAlign w:val="center"/>
            <w:hideMark/>
          </w:tcPr>
          <w:p w14:paraId="7972C574" w14:textId="77777777" w:rsidR="007B5408" w:rsidRDefault="007B5408">
            <w:pPr>
              <w:jc w:val="right"/>
              <w:rPr>
                <w:rFonts w:ascii="Arial Narrow" w:hAnsi="Arial Narrow" w:cs="Calibri"/>
                <w:b/>
                <w:bCs/>
                <w:color w:val="FFFFFF"/>
                <w:sz w:val="18"/>
                <w:szCs w:val="18"/>
              </w:rPr>
            </w:pPr>
            <w:r>
              <w:rPr>
                <w:rFonts w:ascii="Arial Narrow" w:hAnsi="Arial Narrow" w:cs="Calibri"/>
                <w:b/>
                <w:bCs/>
                <w:color w:val="FFFFFF"/>
                <w:sz w:val="18"/>
                <w:szCs w:val="18"/>
              </w:rPr>
              <w:t>143,3</w:t>
            </w:r>
          </w:p>
        </w:tc>
      </w:tr>
      <w:tr w:rsidR="007B5408" w14:paraId="08D28B85" w14:textId="77777777" w:rsidTr="007B5408">
        <w:trPr>
          <w:trHeight w:val="300"/>
        </w:trPr>
        <w:tc>
          <w:tcPr>
            <w:tcW w:w="1876" w:type="dxa"/>
            <w:tcBorders>
              <w:top w:val="single" w:sz="4" w:space="0" w:color="262626"/>
              <w:left w:val="nil"/>
              <w:bottom w:val="single" w:sz="4" w:space="0" w:color="262626"/>
              <w:right w:val="nil"/>
            </w:tcBorders>
            <w:shd w:val="clear" w:color="000000" w:fill="C9321F"/>
            <w:noWrap/>
            <w:vAlign w:val="center"/>
            <w:hideMark/>
          </w:tcPr>
          <w:p w14:paraId="0A233E60" w14:textId="77777777" w:rsidR="007B5408" w:rsidRDefault="007B5408">
            <w:pPr>
              <w:rPr>
                <w:rFonts w:ascii="Arial Narrow" w:hAnsi="Arial Narrow" w:cs="Calibri"/>
                <w:b/>
                <w:bCs/>
                <w:color w:val="FFFFFF"/>
                <w:sz w:val="18"/>
                <w:szCs w:val="18"/>
              </w:rPr>
            </w:pPr>
            <w:r>
              <w:rPr>
                <w:rFonts w:ascii="Arial Narrow" w:hAnsi="Arial Narrow" w:cs="Calibri"/>
                <w:b/>
                <w:bCs/>
                <w:color w:val="FFFFFF"/>
                <w:sz w:val="18"/>
                <w:szCs w:val="18"/>
              </w:rPr>
              <w:t>ITALIA</w:t>
            </w:r>
          </w:p>
        </w:tc>
        <w:tc>
          <w:tcPr>
            <w:tcW w:w="1178" w:type="dxa"/>
            <w:tcBorders>
              <w:top w:val="single" w:sz="4" w:space="0" w:color="262626"/>
              <w:left w:val="nil"/>
              <w:bottom w:val="single" w:sz="4" w:space="0" w:color="262626"/>
              <w:right w:val="nil"/>
            </w:tcBorders>
            <w:shd w:val="clear" w:color="000000" w:fill="C9321F"/>
            <w:noWrap/>
            <w:vAlign w:val="center"/>
            <w:hideMark/>
          </w:tcPr>
          <w:p w14:paraId="051C8C18" w14:textId="77777777" w:rsidR="007B5408" w:rsidRDefault="007B5408">
            <w:pPr>
              <w:jc w:val="right"/>
              <w:rPr>
                <w:rFonts w:ascii="Arial Narrow" w:hAnsi="Arial Narrow" w:cs="Calibri"/>
                <w:b/>
                <w:bCs/>
                <w:color w:val="FFFFFF"/>
                <w:sz w:val="18"/>
                <w:szCs w:val="18"/>
              </w:rPr>
            </w:pPr>
            <w:r>
              <w:rPr>
                <w:rFonts w:ascii="Arial Narrow" w:hAnsi="Arial Narrow" w:cs="Calibri"/>
                <w:b/>
                <w:bCs/>
                <w:color w:val="FFFFFF"/>
                <w:sz w:val="18"/>
                <w:szCs w:val="18"/>
              </w:rPr>
              <w:t>95,0</w:t>
            </w:r>
          </w:p>
        </w:tc>
        <w:tc>
          <w:tcPr>
            <w:tcW w:w="918" w:type="dxa"/>
            <w:tcBorders>
              <w:top w:val="single" w:sz="4" w:space="0" w:color="262626"/>
              <w:left w:val="nil"/>
              <w:bottom w:val="single" w:sz="4" w:space="0" w:color="262626"/>
              <w:right w:val="nil"/>
            </w:tcBorders>
            <w:shd w:val="clear" w:color="000000" w:fill="C9321F"/>
            <w:noWrap/>
            <w:vAlign w:val="center"/>
            <w:hideMark/>
          </w:tcPr>
          <w:p w14:paraId="3337366F" w14:textId="77777777" w:rsidR="007B5408" w:rsidRDefault="007B5408">
            <w:pPr>
              <w:jc w:val="right"/>
              <w:rPr>
                <w:rFonts w:ascii="Arial Narrow" w:hAnsi="Arial Narrow" w:cs="Calibri"/>
                <w:b/>
                <w:bCs/>
                <w:color w:val="FFFFFF"/>
                <w:sz w:val="18"/>
                <w:szCs w:val="18"/>
              </w:rPr>
            </w:pPr>
            <w:r>
              <w:rPr>
                <w:rFonts w:ascii="Arial Narrow" w:hAnsi="Arial Narrow" w:cs="Calibri"/>
                <w:b/>
                <w:bCs/>
                <w:color w:val="FFFFFF"/>
                <w:sz w:val="18"/>
                <w:szCs w:val="18"/>
              </w:rPr>
              <w:t>45,4</w:t>
            </w:r>
          </w:p>
        </w:tc>
        <w:tc>
          <w:tcPr>
            <w:tcW w:w="1118" w:type="dxa"/>
            <w:tcBorders>
              <w:top w:val="single" w:sz="4" w:space="0" w:color="262626"/>
              <w:left w:val="nil"/>
              <w:bottom w:val="single" w:sz="4" w:space="0" w:color="262626"/>
              <w:right w:val="nil"/>
            </w:tcBorders>
            <w:shd w:val="clear" w:color="000000" w:fill="C9321F"/>
            <w:noWrap/>
            <w:vAlign w:val="center"/>
            <w:hideMark/>
          </w:tcPr>
          <w:p w14:paraId="682FFF43" w14:textId="77777777" w:rsidR="007B5408" w:rsidRDefault="007B5408">
            <w:pPr>
              <w:jc w:val="right"/>
              <w:rPr>
                <w:rFonts w:ascii="Arial Narrow" w:hAnsi="Arial Narrow" w:cs="Calibri"/>
                <w:b/>
                <w:bCs/>
                <w:color w:val="FFFFFF"/>
                <w:sz w:val="18"/>
                <w:szCs w:val="18"/>
              </w:rPr>
            </w:pPr>
            <w:r>
              <w:rPr>
                <w:rFonts w:ascii="Arial Narrow" w:hAnsi="Arial Narrow" w:cs="Calibri"/>
                <w:b/>
                <w:bCs/>
                <w:color w:val="FFFFFF"/>
                <w:sz w:val="18"/>
                <w:szCs w:val="18"/>
              </w:rPr>
              <w:t>182,6</w:t>
            </w:r>
          </w:p>
        </w:tc>
        <w:tc>
          <w:tcPr>
            <w:tcW w:w="1238" w:type="dxa"/>
            <w:tcBorders>
              <w:top w:val="single" w:sz="4" w:space="0" w:color="262626"/>
              <w:left w:val="nil"/>
              <w:bottom w:val="single" w:sz="4" w:space="0" w:color="262626"/>
              <w:right w:val="nil"/>
            </w:tcBorders>
            <w:shd w:val="clear" w:color="000000" w:fill="C9321F"/>
            <w:noWrap/>
            <w:vAlign w:val="center"/>
            <w:hideMark/>
          </w:tcPr>
          <w:p w14:paraId="14609D5C" w14:textId="77777777" w:rsidR="007B5408" w:rsidRDefault="007B5408">
            <w:pPr>
              <w:jc w:val="right"/>
              <w:rPr>
                <w:rFonts w:ascii="Arial Narrow" w:hAnsi="Arial Narrow" w:cs="Calibri"/>
                <w:b/>
                <w:bCs/>
                <w:color w:val="FFFFFF"/>
                <w:sz w:val="18"/>
                <w:szCs w:val="18"/>
              </w:rPr>
            </w:pPr>
            <w:r>
              <w:rPr>
                <w:rFonts w:ascii="Arial Narrow" w:hAnsi="Arial Narrow" w:cs="Calibri"/>
                <w:b/>
                <w:bCs/>
                <w:color w:val="FFFFFF"/>
                <w:sz w:val="18"/>
                <w:szCs w:val="18"/>
              </w:rPr>
              <w:t>57,3</w:t>
            </w:r>
          </w:p>
        </w:tc>
        <w:tc>
          <w:tcPr>
            <w:tcW w:w="1497" w:type="dxa"/>
            <w:tcBorders>
              <w:top w:val="single" w:sz="4" w:space="0" w:color="262626"/>
              <w:left w:val="nil"/>
              <w:bottom w:val="single" w:sz="4" w:space="0" w:color="262626"/>
              <w:right w:val="nil"/>
            </w:tcBorders>
            <w:shd w:val="clear" w:color="000000" w:fill="C9321F"/>
            <w:noWrap/>
            <w:vAlign w:val="center"/>
            <w:hideMark/>
          </w:tcPr>
          <w:p w14:paraId="59819B1A" w14:textId="77777777" w:rsidR="007B5408" w:rsidRDefault="007B5408">
            <w:pPr>
              <w:jc w:val="right"/>
              <w:rPr>
                <w:rFonts w:ascii="Arial Narrow" w:hAnsi="Arial Narrow" w:cs="Calibri"/>
                <w:b/>
                <w:bCs/>
                <w:color w:val="FFFFFF"/>
                <w:sz w:val="18"/>
                <w:szCs w:val="18"/>
              </w:rPr>
            </w:pPr>
            <w:r>
              <w:rPr>
                <w:rFonts w:ascii="Arial Narrow" w:hAnsi="Arial Narrow" w:cs="Calibri"/>
                <w:b/>
                <w:bCs/>
                <w:color w:val="FFFFFF"/>
                <w:sz w:val="18"/>
                <w:szCs w:val="18"/>
              </w:rPr>
              <w:t>37,0</w:t>
            </w:r>
          </w:p>
        </w:tc>
        <w:tc>
          <w:tcPr>
            <w:tcW w:w="1815" w:type="dxa"/>
            <w:tcBorders>
              <w:top w:val="single" w:sz="4" w:space="0" w:color="262626"/>
              <w:left w:val="nil"/>
              <w:bottom w:val="single" w:sz="4" w:space="0" w:color="262626"/>
              <w:right w:val="nil"/>
            </w:tcBorders>
            <w:shd w:val="clear" w:color="000000" w:fill="C9321F"/>
            <w:noWrap/>
            <w:vAlign w:val="center"/>
            <w:hideMark/>
          </w:tcPr>
          <w:p w14:paraId="5C2815A0" w14:textId="77777777" w:rsidR="007B5408" w:rsidRDefault="007B5408">
            <w:pPr>
              <w:jc w:val="right"/>
              <w:rPr>
                <w:rFonts w:ascii="Arial Narrow" w:hAnsi="Arial Narrow" w:cs="Calibri"/>
                <w:b/>
                <w:bCs/>
                <w:color w:val="FFFFFF"/>
                <w:sz w:val="18"/>
                <w:szCs w:val="18"/>
              </w:rPr>
            </w:pPr>
            <w:r>
              <w:rPr>
                <w:rFonts w:ascii="Arial Narrow" w:hAnsi="Arial Narrow" w:cs="Calibri"/>
                <w:b/>
                <w:bCs/>
                <w:color w:val="FFFFFF"/>
                <w:sz w:val="18"/>
                <w:szCs w:val="18"/>
              </w:rPr>
              <w:t>141,9</w:t>
            </w:r>
          </w:p>
        </w:tc>
      </w:tr>
    </w:tbl>
    <w:p w14:paraId="20E1D88D" w14:textId="66796A9E" w:rsidR="00E17E76" w:rsidRDefault="00E17E76" w:rsidP="00215579">
      <w:pPr>
        <w:spacing w:after="120"/>
        <w:jc w:val="both"/>
        <w:rPr>
          <w:rFonts w:ascii="Trebuchet MS" w:hAnsi="Trebuchet MS" w:cs="Arial"/>
          <w:color w:val="5F5F5F"/>
          <w:sz w:val="14"/>
          <w:szCs w:val="14"/>
        </w:rPr>
      </w:pPr>
    </w:p>
    <w:bookmarkEnd w:id="0"/>
    <w:p w14:paraId="1D69AC37" w14:textId="3DF741CA" w:rsidR="00946F5C" w:rsidRPr="001A589C" w:rsidRDefault="00946F5C" w:rsidP="00F826D9">
      <w:pPr>
        <w:keepNext/>
        <w:spacing w:before="240" w:after="60"/>
        <w:jc w:val="both"/>
        <w:rPr>
          <w:rFonts w:ascii="Arial Narrow" w:hAnsi="Arial Narrow"/>
          <w:color w:val="595959" w:themeColor="text1" w:themeTint="A6"/>
          <w:sz w:val="22"/>
          <w:szCs w:val="22"/>
        </w:rPr>
      </w:pPr>
      <w:r w:rsidRPr="001A589C">
        <w:rPr>
          <w:rFonts w:ascii="Arial Narrow" w:hAnsi="Arial Narrow"/>
          <w:b/>
          <w:bCs/>
          <w:color w:val="595959" w:themeColor="text1" w:themeTint="A6"/>
          <w:sz w:val="22"/>
          <w:szCs w:val="22"/>
        </w:rPr>
        <w:t xml:space="preserve">PROSPETTO </w:t>
      </w:r>
      <w:r w:rsidR="000E7CDD" w:rsidRPr="001A589C">
        <w:rPr>
          <w:rFonts w:ascii="Arial Narrow" w:hAnsi="Arial Narrow"/>
          <w:b/>
          <w:bCs/>
          <w:color w:val="595959" w:themeColor="text1" w:themeTint="A6"/>
          <w:sz w:val="22"/>
          <w:szCs w:val="22"/>
        </w:rPr>
        <w:t>6</w:t>
      </w:r>
      <w:r w:rsidRPr="001A589C">
        <w:rPr>
          <w:rFonts w:ascii="Arial Narrow" w:hAnsi="Arial Narrow"/>
          <w:b/>
          <w:bCs/>
          <w:color w:val="595959" w:themeColor="text1" w:themeTint="A6"/>
          <w:sz w:val="22"/>
          <w:szCs w:val="22"/>
        </w:rPr>
        <w:t xml:space="preserve">. </w:t>
      </w:r>
      <w:r w:rsidRPr="001A589C">
        <w:rPr>
          <w:rFonts w:ascii="Arial Narrow" w:hAnsi="Arial Narrow"/>
          <w:color w:val="595959" w:themeColor="text1" w:themeTint="A6"/>
          <w:sz w:val="22"/>
          <w:szCs w:val="22"/>
        </w:rPr>
        <w:t>COMUNI CON PARTICOLARI CARATTERISTICHE AL CENSIMENTO 20</w:t>
      </w:r>
      <w:r w:rsidR="004902BB" w:rsidRPr="001A589C">
        <w:rPr>
          <w:rFonts w:ascii="Arial Narrow" w:hAnsi="Arial Narrow"/>
          <w:color w:val="595959" w:themeColor="text1" w:themeTint="A6"/>
          <w:sz w:val="22"/>
          <w:szCs w:val="22"/>
        </w:rPr>
        <w:t>20</w:t>
      </w:r>
      <w:r w:rsidRPr="001A589C">
        <w:rPr>
          <w:rFonts w:ascii="Arial Narrow" w:hAnsi="Arial Narrow"/>
          <w:color w:val="595959" w:themeColor="text1" w:themeTint="A6"/>
          <w:sz w:val="22"/>
          <w:szCs w:val="22"/>
        </w:rPr>
        <w:t xml:space="preserve"> </w:t>
      </w:r>
    </w:p>
    <w:tbl>
      <w:tblPr>
        <w:tblW w:w="9560"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2516"/>
        <w:gridCol w:w="1470"/>
        <w:gridCol w:w="786"/>
        <w:gridCol w:w="2516"/>
        <w:gridCol w:w="1419"/>
        <w:gridCol w:w="917"/>
      </w:tblGrid>
      <w:tr w:rsidR="006A78AD" w:rsidRPr="006A78AD" w14:paraId="6AFD417B" w14:textId="77777777" w:rsidTr="006A78AD">
        <w:trPr>
          <w:trHeight w:val="300"/>
        </w:trPr>
        <w:tc>
          <w:tcPr>
            <w:tcW w:w="2500" w:type="dxa"/>
            <w:vMerge w:val="restart"/>
            <w:shd w:val="clear" w:color="auto" w:fill="auto"/>
            <w:noWrap/>
            <w:vAlign w:val="center"/>
            <w:hideMark/>
          </w:tcPr>
          <w:p w14:paraId="212AF0E2" w14:textId="77777777" w:rsidR="007B5408" w:rsidRPr="00786A29" w:rsidRDefault="007B5408">
            <w:pPr>
              <w:jc w:val="center"/>
              <w:rPr>
                <w:rFonts w:ascii="Arial Narrow" w:hAnsi="Arial Narrow" w:cs="Calibri"/>
                <w:b/>
                <w:bCs/>
                <w:sz w:val="18"/>
                <w:szCs w:val="18"/>
              </w:rPr>
            </w:pPr>
            <w:r w:rsidRPr="00786A29">
              <w:rPr>
                <w:rFonts w:ascii="Arial Narrow" w:hAnsi="Arial Narrow" w:cs="Calibri"/>
                <w:b/>
                <w:bCs/>
                <w:sz w:val="18"/>
                <w:szCs w:val="18"/>
              </w:rPr>
              <w:t>CARATTERISTICA DEL COMUNE</w:t>
            </w:r>
          </w:p>
        </w:tc>
        <w:tc>
          <w:tcPr>
            <w:tcW w:w="2240" w:type="dxa"/>
            <w:gridSpan w:val="2"/>
            <w:shd w:val="clear" w:color="000000" w:fill="D9D9D9"/>
            <w:noWrap/>
            <w:vAlign w:val="center"/>
            <w:hideMark/>
          </w:tcPr>
          <w:p w14:paraId="0767C6C0" w14:textId="77777777" w:rsidR="007B5408" w:rsidRPr="00786A29" w:rsidRDefault="007B5408">
            <w:pPr>
              <w:jc w:val="center"/>
              <w:rPr>
                <w:rFonts w:ascii="Arial Narrow" w:hAnsi="Arial Narrow" w:cs="Calibri"/>
                <w:b/>
                <w:bCs/>
                <w:sz w:val="18"/>
                <w:szCs w:val="18"/>
              </w:rPr>
            </w:pPr>
            <w:r w:rsidRPr="00786A29">
              <w:rPr>
                <w:rFonts w:ascii="Arial Narrow" w:hAnsi="Arial Narrow" w:cs="Calibri"/>
                <w:b/>
                <w:bCs/>
                <w:sz w:val="18"/>
                <w:szCs w:val="18"/>
              </w:rPr>
              <w:t>Lombardia</w:t>
            </w:r>
          </w:p>
        </w:tc>
        <w:tc>
          <w:tcPr>
            <w:tcW w:w="2500" w:type="dxa"/>
            <w:vMerge w:val="restart"/>
            <w:shd w:val="clear" w:color="auto" w:fill="auto"/>
            <w:noWrap/>
            <w:vAlign w:val="center"/>
            <w:hideMark/>
          </w:tcPr>
          <w:p w14:paraId="33407384" w14:textId="77777777" w:rsidR="007B5408" w:rsidRPr="00786A29" w:rsidRDefault="007B5408">
            <w:pPr>
              <w:jc w:val="center"/>
              <w:rPr>
                <w:rFonts w:ascii="Arial Narrow" w:hAnsi="Arial Narrow" w:cs="Calibri"/>
                <w:b/>
                <w:bCs/>
                <w:sz w:val="18"/>
                <w:szCs w:val="18"/>
              </w:rPr>
            </w:pPr>
            <w:r w:rsidRPr="00786A29">
              <w:rPr>
                <w:rFonts w:ascii="Arial Narrow" w:hAnsi="Arial Narrow" w:cs="Calibri"/>
                <w:b/>
                <w:bCs/>
                <w:sz w:val="18"/>
                <w:szCs w:val="18"/>
              </w:rPr>
              <w:t>CARATTERISTICA DEL COMUNE</w:t>
            </w:r>
          </w:p>
        </w:tc>
        <w:tc>
          <w:tcPr>
            <w:tcW w:w="2320" w:type="dxa"/>
            <w:gridSpan w:val="2"/>
            <w:shd w:val="clear" w:color="000000" w:fill="D9D9D9"/>
            <w:noWrap/>
            <w:vAlign w:val="center"/>
            <w:hideMark/>
          </w:tcPr>
          <w:p w14:paraId="4A9C5888" w14:textId="77777777" w:rsidR="007B5408" w:rsidRPr="00786A29" w:rsidRDefault="007B5408">
            <w:pPr>
              <w:jc w:val="center"/>
              <w:rPr>
                <w:rFonts w:ascii="Arial Narrow" w:hAnsi="Arial Narrow" w:cs="Calibri"/>
                <w:b/>
                <w:bCs/>
                <w:sz w:val="18"/>
                <w:szCs w:val="18"/>
              </w:rPr>
            </w:pPr>
            <w:r w:rsidRPr="00786A29">
              <w:rPr>
                <w:rFonts w:ascii="Arial Narrow" w:hAnsi="Arial Narrow" w:cs="Calibri"/>
                <w:b/>
                <w:bCs/>
                <w:sz w:val="18"/>
                <w:szCs w:val="18"/>
              </w:rPr>
              <w:t>Lombardia</w:t>
            </w:r>
          </w:p>
        </w:tc>
      </w:tr>
      <w:tr w:rsidR="006A78AD" w:rsidRPr="006A78AD" w14:paraId="2FA82A0A" w14:textId="77777777" w:rsidTr="006A78AD">
        <w:trPr>
          <w:trHeight w:val="300"/>
        </w:trPr>
        <w:tc>
          <w:tcPr>
            <w:tcW w:w="0" w:type="auto"/>
            <w:vMerge/>
            <w:vAlign w:val="center"/>
            <w:hideMark/>
          </w:tcPr>
          <w:p w14:paraId="10C5F0FD" w14:textId="77777777" w:rsidR="007B5408" w:rsidRPr="00786A29" w:rsidRDefault="007B5408">
            <w:pPr>
              <w:rPr>
                <w:rFonts w:ascii="Arial Narrow" w:hAnsi="Arial Narrow" w:cs="Calibri"/>
                <w:b/>
                <w:bCs/>
                <w:sz w:val="18"/>
                <w:szCs w:val="18"/>
              </w:rPr>
            </w:pPr>
          </w:p>
        </w:tc>
        <w:tc>
          <w:tcPr>
            <w:tcW w:w="0" w:type="auto"/>
            <w:shd w:val="clear" w:color="auto" w:fill="auto"/>
            <w:noWrap/>
            <w:vAlign w:val="center"/>
            <w:hideMark/>
          </w:tcPr>
          <w:p w14:paraId="14BAE391" w14:textId="77777777" w:rsidR="007B5408" w:rsidRPr="00786A29" w:rsidRDefault="007B5408">
            <w:pPr>
              <w:jc w:val="both"/>
              <w:rPr>
                <w:rFonts w:ascii="Arial Narrow" w:hAnsi="Arial Narrow" w:cs="Calibri"/>
                <w:sz w:val="18"/>
                <w:szCs w:val="18"/>
              </w:rPr>
            </w:pPr>
            <w:r w:rsidRPr="00786A29">
              <w:rPr>
                <w:rFonts w:ascii="Arial Narrow" w:hAnsi="Arial Narrow" w:cs="Calibri"/>
                <w:sz w:val="18"/>
                <w:szCs w:val="18"/>
              </w:rPr>
              <w:t>Comune</w:t>
            </w:r>
          </w:p>
        </w:tc>
        <w:tc>
          <w:tcPr>
            <w:tcW w:w="0" w:type="auto"/>
            <w:shd w:val="clear" w:color="auto" w:fill="auto"/>
            <w:noWrap/>
            <w:vAlign w:val="center"/>
            <w:hideMark/>
          </w:tcPr>
          <w:p w14:paraId="60B8FA5B" w14:textId="77777777" w:rsidR="007B5408" w:rsidRPr="00786A29" w:rsidRDefault="007B5408">
            <w:pPr>
              <w:jc w:val="right"/>
              <w:rPr>
                <w:rFonts w:ascii="Arial Narrow" w:hAnsi="Arial Narrow" w:cs="Calibri"/>
                <w:sz w:val="18"/>
                <w:szCs w:val="18"/>
              </w:rPr>
            </w:pPr>
            <w:r w:rsidRPr="00786A29">
              <w:rPr>
                <w:rFonts w:ascii="Arial Narrow" w:hAnsi="Arial Narrow" w:cs="Calibri"/>
                <w:sz w:val="18"/>
                <w:szCs w:val="18"/>
              </w:rPr>
              <w:t>Valori</w:t>
            </w:r>
          </w:p>
        </w:tc>
        <w:tc>
          <w:tcPr>
            <w:tcW w:w="0" w:type="auto"/>
            <w:vMerge/>
            <w:vAlign w:val="center"/>
            <w:hideMark/>
          </w:tcPr>
          <w:p w14:paraId="3369563E" w14:textId="77777777" w:rsidR="007B5408" w:rsidRPr="00786A29" w:rsidRDefault="007B5408">
            <w:pPr>
              <w:rPr>
                <w:rFonts w:ascii="Arial Narrow" w:hAnsi="Arial Narrow" w:cs="Calibri"/>
                <w:b/>
                <w:bCs/>
                <w:sz w:val="18"/>
                <w:szCs w:val="18"/>
              </w:rPr>
            </w:pPr>
          </w:p>
        </w:tc>
        <w:tc>
          <w:tcPr>
            <w:tcW w:w="0" w:type="auto"/>
            <w:shd w:val="clear" w:color="auto" w:fill="auto"/>
            <w:noWrap/>
            <w:vAlign w:val="center"/>
            <w:hideMark/>
          </w:tcPr>
          <w:p w14:paraId="6B1E528D" w14:textId="77777777" w:rsidR="007B5408" w:rsidRPr="00786A29" w:rsidRDefault="007B5408">
            <w:pPr>
              <w:jc w:val="both"/>
              <w:rPr>
                <w:rFonts w:ascii="Arial Narrow" w:hAnsi="Arial Narrow" w:cs="Calibri"/>
                <w:sz w:val="18"/>
                <w:szCs w:val="18"/>
              </w:rPr>
            </w:pPr>
            <w:r w:rsidRPr="00786A29">
              <w:rPr>
                <w:rFonts w:ascii="Arial Narrow" w:hAnsi="Arial Narrow" w:cs="Calibri"/>
                <w:sz w:val="18"/>
                <w:szCs w:val="18"/>
              </w:rPr>
              <w:t>Comune</w:t>
            </w:r>
          </w:p>
        </w:tc>
        <w:tc>
          <w:tcPr>
            <w:tcW w:w="0" w:type="auto"/>
            <w:shd w:val="clear" w:color="auto" w:fill="auto"/>
            <w:noWrap/>
            <w:vAlign w:val="center"/>
            <w:hideMark/>
          </w:tcPr>
          <w:p w14:paraId="0551D6C0" w14:textId="77777777" w:rsidR="007B5408" w:rsidRPr="00786A29" w:rsidRDefault="007B5408">
            <w:pPr>
              <w:jc w:val="right"/>
              <w:rPr>
                <w:rFonts w:ascii="Arial Narrow" w:hAnsi="Arial Narrow" w:cs="Calibri"/>
                <w:sz w:val="18"/>
                <w:szCs w:val="18"/>
              </w:rPr>
            </w:pPr>
            <w:r w:rsidRPr="00786A29">
              <w:rPr>
                <w:rFonts w:ascii="Arial Narrow" w:hAnsi="Arial Narrow" w:cs="Calibri"/>
                <w:sz w:val="18"/>
                <w:szCs w:val="18"/>
              </w:rPr>
              <w:t>Valori</w:t>
            </w:r>
          </w:p>
        </w:tc>
      </w:tr>
      <w:tr w:rsidR="006A78AD" w:rsidRPr="006A78AD" w14:paraId="7800B8B2" w14:textId="77777777" w:rsidTr="006A78AD">
        <w:trPr>
          <w:trHeight w:val="300"/>
        </w:trPr>
        <w:tc>
          <w:tcPr>
            <w:tcW w:w="2500" w:type="dxa"/>
            <w:shd w:val="clear" w:color="000000" w:fill="FFFFFF"/>
            <w:vAlign w:val="center"/>
            <w:hideMark/>
          </w:tcPr>
          <w:p w14:paraId="61619480" w14:textId="77777777" w:rsidR="007B5408" w:rsidRPr="00786A29" w:rsidRDefault="007B5408">
            <w:pPr>
              <w:jc w:val="both"/>
              <w:rPr>
                <w:rFonts w:ascii="Arial Narrow" w:hAnsi="Arial Narrow" w:cs="Calibri"/>
                <w:sz w:val="18"/>
                <w:szCs w:val="18"/>
              </w:rPr>
            </w:pPr>
            <w:r w:rsidRPr="00786A29">
              <w:rPr>
                <w:rFonts w:ascii="Arial Narrow" w:hAnsi="Arial Narrow" w:cs="Calibri"/>
                <w:sz w:val="18"/>
                <w:szCs w:val="18"/>
              </w:rPr>
              <w:t>Comune più piccolo (residenti)</w:t>
            </w:r>
          </w:p>
        </w:tc>
        <w:tc>
          <w:tcPr>
            <w:tcW w:w="1540" w:type="dxa"/>
            <w:shd w:val="clear" w:color="000000" w:fill="D9D9D9"/>
            <w:vAlign w:val="center"/>
            <w:hideMark/>
          </w:tcPr>
          <w:p w14:paraId="778AEEA7" w14:textId="77777777" w:rsidR="007B5408" w:rsidRPr="00786A29" w:rsidRDefault="007B5408">
            <w:pPr>
              <w:jc w:val="both"/>
              <w:rPr>
                <w:rFonts w:ascii="Arial Narrow" w:hAnsi="Arial Narrow" w:cs="Calibri"/>
                <w:sz w:val="18"/>
                <w:szCs w:val="18"/>
              </w:rPr>
            </w:pPr>
            <w:r w:rsidRPr="00786A29">
              <w:rPr>
                <w:rFonts w:ascii="Arial Narrow" w:hAnsi="Arial Narrow" w:cs="Calibri"/>
                <w:sz w:val="18"/>
                <w:szCs w:val="18"/>
              </w:rPr>
              <w:t>Morterone (LC)</w:t>
            </w:r>
          </w:p>
        </w:tc>
        <w:tc>
          <w:tcPr>
            <w:tcW w:w="700" w:type="dxa"/>
            <w:shd w:val="clear" w:color="000000" w:fill="FFFFFF"/>
            <w:vAlign w:val="center"/>
            <w:hideMark/>
          </w:tcPr>
          <w:p w14:paraId="27F27C0C" w14:textId="77777777" w:rsidR="007B5408" w:rsidRPr="00786A29" w:rsidRDefault="007B5408" w:rsidP="00786A29">
            <w:pPr>
              <w:ind w:right="113"/>
              <w:jc w:val="right"/>
              <w:rPr>
                <w:rFonts w:ascii="Arial Narrow" w:hAnsi="Arial Narrow" w:cs="Calibri"/>
                <w:sz w:val="18"/>
                <w:szCs w:val="18"/>
              </w:rPr>
            </w:pPr>
            <w:r w:rsidRPr="00786A29">
              <w:rPr>
                <w:rFonts w:ascii="Arial Narrow" w:hAnsi="Arial Narrow" w:cs="Calibri"/>
                <w:sz w:val="18"/>
                <w:szCs w:val="18"/>
              </w:rPr>
              <w:t xml:space="preserve">         29 </w:t>
            </w:r>
          </w:p>
        </w:tc>
        <w:tc>
          <w:tcPr>
            <w:tcW w:w="2500" w:type="dxa"/>
            <w:shd w:val="clear" w:color="000000" w:fill="D9D9D9"/>
            <w:vAlign w:val="center"/>
            <w:hideMark/>
          </w:tcPr>
          <w:p w14:paraId="1C8DAA1C" w14:textId="77777777" w:rsidR="007B5408" w:rsidRPr="00786A29" w:rsidRDefault="007B5408">
            <w:pPr>
              <w:jc w:val="both"/>
              <w:rPr>
                <w:rFonts w:ascii="Arial Narrow" w:hAnsi="Arial Narrow" w:cs="Calibri"/>
                <w:sz w:val="18"/>
                <w:szCs w:val="18"/>
              </w:rPr>
            </w:pPr>
            <w:r w:rsidRPr="00786A29">
              <w:rPr>
                <w:rFonts w:ascii="Arial Narrow" w:hAnsi="Arial Narrow" w:cs="Calibri"/>
                <w:sz w:val="18"/>
                <w:szCs w:val="18"/>
              </w:rPr>
              <w:t>Comune più grande (residenti)</w:t>
            </w:r>
          </w:p>
        </w:tc>
        <w:tc>
          <w:tcPr>
            <w:tcW w:w="1540" w:type="dxa"/>
            <w:shd w:val="clear" w:color="000000" w:fill="FFFFFF"/>
            <w:vAlign w:val="center"/>
            <w:hideMark/>
          </w:tcPr>
          <w:p w14:paraId="01C3AE2C" w14:textId="77777777" w:rsidR="007B5408" w:rsidRPr="00786A29" w:rsidRDefault="007B5408">
            <w:pPr>
              <w:jc w:val="both"/>
              <w:rPr>
                <w:rFonts w:ascii="Arial Narrow" w:hAnsi="Arial Narrow" w:cs="Calibri"/>
                <w:sz w:val="18"/>
                <w:szCs w:val="18"/>
              </w:rPr>
            </w:pPr>
            <w:r w:rsidRPr="00786A29">
              <w:rPr>
                <w:rFonts w:ascii="Arial Narrow" w:hAnsi="Arial Narrow" w:cs="Calibri"/>
                <w:sz w:val="18"/>
                <w:szCs w:val="18"/>
              </w:rPr>
              <w:t>Milano (MI)</w:t>
            </w:r>
          </w:p>
        </w:tc>
        <w:tc>
          <w:tcPr>
            <w:tcW w:w="780" w:type="dxa"/>
            <w:shd w:val="clear" w:color="000000" w:fill="D9D9D9"/>
            <w:vAlign w:val="center"/>
            <w:hideMark/>
          </w:tcPr>
          <w:p w14:paraId="4AFD71BA" w14:textId="77777777" w:rsidR="007B5408" w:rsidRPr="00786A29" w:rsidRDefault="007B5408">
            <w:pPr>
              <w:jc w:val="right"/>
              <w:rPr>
                <w:rFonts w:ascii="Arial Narrow" w:hAnsi="Arial Narrow" w:cs="Calibri"/>
                <w:sz w:val="18"/>
                <w:szCs w:val="18"/>
              </w:rPr>
            </w:pPr>
            <w:r w:rsidRPr="00786A29">
              <w:rPr>
                <w:rFonts w:ascii="Arial Narrow" w:hAnsi="Arial Narrow" w:cs="Calibri"/>
                <w:sz w:val="18"/>
                <w:szCs w:val="18"/>
              </w:rPr>
              <w:t xml:space="preserve"> 1.374.582 </w:t>
            </w:r>
          </w:p>
        </w:tc>
      </w:tr>
      <w:tr w:rsidR="006A78AD" w:rsidRPr="006A78AD" w14:paraId="77353352" w14:textId="77777777" w:rsidTr="006A78AD">
        <w:trPr>
          <w:trHeight w:val="480"/>
        </w:trPr>
        <w:tc>
          <w:tcPr>
            <w:tcW w:w="2500" w:type="dxa"/>
            <w:shd w:val="clear" w:color="000000" w:fill="FFFFFF"/>
            <w:vAlign w:val="center"/>
            <w:hideMark/>
          </w:tcPr>
          <w:p w14:paraId="4EBA8A7C" w14:textId="77777777" w:rsidR="007B5408" w:rsidRPr="00786A29" w:rsidRDefault="007B5408">
            <w:pPr>
              <w:jc w:val="both"/>
              <w:rPr>
                <w:rFonts w:ascii="Arial Narrow" w:hAnsi="Arial Narrow" w:cs="Calibri"/>
                <w:sz w:val="18"/>
                <w:szCs w:val="18"/>
              </w:rPr>
            </w:pPr>
            <w:r w:rsidRPr="00786A29">
              <w:rPr>
                <w:rFonts w:ascii="Arial Narrow" w:hAnsi="Arial Narrow" w:cs="Calibri"/>
                <w:sz w:val="18"/>
                <w:szCs w:val="18"/>
              </w:rPr>
              <w:t>Comune più giovane (età media)</w:t>
            </w:r>
          </w:p>
        </w:tc>
        <w:tc>
          <w:tcPr>
            <w:tcW w:w="1540" w:type="dxa"/>
            <w:shd w:val="clear" w:color="000000" w:fill="D9D9D9"/>
            <w:vAlign w:val="center"/>
            <w:hideMark/>
          </w:tcPr>
          <w:p w14:paraId="655FA0C5" w14:textId="77777777" w:rsidR="007B5408" w:rsidRPr="00786A29" w:rsidRDefault="007B5408">
            <w:pPr>
              <w:jc w:val="both"/>
              <w:rPr>
                <w:rFonts w:ascii="Arial Narrow" w:hAnsi="Arial Narrow" w:cs="Calibri"/>
                <w:sz w:val="18"/>
                <w:szCs w:val="18"/>
              </w:rPr>
            </w:pPr>
            <w:r w:rsidRPr="00786A29">
              <w:rPr>
                <w:rFonts w:ascii="Arial Narrow" w:hAnsi="Arial Narrow" w:cs="Calibri"/>
                <w:sz w:val="18"/>
                <w:szCs w:val="18"/>
              </w:rPr>
              <w:t>Livigno (SO)</w:t>
            </w:r>
          </w:p>
        </w:tc>
        <w:tc>
          <w:tcPr>
            <w:tcW w:w="700" w:type="dxa"/>
            <w:shd w:val="clear" w:color="000000" w:fill="FFFFFF"/>
            <w:vAlign w:val="center"/>
            <w:hideMark/>
          </w:tcPr>
          <w:p w14:paraId="20A78AB9" w14:textId="77777777" w:rsidR="007B5408" w:rsidRPr="00786A29" w:rsidRDefault="007B5408" w:rsidP="00786A29">
            <w:pPr>
              <w:ind w:right="113"/>
              <w:jc w:val="right"/>
              <w:rPr>
                <w:rFonts w:ascii="Arial Narrow" w:hAnsi="Arial Narrow" w:cs="Calibri"/>
                <w:sz w:val="18"/>
                <w:szCs w:val="18"/>
              </w:rPr>
            </w:pPr>
            <w:r w:rsidRPr="00786A29">
              <w:rPr>
                <w:rFonts w:ascii="Arial Narrow" w:hAnsi="Arial Narrow" w:cs="Calibri"/>
                <w:sz w:val="18"/>
                <w:szCs w:val="18"/>
              </w:rPr>
              <w:t>36,1</w:t>
            </w:r>
          </w:p>
        </w:tc>
        <w:tc>
          <w:tcPr>
            <w:tcW w:w="2500" w:type="dxa"/>
            <w:shd w:val="clear" w:color="000000" w:fill="D9D9D9"/>
            <w:vAlign w:val="center"/>
            <w:hideMark/>
          </w:tcPr>
          <w:p w14:paraId="568196ED" w14:textId="77777777" w:rsidR="007B5408" w:rsidRPr="00786A29" w:rsidRDefault="007B5408">
            <w:pPr>
              <w:jc w:val="both"/>
              <w:rPr>
                <w:rFonts w:ascii="Arial Narrow" w:hAnsi="Arial Narrow" w:cs="Calibri"/>
                <w:sz w:val="18"/>
                <w:szCs w:val="18"/>
              </w:rPr>
            </w:pPr>
            <w:r w:rsidRPr="00786A29">
              <w:rPr>
                <w:rFonts w:ascii="Arial Narrow" w:hAnsi="Arial Narrow" w:cs="Calibri"/>
                <w:sz w:val="18"/>
                <w:szCs w:val="18"/>
              </w:rPr>
              <w:t>Comune più vecchio (età media)</w:t>
            </w:r>
          </w:p>
        </w:tc>
        <w:tc>
          <w:tcPr>
            <w:tcW w:w="1540" w:type="dxa"/>
            <w:shd w:val="clear" w:color="000000" w:fill="FFFFFF"/>
            <w:vAlign w:val="center"/>
            <w:hideMark/>
          </w:tcPr>
          <w:p w14:paraId="4487D305" w14:textId="77777777" w:rsidR="007B5408" w:rsidRPr="00786A29" w:rsidRDefault="007B5408">
            <w:pPr>
              <w:jc w:val="both"/>
              <w:rPr>
                <w:rFonts w:ascii="Arial Narrow" w:hAnsi="Arial Narrow" w:cs="Calibri"/>
                <w:sz w:val="18"/>
                <w:szCs w:val="18"/>
              </w:rPr>
            </w:pPr>
            <w:r w:rsidRPr="00786A29">
              <w:rPr>
                <w:rFonts w:ascii="Arial Narrow" w:hAnsi="Arial Narrow" w:cs="Calibri"/>
                <w:sz w:val="18"/>
                <w:szCs w:val="18"/>
              </w:rPr>
              <w:t>Magasa (BS)</w:t>
            </w:r>
          </w:p>
        </w:tc>
        <w:tc>
          <w:tcPr>
            <w:tcW w:w="780" w:type="dxa"/>
            <w:shd w:val="clear" w:color="000000" w:fill="D9D9D9"/>
            <w:vAlign w:val="center"/>
            <w:hideMark/>
          </w:tcPr>
          <w:p w14:paraId="29B74740" w14:textId="77777777" w:rsidR="007B5408" w:rsidRPr="00786A29" w:rsidRDefault="007B5408">
            <w:pPr>
              <w:jc w:val="right"/>
              <w:rPr>
                <w:rFonts w:ascii="Arial Narrow" w:hAnsi="Arial Narrow" w:cs="Calibri"/>
                <w:sz w:val="18"/>
                <w:szCs w:val="18"/>
              </w:rPr>
            </w:pPr>
            <w:r w:rsidRPr="00786A29">
              <w:rPr>
                <w:rFonts w:ascii="Arial Narrow" w:hAnsi="Arial Narrow" w:cs="Calibri"/>
                <w:sz w:val="18"/>
                <w:szCs w:val="18"/>
              </w:rPr>
              <w:t>62,3</w:t>
            </w:r>
          </w:p>
        </w:tc>
      </w:tr>
      <w:tr w:rsidR="006A78AD" w:rsidRPr="006A78AD" w14:paraId="439B2F03" w14:textId="77777777" w:rsidTr="006A78AD">
        <w:trPr>
          <w:trHeight w:val="540"/>
        </w:trPr>
        <w:tc>
          <w:tcPr>
            <w:tcW w:w="2500" w:type="dxa"/>
            <w:shd w:val="clear" w:color="000000" w:fill="FFFFFF"/>
            <w:vAlign w:val="center"/>
            <w:hideMark/>
          </w:tcPr>
          <w:p w14:paraId="4EFEBF28" w14:textId="77777777" w:rsidR="007B5408" w:rsidRPr="00786A29" w:rsidRDefault="007B5408">
            <w:pPr>
              <w:jc w:val="both"/>
              <w:rPr>
                <w:rFonts w:ascii="Arial Narrow" w:hAnsi="Arial Narrow" w:cs="Calibri"/>
                <w:sz w:val="18"/>
                <w:szCs w:val="18"/>
              </w:rPr>
            </w:pPr>
            <w:r w:rsidRPr="00786A29">
              <w:rPr>
                <w:rFonts w:ascii="Arial Narrow" w:hAnsi="Arial Narrow" w:cs="Calibri"/>
                <w:sz w:val="18"/>
                <w:szCs w:val="18"/>
              </w:rPr>
              <w:t>Comune con il rapporto di mascolinità più basso</w:t>
            </w:r>
          </w:p>
        </w:tc>
        <w:tc>
          <w:tcPr>
            <w:tcW w:w="1540" w:type="dxa"/>
            <w:shd w:val="clear" w:color="000000" w:fill="D9D9D9"/>
            <w:vAlign w:val="center"/>
            <w:hideMark/>
          </w:tcPr>
          <w:p w14:paraId="1DF850CD" w14:textId="77777777" w:rsidR="007B5408" w:rsidRPr="00786A29" w:rsidRDefault="007B5408">
            <w:pPr>
              <w:jc w:val="both"/>
              <w:rPr>
                <w:rFonts w:ascii="Arial Narrow" w:hAnsi="Arial Narrow" w:cs="Calibri"/>
                <w:sz w:val="18"/>
                <w:szCs w:val="18"/>
              </w:rPr>
            </w:pPr>
            <w:r w:rsidRPr="00786A29">
              <w:rPr>
                <w:rFonts w:ascii="Arial Narrow" w:hAnsi="Arial Narrow" w:cs="Calibri"/>
                <w:sz w:val="18"/>
                <w:szCs w:val="18"/>
              </w:rPr>
              <w:t>Villa Biscossi (PV)</w:t>
            </w:r>
          </w:p>
        </w:tc>
        <w:tc>
          <w:tcPr>
            <w:tcW w:w="700" w:type="dxa"/>
            <w:shd w:val="clear" w:color="000000" w:fill="FFFFFF"/>
            <w:vAlign w:val="center"/>
            <w:hideMark/>
          </w:tcPr>
          <w:p w14:paraId="5A409832" w14:textId="77777777" w:rsidR="007B5408" w:rsidRPr="00786A29" w:rsidRDefault="007B5408" w:rsidP="00786A29">
            <w:pPr>
              <w:ind w:right="113"/>
              <w:jc w:val="right"/>
              <w:rPr>
                <w:rFonts w:ascii="Arial Narrow" w:hAnsi="Arial Narrow" w:cs="Calibri"/>
                <w:sz w:val="18"/>
                <w:szCs w:val="18"/>
              </w:rPr>
            </w:pPr>
            <w:r w:rsidRPr="00786A29">
              <w:rPr>
                <w:rFonts w:ascii="Arial Narrow" w:hAnsi="Arial Narrow" w:cs="Calibri"/>
                <w:sz w:val="18"/>
                <w:szCs w:val="18"/>
              </w:rPr>
              <w:t>75,0</w:t>
            </w:r>
          </w:p>
        </w:tc>
        <w:tc>
          <w:tcPr>
            <w:tcW w:w="2500" w:type="dxa"/>
            <w:shd w:val="clear" w:color="000000" w:fill="D9D9D9"/>
            <w:vAlign w:val="center"/>
            <w:hideMark/>
          </w:tcPr>
          <w:p w14:paraId="7B1B9A31" w14:textId="77777777" w:rsidR="007B5408" w:rsidRPr="00786A29" w:rsidRDefault="007B5408">
            <w:pPr>
              <w:jc w:val="both"/>
              <w:rPr>
                <w:rFonts w:ascii="Arial Narrow" w:hAnsi="Arial Narrow" w:cs="Calibri"/>
                <w:sz w:val="18"/>
                <w:szCs w:val="18"/>
              </w:rPr>
            </w:pPr>
            <w:r w:rsidRPr="00786A29">
              <w:rPr>
                <w:rFonts w:ascii="Arial Narrow" w:hAnsi="Arial Narrow" w:cs="Calibri"/>
                <w:sz w:val="18"/>
                <w:szCs w:val="18"/>
              </w:rPr>
              <w:t>Comune con il rapporto di mascolinità più alto</w:t>
            </w:r>
          </w:p>
        </w:tc>
        <w:tc>
          <w:tcPr>
            <w:tcW w:w="1540" w:type="dxa"/>
            <w:shd w:val="clear" w:color="000000" w:fill="FFFFFF"/>
            <w:vAlign w:val="center"/>
            <w:hideMark/>
          </w:tcPr>
          <w:p w14:paraId="6CF73672" w14:textId="77777777" w:rsidR="007B5408" w:rsidRPr="00786A29" w:rsidRDefault="007B5408">
            <w:pPr>
              <w:jc w:val="both"/>
              <w:rPr>
                <w:rFonts w:ascii="Arial Narrow" w:hAnsi="Arial Narrow" w:cs="Calibri"/>
                <w:sz w:val="18"/>
                <w:szCs w:val="18"/>
              </w:rPr>
            </w:pPr>
            <w:r w:rsidRPr="00786A29">
              <w:rPr>
                <w:rFonts w:ascii="Arial Narrow" w:hAnsi="Arial Narrow" w:cs="Calibri"/>
                <w:sz w:val="18"/>
                <w:szCs w:val="18"/>
              </w:rPr>
              <w:t>Duno (VA)</w:t>
            </w:r>
          </w:p>
        </w:tc>
        <w:tc>
          <w:tcPr>
            <w:tcW w:w="780" w:type="dxa"/>
            <w:shd w:val="clear" w:color="000000" w:fill="D9D9D9"/>
            <w:vAlign w:val="center"/>
            <w:hideMark/>
          </w:tcPr>
          <w:p w14:paraId="62F09BF0" w14:textId="77777777" w:rsidR="007B5408" w:rsidRPr="00786A29" w:rsidRDefault="007B5408">
            <w:pPr>
              <w:jc w:val="right"/>
              <w:rPr>
                <w:rFonts w:ascii="Arial Narrow" w:hAnsi="Arial Narrow" w:cs="Calibri"/>
                <w:sz w:val="18"/>
                <w:szCs w:val="18"/>
              </w:rPr>
            </w:pPr>
            <w:r w:rsidRPr="00786A29">
              <w:rPr>
                <w:rFonts w:ascii="Arial Narrow" w:hAnsi="Arial Narrow" w:cs="Calibri"/>
                <w:sz w:val="18"/>
                <w:szCs w:val="18"/>
              </w:rPr>
              <w:t>153,7</w:t>
            </w:r>
          </w:p>
        </w:tc>
      </w:tr>
      <w:tr w:rsidR="006A78AD" w:rsidRPr="006A78AD" w14:paraId="0B4B0FAE" w14:textId="77777777" w:rsidTr="006A78AD">
        <w:trPr>
          <w:trHeight w:val="810"/>
        </w:trPr>
        <w:tc>
          <w:tcPr>
            <w:tcW w:w="2500" w:type="dxa"/>
            <w:shd w:val="clear" w:color="000000" w:fill="FFFFFF"/>
            <w:vAlign w:val="center"/>
            <w:hideMark/>
          </w:tcPr>
          <w:p w14:paraId="024EA39B" w14:textId="77777777" w:rsidR="007B5408" w:rsidRPr="00786A29" w:rsidRDefault="007B5408">
            <w:pPr>
              <w:jc w:val="both"/>
              <w:rPr>
                <w:rFonts w:ascii="Arial Narrow" w:hAnsi="Arial Narrow" w:cs="Calibri"/>
                <w:sz w:val="18"/>
                <w:szCs w:val="18"/>
              </w:rPr>
            </w:pPr>
            <w:r w:rsidRPr="00786A29">
              <w:rPr>
                <w:rFonts w:ascii="Arial Narrow" w:hAnsi="Arial Narrow" w:cs="Calibri"/>
                <w:sz w:val="18"/>
                <w:szCs w:val="18"/>
              </w:rPr>
              <w:t xml:space="preserve">Comune con maggior incremento della popolazione rispetto al 2019 </w:t>
            </w:r>
          </w:p>
          <w:p w14:paraId="3367645A" w14:textId="682C3087" w:rsidR="007B5408" w:rsidRPr="00786A29" w:rsidRDefault="007B5408">
            <w:pPr>
              <w:jc w:val="both"/>
              <w:rPr>
                <w:rFonts w:ascii="Arial Narrow" w:hAnsi="Arial Narrow" w:cs="Calibri"/>
                <w:sz w:val="18"/>
                <w:szCs w:val="18"/>
              </w:rPr>
            </w:pPr>
            <w:r w:rsidRPr="00786A29">
              <w:rPr>
                <w:rFonts w:ascii="Arial Narrow" w:hAnsi="Arial Narrow" w:cs="Calibri"/>
                <w:sz w:val="18"/>
                <w:szCs w:val="18"/>
              </w:rPr>
              <w:t>(per 100 residenti)</w:t>
            </w:r>
          </w:p>
        </w:tc>
        <w:tc>
          <w:tcPr>
            <w:tcW w:w="1540" w:type="dxa"/>
            <w:shd w:val="clear" w:color="000000" w:fill="D9D9D9"/>
            <w:vAlign w:val="center"/>
            <w:hideMark/>
          </w:tcPr>
          <w:p w14:paraId="20819781" w14:textId="77777777" w:rsidR="007B5408" w:rsidRPr="00786A29" w:rsidRDefault="007B5408">
            <w:pPr>
              <w:jc w:val="both"/>
              <w:rPr>
                <w:rFonts w:ascii="Arial Narrow" w:hAnsi="Arial Narrow" w:cs="Calibri"/>
                <w:sz w:val="18"/>
                <w:szCs w:val="18"/>
              </w:rPr>
            </w:pPr>
            <w:r w:rsidRPr="00786A29">
              <w:rPr>
                <w:rFonts w:ascii="Arial Narrow" w:hAnsi="Arial Narrow" w:cs="Calibri"/>
                <w:sz w:val="18"/>
                <w:szCs w:val="18"/>
              </w:rPr>
              <w:t>Duno (VA)</w:t>
            </w:r>
          </w:p>
        </w:tc>
        <w:tc>
          <w:tcPr>
            <w:tcW w:w="700" w:type="dxa"/>
            <w:shd w:val="clear" w:color="000000" w:fill="FFFFFF"/>
            <w:vAlign w:val="center"/>
            <w:hideMark/>
          </w:tcPr>
          <w:p w14:paraId="269DFC4B" w14:textId="77777777" w:rsidR="007B5408" w:rsidRPr="00786A29" w:rsidRDefault="007B5408" w:rsidP="00786A29">
            <w:pPr>
              <w:ind w:right="113"/>
              <w:jc w:val="right"/>
              <w:rPr>
                <w:rFonts w:ascii="Arial Narrow" w:hAnsi="Arial Narrow" w:cs="Calibri"/>
                <w:sz w:val="18"/>
                <w:szCs w:val="18"/>
              </w:rPr>
            </w:pPr>
            <w:r w:rsidRPr="00786A29">
              <w:rPr>
                <w:rFonts w:ascii="Arial Narrow" w:hAnsi="Arial Narrow" w:cs="Calibri"/>
                <w:sz w:val="18"/>
                <w:szCs w:val="18"/>
              </w:rPr>
              <w:t>11,4</w:t>
            </w:r>
          </w:p>
        </w:tc>
        <w:tc>
          <w:tcPr>
            <w:tcW w:w="2500" w:type="dxa"/>
            <w:shd w:val="clear" w:color="000000" w:fill="D9D9D9"/>
            <w:vAlign w:val="center"/>
            <w:hideMark/>
          </w:tcPr>
          <w:p w14:paraId="43AA9BA5" w14:textId="77777777" w:rsidR="007B5408" w:rsidRPr="00786A29" w:rsidRDefault="007B5408">
            <w:pPr>
              <w:jc w:val="both"/>
              <w:rPr>
                <w:rFonts w:ascii="Arial Narrow" w:hAnsi="Arial Narrow" w:cs="Calibri"/>
                <w:sz w:val="18"/>
                <w:szCs w:val="18"/>
              </w:rPr>
            </w:pPr>
            <w:r w:rsidRPr="00786A29">
              <w:rPr>
                <w:rFonts w:ascii="Arial Narrow" w:hAnsi="Arial Narrow" w:cs="Calibri"/>
                <w:sz w:val="18"/>
                <w:szCs w:val="18"/>
              </w:rPr>
              <w:t xml:space="preserve">Comune con maggior decremento della popolazione rispetto al 2019 </w:t>
            </w:r>
          </w:p>
          <w:p w14:paraId="15E48737" w14:textId="49EA7C2D" w:rsidR="007B5408" w:rsidRPr="00786A29" w:rsidRDefault="007B5408">
            <w:pPr>
              <w:jc w:val="both"/>
              <w:rPr>
                <w:rFonts w:ascii="Arial Narrow" w:hAnsi="Arial Narrow" w:cs="Calibri"/>
                <w:sz w:val="18"/>
                <w:szCs w:val="18"/>
              </w:rPr>
            </w:pPr>
            <w:r w:rsidRPr="00786A29">
              <w:rPr>
                <w:rFonts w:ascii="Arial Narrow" w:hAnsi="Arial Narrow" w:cs="Calibri"/>
                <w:sz w:val="18"/>
                <w:szCs w:val="18"/>
              </w:rPr>
              <w:t>(per 100 residenti)</w:t>
            </w:r>
          </w:p>
        </w:tc>
        <w:tc>
          <w:tcPr>
            <w:tcW w:w="1540" w:type="dxa"/>
            <w:shd w:val="clear" w:color="000000" w:fill="FFFFFF"/>
            <w:vAlign w:val="center"/>
            <w:hideMark/>
          </w:tcPr>
          <w:p w14:paraId="7B2404C5" w14:textId="77777777" w:rsidR="007B5408" w:rsidRPr="00786A29" w:rsidRDefault="007B5408">
            <w:pPr>
              <w:jc w:val="both"/>
              <w:rPr>
                <w:rFonts w:ascii="Arial Narrow" w:hAnsi="Arial Narrow" w:cs="Calibri"/>
                <w:sz w:val="18"/>
                <w:szCs w:val="18"/>
              </w:rPr>
            </w:pPr>
            <w:r w:rsidRPr="00786A29">
              <w:rPr>
                <w:rFonts w:ascii="Arial Narrow" w:hAnsi="Arial Narrow" w:cs="Calibri"/>
                <w:sz w:val="18"/>
                <w:szCs w:val="18"/>
              </w:rPr>
              <w:t>Rocca de' Giorgi (PV)</w:t>
            </w:r>
          </w:p>
        </w:tc>
        <w:tc>
          <w:tcPr>
            <w:tcW w:w="780" w:type="dxa"/>
            <w:shd w:val="clear" w:color="000000" w:fill="D9D9D9"/>
            <w:vAlign w:val="center"/>
            <w:hideMark/>
          </w:tcPr>
          <w:p w14:paraId="2FD7F7D2" w14:textId="77777777" w:rsidR="007B5408" w:rsidRPr="00786A29" w:rsidRDefault="007B5408">
            <w:pPr>
              <w:jc w:val="right"/>
              <w:rPr>
                <w:rFonts w:ascii="Arial Narrow" w:hAnsi="Arial Narrow" w:cs="Calibri"/>
                <w:sz w:val="18"/>
                <w:szCs w:val="18"/>
              </w:rPr>
            </w:pPr>
            <w:r w:rsidRPr="00786A29">
              <w:rPr>
                <w:rFonts w:ascii="Arial Narrow" w:hAnsi="Arial Narrow" w:cs="Calibri"/>
                <w:sz w:val="18"/>
                <w:szCs w:val="18"/>
              </w:rPr>
              <w:t>-16,0</w:t>
            </w:r>
          </w:p>
        </w:tc>
      </w:tr>
      <w:tr w:rsidR="006A78AD" w:rsidRPr="006A78AD" w14:paraId="3000D164" w14:textId="77777777" w:rsidTr="006A78AD">
        <w:trPr>
          <w:trHeight w:val="810"/>
        </w:trPr>
        <w:tc>
          <w:tcPr>
            <w:tcW w:w="2500" w:type="dxa"/>
            <w:shd w:val="clear" w:color="000000" w:fill="FFFFFF"/>
            <w:vAlign w:val="center"/>
            <w:hideMark/>
          </w:tcPr>
          <w:p w14:paraId="78311ECA" w14:textId="77777777" w:rsidR="007B5408" w:rsidRPr="00786A29" w:rsidRDefault="007B5408">
            <w:pPr>
              <w:jc w:val="both"/>
              <w:rPr>
                <w:rFonts w:ascii="Arial Narrow" w:hAnsi="Arial Narrow" w:cs="Calibri"/>
                <w:sz w:val="18"/>
                <w:szCs w:val="18"/>
              </w:rPr>
            </w:pPr>
            <w:r w:rsidRPr="00786A29">
              <w:rPr>
                <w:rFonts w:ascii="Arial Narrow" w:hAnsi="Arial Narrow" w:cs="Calibri"/>
                <w:sz w:val="18"/>
                <w:szCs w:val="18"/>
              </w:rPr>
              <w:t xml:space="preserve">Comune con maggior incremento di residenti italiani rispetto al 2019 </w:t>
            </w:r>
          </w:p>
          <w:p w14:paraId="59A53843" w14:textId="2004EE27" w:rsidR="007B5408" w:rsidRPr="00786A29" w:rsidRDefault="007B5408">
            <w:pPr>
              <w:jc w:val="both"/>
              <w:rPr>
                <w:rFonts w:ascii="Arial Narrow" w:hAnsi="Arial Narrow" w:cs="Calibri"/>
                <w:sz w:val="18"/>
                <w:szCs w:val="18"/>
              </w:rPr>
            </w:pPr>
            <w:r w:rsidRPr="00786A29">
              <w:rPr>
                <w:rFonts w:ascii="Arial Narrow" w:hAnsi="Arial Narrow" w:cs="Calibri"/>
                <w:sz w:val="18"/>
                <w:szCs w:val="18"/>
              </w:rPr>
              <w:t>(per 100 residenti)</w:t>
            </w:r>
          </w:p>
        </w:tc>
        <w:tc>
          <w:tcPr>
            <w:tcW w:w="1540" w:type="dxa"/>
            <w:shd w:val="clear" w:color="000000" w:fill="D9D9D9"/>
            <w:vAlign w:val="center"/>
            <w:hideMark/>
          </w:tcPr>
          <w:p w14:paraId="326C4911" w14:textId="77777777" w:rsidR="007B5408" w:rsidRPr="00786A29" w:rsidRDefault="007B5408">
            <w:pPr>
              <w:jc w:val="both"/>
              <w:rPr>
                <w:rFonts w:ascii="Arial Narrow" w:hAnsi="Arial Narrow" w:cs="Calibri"/>
                <w:sz w:val="18"/>
                <w:szCs w:val="18"/>
              </w:rPr>
            </w:pPr>
            <w:r w:rsidRPr="00786A29">
              <w:rPr>
                <w:rFonts w:ascii="Arial Narrow" w:hAnsi="Arial Narrow" w:cs="Calibri"/>
                <w:sz w:val="18"/>
                <w:szCs w:val="18"/>
              </w:rPr>
              <w:t>Bascapè (PV)</w:t>
            </w:r>
          </w:p>
        </w:tc>
        <w:tc>
          <w:tcPr>
            <w:tcW w:w="700" w:type="dxa"/>
            <w:shd w:val="clear" w:color="000000" w:fill="FFFFFF"/>
            <w:vAlign w:val="center"/>
            <w:hideMark/>
          </w:tcPr>
          <w:p w14:paraId="7F3BEC23" w14:textId="77777777" w:rsidR="007B5408" w:rsidRPr="00786A29" w:rsidRDefault="007B5408" w:rsidP="00786A29">
            <w:pPr>
              <w:ind w:right="113"/>
              <w:jc w:val="right"/>
              <w:rPr>
                <w:rFonts w:ascii="Arial Narrow" w:hAnsi="Arial Narrow" w:cs="Calibri"/>
                <w:sz w:val="18"/>
                <w:szCs w:val="18"/>
              </w:rPr>
            </w:pPr>
            <w:r w:rsidRPr="00786A29">
              <w:rPr>
                <w:rFonts w:ascii="Arial Narrow" w:hAnsi="Arial Narrow" w:cs="Calibri"/>
                <w:sz w:val="18"/>
                <w:szCs w:val="18"/>
              </w:rPr>
              <w:t>15,9</w:t>
            </w:r>
          </w:p>
        </w:tc>
        <w:tc>
          <w:tcPr>
            <w:tcW w:w="2500" w:type="dxa"/>
            <w:shd w:val="clear" w:color="000000" w:fill="D9D9D9"/>
            <w:vAlign w:val="center"/>
            <w:hideMark/>
          </w:tcPr>
          <w:p w14:paraId="6BDAF4B4" w14:textId="77777777" w:rsidR="007B5408" w:rsidRPr="00786A29" w:rsidRDefault="007B5408">
            <w:pPr>
              <w:jc w:val="both"/>
              <w:rPr>
                <w:rFonts w:ascii="Arial Narrow" w:hAnsi="Arial Narrow" w:cs="Calibri"/>
                <w:sz w:val="18"/>
                <w:szCs w:val="18"/>
              </w:rPr>
            </w:pPr>
            <w:r w:rsidRPr="00786A29">
              <w:rPr>
                <w:rFonts w:ascii="Arial Narrow" w:hAnsi="Arial Narrow" w:cs="Calibri"/>
                <w:sz w:val="18"/>
                <w:szCs w:val="18"/>
              </w:rPr>
              <w:t xml:space="preserve">Comune con maggior decremento di residenti italiani rispetto al 2019 </w:t>
            </w:r>
          </w:p>
          <w:p w14:paraId="38DEE830" w14:textId="6C2F40EF" w:rsidR="007B5408" w:rsidRPr="00786A29" w:rsidRDefault="007B5408">
            <w:pPr>
              <w:jc w:val="both"/>
              <w:rPr>
                <w:rFonts w:ascii="Arial Narrow" w:hAnsi="Arial Narrow" w:cs="Calibri"/>
                <w:sz w:val="18"/>
                <w:szCs w:val="18"/>
              </w:rPr>
            </w:pPr>
            <w:r w:rsidRPr="00786A29">
              <w:rPr>
                <w:rFonts w:ascii="Arial Narrow" w:hAnsi="Arial Narrow" w:cs="Calibri"/>
                <w:sz w:val="18"/>
                <w:szCs w:val="18"/>
              </w:rPr>
              <w:t>(per 100 residenti)</w:t>
            </w:r>
          </w:p>
        </w:tc>
        <w:tc>
          <w:tcPr>
            <w:tcW w:w="1540" w:type="dxa"/>
            <w:shd w:val="clear" w:color="000000" w:fill="FFFFFF"/>
            <w:vAlign w:val="center"/>
            <w:hideMark/>
          </w:tcPr>
          <w:p w14:paraId="5A7E3B73" w14:textId="77777777" w:rsidR="007B5408" w:rsidRPr="00786A29" w:rsidRDefault="007B5408">
            <w:pPr>
              <w:jc w:val="both"/>
              <w:rPr>
                <w:rFonts w:ascii="Arial Narrow" w:hAnsi="Arial Narrow" w:cs="Calibri"/>
                <w:sz w:val="18"/>
                <w:szCs w:val="18"/>
              </w:rPr>
            </w:pPr>
            <w:r w:rsidRPr="00786A29">
              <w:rPr>
                <w:rFonts w:ascii="Arial Narrow" w:hAnsi="Arial Narrow" w:cs="Calibri"/>
                <w:sz w:val="18"/>
                <w:szCs w:val="18"/>
              </w:rPr>
              <w:t>Rocca de' Giorgi (PV)</w:t>
            </w:r>
          </w:p>
        </w:tc>
        <w:tc>
          <w:tcPr>
            <w:tcW w:w="780" w:type="dxa"/>
            <w:shd w:val="clear" w:color="000000" w:fill="D9D9D9"/>
            <w:vAlign w:val="center"/>
            <w:hideMark/>
          </w:tcPr>
          <w:p w14:paraId="37BB8597" w14:textId="77777777" w:rsidR="007B5408" w:rsidRPr="00786A29" w:rsidRDefault="007B5408">
            <w:pPr>
              <w:jc w:val="right"/>
              <w:rPr>
                <w:rFonts w:ascii="Arial Narrow" w:hAnsi="Arial Narrow" w:cs="Calibri"/>
                <w:sz w:val="18"/>
                <w:szCs w:val="18"/>
              </w:rPr>
            </w:pPr>
            <w:r w:rsidRPr="00786A29">
              <w:rPr>
                <w:rFonts w:ascii="Arial Narrow" w:hAnsi="Arial Narrow" w:cs="Calibri"/>
                <w:sz w:val="18"/>
                <w:szCs w:val="18"/>
              </w:rPr>
              <w:t>-17,3</w:t>
            </w:r>
          </w:p>
        </w:tc>
      </w:tr>
      <w:tr w:rsidR="006A78AD" w:rsidRPr="006A78AD" w14:paraId="2C84272A" w14:textId="77777777" w:rsidTr="006A78AD">
        <w:trPr>
          <w:trHeight w:val="855"/>
        </w:trPr>
        <w:tc>
          <w:tcPr>
            <w:tcW w:w="2500" w:type="dxa"/>
            <w:shd w:val="clear" w:color="000000" w:fill="FFFFFF"/>
            <w:vAlign w:val="center"/>
            <w:hideMark/>
          </w:tcPr>
          <w:p w14:paraId="669F8FF7" w14:textId="77777777" w:rsidR="007B5408" w:rsidRPr="00786A29" w:rsidRDefault="007B5408">
            <w:pPr>
              <w:jc w:val="both"/>
              <w:rPr>
                <w:rFonts w:ascii="Arial Narrow" w:hAnsi="Arial Narrow" w:cs="Calibri"/>
                <w:sz w:val="18"/>
                <w:szCs w:val="18"/>
              </w:rPr>
            </w:pPr>
            <w:r w:rsidRPr="00786A29">
              <w:rPr>
                <w:rFonts w:ascii="Arial Narrow" w:hAnsi="Arial Narrow" w:cs="Calibri"/>
                <w:sz w:val="18"/>
                <w:szCs w:val="18"/>
              </w:rPr>
              <w:t xml:space="preserve">Comune con maggior incremento di residenti stranieri rispetto al 2019 </w:t>
            </w:r>
          </w:p>
          <w:p w14:paraId="2A6DB382" w14:textId="1262EA93" w:rsidR="007B5408" w:rsidRPr="00786A29" w:rsidRDefault="007B5408">
            <w:pPr>
              <w:jc w:val="both"/>
              <w:rPr>
                <w:rFonts w:ascii="Arial Narrow" w:hAnsi="Arial Narrow" w:cs="Calibri"/>
                <w:sz w:val="18"/>
                <w:szCs w:val="18"/>
              </w:rPr>
            </w:pPr>
            <w:r w:rsidRPr="00786A29">
              <w:rPr>
                <w:rFonts w:ascii="Arial Narrow" w:hAnsi="Arial Narrow" w:cs="Calibri"/>
                <w:sz w:val="18"/>
                <w:szCs w:val="18"/>
              </w:rPr>
              <w:t xml:space="preserve">(per 100 residenti) </w:t>
            </w:r>
            <w:r w:rsidRPr="00786A29">
              <w:rPr>
                <w:rFonts w:ascii="Arial Narrow" w:hAnsi="Arial Narrow" w:cs="Calibri"/>
                <w:sz w:val="18"/>
                <w:szCs w:val="18"/>
                <w:vertAlign w:val="superscript"/>
              </w:rPr>
              <w:t>(a)</w:t>
            </w:r>
          </w:p>
        </w:tc>
        <w:tc>
          <w:tcPr>
            <w:tcW w:w="1540" w:type="dxa"/>
            <w:shd w:val="clear" w:color="000000" w:fill="D9D9D9"/>
            <w:vAlign w:val="center"/>
            <w:hideMark/>
          </w:tcPr>
          <w:p w14:paraId="4D8C5552" w14:textId="77777777" w:rsidR="007B5408" w:rsidRPr="00786A29" w:rsidRDefault="007B5408">
            <w:pPr>
              <w:jc w:val="both"/>
              <w:rPr>
                <w:rFonts w:ascii="Arial Narrow" w:hAnsi="Arial Narrow" w:cs="Calibri"/>
                <w:sz w:val="18"/>
                <w:szCs w:val="18"/>
              </w:rPr>
            </w:pPr>
            <w:r w:rsidRPr="00786A29">
              <w:rPr>
                <w:rFonts w:ascii="Arial Narrow" w:hAnsi="Arial Narrow" w:cs="Calibri"/>
                <w:sz w:val="18"/>
                <w:szCs w:val="18"/>
              </w:rPr>
              <w:t>Torre di Santa Maria (SO) -Verretto (PV)</w:t>
            </w:r>
          </w:p>
        </w:tc>
        <w:tc>
          <w:tcPr>
            <w:tcW w:w="700" w:type="dxa"/>
            <w:shd w:val="clear" w:color="000000" w:fill="FFFFFF"/>
            <w:vAlign w:val="center"/>
            <w:hideMark/>
          </w:tcPr>
          <w:p w14:paraId="1BB2157D" w14:textId="77777777" w:rsidR="007B5408" w:rsidRPr="00786A29" w:rsidRDefault="007B5408" w:rsidP="00786A29">
            <w:pPr>
              <w:ind w:right="113"/>
              <w:jc w:val="right"/>
              <w:rPr>
                <w:rFonts w:ascii="Arial Narrow" w:hAnsi="Arial Narrow" w:cs="Calibri"/>
                <w:sz w:val="18"/>
                <w:szCs w:val="18"/>
              </w:rPr>
            </w:pPr>
            <w:r w:rsidRPr="00786A29">
              <w:rPr>
                <w:rFonts w:ascii="Arial Narrow" w:hAnsi="Arial Narrow" w:cs="Calibri"/>
                <w:sz w:val="18"/>
                <w:szCs w:val="18"/>
              </w:rPr>
              <w:t>100,0</w:t>
            </w:r>
          </w:p>
        </w:tc>
        <w:tc>
          <w:tcPr>
            <w:tcW w:w="2500" w:type="dxa"/>
            <w:shd w:val="clear" w:color="000000" w:fill="D9D9D9"/>
            <w:vAlign w:val="center"/>
            <w:hideMark/>
          </w:tcPr>
          <w:p w14:paraId="1DD414D0" w14:textId="77777777" w:rsidR="007B5408" w:rsidRPr="00786A29" w:rsidRDefault="007B5408">
            <w:pPr>
              <w:jc w:val="both"/>
              <w:rPr>
                <w:rFonts w:ascii="Arial Narrow" w:hAnsi="Arial Narrow" w:cs="Calibri"/>
                <w:sz w:val="18"/>
                <w:szCs w:val="18"/>
              </w:rPr>
            </w:pPr>
            <w:r w:rsidRPr="00786A29">
              <w:rPr>
                <w:rFonts w:ascii="Arial Narrow" w:hAnsi="Arial Narrow" w:cs="Calibri"/>
                <w:sz w:val="18"/>
                <w:szCs w:val="18"/>
              </w:rPr>
              <w:t xml:space="preserve">Comune con maggior decremento di residenti stranieri rispetto al 2019 </w:t>
            </w:r>
          </w:p>
          <w:p w14:paraId="19EF2910" w14:textId="29C5A192" w:rsidR="007B5408" w:rsidRPr="00786A29" w:rsidRDefault="007B5408">
            <w:pPr>
              <w:jc w:val="both"/>
              <w:rPr>
                <w:rFonts w:ascii="Arial Narrow" w:hAnsi="Arial Narrow" w:cs="Calibri"/>
                <w:sz w:val="18"/>
                <w:szCs w:val="18"/>
              </w:rPr>
            </w:pPr>
            <w:r w:rsidRPr="00786A29">
              <w:rPr>
                <w:rFonts w:ascii="Arial Narrow" w:hAnsi="Arial Narrow" w:cs="Calibri"/>
                <w:sz w:val="18"/>
                <w:szCs w:val="18"/>
              </w:rPr>
              <w:t xml:space="preserve">(per 100 residenti) </w:t>
            </w:r>
            <w:r w:rsidRPr="00786A29">
              <w:rPr>
                <w:rFonts w:ascii="Arial Narrow" w:hAnsi="Arial Narrow" w:cs="Calibri"/>
                <w:sz w:val="18"/>
                <w:szCs w:val="18"/>
                <w:vertAlign w:val="superscript"/>
              </w:rPr>
              <w:t>(a)</w:t>
            </w:r>
          </w:p>
        </w:tc>
        <w:tc>
          <w:tcPr>
            <w:tcW w:w="1540" w:type="dxa"/>
            <w:shd w:val="clear" w:color="000000" w:fill="FFFFFF"/>
            <w:vAlign w:val="center"/>
            <w:hideMark/>
          </w:tcPr>
          <w:p w14:paraId="07071DB0" w14:textId="77777777" w:rsidR="007B5408" w:rsidRPr="00786A29" w:rsidRDefault="007B5408">
            <w:pPr>
              <w:jc w:val="both"/>
              <w:rPr>
                <w:rFonts w:ascii="Arial Narrow" w:hAnsi="Arial Narrow" w:cs="Calibri"/>
                <w:sz w:val="18"/>
                <w:szCs w:val="18"/>
              </w:rPr>
            </w:pPr>
            <w:r w:rsidRPr="00786A29">
              <w:rPr>
                <w:rFonts w:ascii="Arial Narrow" w:hAnsi="Arial Narrow" w:cs="Calibri"/>
                <w:sz w:val="18"/>
                <w:szCs w:val="18"/>
              </w:rPr>
              <w:t>Caponago (MB)</w:t>
            </w:r>
          </w:p>
        </w:tc>
        <w:tc>
          <w:tcPr>
            <w:tcW w:w="780" w:type="dxa"/>
            <w:shd w:val="clear" w:color="000000" w:fill="D9D9D9"/>
            <w:vAlign w:val="center"/>
            <w:hideMark/>
          </w:tcPr>
          <w:p w14:paraId="370A985E" w14:textId="77777777" w:rsidR="007B5408" w:rsidRPr="00786A29" w:rsidRDefault="007B5408">
            <w:pPr>
              <w:jc w:val="right"/>
              <w:rPr>
                <w:rFonts w:ascii="Arial Narrow" w:hAnsi="Arial Narrow" w:cs="Calibri"/>
                <w:sz w:val="18"/>
                <w:szCs w:val="18"/>
              </w:rPr>
            </w:pPr>
            <w:r w:rsidRPr="00786A29">
              <w:rPr>
                <w:rFonts w:ascii="Arial Narrow" w:hAnsi="Arial Narrow" w:cs="Calibri"/>
                <w:sz w:val="18"/>
                <w:szCs w:val="18"/>
              </w:rPr>
              <w:t>-81,0</w:t>
            </w:r>
          </w:p>
        </w:tc>
      </w:tr>
    </w:tbl>
    <w:p w14:paraId="13AD0536" w14:textId="64DF4801" w:rsidR="00635226" w:rsidRPr="0059223D" w:rsidRDefault="007B5408" w:rsidP="00635226">
      <w:pPr>
        <w:spacing w:before="60" w:after="240"/>
        <w:jc w:val="both"/>
        <w:rPr>
          <w:rFonts w:ascii="Arial Narrow" w:hAnsi="Arial Narrow" w:cs="Arial"/>
          <w:sz w:val="16"/>
          <w:szCs w:val="16"/>
        </w:rPr>
      </w:pPr>
      <w:r w:rsidRPr="0059223D">
        <w:rPr>
          <w:rFonts w:ascii="Arial Narrow" w:hAnsi="Arial Narrow" w:cs="Arial"/>
          <w:sz w:val="16"/>
          <w:szCs w:val="16"/>
          <w:vertAlign w:val="superscript"/>
        </w:rPr>
        <w:t xml:space="preserve"> </w:t>
      </w:r>
      <w:r w:rsidR="00635226" w:rsidRPr="0059223D">
        <w:rPr>
          <w:rFonts w:ascii="Arial Narrow" w:hAnsi="Arial Narrow" w:cs="Arial"/>
          <w:sz w:val="16"/>
          <w:szCs w:val="16"/>
          <w:vertAlign w:val="superscript"/>
        </w:rPr>
        <w:t>(a)</w:t>
      </w:r>
      <w:r w:rsidR="00A833D0">
        <w:rPr>
          <w:rFonts w:ascii="Arial Narrow" w:hAnsi="Arial Narrow" w:cs="Arial"/>
          <w:sz w:val="16"/>
          <w:szCs w:val="16"/>
          <w:vertAlign w:val="superscript"/>
        </w:rPr>
        <w:t xml:space="preserve"> </w:t>
      </w:r>
      <w:r w:rsidR="00635226" w:rsidRPr="0059223D">
        <w:rPr>
          <w:rFonts w:ascii="Arial Narrow" w:hAnsi="Arial Narrow" w:cs="Arial"/>
          <w:sz w:val="16"/>
          <w:szCs w:val="16"/>
        </w:rPr>
        <w:t>Per determinare il comune con il maggior incremento o decremento di popolazione straniera è stato considerato l’insieme dei comuni con almeno 10 stranieri residenti.</w:t>
      </w:r>
    </w:p>
    <w:p w14:paraId="30A7DA0E" w14:textId="77777777" w:rsidR="0096531D" w:rsidRDefault="0096531D" w:rsidP="005B0778">
      <w:pPr>
        <w:spacing w:after="120"/>
        <w:jc w:val="both"/>
        <w:rPr>
          <w:rFonts w:ascii="Trebuchet MS" w:hAnsi="Trebuchet MS" w:cs="Arial"/>
          <w:color w:val="5F5F5F"/>
          <w:sz w:val="20"/>
          <w:szCs w:val="20"/>
        </w:rPr>
      </w:pPr>
    </w:p>
    <w:p w14:paraId="20DF4F3C" w14:textId="6B442762" w:rsidR="005B0778" w:rsidRDefault="00241BF8" w:rsidP="005B0778">
      <w:pPr>
        <w:spacing w:after="120"/>
        <w:jc w:val="both"/>
        <w:rPr>
          <w:rFonts w:ascii="Trebuchet MS" w:hAnsi="Trebuchet MS" w:cs="Arial"/>
          <w:color w:val="5F5F5F"/>
          <w:sz w:val="20"/>
          <w:szCs w:val="20"/>
        </w:rPr>
      </w:pPr>
      <w:r>
        <w:rPr>
          <w:rFonts w:ascii="Trebuchet MS" w:hAnsi="Trebuchet MS" w:cs="Arial"/>
          <w:color w:val="5F5F5F"/>
          <w:sz w:val="20"/>
          <w:szCs w:val="20"/>
        </w:rPr>
        <w:t>A livello comunale Livigno</w:t>
      </w:r>
      <w:r w:rsidR="005B0778" w:rsidRPr="00241BF8">
        <w:rPr>
          <w:rFonts w:ascii="Trebuchet MS" w:hAnsi="Trebuchet MS" w:cs="Arial"/>
          <w:color w:val="5F5F5F"/>
          <w:sz w:val="20"/>
          <w:szCs w:val="20"/>
        </w:rPr>
        <w:t xml:space="preserve">, in provincia di </w:t>
      </w:r>
      <w:r>
        <w:rPr>
          <w:rFonts w:ascii="Trebuchet MS" w:hAnsi="Trebuchet MS" w:cs="Arial"/>
          <w:color w:val="5F5F5F"/>
          <w:sz w:val="20"/>
          <w:szCs w:val="20"/>
        </w:rPr>
        <w:t>Sondrio</w:t>
      </w:r>
      <w:r w:rsidR="005B0778" w:rsidRPr="00241BF8">
        <w:rPr>
          <w:rFonts w:ascii="Trebuchet MS" w:hAnsi="Trebuchet MS" w:cs="Arial"/>
          <w:color w:val="5F5F5F"/>
          <w:sz w:val="20"/>
          <w:szCs w:val="20"/>
        </w:rPr>
        <w:t xml:space="preserve">, </w:t>
      </w:r>
      <w:r w:rsidR="00FF54A8" w:rsidRPr="00241BF8">
        <w:rPr>
          <w:rFonts w:ascii="Trebuchet MS" w:hAnsi="Trebuchet MS" w:cs="Arial"/>
          <w:color w:val="5F5F5F"/>
          <w:sz w:val="20"/>
          <w:szCs w:val="20"/>
        </w:rPr>
        <w:t>ha</w:t>
      </w:r>
      <w:r w:rsidR="005B0778" w:rsidRPr="00241BF8">
        <w:rPr>
          <w:rFonts w:ascii="Trebuchet MS" w:hAnsi="Trebuchet MS" w:cs="Arial"/>
          <w:color w:val="5F5F5F"/>
          <w:sz w:val="20"/>
          <w:szCs w:val="20"/>
        </w:rPr>
        <w:t xml:space="preserve"> l</w:t>
      </w:r>
      <w:r w:rsidR="00FF54A8" w:rsidRPr="00241BF8">
        <w:rPr>
          <w:rFonts w:ascii="Trebuchet MS" w:hAnsi="Trebuchet MS" w:cs="Arial"/>
          <w:color w:val="5F5F5F"/>
          <w:sz w:val="20"/>
          <w:szCs w:val="20"/>
        </w:rPr>
        <w:t>’</w:t>
      </w:r>
      <w:r w:rsidR="005B0778" w:rsidRPr="00241BF8">
        <w:rPr>
          <w:rFonts w:ascii="Trebuchet MS" w:hAnsi="Trebuchet MS" w:cs="Arial"/>
          <w:color w:val="5F5F5F"/>
          <w:sz w:val="20"/>
          <w:szCs w:val="20"/>
        </w:rPr>
        <w:t xml:space="preserve">età media </w:t>
      </w:r>
      <w:r w:rsidR="00FF54A8" w:rsidRPr="00241BF8">
        <w:rPr>
          <w:rFonts w:ascii="Trebuchet MS" w:hAnsi="Trebuchet MS" w:cs="Arial"/>
          <w:color w:val="5F5F5F"/>
          <w:sz w:val="20"/>
          <w:szCs w:val="20"/>
        </w:rPr>
        <w:t xml:space="preserve">più bassa </w:t>
      </w:r>
      <w:r>
        <w:rPr>
          <w:rFonts w:ascii="Trebuchet MS" w:hAnsi="Trebuchet MS" w:cs="Arial"/>
          <w:color w:val="5F5F5F"/>
          <w:sz w:val="20"/>
          <w:szCs w:val="20"/>
        </w:rPr>
        <w:t>(36,1</w:t>
      </w:r>
      <w:r w:rsidR="005B0778" w:rsidRPr="00241BF8">
        <w:rPr>
          <w:rFonts w:ascii="Trebuchet MS" w:hAnsi="Trebuchet MS" w:cs="Arial"/>
          <w:color w:val="5F5F5F"/>
          <w:sz w:val="20"/>
          <w:szCs w:val="20"/>
        </w:rPr>
        <w:t xml:space="preserve"> anni) mentre </w:t>
      </w:r>
      <w:r>
        <w:rPr>
          <w:rFonts w:ascii="Trebuchet MS" w:hAnsi="Trebuchet MS" w:cs="Arial"/>
          <w:color w:val="5F5F5F"/>
          <w:sz w:val="20"/>
          <w:szCs w:val="20"/>
        </w:rPr>
        <w:t>Magasa</w:t>
      </w:r>
      <w:r w:rsidR="005B0778" w:rsidRPr="00241BF8">
        <w:rPr>
          <w:rFonts w:ascii="Trebuchet MS" w:hAnsi="Trebuchet MS" w:cs="Arial"/>
          <w:color w:val="5F5F5F"/>
          <w:sz w:val="20"/>
          <w:szCs w:val="20"/>
        </w:rPr>
        <w:t xml:space="preserve">, in provincia di </w:t>
      </w:r>
      <w:r>
        <w:rPr>
          <w:rFonts w:ascii="Trebuchet MS" w:hAnsi="Trebuchet MS" w:cs="Arial"/>
          <w:color w:val="5F5F5F"/>
          <w:sz w:val="20"/>
          <w:szCs w:val="20"/>
        </w:rPr>
        <w:t>Brescia</w:t>
      </w:r>
      <w:r w:rsidR="005B0778" w:rsidRPr="00241BF8">
        <w:rPr>
          <w:rFonts w:ascii="Trebuchet MS" w:hAnsi="Trebuchet MS" w:cs="Arial"/>
          <w:color w:val="5F5F5F"/>
          <w:sz w:val="20"/>
          <w:szCs w:val="20"/>
        </w:rPr>
        <w:t>, quell</w:t>
      </w:r>
      <w:r w:rsidR="00FF54A8" w:rsidRPr="00241BF8">
        <w:rPr>
          <w:rFonts w:ascii="Trebuchet MS" w:hAnsi="Trebuchet MS" w:cs="Arial"/>
          <w:color w:val="5F5F5F"/>
          <w:sz w:val="20"/>
          <w:szCs w:val="20"/>
        </w:rPr>
        <w:t>a</w:t>
      </w:r>
      <w:r w:rsidR="005B0778" w:rsidRPr="00241BF8">
        <w:rPr>
          <w:rFonts w:ascii="Trebuchet MS" w:hAnsi="Trebuchet MS" w:cs="Arial"/>
          <w:color w:val="5F5F5F"/>
          <w:sz w:val="20"/>
          <w:szCs w:val="20"/>
        </w:rPr>
        <w:t xml:space="preserve"> più elevata </w:t>
      </w:r>
      <w:r>
        <w:rPr>
          <w:rFonts w:ascii="Trebuchet MS" w:hAnsi="Trebuchet MS" w:cs="Arial"/>
          <w:color w:val="5F5F5F"/>
          <w:sz w:val="20"/>
          <w:szCs w:val="20"/>
        </w:rPr>
        <w:t>(62,3</w:t>
      </w:r>
      <w:r w:rsidR="005B0778" w:rsidRPr="00241BF8">
        <w:rPr>
          <w:rFonts w:ascii="Trebuchet MS" w:hAnsi="Trebuchet MS" w:cs="Arial"/>
          <w:color w:val="5F5F5F"/>
          <w:sz w:val="20"/>
          <w:szCs w:val="20"/>
        </w:rPr>
        <w:t xml:space="preserve"> anni). </w:t>
      </w:r>
      <w:r>
        <w:rPr>
          <w:rFonts w:ascii="Trebuchet MS" w:hAnsi="Trebuchet MS" w:cs="Arial"/>
          <w:color w:val="5F5F5F"/>
          <w:sz w:val="20"/>
          <w:szCs w:val="20"/>
        </w:rPr>
        <w:t>Rocca de’ Giorgi</w:t>
      </w:r>
      <w:r w:rsidR="005B0778" w:rsidRPr="00241BF8">
        <w:rPr>
          <w:rFonts w:ascii="Trebuchet MS" w:hAnsi="Trebuchet MS" w:cs="Arial"/>
          <w:color w:val="5F5F5F"/>
          <w:sz w:val="20"/>
          <w:szCs w:val="20"/>
        </w:rPr>
        <w:t xml:space="preserve">, in provincia di </w:t>
      </w:r>
      <w:r>
        <w:rPr>
          <w:rFonts w:ascii="Trebuchet MS" w:hAnsi="Trebuchet MS" w:cs="Arial"/>
          <w:color w:val="5F5F5F"/>
          <w:sz w:val="20"/>
          <w:szCs w:val="20"/>
        </w:rPr>
        <w:t>Pavia</w:t>
      </w:r>
      <w:r w:rsidR="005B0778" w:rsidRPr="00241BF8">
        <w:rPr>
          <w:rFonts w:ascii="Trebuchet MS" w:hAnsi="Trebuchet MS" w:cs="Arial"/>
          <w:color w:val="5F5F5F"/>
          <w:sz w:val="20"/>
          <w:szCs w:val="20"/>
        </w:rPr>
        <w:t>, è in</w:t>
      </w:r>
      <w:r>
        <w:rPr>
          <w:rFonts w:ascii="Trebuchet MS" w:hAnsi="Trebuchet MS" w:cs="Arial"/>
          <w:color w:val="5F5F5F"/>
          <w:sz w:val="20"/>
          <w:szCs w:val="20"/>
        </w:rPr>
        <w:t>vece il comune con il maggior decremento di popolazione (-16,0%) e di residenti italiani (-17,3</w:t>
      </w:r>
      <w:r w:rsidR="005B0778" w:rsidRPr="00241BF8">
        <w:rPr>
          <w:rFonts w:ascii="Trebuchet MS" w:hAnsi="Trebuchet MS" w:cs="Arial"/>
          <w:color w:val="5F5F5F"/>
          <w:sz w:val="20"/>
          <w:szCs w:val="20"/>
        </w:rPr>
        <w:t xml:space="preserve">%) rispetto al 2019. In termini di popolazione residente, il comune più </w:t>
      </w:r>
      <w:r>
        <w:rPr>
          <w:rFonts w:ascii="Trebuchet MS" w:hAnsi="Trebuchet MS" w:cs="Arial"/>
          <w:color w:val="5F5F5F"/>
          <w:sz w:val="20"/>
          <w:szCs w:val="20"/>
        </w:rPr>
        <w:t>piccolo è Morterone, in provincia di Lecco, con 29</w:t>
      </w:r>
      <w:r w:rsidR="005B0778" w:rsidRPr="00241BF8">
        <w:rPr>
          <w:rFonts w:ascii="Trebuchet MS" w:hAnsi="Trebuchet MS" w:cs="Arial"/>
          <w:color w:val="5F5F5F"/>
          <w:sz w:val="20"/>
          <w:szCs w:val="20"/>
        </w:rPr>
        <w:t xml:space="preserve"> abitanti mentre </w:t>
      </w:r>
      <w:r>
        <w:rPr>
          <w:rFonts w:ascii="Trebuchet MS" w:hAnsi="Trebuchet MS" w:cs="Arial"/>
          <w:color w:val="5F5F5F"/>
          <w:sz w:val="20"/>
          <w:szCs w:val="20"/>
        </w:rPr>
        <w:t>Milano</w:t>
      </w:r>
      <w:r w:rsidR="005B0778" w:rsidRPr="00241BF8">
        <w:rPr>
          <w:rFonts w:ascii="Trebuchet MS" w:hAnsi="Trebuchet MS" w:cs="Arial"/>
          <w:color w:val="5F5F5F"/>
          <w:sz w:val="20"/>
          <w:szCs w:val="20"/>
        </w:rPr>
        <w:t xml:space="preserve"> continua</w:t>
      </w:r>
      <w:r>
        <w:rPr>
          <w:rFonts w:ascii="Trebuchet MS" w:hAnsi="Trebuchet MS" w:cs="Arial"/>
          <w:color w:val="5F5F5F"/>
          <w:sz w:val="20"/>
          <w:szCs w:val="20"/>
        </w:rPr>
        <w:t xml:space="preserve"> a essere il più grande (1.374.582</w:t>
      </w:r>
      <w:r w:rsidR="005B0778" w:rsidRPr="00241BF8">
        <w:rPr>
          <w:rFonts w:ascii="Trebuchet MS" w:hAnsi="Trebuchet MS" w:cs="Arial"/>
          <w:color w:val="5F5F5F"/>
          <w:sz w:val="20"/>
          <w:szCs w:val="20"/>
        </w:rPr>
        <w:t xml:space="preserve"> abitanti)</w:t>
      </w:r>
      <w:r w:rsidR="00FF54A8" w:rsidRPr="00241BF8">
        <w:rPr>
          <w:rFonts w:ascii="Trebuchet MS" w:hAnsi="Trebuchet MS" w:cs="Arial"/>
          <w:color w:val="5F5F5F"/>
          <w:sz w:val="20"/>
          <w:szCs w:val="20"/>
        </w:rPr>
        <w:t xml:space="preserve"> (Prospetto 6)</w:t>
      </w:r>
      <w:r w:rsidR="005B0778" w:rsidRPr="00241BF8">
        <w:rPr>
          <w:rFonts w:ascii="Trebuchet MS" w:hAnsi="Trebuchet MS" w:cs="Arial"/>
          <w:color w:val="5F5F5F"/>
          <w:sz w:val="20"/>
          <w:szCs w:val="20"/>
        </w:rPr>
        <w:t>.</w:t>
      </w:r>
      <w:r w:rsidR="005B0778">
        <w:rPr>
          <w:rFonts w:ascii="Trebuchet MS" w:hAnsi="Trebuchet MS" w:cs="Arial"/>
          <w:color w:val="5F5F5F"/>
          <w:sz w:val="20"/>
          <w:szCs w:val="20"/>
        </w:rPr>
        <w:t xml:space="preserve"> </w:t>
      </w:r>
    </w:p>
    <w:p w14:paraId="31C3C9B3" w14:textId="2AF1218A" w:rsidR="00F02A05" w:rsidRDefault="00F02A05" w:rsidP="00047761">
      <w:pPr>
        <w:spacing w:after="120"/>
        <w:jc w:val="both"/>
        <w:rPr>
          <w:rFonts w:ascii="Trebuchet MS" w:hAnsi="Trebuchet MS" w:cs="Arial"/>
          <w:b/>
          <w:iCs/>
          <w:color w:val="5F5F5F"/>
          <w:kern w:val="28"/>
          <w:sz w:val="20"/>
          <w:szCs w:val="20"/>
        </w:rPr>
      </w:pPr>
    </w:p>
    <w:p w14:paraId="7FA0687F" w14:textId="6D70BD6B" w:rsidR="0096531D" w:rsidRDefault="0096531D" w:rsidP="00047761">
      <w:pPr>
        <w:spacing w:after="120"/>
        <w:jc w:val="both"/>
        <w:rPr>
          <w:rFonts w:ascii="Trebuchet MS" w:hAnsi="Trebuchet MS" w:cs="Arial"/>
          <w:b/>
          <w:iCs/>
          <w:color w:val="5F5F5F"/>
          <w:kern w:val="28"/>
          <w:sz w:val="20"/>
          <w:szCs w:val="20"/>
        </w:rPr>
      </w:pPr>
    </w:p>
    <w:p w14:paraId="191FAEA1" w14:textId="07E0DEB0" w:rsidR="0096531D" w:rsidRDefault="0096531D" w:rsidP="00047761">
      <w:pPr>
        <w:spacing w:after="120"/>
        <w:jc w:val="both"/>
        <w:rPr>
          <w:rFonts w:ascii="Trebuchet MS" w:hAnsi="Trebuchet MS" w:cs="Arial"/>
          <w:b/>
          <w:iCs/>
          <w:color w:val="5F5F5F"/>
          <w:kern w:val="28"/>
          <w:sz w:val="20"/>
          <w:szCs w:val="20"/>
        </w:rPr>
      </w:pPr>
    </w:p>
    <w:p w14:paraId="2B8E46B6" w14:textId="169E4B5B" w:rsidR="0072244C" w:rsidRDefault="008C7BC5" w:rsidP="00047761">
      <w:pPr>
        <w:spacing w:after="120"/>
        <w:jc w:val="both"/>
        <w:rPr>
          <w:rFonts w:ascii="Trebuchet MS" w:hAnsi="Trebuchet MS" w:cs="Arial"/>
          <w:i/>
          <w:color w:val="5F5F5F"/>
          <w:sz w:val="20"/>
          <w:szCs w:val="20"/>
        </w:rPr>
      </w:pPr>
      <w:r>
        <w:rPr>
          <w:rFonts w:ascii="Trebuchet MS" w:hAnsi="Trebuchet MS" w:cs="Arial"/>
          <w:b/>
          <w:iCs/>
          <w:color w:val="5F5F5F"/>
          <w:kern w:val="28"/>
          <w:sz w:val="22"/>
          <w:szCs w:val="22"/>
        </w:rPr>
        <w:lastRenderedPageBreak/>
        <w:t>P</w:t>
      </w:r>
      <w:r w:rsidR="00A45A78" w:rsidRPr="00307371">
        <w:rPr>
          <w:rFonts w:ascii="Trebuchet MS" w:hAnsi="Trebuchet MS" w:cs="Arial"/>
          <w:b/>
          <w:iCs/>
          <w:color w:val="5F5F5F"/>
          <w:kern w:val="28"/>
          <w:sz w:val="22"/>
          <w:szCs w:val="22"/>
        </w:rPr>
        <w:t>opolazione straniera</w:t>
      </w:r>
      <w:r w:rsidR="008C0254" w:rsidRPr="00307371">
        <w:rPr>
          <w:rFonts w:ascii="Trebuchet MS" w:hAnsi="Trebuchet MS" w:cs="Arial"/>
          <w:b/>
          <w:iCs/>
          <w:color w:val="5F5F5F"/>
          <w:kern w:val="28"/>
          <w:sz w:val="22"/>
          <w:szCs w:val="22"/>
        </w:rPr>
        <w:t xml:space="preserve"> residente </w:t>
      </w:r>
    </w:p>
    <w:p w14:paraId="36C08625" w14:textId="4F886B17" w:rsidR="00BB0936" w:rsidRDefault="00BB0936" w:rsidP="00047761">
      <w:pPr>
        <w:spacing w:after="120"/>
        <w:jc w:val="both"/>
        <w:rPr>
          <w:rFonts w:ascii="Trebuchet MS" w:hAnsi="Trebuchet MS" w:cs="Arial"/>
          <w:color w:val="5F5F5F"/>
          <w:sz w:val="20"/>
          <w:szCs w:val="20"/>
        </w:rPr>
      </w:pPr>
      <w:r>
        <w:rPr>
          <w:rFonts w:ascii="Trebuchet MS" w:hAnsi="Trebuchet MS" w:cs="Arial"/>
          <w:color w:val="5F5F5F"/>
          <w:sz w:val="20"/>
          <w:szCs w:val="20"/>
        </w:rPr>
        <w:t>S</w:t>
      </w:r>
      <w:r w:rsidRPr="00F803F8">
        <w:rPr>
          <w:rFonts w:ascii="Trebuchet MS" w:hAnsi="Trebuchet MS" w:cs="Arial"/>
          <w:color w:val="5F5F5F"/>
          <w:sz w:val="20"/>
          <w:szCs w:val="20"/>
        </w:rPr>
        <w:t>ulla base della dinamica demografica di fonte anagrafica (saldo naturale e saldo migratorio) intercorsa nell’anno 2020, combinata alle risultanze derivanti dai “segnali di vita amministrativi” (saldo tra sovra e sotto copert</w:t>
      </w:r>
      <w:r>
        <w:rPr>
          <w:rFonts w:ascii="Trebuchet MS" w:hAnsi="Trebuchet MS" w:cs="Arial"/>
          <w:color w:val="5F5F5F"/>
          <w:sz w:val="20"/>
          <w:szCs w:val="20"/>
        </w:rPr>
        <w:t>ura anagrafica degli stranieri), l</w:t>
      </w:r>
      <w:r w:rsidRPr="00F803F8">
        <w:rPr>
          <w:rFonts w:ascii="Trebuchet MS" w:hAnsi="Trebuchet MS" w:cs="Arial"/>
          <w:color w:val="5F5F5F"/>
          <w:sz w:val="20"/>
          <w:szCs w:val="20"/>
        </w:rPr>
        <w:t>a popo</w:t>
      </w:r>
      <w:r>
        <w:rPr>
          <w:rFonts w:ascii="Trebuchet MS" w:hAnsi="Trebuchet MS" w:cs="Arial"/>
          <w:color w:val="5F5F5F"/>
          <w:sz w:val="20"/>
          <w:szCs w:val="20"/>
        </w:rPr>
        <w:t xml:space="preserve">lazione straniera della </w:t>
      </w:r>
      <w:r w:rsidR="00B82610">
        <w:rPr>
          <w:rFonts w:ascii="Trebuchet MS" w:hAnsi="Trebuchet MS" w:cs="Arial"/>
          <w:color w:val="5F5F5F"/>
          <w:sz w:val="20"/>
          <w:szCs w:val="20"/>
        </w:rPr>
        <w:t>Lombardia</w:t>
      </w:r>
      <w:r w:rsidR="00F67956">
        <w:rPr>
          <w:rFonts w:ascii="Trebuchet MS" w:hAnsi="Trebuchet MS" w:cs="Arial"/>
          <w:color w:val="5F5F5F"/>
          <w:sz w:val="20"/>
          <w:szCs w:val="20"/>
        </w:rPr>
        <w:t xml:space="preserve"> ammonta a 1.190.889</w:t>
      </w:r>
      <w:r>
        <w:rPr>
          <w:rFonts w:ascii="Trebuchet MS" w:hAnsi="Trebuchet MS" w:cs="Arial"/>
          <w:color w:val="5F5F5F"/>
          <w:sz w:val="20"/>
          <w:szCs w:val="20"/>
        </w:rPr>
        <w:t xml:space="preserve"> </w:t>
      </w:r>
      <w:r w:rsidR="00C77DC5">
        <w:rPr>
          <w:rFonts w:ascii="Trebuchet MS" w:hAnsi="Trebuchet MS" w:cs="Arial"/>
          <w:color w:val="5F5F5F"/>
          <w:sz w:val="20"/>
          <w:szCs w:val="20"/>
        </w:rPr>
        <w:t>residenti</w:t>
      </w:r>
      <w:r w:rsidR="008C0254">
        <w:rPr>
          <w:rFonts w:ascii="Trebuchet MS" w:hAnsi="Trebuchet MS" w:cs="Arial"/>
          <w:color w:val="5F5F5F"/>
          <w:sz w:val="20"/>
          <w:szCs w:val="20"/>
        </w:rPr>
        <w:t xml:space="preserve">, </w:t>
      </w:r>
      <w:r>
        <w:rPr>
          <w:rFonts w:ascii="Trebuchet MS" w:hAnsi="Trebuchet MS" w:cs="Arial"/>
          <w:color w:val="5F5F5F"/>
          <w:sz w:val="20"/>
          <w:szCs w:val="20"/>
        </w:rPr>
        <w:t>c</w:t>
      </w:r>
      <w:r w:rsidR="00F67956">
        <w:rPr>
          <w:rFonts w:ascii="Trebuchet MS" w:hAnsi="Trebuchet MS" w:cs="Arial"/>
          <w:color w:val="5F5F5F"/>
          <w:sz w:val="20"/>
          <w:szCs w:val="20"/>
        </w:rPr>
        <w:t>on un aumento di quasi 42 mila unità (+3,6</w:t>
      </w:r>
      <w:r>
        <w:rPr>
          <w:rFonts w:ascii="Trebuchet MS" w:hAnsi="Trebuchet MS" w:cs="Arial"/>
          <w:color w:val="5F5F5F"/>
          <w:sz w:val="20"/>
          <w:szCs w:val="20"/>
        </w:rPr>
        <w:t>%)</w:t>
      </w:r>
      <w:r w:rsidRPr="00F803F8">
        <w:rPr>
          <w:rFonts w:ascii="Trebuchet MS" w:hAnsi="Trebuchet MS" w:cs="Arial"/>
          <w:color w:val="5F5F5F"/>
          <w:sz w:val="20"/>
          <w:szCs w:val="20"/>
        </w:rPr>
        <w:t xml:space="preserve"> rispetto al </w:t>
      </w:r>
      <w:r w:rsidR="00E77827">
        <w:rPr>
          <w:rFonts w:ascii="Trebuchet MS" w:hAnsi="Trebuchet MS" w:cs="Arial"/>
          <w:color w:val="5F5F5F"/>
          <w:sz w:val="20"/>
          <w:szCs w:val="20"/>
        </w:rPr>
        <w:t>C</w:t>
      </w:r>
      <w:r>
        <w:rPr>
          <w:rFonts w:ascii="Trebuchet MS" w:hAnsi="Trebuchet MS" w:cs="Arial"/>
          <w:color w:val="5F5F5F"/>
          <w:sz w:val="20"/>
          <w:szCs w:val="20"/>
        </w:rPr>
        <w:t xml:space="preserve">ensimento </w:t>
      </w:r>
      <w:r w:rsidRPr="00F803F8">
        <w:rPr>
          <w:rFonts w:ascii="Trebuchet MS" w:hAnsi="Trebuchet MS" w:cs="Arial"/>
          <w:color w:val="5F5F5F"/>
          <w:sz w:val="20"/>
          <w:szCs w:val="20"/>
        </w:rPr>
        <w:t>2019</w:t>
      </w:r>
      <w:r w:rsidR="00FF54A8">
        <w:rPr>
          <w:rFonts w:ascii="Trebuchet MS" w:hAnsi="Trebuchet MS" w:cs="Arial"/>
          <w:color w:val="5F5F5F"/>
          <w:sz w:val="20"/>
          <w:szCs w:val="20"/>
        </w:rPr>
        <w:t xml:space="preserve"> (Prospetto 7)</w:t>
      </w:r>
      <w:r>
        <w:rPr>
          <w:rFonts w:ascii="Trebuchet MS" w:hAnsi="Trebuchet MS" w:cs="Arial"/>
          <w:color w:val="5F5F5F"/>
          <w:sz w:val="20"/>
          <w:szCs w:val="20"/>
        </w:rPr>
        <w:t xml:space="preserve">. </w:t>
      </w:r>
    </w:p>
    <w:p w14:paraId="12E71D19" w14:textId="7C95FF23" w:rsidR="00BB0936" w:rsidRDefault="00BB0936" w:rsidP="00BB0936">
      <w:pPr>
        <w:tabs>
          <w:tab w:val="left" w:pos="567"/>
        </w:tabs>
        <w:spacing w:after="120"/>
        <w:jc w:val="both"/>
        <w:rPr>
          <w:rFonts w:ascii="Trebuchet MS" w:hAnsi="Trebuchet MS" w:cs="Arial"/>
          <w:color w:val="5F5F5F"/>
          <w:sz w:val="20"/>
          <w:szCs w:val="20"/>
        </w:rPr>
      </w:pPr>
      <w:r>
        <w:rPr>
          <w:rFonts w:ascii="Trebuchet MS" w:hAnsi="Trebuchet MS" w:cs="Arial"/>
          <w:color w:val="5F5F5F"/>
          <w:sz w:val="20"/>
          <w:szCs w:val="20"/>
        </w:rPr>
        <w:t>L’</w:t>
      </w:r>
      <w:r w:rsidRPr="00F803F8">
        <w:rPr>
          <w:rFonts w:ascii="Trebuchet MS" w:hAnsi="Trebuchet MS" w:cs="Arial"/>
          <w:color w:val="5F5F5F"/>
          <w:sz w:val="20"/>
          <w:szCs w:val="20"/>
        </w:rPr>
        <w:t>incremen</w:t>
      </w:r>
      <w:r>
        <w:rPr>
          <w:rFonts w:ascii="Trebuchet MS" w:hAnsi="Trebuchet MS" w:cs="Arial"/>
          <w:color w:val="5F5F5F"/>
          <w:sz w:val="20"/>
          <w:szCs w:val="20"/>
        </w:rPr>
        <w:t xml:space="preserve">to </w:t>
      </w:r>
      <w:r w:rsidR="00C77DC5">
        <w:rPr>
          <w:rFonts w:ascii="Trebuchet MS" w:hAnsi="Trebuchet MS" w:cs="Arial"/>
          <w:color w:val="5F5F5F"/>
          <w:sz w:val="20"/>
          <w:szCs w:val="20"/>
        </w:rPr>
        <w:t xml:space="preserve">della popolazione straniera </w:t>
      </w:r>
      <w:r>
        <w:rPr>
          <w:rFonts w:ascii="Trebuchet MS" w:hAnsi="Trebuchet MS" w:cs="Arial"/>
          <w:color w:val="5F5F5F"/>
          <w:sz w:val="20"/>
          <w:szCs w:val="20"/>
        </w:rPr>
        <w:t>ha</w:t>
      </w:r>
      <w:r w:rsidR="00C77DC5">
        <w:rPr>
          <w:rFonts w:ascii="Trebuchet MS" w:hAnsi="Trebuchet MS" w:cs="Arial"/>
          <w:color w:val="5F5F5F"/>
          <w:sz w:val="20"/>
          <w:szCs w:val="20"/>
        </w:rPr>
        <w:t xml:space="preserve"> </w:t>
      </w:r>
      <w:r w:rsidR="0087718A">
        <w:rPr>
          <w:rFonts w:ascii="Trebuchet MS" w:hAnsi="Trebuchet MS" w:cs="Arial"/>
          <w:color w:val="5F5F5F"/>
          <w:sz w:val="20"/>
          <w:szCs w:val="20"/>
        </w:rPr>
        <w:t xml:space="preserve">solo parzialmente </w:t>
      </w:r>
      <w:r w:rsidR="00F67956">
        <w:rPr>
          <w:rFonts w:ascii="Trebuchet MS" w:hAnsi="Trebuchet MS" w:cs="Arial"/>
          <w:color w:val="5F5F5F"/>
          <w:sz w:val="20"/>
          <w:szCs w:val="20"/>
        </w:rPr>
        <w:t>arginato il decremento</w:t>
      </w:r>
      <w:r w:rsidRPr="00F803F8">
        <w:rPr>
          <w:rFonts w:ascii="Trebuchet MS" w:hAnsi="Trebuchet MS" w:cs="Arial"/>
          <w:color w:val="5F5F5F"/>
          <w:sz w:val="20"/>
          <w:szCs w:val="20"/>
        </w:rPr>
        <w:t xml:space="preserve"> </w:t>
      </w:r>
      <w:r w:rsidR="000F7524">
        <w:rPr>
          <w:rFonts w:ascii="Trebuchet MS" w:hAnsi="Trebuchet MS" w:cs="Arial"/>
          <w:color w:val="5F5F5F"/>
          <w:sz w:val="20"/>
          <w:szCs w:val="20"/>
        </w:rPr>
        <w:t>di quella</w:t>
      </w:r>
      <w:r w:rsidR="00F67956">
        <w:rPr>
          <w:rFonts w:ascii="Trebuchet MS" w:hAnsi="Trebuchet MS" w:cs="Arial"/>
          <w:color w:val="5F5F5F"/>
          <w:sz w:val="20"/>
          <w:szCs w:val="20"/>
        </w:rPr>
        <w:t xml:space="preserve"> complessiva </w:t>
      </w:r>
      <w:r w:rsidR="00F67956" w:rsidRPr="008C5F0F">
        <w:rPr>
          <w:rFonts w:ascii="Trebuchet MS" w:hAnsi="Trebuchet MS" w:cs="Arial"/>
          <w:color w:val="5F5F5F"/>
          <w:sz w:val="20"/>
          <w:szCs w:val="20"/>
        </w:rPr>
        <w:t>(-46.048</w:t>
      </w:r>
      <w:r w:rsidRPr="008C5F0F">
        <w:rPr>
          <w:rFonts w:ascii="Trebuchet MS" w:hAnsi="Trebuchet MS" w:cs="Arial"/>
          <w:color w:val="5F5F5F"/>
          <w:sz w:val="20"/>
          <w:szCs w:val="20"/>
        </w:rPr>
        <w:t xml:space="preserve"> persone</w:t>
      </w:r>
      <w:r w:rsidRPr="00F803F8">
        <w:rPr>
          <w:rFonts w:ascii="Trebuchet MS" w:hAnsi="Trebuchet MS" w:cs="Arial"/>
          <w:color w:val="5F5F5F"/>
          <w:sz w:val="20"/>
          <w:szCs w:val="20"/>
        </w:rPr>
        <w:t>).</w:t>
      </w:r>
      <w:r w:rsidR="00F67956">
        <w:rPr>
          <w:rFonts w:ascii="Trebuchet MS" w:hAnsi="Trebuchet MS" w:cs="Arial"/>
          <w:color w:val="5F5F5F"/>
          <w:sz w:val="20"/>
          <w:szCs w:val="20"/>
        </w:rPr>
        <w:t xml:space="preserve"> Milano, la provincia</w:t>
      </w:r>
      <w:r>
        <w:rPr>
          <w:rFonts w:ascii="Trebuchet MS" w:hAnsi="Trebuchet MS" w:cs="Arial"/>
          <w:color w:val="5F5F5F"/>
          <w:sz w:val="20"/>
          <w:szCs w:val="20"/>
        </w:rPr>
        <w:t xml:space="preserve"> con il maggior numero di stran</w:t>
      </w:r>
      <w:r w:rsidR="00F67956">
        <w:rPr>
          <w:rFonts w:ascii="Trebuchet MS" w:hAnsi="Trebuchet MS" w:cs="Arial"/>
          <w:color w:val="5F5F5F"/>
          <w:sz w:val="20"/>
          <w:szCs w:val="20"/>
        </w:rPr>
        <w:t>ieri, registra</w:t>
      </w:r>
      <w:r>
        <w:rPr>
          <w:rFonts w:ascii="Trebuchet MS" w:hAnsi="Trebuchet MS" w:cs="Arial"/>
          <w:color w:val="5F5F5F"/>
          <w:sz w:val="20"/>
          <w:szCs w:val="20"/>
        </w:rPr>
        <w:t xml:space="preserve"> i</w:t>
      </w:r>
      <w:r w:rsidR="00F67956">
        <w:rPr>
          <w:rFonts w:ascii="Trebuchet MS" w:hAnsi="Trebuchet MS" w:cs="Arial"/>
          <w:color w:val="5F5F5F"/>
          <w:sz w:val="20"/>
          <w:szCs w:val="20"/>
        </w:rPr>
        <w:t>l più alto incremento percentuale (+6,6</w:t>
      </w:r>
      <w:r>
        <w:rPr>
          <w:rFonts w:ascii="Trebuchet MS" w:hAnsi="Trebuchet MS" w:cs="Arial"/>
          <w:color w:val="5F5F5F"/>
          <w:sz w:val="20"/>
          <w:szCs w:val="20"/>
        </w:rPr>
        <w:t>%</w:t>
      </w:r>
      <w:r w:rsidR="00F67956">
        <w:rPr>
          <w:rFonts w:ascii="Trebuchet MS" w:hAnsi="Trebuchet MS" w:cs="Arial"/>
          <w:color w:val="5F5F5F"/>
          <w:sz w:val="20"/>
          <w:szCs w:val="20"/>
        </w:rPr>
        <w:t>)</w:t>
      </w:r>
      <w:r>
        <w:rPr>
          <w:rFonts w:ascii="Trebuchet MS" w:hAnsi="Trebuchet MS" w:cs="Arial"/>
          <w:color w:val="5F5F5F"/>
          <w:sz w:val="20"/>
          <w:szCs w:val="20"/>
        </w:rPr>
        <w:t xml:space="preserve"> </w:t>
      </w:r>
      <w:r w:rsidR="00535072">
        <w:rPr>
          <w:rFonts w:ascii="Trebuchet MS" w:hAnsi="Trebuchet MS" w:cs="Arial"/>
          <w:color w:val="5F5F5F"/>
          <w:sz w:val="20"/>
          <w:szCs w:val="20"/>
        </w:rPr>
        <w:t xml:space="preserve">mentre nelle province di Como </w:t>
      </w:r>
      <w:r>
        <w:rPr>
          <w:rFonts w:ascii="Trebuchet MS" w:hAnsi="Trebuchet MS" w:cs="Arial"/>
          <w:color w:val="5F5F5F"/>
          <w:sz w:val="20"/>
          <w:szCs w:val="20"/>
        </w:rPr>
        <w:t xml:space="preserve">e </w:t>
      </w:r>
      <w:r w:rsidR="00535072">
        <w:rPr>
          <w:rFonts w:ascii="Trebuchet MS" w:hAnsi="Trebuchet MS" w:cs="Arial"/>
          <w:color w:val="5F5F5F"/>
          <w:sz w:val="20"/>
          <w:szCs w:val="20"/>
        </w:rPr>
        <w:t>Lec</w:t>
      </w:r>
      <w:r w:rsidR="0040401A">
        <w:rPr>
          <w:rFonts w:ascii="Trebuchet MS" w:hAnsi="Trebuchet MS" w:cs="Arial"/>
          <w:color w:val="5F5F5F"/>
          <w:sz w:val="20"/>
          <w:szCs w:val="20"/>
        </w:rPr>
        <w:t>c</w:t>
      </w:r>
      <w:r w:rsidR="00535072">
        <w:rPr>
          <w:rFonts w:ascii="Trebuchet MS" w:hAnsi="Trebuchet MS" w:cs="Arial"/>
          <w:color w:val="5F5F5F"/>
          <w:sz w:val="20"/>
          <w:szCs w:val="20"/>
        </w:rPr>
        <w:t>o</w:t>
      </w:r>
      <w:r>
        <w:rPr>
          <w:rFonts w:ascii="Trebuchet MS" w:hAnsi="Trebuchet MS" w:cs="Arial"/>
          <w:color w:val="5F5F5F"/>
          <w:sz w:val="20"/>
          <w:szCs w:val="20"/>
        </w:rPr>
        <w:t xml:space="preserve"> i cittadini stranieri risultano in </w:t>
      </w:r>
      <w:r w:rsidR="00535072">
        <w:rPr>
          <w:rFonts w:ascii="Trebuchet MS" w:hAnsi="Trebuchet MS" w:cs="Arial"/>
          <w:color w:val="5F5F5F"/>
          <w:sz w:val="20"/>
          <w:szCs w:val="20"/>
        </w:rPr>
        <w:t>diminuzione (rispettivamente, -3,4% e -1,6</w:t>
      </w:r>
      <w:r>
        <w:rPr>
          <w:rFonts w:ascii="Trebuchet MS" w:hAnsi="Trebuchet MS" w:cs="Arial"/>
          <w:color w:val="5F5F5F"/>
          <w:sz w:val="20"/>
          <w:szCs w:val="20"/>
        </w:rPr>
        <w:t>%).</w:t>
      </w:r>
    </w:p>
    <w:p w14:paraId="159DA696" w14:textId="67B9C844" w:rsidR="00E17E76" w:rsidRDefault="000F7524" w:rsidP="00047761">
      <w:pPr>
        <w:jc w:val="both"/>
        <w:rPr>
          <w:rFonts w:ascii="Trebuchet MS" w:hAnsi="Trebuchet MS" w:cs="Arial"/>
          <w:color w:val="5F5F5F"/>
          <w:sz w:val="20"/>
          <w:szCs w:val="20"/>
        </w:rPr>
      </w:pPr>
      <w:r>
        <w:rPr>
          <w:rFonts w:ascii="Trebuchet MS" w:hAnsi="Trebuchet MS" w:cs="Arial"/>
          <w:color w:val="5F5F5F"/>
          <w:sz w:val="20"/>
          <w:szCs w:val="20"/>
        </w:rPr>
        <w:t xml:space="preserve">In </w:t>
      </w:r>
      <w:r w:rsidR="00B82610">
        <w:rPr>
          <w:rFonts w:ascii="Trebuchet MS" w:hAnsi="Trebuchet MS" w:cs="Arial"/>
          <w:color w:val="5F5F5F"/>
          <w:sz w:val="20"/>
          <w:szCs w:val="20"/>
        </w:rPr>
        <w:t>Lombardia</w:t>
      </w:r>
      <w:r>
        <w:rPr>
          <w:rFonts w:ascii="Trebuchet MS" w:hAnsi="Trebuchet MS" w:cs="Arial"/>
          <w:color w:val="5F5F5F"/>
          <w:sz w:val="20"/>
          <w:szCs w:val="20"/>
        </w:rPr>
        <w:t xml:space="preserve"> la popolazione straniera è mediamente più giovane</w:t>
      </w:r>
      <w:r w:rsidRPr="00F07DFC">
        <w:t xml:space="preserve"> </w:t>
      </w:r>
      <w:r>
        <w:rPr>
          <w:rFonts w:ascii="Trebuchet MS" w:hAnsi="Trebuchet MS" w:cs="Arial"/>
          <w:color w:val="5F5F5F"/>
          <w:sz w:val="20"/>
          <w:szCs w:val="20"/>
        </w:rPr>
        <w:t>r</w:t>
      </w:r>
      <w:r w:rsidRPr="00F07DFC">
        <w:rPr>
          <w:rFonts w:ascii="Trebuchet MS" w:hAnsi="Trebuchet MS" w:cs="Arial"/>
          <w:color w:val="5F5F5F"/>
          <w:sz w:val="20"/>
          <w:szCs w:val="20"/>
        </w:rPr>
        <w:t>ispetto alla componente di nazionalità italiana</w:t>
      </w:r>
      <w:r>
        <w:rPr>
          <w:rFonts w:ascii="Trebuchet MS" w:hAnsi="Trebuchet MS" w:cs="Arial"/>
          <w:color w:val="5F5F5F"/>
          <w:sz w:val="20"/>
          <w:szCs w:val="20"/>
        </w:rPr>
        <w:t>. L</w:t>
      </w:r>
      <w:r w:rsidRPr="00F07DFC">
        <w:rPr>
          <w:rFonts w:ascii="Trebuchet MS" w:hAnsi="Trebuchet MS" w:cs="Arial"/>
          <w:color w:val="5F5F5F"/>
          <w:sz w:val="20"/>
          <w:szCs w:val="20"/>
        </w:rPr>
        <w:t xml:space="preserve">’età media </w:t>
      </w:r>
      <w:r w:rsidR="00535072">
        <w:rPr>
          <w:rFonts w:ascii="Trebuchet MS" w:hAnsi="Trebuchet MS" w:cs="Arial"/>
          <w:color w:val="5F5F5F"/>
          <w:sz w:val="20"/>
          <w:szCs w:val="20"/>
        </w:rPr>
        <w:t xml:space="preserve">è di 33,8 anni contro </w:t>
      </w:r>
      <w:r w:rsidR="00037177">
        <w:rPr>
          <w:rFonts w:ascii="Trebuchet MS" w:hAnsi="Trebuchet MS" w:cs="Arial"/>
          <w:color w:val="5F5F5F"/>
          <w:sz w:val="20"/>
          <w:szCs w:val="20"/>
        </w:rPr>
        <w:t>46,6</w:t>
      </w:r>
      <w:r>
        <w:rPr>
          <w:rFonts w:ascii="Trebuchet MS" w:hAnsi="Trebuchet MS" w:cs="Arial"/>
          <w:color w:val="5F5F5F"/>
          <w:sz w:val="20"/>
          <w:szCs w:val="20"/>
        </w:rPr>
        <w:t xml:space="preserve"> anni degli italiani e la presenza maschile è </w:t>
      </w:r>
      <w:r w:rsidR="00535072">
        <w:rPr>
          <w:rFonts w:ascii="Trebuchet MS" w:hAnsi="Trebuchet MS" w:cs="Arial"/>
          <w:color w:val="5F5F5F"/>
          <w:sz w:val="20"/>
          <w:szCs w:val="20"/>
        </w:rPr>
        <w:t>maggiore (97,1</w:t>
      </w:r>
      <w:r>
        <w:rPr>
          <w:rFonts w:ascii="Trebuchet MS" w:hAnsi="Trebuchet MS" w:cs="Arial"/>
          <w:color w:val="5F5F5F"/>
          <w:sz w:val="20"/>
          <w:szCs w:val="20"/>
        </w:rPr>
        <w:t xml:space="preserve"> s</w:t>
      </w:r>
      <w:r w:rsidR="00535072">
        <w:rPr>
          <w:rFonts w:ascii="Trebuchet MS" w:hAnsi="Trebuchet MS" w:cs="Arial"/>
          <w:color w:val="5F5F5F"/>
          <w:sz w:val="20"/>
          <w:szCs w:val="20"/>
        </w:rPr>
        <w:t>tranieri ogni 100 straniere e 96,</w:t>
      </w:r>
      <w:r w:rsidR="00CB1526">
        <w:rPr>
          <w:rFonts w:ascii="Trebuchet MS" w:hAnsi="Trebuchet MS" w:cs="Arial"/>
          <w:color w:val="5F5F5F"/>
          <w:sz w:val="20"/>
          <w:szCs w:val="20"/>
        </w:rPr>
        <w:t>1</w:t>
      </w:r>
      <w:r>
        <w:rPr>
          <w:rFonts w:ascii="Trebuchet MS" w:hAnsi="Trebuchet MS" w:cs="Arial"/>
          <w:color w:val="5F5F5F"/>
          <w:sz w:val="20"/>
          <w:szCs w:val="20"/>
        </w:rPr>
        <w:t xml:space="preserve"> italiani ogni 100 italiane). R</w:t>
      </w:r>
      <w:r w:rsidRPr="007C6E0C">
        <w:rPr>
          <w:rFonts w:ascii="Trebuchet MS" w:hAnsi="Trebuchet MS" w:cs="Arial"/>
          <w:color w:val="5F5F5F"/>
          <w:sz w:val="20"/>
          <w:szCs w:val="20"/>
        </w:rPr>
        <w:t>ispetto ai valori medi regionali</w:t>
      </w:r>
      <w:r>
        <w:rPr>
          <w:rFonts w:ascii="Trebuchet MS" w:hAnsi="Trebuchet MS" w:cs="Arial"/>
          <w:color w:val="5F5F5F"/>
          <w:sz w:val="20"/>
          <w:szCs w:val="20"/>
        </w:rPr>
        <w:t xml:space="preserve">, la provincia di </w:t>
      </w:r>
      <w:r w:rsidR="00535072">
        <w:rPr>
          <w:rFonts w:ascii="Trebuchet MS" w:hAnsi="Trebuchet MS" w:cs="Arial"/>
          <w:color w:val="5F5F5F"/>
          <w:sz w:val="20"/>
          <w:szCs w:val="20"/>
        </w:rPr>
        <w:t>Lodi</w:t>
      </w:r>
      <w:r>
        <w:rPr>
          <w:rFonts w:ascii="Trebuchet MS" w:hAnsi="Trebuchet MS" w:cs="Arial"/>
          <w:color w:val="5F5F5F"/>
          <w:sz w:val="20"/>
          <w:szCs w:val="20"/>
        </w:rPr>
        <w:t xml:space="preserve"> è quella con la popolazione straniera più giovane (età media </w:t>
      </w:r>
      <w:r w:rsidR="005C182F" w:rsidRPr="00CB1526">
        <w:rPr>
          <w:rFonts w:ascii="Trebuchet MS" w:hAnsi="Trebuchet MS" w:cs="Arial"/>
          <w:color w:val="5F5F5F"/>
          <w:sz w:val="20"/>
          <w:szCs w:val="20"/>
        </w:rPr>
        <w:t>32</w:t>
      </w:r>
      <w:r>
        <w:rPr>
          <w:rFonts w:ascii="Trebuchet MS" w:hAnsi="Trebuchet MS" w:cs="Arial"/>
          <w:color w:val="5F5F5F"/>
          <w:sz w:val="20"/>
          <w:szCs w:val="20"/>
        </w:rPr>
        <w:t xml:space="preserve"> anni) e prevale</w:t>
      </w:r>
      <w:r w:rsidR="00535072">
        <w:rPr>
          <w:rFonts w:ascii="Trebuchet MS" w:hAnsi="Trebuchet MS" w:cs="Arial"/>
          <w:color w:val="5F5F5F"/>
          <w:sz w:val="20"/>
          <w:szCs w:val="20"/>
        </w:rPr>
        <w:t>ntemente di genere maschile (101,1</w:t>
      </w:r>
      <w:r>
        <w:rPr>
          <w:rFonts w:ascii="Trebuchet MS" w:hAnsi="Trebuchet MS" w:cs="Arial"/>
          <w:color w:val="5F5F5F"/>
          <w:sz w:val="20"/>
          <w:szCs w:val="20"/>
        </w:rPr>
        <w:t xml:space="preserve"> stranieri ogni 100 straniere).</w:t>
      </w:r>
    </w:p>
    <w:p w14:paraId="28361672" w14:textId="77777777" w:rsidR="00E17E76" w:rsidRDefault="00E17E76" w:rsidP="005B0778">
      <w:pPr>
        <w:tabs>
          <w:tab w:val="left" w:pos="567"/>
        </w:tabs>
        <w:spacing w:after="120"/>
        <w:jc w:val="both"/>
        <w:rPr>
          <w:rFonts w:ascii="Arial Narrow" w:hAnsi="Arial Narrow"/>
          <w:b/>
          <w:bCs/>
          <w:color w:val="595959" w:themeColor="text1" w:themeTint="A6"/>
          <w:sz w:val="22"/>
          <w:szCs w:val="22"/>
        </w:rPr>
      </w:pPr>
    </w:p>
    <w:p w14:paraId="7BB842AD" w14:textId="237DB283" w:rsidR="00AE59C4" w:rsidRPr="00047761" w:rsidDel="00AE59C4" w:rsidRDefault="00BB0936" w:rsidP="005B0778">
      <w:pPr>
        <w:tabs>
          <w:tab w:val="left" w:pos="567"/>
        </w:tabs>
        <w:spacing w:after="120"/>
        <w:jc w:val="both"/>
        <w:rPr>
          <w:rFonts w:ascii="Arial Narrow" w:hAnsi="Arial Narrow" w:cs="Calibri"/>
          <w:color w:val="595959" w:themeColor="text1" w:themeTint="A6"/>
          <w:sz w:val="18"/>
          <w:szCs w:val="18"/>
        </w:rPr>
      </w:pPr>
      <w:r w:rsidRPr="001A589C">
        <w:rPr>
          <w:rFonts w:ascii="Arial Narrow" w:hAnsi="Arial Narrow"/>
          <w:b/>
          <w:bCs/>
          <w:color w:val="595959" w:themeColor="text1" w:themeTint="A6"/>
          <w:sz w:val="22"/>
          <w:szCs w:val="22"/>
        </w:rPr>
        <w:t xml:space="preserve">PROSPETTO </w:t>
      </w:r>
      <w:r w:rsidR="000E7CDD" w:rsidRPr="001A589C">
        <w:rPr>
          <w:rFonts w:ascii="Arial Narrow" w:hAnsi="Arial Narrow"/>
          <w:b/>
          <w:bCs/>
          <w:color w:val="595959" w:themeColor="text1" w:themeTint="A6"/>
          <w:sz w:val="22"/>
          <w:szCs w:val="22"/>
        </w:rPr>
        <w:t>7</w:t>
      </w:r>
      <w:r w:rsidRPr="001A589C">
        <w:rPr>
          <w:rFonts w:ascii="Arial Narrow" w:hAnsi="Arial Narrow"/>
          <w:b/>
          <w:bCs/>
          <w:color w:val="595959" w:themeColor="text1" w:themeTint="A6"/>
          <w:sz w:val="22"/>
          <w:szCs w:val="22"/>
        </w:rPr>
        <w:t xml:space="preserve">. </w:t>
      </w:r>
      <w:r w:rsidRPr="001A589C">
        <w:rPr>
          <w:rFonts w:ascii="Arial Narrow" w:hAnsi="Arial Narrow"/>
          <w:bCs/>
          <w:color w:val="595959" w:themeColor="text1" w:themeTint="A6"/>
          <w:sz w:val="22"/>
          <w:szCs w:val="22"/>
        </w:rPr>
        <w:t>POPOLAZIONE STRANIERA RESIDENTE PER PROVINCIA.</w:t>
      </w:r>
      <w:r w:rsidRPr="001A589C">
        <w:rPr>
          <w:rFonts w:ascii="Arial Narrow" w:hAnsi="Arial Narrow"/>
          <w:b/>
          <w:bCs/>
          <w:color w:val="595959" w:themeColor="text1" w:themeTint="A6"/>
          <w:sz w:val="22"/>
          <w:szCs w:val="22"/>
        </w:rPr>
        <w:t xml:space="preserve"> </w:t>
      </w:r>
      <w:r w:rsidRPr="001A589C">
        <w:rPr>
          <w:rFonts w:ascii="Arial Narrow" w:hAnsi="Arial Narrow"/>
          <w:bCs/>
          <w:color w:val="595959" w:themeColor="text1" w:themeTint="A6"/>
          <w:sz w:val="22"/>
          <w:szCs w:val="22"/>
        </w:rPr>
        <w:t>Censimento 2020, valori assoluti e percentuali</w:t>
      </w:r>
    </w:p>
    <w:tbl>
      <w:tblPr>
        <w:tblW w:w="9600" w:type="dxa"/>
        <w:tblCellMar>
          <w:left w:w="70" w:type="dxa"/>
          <w:right w:w="70" w:type="dxa"/>
        </w:tblCellMar>
        <w:tblLook w:val="04A0" w:firstRow="1" w:lastRow="0" w:firstColumn="1" w:lastColumn="0" w:noHBand="0" w:noVBand="1"/>
      </w:tblPr>
      <w:tblGrid>
        <w:gridCol w:w="1820"/>
        <w:gridCol w:w="1400"/>
        <w:gridCol w:w="1760"/>
        <w:gridCol w:w="1540"/>
        <w:gridCol w:w="1540"/>
        <w:gridCol w:w="1540"/>
      </w:tblGrid>
      <w:tr w:rsidR="005D7A1A" w14:paraId="0A8B7562" w14:textId="77777777" w:rsidTr="005D7A1A">
        <w:trPr>
          <w:trHeight w:val="540"/>
        </w:trPr>
        <w:tc>
          <w:tcPr>
            <w:tcW w:w="1820" w:type="dxa"/>
            <w:tcBorders>
              <w:top w:val="single" w:sz="4" w:space="0" w:color="auto"/>
              <w:left w:val="nil"/>
              <w:bottom w:val="single" w:sz="4" w:space="0" w:color="auto"/>
              <w:right w:val="nil"/>
            </w:tcBorders>
            <w:shd w:val="clear" w:color="auto" w:fill="auto"/>
            <w:vAlign w:val="center"/>
            <w:hideMark/>
          </w:tcPr>
          <w:p w14:paraId="67EE00DD" w14:textId="77777777" w:rsidR="005D7A1A" w:rsidRDefault="005D7A1A">
            <w:pPr>
              <w:rPr>
                <w:rFonts w:ascii="Arial Narrow" w:hAnsi="Arial Narrow" w:cs="Calibri"/>
                <w:b/>
                <w:bCs/>
                <w:color w:val="000000"/>
                <w:sz w:val="18"/>
                <w:szCs w:val="18"/>
              </w:rPr>
            </w:pPr>
            <w:r>
              <w:rPr>
                <w:rFonts w:ascii="Arial Narrow" w:hAnsi="Arial Narrow" w:cs="Calibri"/>
                <w:b/>
                <w:bCs/>
                <w:color w:val="000000"/>
                <w:sz w:val="18"/>
                <w:szCs w:val="18"/>
              </w:rPr>
              <w:t>PROVINCE</w:t>
            </w:r>
          </w:p>
        </w:tc>
        <w:tc>
          <w:tcPr>
            <w:tcW w:w="1400" w:type="dxa"/>
            <w:tcBorders>
              <w:top w:val="single" w:sz="4" w:space="0" w:color="auto"/>
              <w:left w:val="nil"/>
              <w:bottom w:val="single" w:sz="4" w:space="0" w:color="auto"/>
              <w:right w:val="nil"/>
            </w:tcBorders>
            <w:shd w:val="clear" w:color="auto" w:fill="auto"/>
            <w:vAlign w:val="center"/>
            <w:hideMark/>
          </w:tcPr>
          <w:p w14:paraId="30A41127" w14:textId="77777777" w:rsidR="005D7A1A" w:rsidRDefault="005D7A1A">
            <w:pPr>
              <w:jc w:val="right"/>
              <w:rPr>
                <w:rFonts w:ascii="Arial Narrow" w:hAnsi="Arial Narrow" w:cs="Calibri"/>
                <w:b/>
                <w:bCs/>
                <w:color w:val="000000"/>
                <w:sz w:val="18"/>
                <w:szCs w:val="18"/>
              </w:rPr>
            </w:pPr>
            <w:r>
              <w:rPr>
                <w:rFonts w:ascii="Arial Narrow" w:hAnsi="Arial Narrow" w:cs="Calibri"/>
                <w:b/>
                <w:bCs/>
                <w:color w:val="000000"/>
                <w:sz w:val="18"/>
                <w:szCs w:val="18"/>
              </w:rPr>
              <w:t>Valori assoluti</w:t>
            </w:r>
          </w:p>
        </w:tc>
        <w:tc>
          <w:tcPr>
            <w:tcW w:w="1760" w:type="dxa"/>
            <w:tcBorders>
              <w:top w:val="single" w:sz="4" w:space="0" w:color="auto"/>
              <w:left w:val="nil"/>
              <w:bottom w:val="single" w:sz="4" w:space="0" w:color="auto"/>
              <w:right w:val="nil"/>
            </w:tcBorders>
            <w:shd w:val="clear" w:color="auto" w:fill="auto"/>
            <w:vAlign w:val="center"/>
            <w:hideMark/>
          </w:tcPr>
          <w:p w14:paraId="2132CA1B" w14:textId="77777777" w:rsidR="005D7A1A" w:rsidRDefault="005D7A1A">
            <w:pPr>
              <w:jc w:val="right"/>
              <w:rPr>
                <w:rFonts w:ascii="Arial Narrow" w:hAnsi="Arial Narrow" w:cs="Calibri"/>
                <w:b/>
                <w:bCs/>
                <w:color w:val="000000"/>
                <w:sz w:val="18"/>
                <w:szCs w:val="18"/>
              </w:rPr>
            </w:pPr>
            <w:r>
              <w:rPr>
                <w:rFonts w:ascii="Arial Narrow" w:hAnsi="Arial Narrow" w:cs="Calibri"/>
                <w:b/>
                <w:bCs/>
                <w:color w:val="000000"/>
                <w:sz w:val="18"/>
                <w:szCs w:val="18"/>
              </w:rPr>
              <w:t>Variazione percentuale rispetto al 2019</w:t>
            </w:r>
          </w:p>
        </w:tc>
        <w:tc>
          <w:tcPr>
            <w:tcW w:w="1540" w:type="dxa"/>
            <w:tcBorders>
              <w:top w:val="single" w:sz="4" w:space="0" w:color="auto"/>
              <w:left w:val="nil"/>
              <w:bottom w:val="single" w:sz="4" w:space="0" w:color="auto"/>
              <w:right w:val="nil"/>
            </w:tcBorders>
            <w:shd w:val="clear" w:color="auto" w:fill="auto"/>
            <w:vAlign w:val="center"/>
            <w:hideMark/>
          </w:tcPr>
          <w:p w14:paraId="3480257B" w14:textId="430BA7CB" w:rsidR="005D7A1A" w:rsidRDefault="00360C11">
            <w:pPr>
              <w:jc w:val="right"/>
              <w:rPr>
                <w:rFonts w:ascii="Arial Narrow" w:hAnsi="Arial Narrow" w:cs="Calibri"/>
                <w:b/>
                <w:bCs/>
                <w:color w:val="000000"/>
                <w:sz w:val="18"/>
                <w:szCs w:val="18"/>
              </w:rPr>
            </w:pPr>
            <w:r>
              <w:rPr>
                <w:rFonts w:ascii="Arial Narrow" w:hAnsi="Arial Narrow" w:cs="Calibri"/>
                <w:b/>
                <w:bCs/>
                <w:color w:val="000000"/>
                <w:sz w:val="18"/>
                <w:szCs w:val="18"/>
              </w:rPr>
              <w:t>Valori p</w:t>
            </w:r>
            <w:r w:rsidR="005D7A1A">
              <w:rPr>
                <w:rFonts w:ascii="Arial Narrow" w:hAnsi="Arial Narrow" w:cs="Calibri"/>
                <w:b/>
                <w:bCs/>
                <w:color w:val="000000"/>
                <w:sz w:val="18"/>
                <w:szCs w:val="18"/>
              </w:rPr>
              <w:t>er 100 censiti in totale</w:t>
            </w:r>
          </w:p>
        </w:tc>
        <w:tc>
          <w:tcPr>
            <w:tcW w:w="1540" w:type="dxa"/>
            <w:tcBorders>
              <w:top w:val="single" w:sz="4" w:space="0" w:color="auto"/>
              <w:left w:val="nil"/>
              <w:bottom w:val="single" w:sz="4" w:space="0" w:color="auto"/>
              <w:right w:val="nil"/>
            </w:tcBorders>
            <w:shd w:val="clear" w:color="auto" w:fill="auto"/>
            <w:vAlign w:val="center"/>
            <w:hideMark/>
          </w:tcPr>
          <w:p w14:paraId="332AB7F3" w14:textId="77777777" w:rsidR="005D7A1A" w:rsidRDefault="005D7A1A">
            <w:pPr>
              <w:jc w:val="right"/>
              <w:rPr>
                <w:rFonts w:ascii="Arial Narrow" w:hAnsi="Arial Narrow" w:cs="Calibri"/>
                <w:b/>
                <w:bCs/>
                <w:color w:val="000000"/>
                <w:sz w:val="18"/>
                <w:szCs w:val="18"/>
              </w:rPr>
            </w:pPr>
            <w:r>
              <w:rPr>
                <w:rFonts w:ascii="Arial Narrow" w:hAnsi="Arial Narrow" w:cs="Calibri"/>
                <w:b/>
                <w:bCs/>
                <w:color w:val="000000"/>
                <w:sz w:val="18"/>
                <w:szCs w:val="18"/>
              </w:rPr>
              <w:t>Età media</w:t>
            </w:r>
          </w:p>
        </w:tc>
        <w:tc>
          <w:tcPr>
            <w:tcW w:w="1540" w:type="dxa"/>
            <w:tcBorders>
              <w:top w:val="single" w:sz="4" w:space="0" w:color="auto"/>
              <w:left w:val="nil"/>
              <w:bottom w:val="single" w:sz="4" w:space="0" w:color="auto"/>
              <w:right w:val="nil"/>
            </w:tcBorders>
            <w:shd w:val="clear" w:color="auto" w:fill="auto"/>
            <w:vAlign w:val="center"/>
            <w:hideMark/>
          </w:tcPr>
          <w:p w14:paraId="08DFBE12" w14:textId="66BB442D" w:rsidR="005D7A1A" w:rsidRDefault="005D7A1A">
            <w:pPr>
              <w:jc w:val="right"/>
              <w:rPr>
                <w:rFonts w:ascii="Arial Narrow" w:hAnsi="Arial Narrow" w:cs="Calibri"/>
                <w:b/>
                <w:bCs/>
                <w:color w:val="000000"/>
                <w:sz w:val="18"/>
                <w:szCs w:val="18"/>
              </w:rPr>
            </w:pPr>
            <w:r>
              <w:rPr>
                <w:rFonts w:ascii="Arial Narrow" w:hAnsi="Arial Narrow" w:cs="Calibri"/>
                <w:b/>
                <w:bCs/>
                <w:color w:val="000000"/>
                <w:sz w:val="18"/>
                <w:szCs w:val="18"/>
              </w:rPr>
              <w:t>Rapporto di mascolinità</w:t>
            </w:r>
            <w:r w:rsidR="00C032EB">
              <w:rPr>
                <w:rFonts w:ascii="Arial Narrow" w:hAnsi="Arial Narrow" w:cs="Calibri"/>
                <w:b/>
                <w:bCs/>
                <w:color w:val="000000"/>
                <w:sz w:val="18"/>
                <w:szCs w:val="18"/>
              </w:rPr>
              <w:t xml:space="preserve"> (%)</w:t>
            </w:r>
          </w:p>
        </w:tc>
      </w:tr>
      <w:tr w:rsidR="005D7A1A" w14:paraId="0A5F94FF" w14:textId="77777777" w:rsidTr="005D7A1A">
        <w:trPr>
          <w:trHeight w:val="300"/>
        </w:trPr>
        <w:tc>
          <w:tcPr>
            <w:tcW w:w="1820" w:type="dxa"/>
            <w:tcBorders>
              <w:top w:val="nil"/>
              <w:left w:val="nil"/>
              <w:bottom w:val="single" w:sz="4" w:space="0" w:color="auto"/>
              <w:right w:val="nil"/>
            </w:tcBorders>
            <w:shd w:val="clear" w:color="auto" w:fill="auto"/>
            <w:noWrap/>
            <w:vAlign w:val="center"/>
            <w:hideMark/>
          </w:tcPr>
          <w:p w14:paraId="2322F6F6" w14:textId="77777777" w:rsidR="005D7A1A" w:rsidRDefault="005D7A1A">
            <w:pPr>
              <w:rPr>
                <w:rFonts w:ascii="Arial Narrow" w:hAnsi="Arial Narrow" w:cs="Calibri"/>
                <w:color w:val="000000"/>
                <w:sz w:val="18"/>
                <w:szCs w:val="18"/>
              </w:rPr>
            </w:pPr>
            <w:r>
              <w:rPr>
                <w:rFonts w:ascii="Arial Narrow" w:hAnsi="Arial Narrow" w:cs="Calibri"/>
                <w:color w:val="000000"/>
                <w:sz w:val="18"/>
                <w:szCs w:val="18"/>
              </w:rPr>
              <w:t>Bergamo</w:t>
            </w:r>
          </w:p>
        </w:tc>
        <w:tc>
          <w:tcPr>
            <w:tcW w:w="1400" w:type="dxa"/>
            <w:tcBorders>
              <w:top w:val="nil"/>
              <w:left w:val="nil"/>
              <w:bottom w:val="single" w:sz="4" w:space="0" w:color="auto"/>
              <w:right w:val="nil"/>
            </w:tcBorders>
            <w:shd w:val="clear" w:color="000000" w:fill="D9D9D9"/>
            <w:noWrap/>
            <w:vAlign w:val="center"/>
            <w:hideMark/>
          </w:tcPr>
          <w:p w14:paraId="0F69045A"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121.734</w:t>
            </w:r>
          </w:p>
        </w:tc>
        <w:tc>
          <w:tcPr>
            <w:tcW w:w="1760" w:type="dxa"/>
            <w:tcBorders>
              <w:top w:val="nil"/>
              <w:left w:val="nil"/>
              <w:bottom w:val="single" w:sz="4" w:space="0" w:color="auto"/>
              <w:right w:val="nil"/>
            </w:tcBorders>
            <w:shd w:val="clear" w:color="auto" w:fill="auto"/>
            <w:noWrap/>
            <w:vAlign w:val="center"/>
            <w:hideMark/>
          </w:tcPr>
          <w:p w14:paraId="4AD8A106"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2,3</w:t>
            </w:r>
          </w:p>
        </w:tc>
        <w:tc>
          <w:tcPr>
            <w:tcW w:w="1540" w:type="dxa"/>
            <w:tcBorders>
              <w:top w:val="nil"/>
              <w:left w:val="nil"/>
              <w:bottom w:val="single" w:sz="4" w:space="0" w:color="auto"/>
              <w:right w:val="nil"/>
            </w:tcBorders>
            <w:shd w:val="clear" w:color="000000" w:fill="D9D9D9"/>
            <w:noWrap/>
            <w:vAlign w:val="center"/>
            <w:hideMark/>
          </w:tcPr>
          <w:p w14:paraId="73A64316"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11,0</w:t>
            </w:r>
          </w:p>
        </w:tc>
        <w:tc>
          <w:tcPr>
            <w:tcW w:w="1540" w:type="dxa"/>
            <w:tcBorders>
              <w:top w:val="nil"/>
              <w:left w:val="nil"/>
              <w:bottom w:val="single" w:sz="4" w:space="0" w:color="auto"/>
              <w:right w:val="nil"/>
            </w:tcBorders>
            <w:shd w:val="clear" w:color="auto" w:fill="auto"/>
            <w:noWrap/>
            <w:vAlign w:val="center"/>
            <w:hideMark/>
          </w:tcPr>
          <w:p w14:paraId="4C689003"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32,9</w:t>
            </w:r>
          </w:p>
        </w:tc>
        <w:tc>
          <w:tcPr>
            <w:tcW w:w="1540" w:type="dxa"/>
            <w:tcBorders>
              <w:top w:val="nil"/>
              <w:left w:val="nil"/>
              <w:bottom w:val="single" w:sz="4" w:space="0" w:color="auto"/>
              <w:right w:val="nil"/>
            </w:tcBorders>
            <w:shd w:val="clear" w:color="000000" w:fill="D9D9D9"/>
            <w:noWrap/>
            <w:vAlign w:val="center"/>
            <w:hideMark/>
          </w:tcPr>
          <w:p w14:paraId="6269A804"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99,9</w:t>
            </w:r>
          </w:p>
        </w:tc>
      </w:tr>
      <w:tr w:rsidR="005D7A1A" w14:paraId="65550020" w14:textId="77777777" w:rsidTr="005D7A1A">
        <w:trPr>
          <w:trHeight w:val="300"/>
        </w:trPr>
        <w:tc>
          <w:tcPr>
            <w:tcW w:w="1820" w:type="dxa"/>
            <w:tcBorders>
              <w:top w:val="nil"/>
              <w:left w:val="nil"/>
              <w:bottom w:val="single" w:sz="4" w:space="0" w:color="auto"/>
              <w:right w:val="nil"/>
            </w:tcBorders>
            <w:shd w:val="clear" w:color="auto" w:fill="auto"/>
            <w:noWrap/>
            <w:vAlign w:val="center"/>
            <w:hideMark/>
          </w:tcPr>
          <w:p w14:paraId="0FE3B190" w14:textId="77777777" w:rsidR="005D7A1A" w:rsidRDefault="005D7A1A">
            <w:pPr>
              <w:rPr>
                <w:rFonts w:ascii="Arial Narrow" w:hAnsi="Arial Narrow" w:cs="Calibri"/>
                <w:color w:val="000000"/>
                <w:sz w:val="18"/>
                <w:szCs w:val="18"/>
              </w:rPr>
            </w:pPr>
            <w:r>
              <w:rPr>
                <w:rFonts w:ascii="Arial Narrow" w:hAnsi="Arial Narrow" w:cs="Calibri"/>
                <w:color w:val="000000"/>
                <w:sz w:val="18"/>
                <w:szCs w:val="18"/>
              </w:rPr>
              <w:t>Brescia</w:t>
            </w:r>
          </w:p>
        </w:tc>
        <w:tc>
          <w:tcPr>
            <w:tcW w:w="1400" w:type="dxa"/>
            <w:tcBorders>
              <w:top w:val="nil"/>
              <w:left w:val="nil"/>
              <w:bottom w:val="single" w:sz="4" w:space="0" w:color="auto"/>
              <w:right w:val="nil"/>
            </w:tcBorders>
            <w:shd w:val="clear" w:color="000000" w:fill="D9D9D9"/>
            <w:noWrap/>
            <w:vAlign w:val="center"/>
            <w:hideMark/>
          </w:tcPr>
          <w:p w14:paraId="2D1F9A42"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155.708</w:t>
            </w:r>
          </w:p>
        </w:tc>
        <w:tc>
          <w:tcPr>
            <w:tcW w:w="1760" w:type="dxa"/>
            <w:tcBorders>
              <w:top w:val="nil"/>
              <w:left w:val="nil"/>
              <w:bottom w:val="single" w:sz="4" w:space="0" w:color="auto"/>
              <w:right w:val="nil"/>
            </w:tcBorders>
            <w:shd w:val="clear" w:color="auto" w:fill="auto"/>
            <w:noWrap/>
            <w:vAlign w:val="center"/>
            <w:hideMark/>
          </w:tcPr>
          <w:p w14:paraId="306DB19D"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2,6</w:t>
            </w:r>
          </w:p>
        </w:tc>
        <w:tc>
          <w:tcPr>
            <w:tcW w:w="1540" w:type="dxa"/>
            <w:tcBorders>
              <w:top w:val="nil"/>
              <w:left w:val="nil"/>
              <w:bottom w:val="single" w:sz="4" w:space="0" w:color="auto"/>
              <w:right w:val="nil"/>
            </w:tcBorders>
            <w:shd w:val="clear" w:color="000000" w:fill="D9D9D9"/>
            <w:noWrap/>
            <w:vAlign w:val="center"/>
            <w:hideMark/>
          </w:tcPr>
          <w:p w14:paraId="7B43B37E"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12,4</w:t>
            </w:r>
          </w:p>
        </w:tc>
        <w:tc>
          <w:tcPr>
            <w:tcW w:w="1540" w:type="dxa"/>
            <w:tcBorders>
              <w:top w:val="nil"/>
              <w:left w:val="nil"/>
              <w:bottom w:val="single" w:sz="4" w:space="0" w:color="auto"/>
              <w:right w:val="nil"/>
            </w:tcBorders>
            <w:shd w:val="clear" w:color="auto" w:fill="auto"/>
            <w:noWrap/>
            <w:vAlign w:val="center"/>
            <w:hideMark/>
          </w:tcPr>
          <w:p w14:paraId="6F49D258"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33,5</w:t>
            </w:r>
          </w:p>
        </w:tc>
        <w:tc>
          <w:tcPr>
            <w:tcW w:w="1540" w:type="dxa"/>
            <w:tcBorders>
              <w:top w:val="nil"/>
              <w:left w:val="nil"/>
              <w:bottom w:val="single" w:sz="4" w:space="0" w:color="auto"/>
              <w:right w:val="nil"/>
            </w:tcBorders>
            <w:shd w:val="clear" w:color="000000" w:fill="D9D9D9"/>
            <w:noWrap/>
            <w:vAlign w:val="center"/>
            <w:hideMark/>
          </w:tcPr>
          <w:p w14:paraId="7E17779F"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99,2</w:t>
            </w:r>
          </w:p>
        </w:tc>
      </w:tr>
      <w:tr w:rsidR="005D7A1A" w14:paraId="610081EB" w14:textId="77777777" w:rsidTr="005D7A1A">
        <w:trPr>
          <w:trHeight w:val="300"/>
        </w:trPr>
        <w:tc>
          <w:tcPr>
            <w:tcW w:w="1820" w:type="dxa"/>
            <w:tcBorders>
              <w:top w:val="nil"/>
              <w:left w:val="nil"/>
              <w:bottom w:val="single" w:sz="4" w:space="0" w:color="auto"/>
              <w:right w:val="nil"/>
            </w:tcBorders>
            <w:shd w:val="clear" w:color="auto" w:fill="auto"/>
            <w:noWrap/>
            <w:vAlign w:val="center"/>
            <w:hideMark/>
          </w:tcPr>
          <w:p w14:paraId="08F2C516" w14:textId="77777777" w:rsidR="005D7A1A" w:rsidRDefault="005D7A1A">
            <w:pPr>
              <w:rPr>
                <w:rFonts w:ascii="Arial Narrow" w:hAnsi="Arial Narrow" w:cs="Calibri"/>
                <w:color w:val="000000"/>
                <w:sz w:val="18"/>
                <w:szCs w:val="18"/>
              </w:rPr>
            </w:pPr>
            <w:r>
              <w:rPr>
                <w:rFonts w:ascii="Arial Narrow" w:hAnsi="Arial Narrow" w:cs="Calibri"/>
                <w:color w:val="000000"/>
                <w:sz w:val="18"/>
                <w:szCs w:val="18"/>
              </w:rPr>
              <w:t>Como</w:t>
            </w:r>
          </w:p>
        </w:tc>
        <w:tc>
          <w:tcPr>
            <w:tcW w:w="1400" w:type="dxa"/>
            <w:tcBorders>
              <w:top w:val="nil"/>
              <w:left w:val="nil"/>
              <w:bottom w:val="single" w:sz="4" w:space="0" w:color="auto"/>
              <w:right w:val="nil"/>
            </w:tcBorders>
            <w:shd w:val="clear" w:color="000000" w:fill="D9D9D9"/>
            <w:noWrap/>
            <w:vAlign w:val="center"/>
            <w:hideMark/>
          </w:tcPr>
          <w:p w14:paraId="647FA153"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46.670</w:t>
            </w:r>
          </w:p>
        </w:tc>
        <w:tc>
          <w:tcPr>
            <w:tcW w:w="1760" w:type="dxa"/>
            <w:tcBorders>
              <w:top w:val="nil"/>
              <w:left w:val="nil"/>
              <w:bottom w:val="single" w:sz="4" w:space="0" w:color="auto"/>
              <w:right w:val="nil"/>
            </w:tcBorders>
            <w:shd w:val="clear" w:color="auto" w:fill="auto"/>
            <w:noWrap/>
            <w:vAlign w:val="center"/>
            <w:hideMark/>
          </w:tcPr>
          <w:p w14:paraId="0F5CE02C"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-3,4</w:t>
            </w:r>
          </w:p>
        </w:tc>
        <w:tc>
          <w:tcPr>
            <w:tcW w:w="1540" w:type="dxa"/>
            <w:tcBorders>
              <w:top w:val="nil"/>
              <w:left w:val="nil"/>
              <w:bottom w:val="single" w:sz="4" w:space="0" w:color="auto"/>
              <w:right w:val="nil"/>
            </w:tcBorders>
            <w:shd w:val="clear" w:color="000000" w:fill="D9D9D9"/>
            <w:noWrap/>
            <w:vAlign w:val="center"/>
            <w:hideMark/>
          </w:tcPr>
          <w:p w14:paraId="7910A47D"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7,8</w:t>
            </w:r>
          </w:p>
        </w:tc>
        <w:tc>
          <w:tcPr>
            <w:tcW w:w="1540" w:type="dxa"/>
            <w:tcBorders>
              <w:top w:val="nil"/>
              <w:left w:val="nil"/>
              <w:bottom w:val="single" w:sz="4" w:space="0" w:color="auto"/>
              <w:right w:val="nil"/>
            </w:tcBorders>
            <w:shd w:val="clear" w:color="auto" w:fill="auto"/>
            <w:noWrap/>
            <w:vAlign w:val="center"/>
            <w:hideMark/>
          </w:tcPr>
          <w:p w14:paraId="0E834B92"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34,8</w:t>
            </w:r>
          </w:p>
        </w:tc>
        <w:tc>
          <w:tcPr>
            <w:tcW w:w="1540" w:type="dxa"/>
            <w:tcBorders>
              <w:top w:val="nil"/>
              <w:left w:val="nil"/>
              <w:bottom w:val="single" w:sz="4" w:space="0" w:color="auto"/>
              <w:right w:val="nil"/>
            </w:tcBorders>
            <w:shd w:val="clear" w:color="000000" w:fill="D9D9D9"/>
            <w:noWrap/>
            <w:vAlign w:val="center"/>
            <w:hideMark/>
          </w:tcPr>
          <w:p w14:paraId="5DF6D2C4"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89,9</w:t>
            </w:r>
          </w:p>
        </w:tc>
      </w:tr>
      <w:tr w:rsidR="005D7A1A" w14:paraId="43CEB2FB" w14:textId="77777777" w:rsidTr="005D7A1A">
        <w:trPr>
          <w:trHeight w:val="300"/>
        </w:trPr>
        <w:tc>
          <w:tcPr>
            <w:tcW w:w="1820" w:type="dxa"/>
            <w:tcBorders>
              <w:top w:val="nil"/>
              <w:left w:val="nil"/>
              <w:bottom w:val="single" w:sz="4" w:space="0" w:color="auto"/>
              <w:right w:val="nil"/>
            </w:tcBorders>
            <w:shd w:val="clear" w:color="auto" w:fill="auto"/>
            <w:noWrap/>
            <w:vAlign w:val="center"/>
            <w:hideMark/>
          </w:tcPr>
          <w:p w14:paraId="6B84F09B" w14:textId="77777777" w:rsidR="005D7A1A" w:rsidRDefault="005D7A1A">
            <w:pPr>
              <w:rPr>
                <w:rFonts w:ascii="Arial Narrow" w:hAnsi="Arial Narrow" w:cs="Calibri"/>
                <w:color w:val="000000"/>
                <w:sz w:val="18"/>
                <w:szCs w:val="18"/>
              </w:rPr>
            </w:pPr>
            <w:r>
              <w:rPr>
                <w:rFonts w:ascii="Arial Narrow" w:hAnsi="Arial Narrow" w:cs="Calibri"/>
                <w:color w:val="000000"/>
                <w:sz w:val="18"/>
                <w:szCs w:val="18"/>
              </w:rPr>
              <w:t>Cremona</w:t>
            </w:r>
          </w:p>
        </w:tc>
        <w:tc>
          <w:tcPr>
            <w:tcW w:w="1400" w:type="dxa"/>
            <w:tcBorders>
              <w:top w:val="nil"/>
              <w:left w:val="nil"/>
              <w:bottom w:val="single" w:sz="4" w:space="0" w:color="auto"/>
              <w:right w:val="nil"/>
            </w:tcBorders>
            <w:shd w:val="clear" w:color="000000" w:fill="D9D9D9"/>
            <w:noWrap/>
            <w:vAlign w:val="center"/>
            <w:hideMark/>
          </w:tcPr>
          <w:p w14:paraId="660F5B26"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42.031</w:t>
            </w:r>
          </w:p>
        </w:tc>
        <w:tc>
          <w:tcPr>
            <w:tcW w:w="1760" w:type="dxa"/>
            <w:tcBorders>
              <w:top w:val="nil"/>
              <w:left w:val="nil"/>
              <w:bottom w:val="single" w:sz="4" w:space="0" w:color="auto"/>
              <w:right w:val="nil"/>
            </w:tcBorders>
            <w:shd w:val="clear" w:color="auto" w:fill="auto"/>
            <w:noWrap/>
            <w:vAlign w:val="center"/>
            <w:hideMark/>
          </w:tcPr>
          <w:p w14:paraId="7628AFEC"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1,2</w:t>
            </w:r>
          </w:p>
        </w:tc>
        <w:tc>
          <w:tcPr>
            <w:tcW w:w="1540" w:type="dxa"/>
            <w:tcBorders>
              <w:top w:val="nil"/>
              <w:left w:val="nil"/>
              <w:bottom w:val="single" w:sz="4" w:space="0" w:color="auto"/>
              <w:right w:val="nil"/>
            </w:tcBorders>
            <w:shd w:val="clear" w:color="000000" w:fill="D9D9D9"/>
            <w:noWrap/>
            <w:vAlign w:val="center"/>
            <w:hideMark/>
          </w:tcPr>
          <w:p w14:paraId="11F1D8E3"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11,9</w:t>
            </w:r>
          </w:p>
        </w:tc>
        <w:tc>
          <w:tcPr>
            <w:tcW w:w="1540" w:type="dxa"/>
            <w:tcBorders>
              <w:top w:val="nil"/>
              <w:left w:val="nil"/>
              <w:bottom w:val="single" w:sz="4" w:space="0" w:color="auto"/>
              <w:right w:val="nil"/>
            </w:tcBorders>
            <w:shd w:val="clear" w:color="auto" w:fill="auto"/>
            <w:noWrap/>
            <w:vAlign w:val="center"/>
            <w:hideMark/>
          </w:tcPr>
          <w:p w14:paraId="061A4287"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32,7</w:t>
            </w:r>
          </w:p>
        </w:tc>
        <w:tc>
          <w:tcPr>
            <w:tcW w:w="1540" w:type="dxa"/>
            <w:tcBorders>
              <w:top w:val="nil"/>
              <w:left w:val="nil"/>
              <w:bottom w:val="single" w:sz="4" w:space="0" w:color="auto"/>
              <w:right w:val="nil"/>
            </w:tcBorders>
            <w:shd w:val="clear" w:color="000000" w:fill="D9D9D9"/>
            <w:noWrap/>
            <w:vAlign w:val="center"/>
            <w:hideMark/>
          </w:tcPr>
          <w:p w14:paraId="3876E227"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100,1</w:t>
            </w:r>
          </w:p>
        </w:tc>
      </w:tr>
      <w:tr w:rsidR="005D7A1A" w14:paraId="2608C2A0" w14:textId="77777777" w:rsidTr="005D7A1A">
        <w:trPr>
          <w:trHeight w:val="300"/>
        </w:trPr>
        <w:tc>
          <w:tcPr>
            <w:tcW w:w="1820" w:type="dxa"/>
            <w:tcBorders>
              <w:top w:val="nil"/>
              <w:left w:val="nil"/>
              <w:bottom w:val="single" w:sz="4" w:space="0" w:color="auto"/>
              <w:right w:val="nil"/>
            </w:tcBorders>
            <w:shd w:val="clear" w:color="auto" w:fill="auto"/>
            <w:noWrap/>
            <w:vAlign w:val="center"/>
            <w:hideMark/>
          </w:tcPr>
          <w:p w14:paraId="6BB52597" w14:textId="77777777" w:rsidR="005D7A1A" w:rsidRDefault="005D7A1A">
            <w:pPr>
              <w:rPr>
                <w:rFonts w:ascii="Arial Narrow" w:hAnsi="Arial Narrow" w:cs="Calibri"/>
                <w:color w:val="000000"/>
                <w:sz w:val="18"/>
                <w:szCs w:val="18"/>
              </w:rPr>
            </w:pPr>
            <w:r>
              <w:rPr>
                <w:rFonts w:ascii="Arial Narrow" w:hAnsi="Arial Narrow" w:cs="Calibri"/>
                <w:color w:val="000000"/>
                <w:sz w:val="18"/>
                <w:szCs w:val="18"/>
              </w:rPr>
              <w:t>Lecco</w:t>
            </w:r>
          </w:p>
        </w:tc>
        <w:tc>
          <w:tcPr>
            <w:tcW w:w="1400" w:type="dxa"/>
            <w:tcBorders>
              <w:top w:val="nil"/>
              <w:left w:val="nil"/>
              <w:bottom w:val="single" w:sz="4" w:space="0" w:color="auto"/>
              <w:right w:val="nil"/>
            </w:tcBorders>
            <w:shd w:val="clear" w:color="000000" w:fill="D9D9D9"/>
            <w:noWrap/>
            <w:vAlign w:val="center"/>
            <w:hideMark/>
          </w:tcPr>
          <w:p w14:paraId="1F700CF7"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26.772</w:t>
            </w:r>
          </w:p>
        </w:tc>
        <w:tc>
          <w:tcPr>
            <w:tcW w:w="1760" w:type="dxa"/>
            <w:tcBorders>
              <w:top w:val="nil"/>
              <w:left w:val="nil"/>
              <w:bottom w:val="single" w:sz="4" w:space="0" w:color="auto"/>
              <w:right w:val="nil"/>
            </w:tcBorders>
            <w:shd w:val="clear" w:color="auto" w:fill="auto"/>
            <w:noWrap/>
            <w:vAlign w:val="center"/>
            <w:hideMark/>
          </w:tcPr>
          <w:p w14:paraId="28AE23FE"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-1,6</w:t>
            </w:r>
          </w:p>
        </w:tc>
        <w:tc>
          <w:tcPr>
            <w:tcW w:w="1540" w:type="dxa"/>
            <w:tcBorders>
              <w:top w:val="nil"/>
              <w:left w:val="nil"/>
              <w:bottom w:val="single" w:sz="4" w:space="0" w:color="auto"/>
              <w:right w:val="nil"/>
            </w:tcBorders>
            <w:shd w:val="clear" w:color="000000" w:fill="D9D9D9"/>
            <w:noWrap/>
            <w:vAlign w:val="center"/>
            <w:hideMark/>
          </w:tcPr>
          <w:p w14:paraId="3BA78CF5"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8,0</w:t>
            </w:r>
          </w:p>
        </w:tc>
        <w:tc>
          <w:tcPr>
            <w:tcW w:w="1540" w:type="dxa"/>
            <w:tcBorders>
              <w:top w:val="nil"/>
              <w:left w:val="nil"/>
              <w:bottom w:val="single" w:sz="4" w:space="0" w:color="auto"/>
              <w:right w:val="nil"/>
            </w:tcBorders>
            <w:shd w:val="clear" w:color="auto" w:fill="auto"/>
            <w:noWrap/>
            <w:vAlign w:val="center"/>
            <w:hideMark/>
          </w:tcPr>
          <w:p w14:paraId="25D769FF"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33,6</w:t>
            </w:r>
          </w:p>
        </w:tc>
        <w:tc>
          <w:tcPr>
            <w:tcW w:w="1540" w:type="dxa"/>
            <w:tcBorders>
              <w:top w:val="nil"/>
              <w:left w:val="nil"/>
              <w:bottom w:val="single" w:sz="4" w:space="0" w:color="auto"/>
              <w:right w:val="nil"/>
            </w:tcBorders>
            <w:shd w:val="clear" w:color="000000" w:fill="D9D9D9"/>
            <w:noWrap/>
            <w:vAlign w:val="center"/>
            <w:hideMark/>
          </w:tcPr>
          <w:p w14:paraId="540A310E"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98,0</w:t>
            </w:r>
          </w:p>
        </w:tc>
      </w:tr>
      <w:tr w:rsidR="005D7A1A" w14:paraId="25966015" w14:textId="77777777" w:rsidTr="005D7A1A">
        <w:trPr>
          <w:trHeight w:val="300"/>
        </w:trPr>
        <w:tc>
          <w:tcPr>
            <w:tcW w:w="1820" w:type="dxa"/>
            <w:tcBorders>
              <w:top w:val="nil"/>
              <w:left w:val="nil"/>
              <w:bottom w:val="single" w:sz="4" w:space="0" w:color="auto"/>
              <w:right w:val="nil"/>
            </w:tcBorders>
            <w:shd w:val="clear" w:color="auto" w:fill="auto"/>
            <w:noWrap/>
            <w:vAlign w:val="center"/>
            <w:hideMark/>
          </w:tcPr>
          <w:p w14:paraId="391F341D" w14:textId="77777777" w:rsidR="005D7A1A" w:rsidRDefault="005D7A1A">
            <w:pPr>
              <w:rPr>
                <w:rFonts w:ascii="Arial Narrow" w:hAnsi="Arial Narrow" w:cs="Calibri"/>
                <w:color w:val="000000"/>
                <w:sz w:val="18"/>
                <w:szCs w:val="18"/>
              </w:rPr>
            </w:pPr>
            <w:r>
              <w:rPr>
                <w:rFonts w:ascii="Arial Narrow" w:hAnsi="Arial Narrow" w:cs="Calibri"/>
                <w:color w:val="000000"/>
                <w:sz w:val="18"/>
                <w:szCs w:val="18"/>
              </w:rPr>
              <w:t>Lodi</w:t>
            </w:r>
          </w:p>
        </w:tc>
        <w:tc>
          <w:tcPr>
            <w:tcW w:w="1400" w:type="dxa"/>
            <w:tcBorders>
              <w:top w:val="nil"/>
              <w:left w:val="nil"/>
              <w:bottom w:val="single" w:sz="4" w:space="0" w:color="auto"/>
              <w:right w:val="nil"/>
            </w:tcBorders>
            <w:shd w:val="clear" w:color="000000" w:fill="D9D9D9"/>
            <w:noWrap/>
            <w:vAlign w:val="center"/>
            <w:hideMark/>
          </w:tcPr>
          <w:p w14:paraId="7D1F1B04"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27.783</w:t>
            </w:r>
          </w:p>
        </w:tc>
        <w:tc>
          <w:tcPr>
            <w:tcW w:w="1760" w:type="dxa"/>
            <w:tcBorders>
              <w:top w:val="nil"/>
              <w:left w:val="nil"/>
              <w:bottom w:val="single" w:sz="4" w:space="0" w:color="auto"/>
              <w:right w:val="nil"/>
            </w:tcBorders>
            <w:shd w:val="clear" w:color="auto" w:fill="auto"/>
            <w:noWrap/>
            <w:vAlign w:val="center"/>
            <w:hideMark/>
          </w:tcPr>
          <w:p w14:paraId="2D5C6A88"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2,1</w:t>
            </w:r>
          </w:p>
        </w:tc>
        <w:tc>
          <w:tcPr>
            <w:tcW w:w="1540" w:type="dxa"/>
            <w:tcBorders>
              <w:top w:val="nil"/>
              <w:left w:val="nil"/>
              <w:bottom w:val="single" w:sz="4" w:space="0" w:color="auto"/>
              <w:right w:val="nil"/>
            </w:tcBorders>
            <w:shd w:val="clear" w:color="000000" w:fill="D9D9D9"/>
            <w:noWrap/>
            <w:vAlign w:val="center"/>
            <w:hideMark/>
          </w:tcPr>
          <w:p w14:paraId="4D6FA378"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12,2</w:t>
            </w:r>
          </w:p>
        </w:tc>
        <w:tc>
          <w:tcPr>
            <w:tcW w:w="1540" w:type="dxa"/>
            <w:tcBorders>
              <w:top w:val="nil"/>
              <w:left w:val="nil"/>
              <w:bottom w:val="single" w:sz="4" w:space="0" w:color="auto"/>
              <w:right w:val="nil"/>
            </w:tcBorders>
            <w:shd w:val="clear" w:color="auto" w:fill="auto"/>
            <w:noWrap/>
            <w:vAlign w:val="center"/>
            <w:hideMark/>
          </w:tcPr>
          <w:p w14:paraId="4EDF180C"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32,0</w:t>
            </w:r>
          </w:p>
        </w:tc>
        <w:tc>
          <w:tcPr>
            <w:tcW w:w="1540" w:type="dxa"/>
            <w:tcBorders>
              <w:top w:val="nil"/>
              <w:left w:val="nil"/>
              <w:bottom w:val="single" w:sz="4" w:space="0" w:color="auto"/>
              <w:right w:val="nil"/>
            </w:tcBorders>
            <w:shd w:val="clear" w:color="000000" w:fill="D9D9D9"/>
            <w:noWrap/>
            <w:vAlign w:val="center"/>
            <w:hideMark/>
          </w:tcPr>
          <w:p w14:paraId="5FAA5BF3"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101,1</w:t>
            </w:r>
          </w:p>
        </w:tc>
      </w:tr>
      <w:tr w:rsidR="005D7A1A" w14:paraId="6CCF6CC4" w14:textId="77777777" w:rsidTr="005D7A1A">
        <w:trPr>
          <w:trHeight w:val="300"/>
        </w:trPr>
        <w:tc>
          <w:tcPr>
            <w:tcW w:w="1820" w:type="dxa"/>
            <w:tcBorders>
              <w:top w:val="nil"/>
              <w:left w:val="nil"/>
              <w:bottom w:val="single" w:sz="4" w:space="0" w:color="auto"/>
              <w:right w:val="nil"/>
            </w:tcBorders>
            <w:shd w:val="clear" w:color="auto" w:fill="auto"/>
            <w:noWrap/>
            <w:vAlign w:val="center"/>
            <w:hideMark/>
          </w:tcPr>
          <w:p w14:paraId="14F0C133" w14:textId="77777777" w:rsidR="005D7A1A" w:rsidRDefault="005D7A1A">
            <w:pPr>
              <w:rPr>
                <w:rFonts w:ascii="Arial Narrow" w:hAnsi="Arial Narrow" w:cs="Calibri"/>
                <w:color w:val="000000"/>
                <w:sz w:val="18"/>
                <w:szCs w:val="18"/>
              </w:rPr>
            </w:pPr>
            <w:r>
              <w:rPr>
                <w:rFonts w:ascii="Arial Narrow" w:hAnsi="Arial Narrow" w:cs="Calibri"/>
                <w:color w:val="000000"/>
                <w:sz w:val="18"/>
                <w:szCs w:val="18"/>
              </w:rPr>
              <w:t>Mantova</w:t>
            </w:r>
          </w:p>
        </w:tc>
        <w:tc>
          <w:tcPr>
            <w:tcW w:w="1400" w:type="dxa"/>
            <w:tcBorders>
              <w:top w:val="nil"/>
              <w:left w:val="nil"/>
              <w:bottom w:val="single" w:sz="4" w:space="0" w:color="auto"/>
              <w:right w:val="nil"/>
            </w:tcBorders>
            <w:shd w:val="clear" w:color="000000" w:fill="D9D9D9"/>
            <w:noWrap/>
            <w:vAlign w:val="center"/>
            <w:hideMark/>
          </w:tcPr>
          <w:p w14:paraId="73308483"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53.559</w:t>
            </w:r>
          </w:p>
        </w:tc>
        <w:tc>
          <w:tcPr>
            <w:tcW w:w="1760" w:type="dxa"/>
            <w:tcBorders>
              <w:top w:val="nil"/>
              <w:left w:val="nil"/>
              <w:bottom w:val="single" w:sz="4" w:space="0" w:color="auto"/>
              <w:right w:val="nil"/>
            </w:tcBorders>
            <w:shd w:val="clear" w:color="auto" w:fill="auto"/>
            <w:noWrap/>
            <w:vAlign w:val="center"/>
            <w:hideMark/>
          </w:tcPr>
          <w:p w14:paraId="27587E44"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4,4</w:t>
            </w:r>
          </w:p>
        </w:tc>
        <w:tc>
          <w:tcPr>
            <w:tcW w:w="1540" w:type="dxa"/>
            <w:tcBorders>
              <w:top w:val="nil"/>
              <w:left w:val="nil"/>
              <w:bottom w:val="single" w:sz="4" w:space="0" w:color="auto"/>
              <w:right w:val="nil"/>
            </w:tcBorders>
            <w:shd w:val="clear" w:color="000000" w:fill="D9D9D9"/>
            <w:noWrap/>
            <w:vAlign w:val="center"/>
            <w:hideMark/>
          </w:tcPr>
          <w:p w14:paraId="08F0C71B"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13,2</w:t>
            </w:r>
          </w:p>
        </w:tc>
        <w:tc>
          <w:tcPr>
            <w:tcW w:w="1540" w:type="dxa"/>
            <w:tcBorders>
              <w:top w:val="nil"/>
              <w:left w:val="nil"/>
              <w:bottom w:val="single" w:sz="4" w:space="0" w:color="auto"/>
              <w:right w:val="nil"/>
            </w:tcBorders>
            <w:shd w:val="clear" w:color="auto" w:fill="auto"/>
            <w:noWrap/>
            <w:vAlign w:val="center"/>
            <w:hideMark/>
          </w:tcPr>
          <w:p w14:paraId="18130677"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33,7</w:t>
            </w:r>
          </w:p>
        </w:tc>
        <w:tc>
          <w:tcPr>
            <w:tcW w:w="1540" w:type="dxa"/>
            <w:tcBorders>
              <w:top w:val="nil"/>
              <w:left w:val="nil"/>
              <w:bottom w:val="single" w:sz="4" w:space="0" w:color="auto"/>
              <w:right w:val="nil"/>
            </w:tcBorders>
            <w:shd w:val="clear" w:color="000000" w:fill="D9D9D9"/>
            <w:noWrap/>
            <w:vAlign w:val="center"/>
            <w:hideMark/>
          </w:tcPr>
          <w:p w14:paraId="2CEBCACA"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100,7</w:t>
            </w:r>
          </w:p>
        </w:tc>
      </w:tr>
      <w:tr w:rsidR="005D7A1A" w14:paraId="50A8F038" w14:textId="77777777" w:rsidTr="005D7A1A">
        <w:trPr>
          <w:trHeight w:val="300"/>
        </w:trPr>
        <w:tc>
          <w:tcPr>
            <w:tcW w:w="1820" w:type="dxa"/>
            <w:tcBorders>
              <w:top w:val="nil"/>
              <w:left w:val="nil"/>
              <w:bottom w:val="single" w:sz="4" w:space="0" w:color="auto"/>
              <w:right w:val="nil"/>
            </w:tcBorders>
            <w:shd w:val="clear" w:color="auto" w:fill="auto"/>
            <w:noWrap/>
            <w:vAlign w:val="center"/>
            <w:hideMark/>
          </w:tcPr>
          <w:p w14:paraId="6C8C7CAF" w14:textId="77777777" w:rsidR="005D7A1A" w:rsidRDefault="005D7A1A">
            <w:pPr>
              <w:rPr>
                <w:rFonts w:ascii="Arial Narrow" w:hAnsi="Arial Narrow" w:cs="Calibri"/>
                <w:color w:val="000000"/>
                <w:sz w:val="18"/>
                <w:szCs w:val="18"/>
              </w:rPr>
            </w:pPr>
            <w:r>
              <w:rPr>
                <w:rFonts w:ascii="Arial Narrow" w:hAnsi="Arial Narrow" w:cs="Calibri"/>
                <w:color w:val="000000"/>
                <w:sz w:val="18"/>
                <w:szCs w:val="18"/>
              </w:rPr>
              <w:t>Milano</w:t>
            </w:r>
          </w:p>
        </w:tc>
        <w:tc>
          <w:tcPr>
            <w:tcW w:w="1400" w:type="dxa"/>
            <w:tcBorders>
              <w:top w:val="nil"/>
              <w:left w:val="nil"/>
              <w:bottom w:val="single" w:sz="4" w:space="0" w:color="auto"/>
              <w:right w:val="nil"/>
            </w:tcBorders>
            <w:shd w:val="clear" w:color="000000" w:fill="D9D9D9"/>
            <w:noWrap/>
            <w:vAlign w:val="center"/>
            <w:hideMark/>
          </w:tcPr>
          <w:p w14:paraId="64982B8D"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489.408</w:t>
            </w:r>
          </w:p>
        </w:tc>
        <w:tc>
          <w:tcPr>
            <w:tcW w:w="1760" w:type="dxa"/>
            <w:tcBorders>
              <w:top w:val="nil"/>
              <w:left w:val="nil"/>
              <w:bottom w:val="single" w:sz="4" w:space="0" w:color="auto"/>
              <w:right w:val="nil"/>
            </w:tcBorders>
            <w:shd w:val="clear" w:color="auto" w:fill="auto"/>
            <w:noWrap/>
            <w:vAlign w:val="center"/>
            <w:hideMark/>
          </w:tcPr>
          <w:p w14:paraId="3CCBA24E"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6,6</w:t>
            </w:r>
          </w:p>
        </w:tc>
        <w:tc>
          <w:tcPr>
            <w:tcW w:w="1540" w:type="dxa"/>
            <w:tcBorders>
              <w:top w:val="nil"/>
              <w:left w:val="nil"/>
              <w:bottom w:val="single" w:sz="4" w:space="0" w:color="auto"/>
              <w:right w:val="nil"/>
            </w:tcBorders>
            <w:shd w:val="clear" w:color="000000" w:fill="D9D9D9"/>
            <w:noWrap/>
            <w:vAlign w:val="center"/>
            <w:hideMark/>
          </w:tcPr>
          <w:p w14:paraId="6B1E5B42"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15,1</w:t>
            </w:r>
          </w:p>
        </w:tc>
        <w:tc>
          <w:tcPr>
            <w:tcW w:w="1540" w:type="dxa"/>
            <w:tcBorders>
              <w:top w:val="nil"/>
              <w:left w:val="nil"/>
              <w:bottom w:val="single" w:sz="4" w:space="0" w:color="auto"/>
              <w:right w:val="nil"/>
            </w:tcBorders>
            <w:shd w:val="clear" w:color="auto" w:fill="auto"/>
            <w:noWrap/>
            <w:vAlign w:val="center"/>
            <w:hideMark/>
          </w:tcPr>
          <w:p w14:paraId="069FD36A"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34,2</w:t>
            </w:r>
          </w:p>
        </w:tc>
        <w:tc>
          <w:tcPr>
            <w:tcW w:w="1540" w:type="dxa"/>
            <w:tcBorders>
              <w:top w:val="nil"/>
              <w:left w:val="nil"/>
              <w:bottom w:val="single" w:sz="4" w:space="0" w:color="auto"/>
              <w:right w:val="nil"/>
            </w:tcBorders>
            <w:shd w:val="clear" w:color="000000" w:fill="D9D9D9"/>
            <w:noWrap/>
            <w:vAlign w:val="center"/>
            <w:hideMark/>
          </w:tcPr>
          <w:p w14:paraId="3C7E344B"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97,9</w:t>
            </w:r>
          </w:p>
        </w:tc>
      </w:tr>
      <w:tr w:rsidR="005D7A1A" w14:paraId="2A679E5D" w14:textId="77777777" w:rsidTr="005D7A1A">
        <w:trPr>
          <w:trHeight w:val="300"/>
        </w:trPr>
        <w:tc>
          <w:tcPr>
            <w:tcW w:w="1820" w:type="dxa"/>
            <w:tcBorders>
              <w:top w:val="nil"/>
              <w:left w:val="nil"/>
              <w:bottom w:val="single" w:sz="4" w:space="0" w:color="auto"/>
              <w:right w:val="nil"/>
            </w:tcBorders>
            <w:shd w:val="clear" w:color="auto" w:fill="auto"/>
            <w:noWrap/>
            <w:vAlign w:val="center"/>
            <w:hideMark/>
          </w:tcPr>
          <w:p w14:paraId="7C147F6A" w14:textId="77777777" w:rsidR="005D7A1A" w:rsidRDefault="005D7A1A">
            <w:pPr>
              <w:rPr>
                <w:rFonts w:ascii="Arial Narrow" w:hAnsi="Arial Narrow" w:cs="Calibri"/>
                <w:color w:val="000000"/>
                <w:sz w:val="18"/>
                <w:szCs w:val="18"/>
              </w:rPr>
            </w:pPr>
            <w:r>
              <w:rPr>
                <w:rFonts w:ascii="Arial Narrow" w:hAnsi="Arial Narrow" w:cs="Calibri"/>
                <w:color w:val="000000"/>
                <w:sz w:val="18"/>
                <w:szCs w:val="18"/>
              </w:rPr>
              <w:t>Monza e della Brianza</w:t>
            </w:r>
          </w:p>
        </w:tc>
        <w:tc>
          <w:tcPr>
            <w:tcW w:w="1400" w:type="dxa"/>
            <w:tcBorders>
              <w:top w:val="nil"/>
              <w:left w:val="nil"/>
              <w:bottom w:val="single" w:sz="4" w:space="0" w:color="auto"/>
              <w:right w:val="nil"/>
            </w:tcBorders>
            <w:shd w:val="clear" w:color="000000" w:fill="D9D9D9"/>
            <w:noWrap/>
            <w:vAlign w:val="center"/>
            <w:hideMark/>
          </w:tcPr>
          <w:p w14:paraId="3968F500"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79.472</w:t>
            </w:r>
          </w:p>
        </w:tc>
        <w:tc>
          <w:tcPr>
            <w:tcW w:w="1760" w:type="dxa"/>
            <w:tcBorders>
              <w:top w:val="nil"/>
              <w:left w:val="nil"/>
              <w:bottom w:val="single" w:sz="4" w:space="0" w:color="auto"/>
              <w:right w:val="nil"/>
            </w:tcBorders>
            <w:shd w:val="clear" w:color="auto" w:fill="auto"/>
            <w:noWrap/>
            <w:vAlign w:val="center"/>
            <w:hideMark/>
          </w:tcPr>
          <w:p w14:paraId="0A8BE5A2"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2,8</w:t>
            </w:r>
          </w:p>
        </w:tc>
        <w:tc>
          <w:tcPr>
            <w:tcW w:w="1540" w:type="dxa"/>
            <w:tcBorders>
              <w:top w:val="nil"/>
              <w:left w:val="nil"/>
              <w:bottom w:val="single" w:sz="4" w:space="0" w:color="auto"/>
              <w:right w:val="nil"/>
            </w:tcBorders>
            <w:shd w:val="clear" w:color="000000" w:fill="D9D9D9"/>
            <w:noWrap/>
            <w:vAlign w:val="center"/>
            <w:hideMark/>
          </w:tcPr>
          <w:p w14:paraId="33F52928"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9,1</w:t>
            </w:r>
          </w:p>
        </w:tc>
        <w:tc>
          <w:tcPr>
            <w:tcW w:w="1540" w:type="dxa"/>
            <w:tcBorders>
              <w:top w:val="nil"/>
              <w:left w:val="nil"/>
              <w:bottom w:val="single" w:sz="4" w:space="0" w:color="auto"/>
              <w:right w:val="nil"/>
            </w:tcBorders>
            <w:shd w:val="clear" w:color="auto" w:fill="auto"/>
            <w:noWrap/>
            <w:vAlign w:val="center"/>
            <w:hideMark/>
          </w:tcPr>
          <w:p w14:paraId="5F38AAF0"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33,3</w:t>
            </w:r>
          </w:p>
        </w:tc>
        <w:tc>
          <w:tcPr>
            <w:tcW w:w="1540" w:type="dxa"/>
            <w:tcBorders>
              <w:top w:val="nil"/>
              <w:left w:val="nil"/>
              <w:bottom w:val="single" w:sz="4" w:space="0" w:color="auto"/>
              <w:right w:val="nil"/>
            </w:tcBorders>
            <w:shd w:val="clear" w:color="000000" w:fill="D9D9D9"/>
            <w:noWrap/>
            <w:vAlign w:val="center"/>
            <w:hideMark/>
          </w:tcPr>
          <w:p w14:paraId="1C029700"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93,9</w:t>
            </w:r>
          </w:p>
        </w:tc>
      </w:tr>
      <w:tr w:rsidR="005D7A1A" w14:paraId="27A82127" w14:textId="77777777" w:rsidTr="005D7A1A">
        <w:trPr>
          <w:trHeight w:val="300"/>
        </w:trPr>
        <w:tc>
          <w:tcPr>
            <w:tcW w:w="1820" w:type="dxa"/>
            <w:tcBorders>
              <w:top w:val="nil"/>
              <w:left w:val="nil"/>
              <w:bottom w:val="single" w:sz="4" w:space="0" w:color="auto"/>
              <w:right w:val="nil"/>
            </w:tcBorders>
            <w:shd w:val="clear" w:color="auto" w:fill="auto"/>
            <w:noWrap/>
            <w:vAlign w:val="center"/>
            <w:hideMark/>
          </w:tcPr>
          <w:p w14:paraId="64331493" w14:textId="77777777" w:rsidR="005D7A1A" w:rsidRDefault="005D7A1A">
            <w:pPr>
              <w:rPr>
                <w:rFonts w:ascii="Arial Narrow" w:hAnsi="Arial Narrow" w:cs="Calibri"/>
                <w:color w:val="000000"/>
                <w:sz w:val="18"/>
                <w:szCs w:val="18"/>
              </w:rPr>
            </w:pPr>
            <w:r>
              <w:rPr>
                <w:rFonts w:ascii="Arial Narrow" w:hAnsi="Arial Narrow" w:cs="Calibri"/>
                <w:color w:val="000000"/>
                <w:sz w:val="18"/>
                <w:szCs w:val="18"/>
              </w:rPr>
              <w:t>Pavia</w:t>
            </w:r>
          </w:p>
        </w:tc>
        <w:tc>
          <w:tcPr>
            <w:tcW w:w="1400" w:type="dxa"/>
            <w:tcBorders>
              <w:top w:val="nil"/>
              <w:left w:val="nil"/>
              <w:bottom w:val="single" w:sz="4" w:space="0" w:color="auto"/>
              <w:right w:val="nil"/>
            </w:tcBorders>
            <w:shd w:val="clear" w:color="000000" w:fill="D9D9D9"/>
            <w:noWrap/>
            <w:vAlign w:val="center"/>
            <w:hideMark/>
          </w:tcPr>
          <w:p w14:paraId="16A92D7C"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62.925</w:t>
            </w:r>
          </w:p>
        </w:tc>
        <w:tc>
          <w:tcPr>
            <w:tcW w:w="1760" w:type="dxa"/>
            <w:tcBorders>
              <w:top w:val="nil"/>
              <w:left w:val="nil"/>
              <w:bottom w:val="single" w:sz="4" w:space="0" w:color="auto"/>
              <w:right w:val="nil"/>
            </w:tcBorders>
            <w:shd w:val="clear" w:color="auto" w:fill="auto"/>
            <w:noWrap/>
            <w:vAlign w:val="center"/>
            <w:hideMark/>
          </w:tcPr>
          <w:p w14:paraId="7342BEF7"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1,3</w:t>
            </w:r>
          </w:p>
        </w:tc>
        <w:tc>
          <w:tcPr>
            <w:tcW w:w="1540" w:type="dxa"/>
            <w:tcBorders>
              <w:top w:val="nil"/>
              <w:left w:val="nil"/>
              <w:bottom w:val="single" w:sz="4" w:space="0" w:color="auto"/>
              <w:right w:val="nil"/>
            </w:tcBorders>
            <w:shd w:val="clear" w:color="000000" w:fill="D9D9D9"/>
            <w:noWrap/>
            <w:vAlign w:val="center"/>
            <w:hideMark/>
          </w:tcPr>
          <w:p w14:paraId="62A51086"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11,7</w:t>
            </w:r>
          </w:p>
        </w:tc>
        <w:tc>
          <w:tcPr>
            <w:tcW w:w="1540" w:type="dxa"/>
            <w:tcBorders>
              <w:top w:val="nil"/>
              <w:left w:val="nil"/>
              <w:bottom w:val="single" w:sz="4" w:space="0" w:color="auto"/>
              <w:right w:val="nil"/>
            </w:tcBorders>
            <w:shd w:val="clear" w:color="auto" w:fill="auto"/>
            <w:noWrap/>
            <w:vAlign w:val="center"/>
            <w:hideMark/>
          </w:tcPr>
          <w:p w14:paraId="7177DC30"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32,9</w:t>
            </w:r>
          </w:p>
        </w:tc>
        <w:tc>
          <w:tcPr>
            <w:tcW w:w="1540" w:type="dxa"/>
            <w:tcBorders>
              <w:top w:val="nil"/>
              <w:left w:val="nil"/>
              <w:bottom w:val="single" w:sz="4" w:space="0" w:color="auto"/>
              <w:right w:val="nil"/>
            </w:tcBorders>
            <w:shd w:val="clear" w:color="000000" w:fill="D9D9D9"/>
            <w:noWrap/>
            <w:vAlign w:val="center"/>
            <w:hideMark/>
          </w:tcPr>
          <w:p w14:paraId="1E4712C7"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97,8</w:t>
            </w:r>
          </w:p>
        </w:tc>
      </w:tr>
      <w:tr w:rsidR="005D7A1A" w14:paraId="73EFB0F6" w14:textId="77777777" w:rsidTr="005D7A1A">
        <w:trPr>
          <w:trHeight w:val="300"/>
        </w:trPr>
        <w:tc>
          <w:tcPr>
            <w:tcW w:w="1820" w:type="dxa"/>
            <w:tcBorders>
              <w:top w:val="nil"/>
              <w:left w:val="nil"/>
              <w:bottom w:val="single" w:sz="4" w:space="0" w:color="auto"/>
              <w:right w:val="nil"/>
            </w:tcBorders>
            <w:shd w:val="clear" w:color="auto" w:fill="auto"/>
            <w:noWrap/>
            <w:vAlign w:val="center"/>
            <w:hideMark/>
          </w:tcPr>
          <w:p w14:paraId="780CAC3B" w14:textId="77777777" w:rsidR="005D7A1A" w:rsidRDefault="005D7A1A">
            <w:pPr>
              <w:rPr>
                <w:rFonts w:ascii="Arial Narrow" w:hAnsi="Arial Narrow" w:cs="Calibri"/>
                <w:color w:val="000000"/>
                <w:sz w:val="18"/>
                <w:szCs w:val="18"/>
              </w:rPr>
            </w:pPr>
            <w:r>
              <w:rPr>
                <w:rFonts w:ascii="Arial Narrow" w:hAnsi="Arial Narrow" w:cs="Calibri"/>
                <w:color w:val="000000"/>
                <w:sz w:val="18"/>
                <w:szCs w:val="18"/>
              </w:rPr>
              <w:t>Sondrio</w:t>
            </w:r>
          </w:p>
        </w:tc>
        <w:tc>
          <w:tcPr>
            <w:tcW w:w="1400" w:type="dxa"/>
            <w:tcBorders>
              <w:top w:val="nil"/>
              <w:left w:val="nil"/>
              <w:bottom w:val="single" w:sz="4" w:space="0" w:color="auto"/>
              <w:right w:val="nil"/>
            </w:tcBorders>
            <w:shd w:val="clear" w:color="000000" w:fill="D9D9D9"/>
            <w:noWrap/>
            <w:vAlign w:val="center"/>
            <w:hideMark/>
          </w:tcPr>
          <w:p w14:paraId="19385630"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10.230</w:t>
            </w:r>
          </w:p>
        </w:tc>
        <w:tc>
          <w:tcPr>
            <w:tcW w:w="1760" w:type="dxa"/>
            <w:tcBorders>
              <w:top w:val="nil"/>
              <w:left w:val="nil"/>
              <w:bottom w:val="single" w:sz="4" w:space="0" w:color="auto"/>
              <w:right w:val="nil"/>
            </w:tcBorders>
            <w:shd w:val="clear" w:color="auto" w:fill="auto"/>
            <w:noWrap/>
            <w:vAlign w:val="center"/>
            <w:hideMark/>
          </w:tcPr>
          <w:p w14:paraId="214F2191"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2,9</w:t>
            </w:r>
          </w:p>
        </w:tc>
        <w:tc>
          <w:tcPr>
            <w:tcW w:w="1540" w:type="dxa"/>
            <w:tcBorders>
              <w:top w:val="nil"/>
              <w:left w:val="nil"/>
              <w:bottom w:val="single" w:sz="4" w:space="0" w:color="auto"/>
              <w:right w:val="nil"/>
            </w:tcBorders>
            <w:shd w:val="clear" w:color="000000" w:fill="D9D9D9"/>
            <w:noWrap/>
            <w:vAlign w:val="center"/>
            <w:hideMark/>
          </w:tcPr>
          <w:p w14:paraId="73C77F01"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5,7</w:t>
            </w:r>
          </w:p>
        </w:tc>
        <w:tc>
          <w:tcPr>
            <w:tcW w:w="1540" w:type="dxa"/>
            <w:tcBorders>
              <w:top w:val="nil"/>
              <w:left w:val="nil"/>
              <w:bottom w:val="single" w:sz="4" w:space="0" w:color="auto"/>
              <w:right w:val="nil"/>
            </w:tcBorders>
            <w:shd w:val="clear" w:color="auto" w:fill="auto"/>
            <w:noWrap/>
            <w:vAlign w:val="center"/>
            <w:hideMark/>
          </w:tcPr>
          <w:p w14:paraId="47604691"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34,1</w:t>
            </w:r>
          </w:p>
        </w:tc>
        <w:tc>
          <w:tcPr>
            <w:tcW w:w="1540" w:type="dxa"/>
            <w:tcBorders>
              <w:top w:val="nil"/>
              <w:left w:val="nil"/>
              <w:bottom w:val="single" w:sz="4" w:space="0" w:color="auto"/>
              <w:right w:val="nil"/>
            </w:tcBorders>
            <w:shd w:val="clear" w:color="000000" w:fill="D9D9D9"/>
            <w:noWrap/>
            <w:vAlign w:val="center"/>
            <w:hideMark/>
          </w:tcPr>
          <w:p w14:paraId="53801698"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92,0</w:t>
            </w:r>
          </w:p>
        </w:tc>
      </w:tr>
      <w:tr w:rsidR="005D7A1A" w14:paraId="19368E2B" w14:textId="77777777" w:rsidTr="005D7A1A">
        <w:trPr>
          <w:trHeight w:val="300"/>
        </w:trPr>
        <w:tc>
          <w:tcPr>
            <w:tcW w:w="1820" w:type="dxa"/>
            <w:tcBorders>
              <w:top w:val="nil"/>
              <w:left w:val="nil"/>
              <w:bottom w:val="single" w:sz="4" w:space="0" w:color="auto"/>
              <w:right w:val="nil"/>
            </w:tcBorders>
            <w:shd w:val="clear" w:color="auto" w:fill="auto"/>
            <w:noWrap/>
            <w:vAlign w:val="center"/>
            <w:hideMark/>
          </w:tcPr>
          <w:p w14:paraId="4D64D536" w14:textId="77777777" w:rsidR="005D7A1A" w:rsidRDefault="005D7A1A">
            <w:pPr>
              <w:rPr>
                <w:rFonts w:ascii="Arial Narrow" w:hAnsi="Arial Narrow" w:cs="Calibri"/>
                <w:color w:val="000000"/>
                <w:sz w:val="18"/>
                <w:szCs w:val="18"/>
              </w:rPr>
            </w:pPr>
            <w:r>
              <w:rPr>
                <w:rFonts w:ascii="Arial Narrow" w:hAnsi="Arial Narrow" w:cs="Calibri"/>
                <w:color w:val="000000"/>
                <w:sz w:val="18"/>
                <w:szCs w:val="18"/>
              </w:rPr>
              <w:t>Varese</w:t>
            </w:r>
          </w:p>
        </w:tc>
        <w:tc>
          <w:tcPr>
            <w:tcW w:w="1400" w:type="dxa"/>
            <w:tcBorders>
              <w:top w:val="nil"/>
              <w:left w:val="nil"/>
              <w:bottom w:val="single" w:sz="4" w:space="0" w:color="auto"/>
              <w:right w:val="nil"/>
            </w:tcBorders>
            <w:shd w:val="clear" w:color="000000" w:fill="D9D9D9"/>
            <w:noWrap/>
            <w:vAlign w:val="center"/>
            <w:hideMark/>
          </w:tcPr>
          <w:p w14:paraId="30545E99"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74.597</w:t>
            </w:r>
          </w:p>
        </w:tc>
        <w:tc>
          <w:tcPr>
            <w:tcW w:w="1760" w:type="dxa"/>
            <w:tcBorders>
              <w:top w:val="nil"/>
              <w:left w:val="nil"/>
              <w:bottom w:val="single" w:sz="4" w:space="0" w:color="auto"/>
              <w:right w:val="nil"/>
            </w:tcBorders>
            <w:shd w:val="clear" w:color="auto" w:fill="auto"/>
            <w:noWrap/>
            <w:vAlign w:val="center"/>
            <w:hideMark/>
          </w:tcPr>
          <w:p w14:paraId="2FBDCF3A"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0,6</w:t>
            </w:r>
          </w:p>
        </w:tc>
        <w:tc>
          <w:tcPr>
            <w:tcW w:w="1540" w:type="dxa"/>
            <w:tcBorders>
              <w:top w:val="nil"/>
              <w:left w:val="nil"/>
              <w:bottom w:val="single" w:sz="4" w:space="0" w:color="auto"/>
              <w:right w:val="nil"/>
            </w:tcBorders>
            <w:shd w:val="clear" w:color="000000" w:fill="D9D9D9"/>
            <w:noWrap/>
            <w:vAlign w:val="center"/>
            <w:hideMark/>
          </w:tcPr>
          <w:p w14:paraId="1FC3AE07"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8,5</w:t>
            </w:r>
          </w:p>
        </w:tc>
        <w:tc>
          <w:tcPr>
            <w:tcW w:w="1540" w:type="dxa"/>
            <w:tcBorders>
              <w:top w:val="nil"/>
              <w:left w:val="nil"/>
              <w:bottom w:val="single" w:sz="4" w:space="0" w:color="auto"/>
              <w:right w:val="nil"/>
            </w:tcBorders>
            <w:shd w:val="clear" w:color="auto" w:fill="auto"/>
            <w:noWrap/>
            <w:vAlign w:val="center"/>
            <w:hideMark/>
          </w:tcPr>
          <w:p w14:paraId="30F800BC"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35,0</w:t>
            </w:r>
          </w:p>
        </w:tc>
        <w:tc>
          <w:tcPr>
            <w:tcW w:w="1540" w:type="dxa"/>
            <w:tcBorders>
              <w:top w:val="nil"/>
              <w:left w:val="nil"/>
              <w:bottom w:val="single" w:sz="4" w:space="0" w:color="auto"/>
              <w:right w:val="nil"/>
            </w:tcBorders>
            <w:shd w:val="clear" w:color="000000" w:fill="D9D9D9"/>
            <w:noWrap/>
            <w:vAlign w:val="center"/>
            <w:hideMark/>
          </w:tcPr>
          <w:p w14:paraId="3540FCFF" w14:textId="77777777" w:rsidR="005D7A1A" w:rsidRDefault="005D7A1A">
            <w:pPr>
              <w:jc w:val="right"/>
              <w:rPr>
                <w:rFonts w:ascii="Arial Narrow" w:hAnsi="Arial Narrow" w:cs="Calibri"/>
                <w:color w:val="000000"/>
                <w:sz w:val="18"/>
                <w:szCs w:val="18"/>
              </w:rPr>
            </w:pPr>
            <w:r>
              <w:rPr>
                <w:rFonts w:ascii="Arial Narrow" w:hAnsi="Arial Narrow" w:cs="Calibri"/>
                <w:color w:val="000000"/>
                <w:sz w:val="18"/>
                <w:szCs w:val="18"/>
              </w:rPr>
              <w:t>86,0</w:t>
            </w:r>
          </w:p>
        </w:tc>
      </w:tr>
      <w:tr w:rsidR="005D7A1A" w14:paraId="0C0584FA" w14:textId="77777777" w:rsidTr="005D7A1A">
        <w:trPr>
          <w:trHeight w:val="300"/>
        </w:trPr>
        <w:tc>
          <w:tcPr>
            <w:tcW w:w="1820" w:type="dxa"/>
            <w:tcBorders>
              <w:top w:val="single" w:sz="4" w:space="0" w:color="auto"/>
              <w:left w:val="nil"/>
              <w:bottom w:val="single" w:sz="4" w:space="0" w:color="auto"/>
              <w:right w:val="nil"/>
            </w:tcBorders>
            <w:shd w:val="clear" w:color="000000" w:fill="C9321F"/>
            <w:noWrap/>
            <w:vAlign w:val="center"/>
            <w:hideMark/>
          </w:tcPr>
          <w:p w14:paraId="5CF8BEB1" w14:textId="77777777" w:rsidR="005D7A1A" w:rsidRDefault="005D7A1A">
            <w:pPr>
              <w:rPr>
                <w:rFonts w:ascii="Arial Narrow" w:hAnsi="Arial Narrow" w:cs="Calibri"/>
                <w:b/>
                <w:bCs/>
                <w:color w:val="FFFFFF"/>
                <w:sz w:val="18"/>
                <w:szCs w:val="18"/>
              </w:rPr>
            </w:pPr>
            <w:r>
              <w:rPr>
                <w:rFonts w:ascii="Arial Narrow" w:hAnsi="Arial Narrow" w:cs="Calibri"/>
                <w:b/>
                <w:bCs/>
                <w:color w:val="FFFFFF"/>
                <w:sz w:val="18"/>
                <w:szCs w:val="18"/>
              </w:rPr>
              <w:t>LOMBARDIA</w:t>
            </w:r>
          </w:p>
        </w:tc>
        <w:tc>
          <w:tcPr>
            <w:tcW w:w="1400" w:type="dxa"/>
            <w:tcBorders>
              <w:top w:val="single" w:sz="4" w:space="0" w:color="auto"/>
              <w:left w:val="nil"/>
              <w:bottom w:val="single" w:sz="4" w:space="0" w:color="auto"/>
              <w:right w:val="nil"/>
            </w:tcBorders>
            <w:shd w:val="clear" w:color="000000" w:fill="C9321F"/>
            <w:noWrap/>
            <w:vAlign w:val="center"/>
            <w:hideMark/>
          </w:tcPr>
          <w:p w14:paraId="4DB8798C" w14:textId="77777777" w:rsidR="005D7A1A" w:rsidRDefault="005D7A1A">
            <w:pPr>
              <w:jc w:val="right"/>
              <w:rPr>
                <w:rFonts w:ascii="Arial Narrow" w:hAnsi="Arial Narrow" w:cs="Calibri"/>
                <w:b/>
                <w:bCs/>
                <w:color w:val="FFFFFF"/>
                <w:sz w:val="18"/>
                <w:szCs w:val="18"/>
              </w:rPr>
            </w:pPr>
            <w:r>
              <w:rPr>
                <w:rFonts w:ascii="Arial Narrow" w:hAnsi="Arial Narrow" w:cs="Calibri"/>
                <w:b/>
                <w:bCs/>
                <w:color w:val="FFFFFF"/>
                <w:sz w:val="18"/>
                <w:szCs w:val="18"/>
              </w:rPr>
              <w:t>1.190.889</w:t>
            </w:r>
          </w:p>
        </w:tc>
        <w:tc>
          <w:tcPr>
            <w:tcW w:w="1760" w:type="dxa"/>
            <w:tcBorders>
              <w:top w:val="single" w:sz="4" w:space="0" w:color="auto"/>
              <w:left w:val="nil"/>
              <w:bottom w:val="single" w:sz="4" w:space="0" w:color="auto"/>
              <w:right w:val="nil"/>
            </w:tcBorders>
            <w:shd w:val="clear" w:color="000000" w:fill="C9321F"/>
            <w:noWrap/>
            <w:vAlign w:val="center"/>
            <w:hideMark/>
          </w:tcPr>
          <w:p w14:paraId="391BC341" w14:textId="77777777" w:rsidR="005D7A1A" w:rsidRDefault="005D7A1A">
            <w:pPr>
              <w:jc w:val="right"/>
              <w:rPr>
                <w:rFonts w:ascii="Arial Narrow" w:hAnsi="Arial Narrow" w:cs="Calibri"/>
                <w:b/>
                <w:bCs/>
                <w:color w:val="FFFFFF"/>
                <w:sz w:val="18"/>
                <w:szCs w:val="18"/>
              </w:rPr>
            </w:pPr>
            <w:r>
              <w:rPr>
                <w:rFonts w:ascii="Arial Narrow" w:hAnsi="Arial Narrow" w:cs="Calibri"/>
                <w:b/>
                <w:bCs/>
                <w:color w:val="FFFFFF"/>
                <w:sz w:val="18"/>
                <w:szCs w:val="18"/>
              </w:rPr>
              <w:t>3,6</w:t>
            </w:r>
          </w:p>
        </w:tc>
        <w:tc>
          <w:tcPr>
            <w:tcW w:w="1540" w:type="dxa"/>
            <w:tcBorders>
              <w:top w:val="single" w:sz="4" w:space="0" w:color="auto"/>
              <w:left w:val="nil"/>
              <w:bottom w:val="single" w:sz="4" w:space="0" w:color="auto"/>
              <w:right w:val="nil"/>
            </w:tcBorders>
            <w:shd w:val="clear" w:color="000000" w:fill="C9321F"/>
            <w:noWrap/>
            <w:vAlign w:val="center"/>
            <w:hideMark/>
          </w:tcPr>
          <w:p w14:paraId="791E74D1" w14:textId="77777777" w:rsidR="005D7A1A" w:rsidRDefault="005D7A1A">
            <w:pPr>
              <w:jc w:val="right"/>
              <w:rPr>
                <w:rFonts w:ascii="Arial Narrow" w:hAnsi="Arial Narrow" w:cs="Calibri"/>
                <w:b/>
                <w:bCs/>
                <w:color w:val="FFFFFF"/>
                <w:sz w:val="18"/>
                <w:szCs w:val="18"/>
              </w:rPr>
            </w:pPr>
            <w:r>
              <w:rPr>
                <w:rFonts w:ascii="Arial Narrow" w:hAnsi="Arial Narrow" w:cs="Calibri"/>
                <w:b/>
                <w:bCs/>
                <w:color w:val="FFFFFF"/>
                <w:sz w:val="18"/>
                <w:szCs w:val="18"/>
              </w:rPr>
              <w:t>11,9</w:t>
            </w:r>
          </w:p>
        </w:tc>
        <w:tc>
          <w:tcPr>
            <w:tcW w:w="1540" w:type="dxa"/>
            <w:tcBorders>
              <w:top w:val="single" w:sz="4" w:space="0" w:color="auto"/>
              <w:left w:val="nil"/>
              <w:bottom w:val="single" w:sz="4" w:space="0" w:color="auto"/>
              <w:right w:val="nil"/>
            </w:tcBorders>
            <w:shd w:val="clear" w:color="000000" w:fill="C9321F"/>
            <w:noWrap/>
            <w:vAlign w:val="center"/>
            <w:hideMark/>
          </w:tcPr>
          <w:p w14:paraId="20747ED2" w14:textId="77777777" w:rsidR="005D7A1A" w:rsidRDefault="005D7A1A">
            <w:pPr>
              <w:jc w:val="right"/>
              <w:rPr>
                <w:rFonts w:ascii="Arial Narrow" w:hAnsi="Arial Narrow" w:cs="Calibri"/>
                <w:b/>
                <w:bCs/>
                <w:color w:val="FFFFFF"/>
                <w:sz w:val="18"/>
                <w:szCs w:val="18"/>
              </w:rPr>
            </w:pPr>
            <w:r>
              <w:rPr>
                <w:rFonts w:ascii="Arial Narrow" w:hAnsi="Arial Narrow" w:cs="Calibri"/>
                <w:b/>
                <w:bCs/>
                <w:color w:val="FFFFFF"/>
                <w:sz w:val="18"/>
                <w:szCs w:val="18"/>
              </w:rPr>
              <w:t>33,8</w:t>
            </w:r>
          </w:p>
        </w:tc>
        <w:tc>
          <w:tcPr>
            <w:tcW w:w="1540" w:type="dxa"/>
            <w:tcBorders>
              <w:top w:val="single" w:sz="4" w:space="0" w:color="auto"/>
              <w:left w:val="nil"/>
              <w:bottom w:val="single" w:sz="4" w:space="0" w:color="auto"/>
              <w:right w:val="nil"/>
            </w:tcBorders>
            <w:shd w:val="clear" w:color="000000" w:fill="C9321F"/>
            <w:noWrap/>
            <w:vAlign w:val="center"/>
            <w:hideMark/>
          </w:tcPr>
          <w:p w14:paraId="303212BC" w14:textId="77777777" w:rsidR="005D7A1A" w:rsidRDefault="005D7A1A">
            <w:pPr>
              <w:jc w:val="right"/>
              <w:rPr>
                <w:rFonts w:ascii="Arial Narrow" w:hAnsi="Arial Narrow" w:cs="Calibri"/>
                <w:b/>
                <w:bCs/>
                <w:color w:val="FFFFFF"/>
                <w:sz w:val="18"/>
                <w:szCs w:val="18"/>
              </w:rPr>
            </w:pPr>
            <w:r>
              <w:rPr>
                <w:rFonts w:ascii="Arial Narrow" w:hAnsi="Arial Narrow" w:cs="Calibri"/>
                <w:b/>
                <w:bCs/>
                <w:color w:val="FFFFFF"/>
                <w:sz w:val="18"/>
                <w:szCs w:val="18"/>
              </w:rPr>
              <w:t>97,1</w:t>
            </w:r>
          </w:p>
        </w:tc>
      </w:tr>
      <w:tr w:rsidR="005D7A1A" w14:paraId="7BD2E1D3" w14:textId="77777777" w:rsidTr="005D7A1A">
        <w:trPr>
          <w:trHeight w:val="300"/>
        </w:trPr>
        <w:tc>
          <w:tcPr>
            <w:tcW w:w="1820" w:type="dxa"/>
            <w:tcBorders>
              <w:top w:val="nil"/>
              <w:left w:val="nil"/>
              <w:bottom w:val="single" w:sz="4" w:space="0" w:color="auto"/>
              <w:right w:val="nil"/>
            </w:tcBorders>
            <w:shd w:val="clear" w:color="000000" w:fill="C9321F"/>
            <w:noWrap/>
            <w:vAlign w:val="center"/>
            <w:hideMark/>
          </w:tcPr>
          <w:p w14:paraId="4ACB13A8" w14:textId="77777777" w:rsidR="005D7A1A" w:rsidRDefault="005D7A1A">
            <w:pPr>
              <w:rPr>
                <w:rFonts w:ascii="Arial Narrow" w:hAnsi="Arial Narrow" w:cs="Calibri"/>
                <w:b/>
                <w:bCs/>
                <w:color w:val="FFFFFF"/>
                <w:sz w:val="18"/>
                <w:szCs w:val="18"/>
              </w:rPr>
            </w:pPr>
            <w:r>
              <w:rPr>
                <w:rFonts w:ascii="Arial Narrow" w:hAnsi="Arial Narrow" w:cs="Calibri"/>
                <w:b/>
                <w:bCs/>
                <w:color w:val="FFFFFF"/>
                <w:sz w:val="18"/>
                <w:szCs w:val="18"/>
              </w:rPr>
              <w:t>ITALIA</w:t>
            </w:r>
          </w:p>
        </w:tc>
        <w:tc>
          <w:tcPr>
            <w:tcW w:w="1400" w:type="dxa"/>
            <w:tcBorders>
              <w:top w:val="nil"/>
              <w:left w:val="nil"/>
              <w:bottom w:val="single" w:sz="4" w:space="0" w:color="auto"/>
              <w:right w:val="nil"/>
            </w:tcBorders>
            <w:shd w:val="clear" w:color="000000" w:fill="C9321F"/>
            <w:noWrap/>
            <w:vAlign w:val="center"/>
            <w:hideMark/>
          </w:tcPr>
          <w:p w14:paraId="6BBDEDA5" w14:textId="77777777" w:rsidR="005D7A1A" w:rsidRDefault="005D7A1A">
            <w:pPr>
              <w:jc w:val="right"/>
              <w:rPr>
                <w:rFonts w:ascii="Arial Narrow" w:hAnsi="Arial Narrow" w:cs="Calibri"/>
                <w:b/>
                <w:bCs/>
                <w:color w:val="FFFFFF"/>
                <w:sz w:val="18"/>
                <w:szCs w:val="18"/>
              </w:rPr>
            </w:pPr>
            <w:r>
              <w:rPr>
                <w:rFonts w:ascii="Arial Narrow" w:hAnsi="Arial Narrow" w:cs="Calibri"/>
                <w:b/>
                <w:bCs/>
                <w:color w:val="FFFFFF"/>
                <w:sz w:val="18"/>
                <w:szCs w:val="18"/>
              </w:rPr>
              <w:t>5.171.894</w:t>
            </w:r>
          </w:p>
        </w:tc>
        <w:tc>
          <w:tcPr>
            <w:tcW w:w="1760" w:type="dxa"/>
            <w:tcBorders>
              <w:top w:val="nil"/>
              <w:left w:val="nil"/>
              <w:bottom w:val="single" w:sz="4" w:space="0" w:color="auto"/>
              <w:right w:val="nil"/>
            </w:tcBorders>
            <w:shd w:val="clear" w:color="000000" w:fill="C9321F"/>
            <w:noWrap/>
            <w:vAlign w:val="center"/>
            <w:hideMark/>
          </w:tcPr>
          <w:p w14:paraId="7052B612" w14:textId="77777777" w:rsidR="005D7A1A" w:rsidRDefault="005D7A1A">
            <w:pPr>
              <w:jc w:val="right"/>
              <w:rPr>
                <w:rFonts w:ascii="Arial Narrow" w:hAnsi="Arial Narrow" w:cs="Calibri"/>
                <w:b/>
                <w:bCs/>
                <w:color w:val="FFFFFF"/>
                <w:sz w:val="18"/>
                <w:szCs w:val="18"/>
              </w:rPr>
            </w:pPr>
            <w:r>
              <w:rPr>
                <w:rFonts w:ascii="Arial Narrow" w:hAnsi="Arial Narrow" w:cs="Calibri"/>
                <w:b/>
                <w:bCs/>
                <w:color w:val="FFFFFF"/>
                <w:sz w:val="18"/>
                <w:szCs w:val="18"/>
              </w:rPr>
              <w:t>2,6</w:t>
            </w:r>
          </w:p>
        </w:tc>
        <w:tc>
          <w:tcPr>
            <w:tcW w:w="1540" w:type="dxa"/>
            <w:tcBorders>
              <w:top w:val="nil"/>
              <w:left w:val="nil"/>
              <w:bottom w:val="single" w:sz="4" w:space="0" w:color="auto"/>
              <w:right w:val="nil"/>
            </w:tcBorders>
            <w:shd w:val="clear" w:color="000000" w:fill="C9321F"/>
            <w:noWrap/>
            <w:vAlign w:val="center"/>
            <w:hideMark/>
          </w:tcPr>
          <w:p w14:paraId="301FB65E" w14:textId="77777777" w:rsidR="005D7A1A" w:rsidRDefault="005D7A1A">
            <w:pPr>
              <w:jc w:val="right"/>
              <w:rPr>
                <w:rFonts w:ascii="Arial Narrow" w:hAnsi="Arial Narrow" w:cs="Calibri"/>
                <w:b/>
                <w:bCs/>
                <w:color w:val="FFFFFF"/>
                <w:sz w:val="18"/>
                <w:szCs w:val="18"/>
              </w:rPr>
            </w:pPr>
            <w:r>
              <w:rPr>
                <w:rFonts w:ascii="Arial Narrow" w:hAnsi="Arial Narrow" w:cs="Calibri"/>
                <w:b/>
                <w:bCs/>
                <w:color w:val="FFFFFF"/>
                <w:sz w:val="18"/>
                <w:szCs w:val="18"/>
              </w:rPr>
              <w:t>8,7</w:t>
            </w:r>
          </w:p>
        </w:tc>
        <w:tc>
          <w:tcPr>
            <w:tcW w:w="1540" w:type="dxa"/>
            <w:tcBorders>
              <w:top w:val="nil"/>
              <w:left w:val="nil"/>
              <w:bottom w:val="single" w:sz="4" w:space="0" w:color="auto"/>
              <w:right w:val="nil"/>
            </w:tcBorders>
            <w:shd w:val="clear" w:color="000000" w:fill="C9321F"/>
            <w:noWrap/>
            <w:vAlign w:val="center"/>
            <w:hideMark/>
          </w:tcPr>
          <w:p w14:paraId="4BA4084B" w14:textId="77777777" w:rsidR="005D7A1A" w:rsidRDefault="005D7A1A">
            <w:pPr>
              <w:jc w:val="right"/>
              <w:rPr>
                <w:rFonts w:ascii="Arial Narrow" w:hAnsi="Arial Narrow" w:cs="Calibri"/>
                <w:b/>
                <w:bCs/>
                <w:color w:val="FFFFFF"/>
                <w:sz w:val="18"/>
                <w:szCs w:val="18"/>
              </w:rPr>
            </w:pPr>
            <w:r>
              <w:rPr>
                <w:rFonts w:ascii="Arial Narrow" w:hAnsi="Arial Narrow" w:cs="Calibri"/>
                <w:b/>
                <w:bCs/>
                <w:color w:val="FFFFFF"/>
                <w:sz w:val="18"/>
                <w:szCs w:val="18"/>
              </w:rPr>
              <w:t>34,9</w:t>
            </w:r>
          </w:p>
        </w:tc>
        <w:tc>
          <w:tcPr>
            <w:tcW w:w="1540" w:type="dxa"/>
            <w:tcBorders>
              <w:top w:val="nil"/>
              <w:left w:val="nil"/>
              <w:bottom w:val="single" w:sz="4" w:space="0" w:color="auto"/>
              <w:right w:val="nil"/>
            </w:tcBorders>
            <w:shd w:val="clear" w:color="000000" w:fill="C9321F"/>
            <w:noWrap/>
            <w:vAlign w:val="center"/>
            <w:hideMark/>
          </w:tcPr>
          <w:p w14:paraId="6EDEFE69" w14:textId="77777777" w:rsidR="005D7A1A" w:rsidRDefault="005D7A1A">
            <w:pPr>
              <w:jc w:val="right"/>
              <w:rPr>
                <w:rFonts w:ascii="Arial Narrow" w:hAnsi="Arial Narrow" w:cs="Calibri"/>
                <w:b/>
                <w:bCs/>
                <w:color w:val="FFFFFF"/>
                <w:sz w:val="18"/>
                <w:szCs w:val="18"/>
              </w:rPr>
            </w:pPr>
            <w:r>
              <w:rPr>
                <w:rFonts w:ascii="Arial Narrow" w:hAnsi="Arial Narrow" w:cs="Calibri"/>
                <w:b/>
                <w:bCs/>
                <w:color w:val="FFFFFF"/>
                <w:sz w:val="18"/>
                <w:szCs w:val="18"/>
              </w:rPr>
              <w:t>95,4</w:t>
            </w:r>
          </w:p>
        </w:tc>
      </w:tr>
    </w:tbl>
    <w:p w14:paraId="4937151D" w14:textId="292BC755" w:rsidR="00AE59C4" w:rsidRPr="00E17E76" w:rsidRDefault="00AE59C4" w:rsidP="00BB0936">
      <w:pPr>
        <w:tabs>
          <w:tab w:val="left" w:pos="567"/>
        </w:tabs>
        <w:spacing w:after="120"/>
        <w:jc w:val="both"/>
        <w:rPr>
          <w:rFonts w:ascii="Trebuchet MS" w:hAnsi="Trebuchet MS" w:cs="Arial"/>
          <w:color w:val="5F5F5F"/>
          <w:sz w:val="20"/>
          <w:szCs w:val="20"/>
        </w:rPr>
      </w:pPr>
    </w:p>
    <w:p w14:paraId="29FCF035" w14:textId="721F50B3" w:rsidR="005B0778" w:rsidRDefault="005C182F" w:rsidP="005B0778">
      <w:pPr>
        <w:tabs>
          <w:tab w:val="left" w:pos="567"/>
        </w:tabs>
        <w:spacing w:after="120"/>
        <w:jc w:val="both"/>
        <w:rPr>
          <w:rFonts w:ascii="Trebuchet MS" w:hAnsi="Trebuchet MS" w:cs="Arial"/>
          <w:color w:val="5F5F5F"/>
          <w:sz w:val="20"/>
          <w:szCs w:val="20"/>
        </w:rPr>
      </w:pPr>
      <w:r w:rsidRPr="002962F9">
        <w:rPr>
          <w:rFonts w:ascii="Trebuchet MS" w:hAnsi="Trebuchet MS" w:cs="Arial"/>
          <w:color w:val="5F5F5F"/>
          <w:sz w:val="20"/>
          <w:szCs w:val="20"/>
        </w:rPr>
        <w:t xml:space="preserve">Quasi </w:t>
      </w:r>
      <w:r w:rsidRPr="00C02CA0">
        <w:rPr>
          <w:rFonts w:ascii="Trebuchet MS" w:hAnsi="Trebuchet MS" w:cs="Arial"/>
          <w:color w:val="5F5F5F"/>
          <w:sz w:val="20"/>
          <w:szCs w:val="20"/>
        </w:rPr>
        <w:t>quattro</w:t>
      </w:r>
      <w:r w:rsidR="00BB0936" w:rsidRPr="00C02CA0">
        <w:rPr>
          <w:rFonts w:ascii="Trebuchet MS" w:hAnsi="Trebuchet MS" w:cs="Arial"/>
          <w:color w:val="5F5F5F"/>
          <w:sz w:val="20"/>
          <w:szCs w:val="20"/>
        </w:rPr>
        <w:t xml:space="preserve"> cittadini stranieri </w:t>
      </w:r>
      <w:r w:rsidR="003A4EE0" w:rsidRPr="00C02CA0">
        <w:rPr>
          <w:rFonts w:ascii="Trebuchet MS" w:hAnsi="Trebuchet MS" w:cs="Arial"/>
          <w:color w:val="5F5F5F"/>
          <w:sz w:val="20"/>
          <w:szCs w:val="20"/>
        </w:rPr>
        <w:t xml:space="preserve">su </w:t>
      </w:r>
      <w:r w:rsidRPr="00C02CA0">
        <w:rPr>
          <w:rFonts w:ascii="Trebuchet MS" w:hAnsi="Trebuchet MS" w:cs="Arial"/>
          <w:color w:val="5F5F5F"/>
          <w:sz w:val="20"/>
          <w:szCs w:val="20"/>
        </w:rPr>
        <w:t>cinque</w:t>
      </w:r>
      <w:r w:rsidR="003A4EE0">
        <w:rPr>
          <w:rFonts w:ascii="Trebuchet MS" w:hAnsi="Trebuchet MS" w:cs="Arial"/>
          <w:color w:val="5F5F5F"/>
          <w:sz w:val="20"/>
          <w:szCs w:val="20"/>
        </w:rPr>
        <w:t xml:space="preserve"> </w:t>
      </w:r>
      <w:r w:rsidR="000F7524">
        <w:rPr>
          <w:rFonts w:ascii="Trebuchet MS" w:hAnsi="Trebuchet MS" w:cs="Arial"/>
          <w:color w:val="5F5F5F"/>
          <w:sz w:val="20"/>
          <w:szCs w:val="20"/>
        </w:rPr>
        <w:t>hanno meno di 50 anni e due su cinque hanno un’età compresa tra i 30 e i 49 ann</w:t>
      </w:r>
      <w:r w:rsidR="003A4EE0">
        <w:rPr>
          <w:rFonts w:ascii="Trebuchet MS" w:hAnsi="Trebuchet MS" w:cs="Arial"/>
          <w:color w:val="5F5F5F"/>
          <w:sz w:val="20"/>
          <w:szCs w:val="20"/>
        </w:rPr>
        <w:t>i; solo il 2,2</w:t>
      </w:r>
      <w:r w:rsidR="000F7524">
        <w:rPr>
          <w:rFonts w:ascii="Trebuchet MS" w:hAnsi="Trebuchet MS" w:cs="Arial"/>
          <w:color w:val="5F5F5F"/>
          <w:sz w:val="20"/>
          <w:szCs w:val="20"/>
        </w:rPr>
        <w:t xml:space="preserve">% </w:t>
      </w:r>
      <w:r w:rsidR="00394AA4">
        <w:rPr>
          <w:rFonts w:ascii="Trebuchet MS" w:hAnsi="Trebuchet MS" w:cs="Arial"/>
          <w:color w:val="5F5F5F"/>
          <w:sz w:val="20"/>
          <w:szCs w:val="20"/>
        </w:rPr>
        <w:t xml:space="preserve">ha più di </w:t>
      </w:r>
      <w:r w:rsidR="00DC168F">
        <w:rPr>
          <w:rFonts w:ascii="Trebuchet MS" w:hAnsi="Trebuchet MS" w:cs="Arial"/>
          <w:color w:val="5F5F5F"/>
          <w:sz w:val="20"/>
          <w:szCs w:val="20"/>
        </w:rPr>
        <w:t>70</w:t>
      </w:r>
      <w:r w:rsidR="00394AA4">
        <w:rPr>
          <w:rFonts w:ascii="Trebuchet MS" w:hAnsi="Trebuchet MS" w:cs="Arial"/>
          <w:color w:val="5F5F5F"/>
          <w:sz w:val="20"/>
          <w:szCs w:val="20"/>
        </w:rPr>
        <w:t xml:space="preserve"> anni</w:t>
      </w:r>
      <w:r w:rsidR="00BB0936">
        <w:rPr>
          <w:rFonts w:ascii="Trebuchet MS" w:hAnsi="Trebuchet MS" w:cs="Arial"/>
          <w:color w:val="5F5F5F"/>
          <w:sz w:val="20"/>
          <w:szCs w:val="20"/>
        </w:rPr>
        <w:t xml:space="preserve">. Viceversa, </w:t>
      </w:r>
      <w:r w:rsidR="00DC168F">
        <w:rPr>
          <w:rFonts w:ascii="Trebuchet MS" w:hAnsi="Trebuchet MS" w:cs="Arial"/>
          <w:color w:val="5F5F5F"/>
          <w:sz w:val="20"/>
          <w:szCs w:val="20"/>
        </w:rPr>
        <w:t xml:space="preserve">un cittadino italiano su tre </w:t>
      </w:r>
      <w:r w:rsidR="00BB0936">
        <w:rPr>
          <w:rFonts w:ascii="Trebuchet MS" w:hAnsi="Trebuchet MS" w:cs="Arial"/>
          <w:color w:val="5F5F5F"/>
          <w:sz w:val="20"/>
          <w:szCs w:val="20"/>
        </w:rPr>
        <w:t xml:space="preserve">è presente nelle classi da 40 a 59 anni </w:t>
      </w:r>
      <w:r w:rsidR="00DC168F">
        <w:rPr>
          <w:rFonts w:ascii="Trebuchet MS" w:hAnsi="Trebuchet MS" w:cs="Arial"/>
          <w:color w:val="5F5F5F"/>
          <w:sz w:val="20"/>
          <w:szCs w:val="20"/>
        </w:rPr>
        <w:t>e uno su quattro ha tra i 60 e i 79 anni. La distribuzione per età della popolazione è simile solo nel</w:t>
      </w:r>
      <w:r w:rsidR="00BB0936">
        <w:rPr>
          <w:rFonts w:ascii="Trebuchet MS" w:hAnsi="Trebuchet MS" w:cs="Arial"/>
          <w:color w:val="5F5F5F"/>
          <w:sz w:val="20"/>
          <w:szCs w:val="20"/>
        </w:rPr>
        <w:t>la classe 10-19 anni</w:t>
      </w:r>
      <w:r w:rsidR="00DC168F">
        <w:rPr>
          <w:rFonts w:ascii="Trebuchet MS" w:hAnsi="Trebuchet MS" w:cs="Arial"/>
          <w:color w:val="5F5F5F"/>
          <w:sz w:val="20"/>
          <w:szCs w:val="20"/>
        </w:rPr>
        <w:t xml:space="preserve">: </w:t>
      </w:r>
      <w:r w:rsidR="009D1CB3">
        <w:rPr>
          <w:rFonts w:ascii="Trebuchet MS" w:hAnsi="Trebuchet MS" w:cs="Arial"/>
          <w:color w:val="5F5F5F"/>
          <w:sz w:val="20"/>
          <w:szCs w:val="20"/>
        </w:rPr>
        <w:t>10,5</w:t>
      </w:r>
      <w:r w:rsidR="00BB0936">
        <w:rPr>
          <w:rFonts w:ascii="Trebuchet MS" w:hAnsi="Trebuchet MS" w:cs="Arial"/>
          <w:color w:val="5F5F5F"/>
          <w:sz w:val="20"/>
          <w:szCs w:val="20"/>
        </w:rPr>
        <w:t>% per i cittadin</w:t>
      </w:r>
      <w:r w:rsidR="00F10EF2">
        <w:rPr>
          <w:rFonts w:ascii="Trebuchet MS" w:hAnsi="Trebuchet MS" w:cs="Arial"/>
          <w:color w:val="5F5F5F"/>
          <w:sz w:val="20"/>
          <w:szCs w:val="20"/>
        </w:rPr>
        <w:t xml:space="preserve">i stranieri, </w:t>
      </w:r>
      <w:r w:rsidR="009D1CB3">
        <w:rPr>
          <w:rFonts w:ascii="Trebuchet MS" w:hAnsi="Trebuchet MS" w:cs="Arial"/>
          <w:color w:val="5F5F5F"/>
          <w:sz w:val="20"/>
          <w:szCs w:val="20"/>
        </w:rPr>
        <w:t>9,6</w:t>
      </w:r>
      <w:r w:rsidR="00BB0936">
        <w:rPr>
          <w:rFonts w:ascii="Trebuchet MS" w:hAnsi="Trebuchet MS" w:cs="Arial"/>
          <w:color w:val="5F5F5F"/>
          <w:sz w:val="20"/>
          <w:szCs w:val="20"/>
        </w:rPr>
        <w:t>% per i cittadini italiani</w:t>
      </w:r>
      <w:r w:rsidR="00A971B9">
        <w:rPr>
          <w:rFonts w:ascii="Trebuchet MS" w:hAnsi="Trebuchet MS" w:cs="Arial"/>
          <w:color w:val="5F5F5F"/>
          <w:sz w:val="20"/>
          <w:szCs w:val="20"/>
        </w:rPr>
        <w:t xml:space="preserve"> (Figura 2)</w:t>
      </w:r>
      <w:r w:rsidR="00BB0936">
        <w:rPr>
          <w:rFonts w:ascii="Trebuchet MS" w:hAnsi="Trebuchet MS" w:cs="Arial"/>
          <w:color w:val="5F5F5F"/>
          <w:sz w:val="20"/>
          <w:szCs w:val="20"/>
        </w:rPr>
        <w:t>.</w:t>
      </w:r>
      <w:r w:rsidR="005B0778" w:rsidRPr="005B0778">
        <w:rPr>
          <w:rFonts w:ascii="Trebuchet MS" w:hAnsi="Trebuchet MS" w:cs="Arial"/>
          <w:color w:val="5F5F5F"/>
          <w:sz w:val="20"/>
          <w:szCs w:val="20"/>
        </w:rPr>
        <w:t xml:space="preserve"> </w:t>
      </w:r>
    </w:p>
    <w:p w14:paraId="50FECC0B" w14:textId="3130E8CB" w:rsidR="005B0778" w:rsidRDefault="005B0778" w:rsidP="005B0778">
      <w:pPr>
        <w:tabs>
          <w:tab w:val="left" w:pos="567"/>
        </w:tabs>
        <w:spacing w:after="120"/>
        <w:jc w:val="both"/>
        <w:rPr>
          <w:rFonts w:ascii="Trebuchet MS" w:hAnsi="Trebuchet MS" w:cs="Arial"/>
          <w:color w:val="5F5F5F"/>
          <w:sz w:val="20"/>
          <w:szCs w:val="20"/>
        </w:rPr>
      </w:pPr>
      <w:r>
        <w:rPr>
          <w:rFonts w:ascii="Trebuchet MS" w:hAnsi="Trebuchet MS" w:cs="Arial"/>
          <w:color w:val="5F5F5F"/>
          <w:sz w:val="20"/>
          <w:szCs w:val="20"/>
        </w:rPr>
        <w:t xml:space="preserve">Questa asimmetria si riflette negli indicatori demografici di struttura: nella popolazione straniera si </w:t>
      </w:r>
      <w:r w:rsidRPr="00B1604F">
        <w:rPr>
          <w:rFonts w:ascii="Trebuchet MS" w:hAnsi="Trebuchet MS" w:cs="Arial"/>
          <w:color w:val="5F5F5F"/>
          <w:sz w:val="20"/>
          <w:szCs w:val="20"/>
        </w:rPr>
        <w:t>osservano valori decisamente più bassi</w:t>
      </w:r>
      <w:r w:rsidR="000C7D28" w:rsidRPr="00B1604F">
        <w:rPr>
          <w:rFonts w:ascii="Trebuchet MS" w:hAnsi="Trebuchet MS" w:cs="Arial"/>
          <w:color w:val="5F5F5F"/>
          <w:sz w:val="20"/>
          <w:szCs w:val="20"/>
        </w:rPr>
        <w:t xml:space="preserve"> dell’indice di dipendenza (31,5</w:t>
      </w:r>
      <w:r w:rsidRPr="00B1604F">
        <w:rPr>
          <w:rFonts w:ascii="Trebuchet MS" w:hAnsi="Trebuchet MS" w:cs="Arial"/>
          <w:color w:val="5F5F5F"/>
          <w:sz w:val="20"/>
          <w:szCs w:val="20"/>
        </w:rPr>
        <w:t xml:space="preserve"> </w:t>
      </w:r>
      <w:r w:rsidR="000C7D28" w:rsidRPr="00B1604F">
        <w:rPr>
          <w:rFonts w:ascii="Trebuchet MS" w:hAnsi="Trebuchet MS" w:cs="Arial"/>
          <w:color w:val="5F5F5F"/>
          <w:sz w:val="20"/>
          <w:szCs w:val="20"/>
        </w:rPr>
        <w:t>per la componente straniera e 60</w:t>
      </w:r>
      <w:r w:rsidRPr="00B1604F">
        <w:rPr>
          <w:rFonts w:ascii="Trebuchet MS" w:hAnsi="Trebuchet MS" w:cs="Arial"/>
          <w:color w:val="5F5F5F"/>
          <w:sz w:val="20"/>
          <w:szCs w:val="20"/>
        </w:rPr>
        <w:t>,</w:t>
      </w:r>
      <w:r w:rsidR="000C7D28" w:rsidRPr="00B1604F">
        <w:rPr>
          <w:rFonts w:ascii="Trebuchet MS" w:hAnsi="Trebuchet MS" w:cs="Arial"/>
          <w:color w:val="5F5F5F"/>
          <w:sz w:val="20"/>
          <w:szCs w:val="20"/>
        </w:rPr>
        <w:t>9</w:t>
      </w:r>
      <w:r w:rsidRPr="00B1604F">
        <w:rPr>
          <w:rFonts w:ascii="Trebuchet MS" w:hAnsi="Trebuchet MS" w:cs="Arial"/>
          <w:color w:val="5F5F5F"/>
          <w:sz w:val="20"/>
          <w:szCs w:val="20"/>
        </w:rPr>
        <w:t xml:space="preserve"> per </w:t>
      </w:r>
      <w:r w:rsidR="00FF54A8" w:rsidRPr="00B1604F">
        <w:rPr>
          <w:rFonts w:ascii="Trebuchet MS" w:hAnsi="Trebuchet MS" w:cs="Arial"/>
          <w:color w:val="5F5F5F"/>
          <w:sz w:val="20"/>
          <w:szCs w:val="20"/>
        </w:rPr>
        <w:t>quella</w:t>
      </w:r>
      <w:r w:rsidRPr="00B1604F">
        <w:rPr>
          <w:rFonts w:ascii="Trebuchet MS" w:hAnsi="Trebuchet MS" w:cs="Arial"/>
          <w:color w:val="5F5F5F"/>
          <w:sz w:val="20"/>
          <w:szCs w:val="20"/>
        </w:rPr>
        <w:t xml:space="preserve"> italiana) </w:t>
      </w:r>
      <w:r w:rsidR="000C7D28" w:rsidRPr="00B1604F">
        <w:rPr>
          <w:rFonts w:ascii="Trebuchet MS" w:hAnsi="Trebuchet MS" w:cs="Arial"/>
          <w:color w:val="5F5F5F"/>
          <w:sz w:val="20"/>
          <w:szCs w:val="20"/>
        </w:rPr>
        <w:t>e dell’indice di vecchiaia (21,8 contro 204,6</w:t>
      </w:r>
      <w:r w:rsidRPr="00B1604F">
        <w:rPr>
          <w:rFonts w:ascii="Trebuchet MS" w:hAnsi="Trebuchet MS" w:cs="Arial"/>
          <w:color w:val="5F5F5F"/>
          <w:sz w:val="20"/>
          <w:szCs w:val="20"/>
        </w:rPr>
        <w:t>) mentre i b</w:t>
      </w:r>
      <w:r w:rsidR="00B1604F" w:rsidRPr="00B1604F">
        <w:rPr>
          <w:rFonts w:ascii="Trebuchet MS" w:hAnsi="Trebuchet MS" w:cs="Arial"/>
          <w:color w:val="5F5F5F"/>
          <w:sz w:val="20"/>
          <w:szCs w:val="20"/>
        </w:rPr>
        <w:t>ambini da 0 a 4 anni sono il 6,8</w:t>
      </w:r>
      <w:r w:rsidRPr="00B1604F">
        <w:rPr>
          <w:rFonts w:ascii="Trebuchet MS" w:hAnsi="Trebuchet MS" w:cs="Arial"/>
          <w:color w:val="5F5F5F"/>
          <w:sz w:val="20"/>
          <w:szCs w:val="20"/>
        </w:rPr>
        <w:t>% del total</w:t>
      </w:r>
      <w:r w:rsidR="00B1604F" w:rsidRPr="00B1604F">
        <w:rPr>
          <w:rFonts w:ascii="Trebuchet MS" w:hAnsi="Trebuchet MS" w:cs="Arial"/>
          <w:color w:val="5F5F5F"/>
          <w:sz w:val="20"/>
          <w:szCs w:val="20"/>
        </w:rPr>
        <w:t>e (3,5</w:t>
      </w:r>
      <w:r w:rsidRPr="00B1604F">
        <w:rPr>
          <w:rFonts w:ascii="Trebuchet MS" w:hAnsi="Trebuchet MS" w:cs="Arial"/>
          <w:color w:val="5F5F5F"/>
          <w:sz w:val="20"/>
          <w:szCs w:val="20"/>
        </w:rPr>
        <w:t>% per la popolazione italiana)</w:t>
      </w:r>
      <w:r w:rsidR="000A26A6">
        <w:rPr>
          <w:rFonts w:ascii="Trebuchet MS" w:hAnsi="Trebuchet MS" w:cs="Arial"/>
          <w:color w:val="5F5F5F"/>
          <w:sz w:val="20"/>
          <w:szCs w:val="20"/>
        </w:rPr>
        <w:t>.</w:t>
      </w:r>
    </w:p>
    <w:p w14:paraId="59E69FE1" w14:textId="220EA587" w:rsidR="005B0778" w:rsidRDefault="0073180B" w:rsidP="005B0778">
      <w:pPr>
        <w:tabs>
          <w:tab w:val="left" w:pos="567"/>
        </w:tabs>
        <w:spacing w:after="120"/>
        <w:jc w:val="both"/>
        <w:rPr>
          <w:rFonts w:ascii="Trebuchet MS" w:hAnsi="Trebuchet MS" w:cs="Arial"/>
          <w:color w:val="5F5F5F"/>
          <w:sz w:val="20"/>
          <w:szCs w:val="20"/>
        </w:rPr>
      </w:pPr>
      <w:r>
        <w:rPr>
          <w:rFonts w:ascii="Trebuchet MS" w:hAnsi="Trebuchet MS" w:cs="Arial"/>
          <w:color w:val="5F5F5F"/>
          <w:sz w:val="20"/>
          <w:szCs w:val="20"/>
        </w:rPr>
        <w:t>Lodi e Bergamo</w:t>
      </w:r>
      <w:r w:rsidR="005B0778">
        <w:rPr>
          <w:rFonts w:ascii="Trebuchet MS" w:hAnsi="Trebuchet MS" w:cs="Arial"/>
          <w:color w:val="5F5F5F"/>
          <w:sz w:val="20"/>
          <w:szCs w:val="20"/>
        </w:rPr>
        <w:t xml:space="preserve"> sono le province con l’indice di dipendenza della popolazione straniera (rapporto tra popolazione in età non attiva e popolazione in età attiva) più alto, rispettivamente a</w:t>
      </w:r>
      <w:r w:rsidR="005B0778" w:rsidRPr="00317D40">
        <w:rPr>
          <w:rFonts w:ascii="Trebuchet MS" w:hAnsi="Trebuchet MS" w:cs="Arial"/>
          <w:color w:val="5F5F5F"/>
          <w:sz w:val="20"/>
          <w:szCs w:val="20"/>
        </w:rPr>
        <w:t xml:space="preserve"> </w:t>
      </w:r>
      <w:r>
        <w:rPr>
          <w:rFonts w:ascii="Trebuchet MS" w:hAnsi="Trebuchet MS" w:cs="Arial"/>
          <w:color w:val="5F5F5F"/>
          <w:sz w:val="20"/>
          <w:szCs w:val="20"/>
        </w:rPr>
        <w:t>36,2 e 35</w:t>
      </w:r>
      <w:r w:rsidR="005B0778">
        <w:rPr>
          <w:rFonts w:ascii="Trebuchet MS" w:hAnsi="Trebuchet MS" w:cs="Arial"/>
          <w:color w:val="5F5F5F"/>
          <w:sz w:val="20"/>
          <w:szCs w:val="20"/>
        </w:rPr>
        <w:t>,2.  L’indice di vecchiaia più alt</w:t>
      </w:r>
      <w:r w:rsidR="005C182F">
        <w:rPr>
          <w:rFonts w:ascii="Trebuchet MS" w:hAnsi="Trebuchet MS" w:cs="Arial"/>
          <w:color w:val="5F5F5F"/>
          <w:sz w:val="20"/>
          <w:szCs w:val="20"/>
        </w:rPr>
        <w:t xml:space="preserve">o si registra invece </w:t>
      </w:r>
      <w:r w:rsidR="005C182F" w:rsidRPr="004F4A85">
        <w:rPr>
          <w:rFonts w:ascii="Trebuchet MS" w:hAnsi="Trebuchet MS" w:cs="Arial"/>
          <w:color w:val="5F5F5F"/>
          <w:sz w:val="20"/>
          <w:szCs w:val="20"/>
        </w:rPr>
        <w:t>a Varese (31,0</w:t>
      </w:r>
      <w:r w:rsidR="005B0778" w:rsidRPr="004F4A85">
        <w:rPr>
          <w:rFonts w:ascii="Trebuchet MS" w:hAnsi="Trebuchet MS" w:cs="Arial"/>
          <w:color w:val="5F5F5F"/>
          <w:sz w:val="20"/>
          <w:szCs w:val="20"/>
        </w:rPr>
        <w:t>)</w:t>
      </w:r>
      <w:r w:rsidR="005C182F" w:rsidRPr="004F4A85">
        <w:rPr>
          <w:rFonts w:ascii="Trebuchet MS" w:hAnsi="Trebuchet MS" w:cs="Arial"/>
          <w:color w:val="5F5F5F"/>
          <w:sz w:val="20"/>
          <w:szCs w:val="20"/>
        </w:rPr>
        <w:t>, quello più basso a Lodi</w:t>
      </w:r>
      <w:r w:rsidRPr="004F4A85">
        <w:rPr>
          <w:rFonts w:ascii="Trebuchet MS" w:hAnsi="Trebuchet MS" w:cs="Arial"/>
          <w:color w:val="5F5F5F"/>
          <w:sz w:val="20"/>
          <w:szCs w:val="20"/>
        </w:rPr>
        <w:t xml:space="preserve"> (17,0</w:t>
      </w:r>
      <w:r w:rsidR="005B0778" w:rsidRPr="004F4A85">
        <w:rPr>
          <w:rFonts w:ascii="Trebuchet MS" w:hAnsi="Trebuchet MS" w:cs="Arial"/>
          <w:color w:val="5F5F5F"/>
          <w:sz w:val="20"/>
          <w:szCs w:val="20"/>
        </w:rPr>
        <w:t>)</w:t>
      </w:r>
      <w:r w:rsidR="000A26A6">
        <w:rPr>
          <w:rFonts w:ascii="Trebuchet MS" w:hAnsi="Trebuchet MS" w:cs="Arial"/>
          <w:color w:val="5F5F5F"/>
          <w:sz w:val="20"/>
          <w:szCs w:val="20"/>
        </w:rPr>
        <w:t xml:space="preserve"> (Prospetto 8)</w:t>
      </w:r>
      <w:r w:rsidR="005B0778" w:rsidRPr="004F4A85">
        <w:rPr>
          <w:rFonts w:ascii="Trebuchet MS" w:hAnsi="Trebuchet MS" w:cs="Arial"/>
          <w:color w:val="5F5F5F"/>
          <w:sz w:val="20"/>
          <w:szCs w:val="20"/>
        </w:rPr>
        <w:t>.</w:t>
      </w:r>
      <w:r w:rsidR="005B0778">
        <w:rPr>
          <w:rFonts w:ascii="Trebuchet MS" w:hAnsi="Trebuchet MS" w:cs="Arial"/>
          <w:color w:val="5F5F5F"/>
          <w:sz w:val="20"/>
          <w:szCs w:val="20"/>
        </w:rPr>
        <w:t xml:space="preserve"> </w:t>
      </w:r>
    </w:p>
    <w:p w14:paraId="2FC93263" w14:textId="0D66211A" w:rsidR="005D7A1A" w:rsidRDefault="005D7A1A">
      <w:pPr>
        <w:rPr>
          <w:rFonts w:ascii="Trebuchet MS" w:hAnsi="Trebuchet MS" w:cs="Arial"/>
          <w:color w:val="5F5F5F"/>
          <w:sz w:val="20"/>
          <w:szCs w:val="20"/>
        </w:rPr>
      </w:pPr>
      <w:r>
        <w:rPr>
          <w:rFonts w:ascii="Trebuchet MS" w:hAnsi="Trebuchet MS" w:cs="Arial"/>
          <w:color w:val="5F5F5F"/>
          <w:sz w:val="20"/>
          <w:szCs w:val="20"/>
        </w:rPr>
        <w:br w:type="page"/>
      </w:r>
    </w:p>
    <w:tbl>
      <w:tblPr>
        <w:tblStyle w:val="Grigliatabella"/>
        <w:tblW w:w="0" w:type="auto"/>
        <w:tblBorders>
          <w:top w:val="none" w:sz="0" w:space="0" w:color="auto"/>
        </w:tblBorders>
        <w:tblLook w:val="04A0" w:firstRow="1" w:lastRow="0" w:firstColumn="1" w:lastColumn="0" w:noHBand="0" w:noVBand="1"/>
      </w:tblPr>
      <w:tblGrid>
        <w:gridCol w:w="5188"/>
        <w:gridCol w:w="4450"/>
      </w:tblGrid>
      <w:tr w:rsidR="001F7162" w14:paraId="18464688" w14:textId="77777777" w:rsidTr="00E17E76">
        <w:tc>
          <w:tcPr>
            <w:tcW w:w="5223" w:type="dxa"/>
            <w:tcBorders>
              <w:top w:val="nil"/>
              <w:left w:val="nil"/>
              <w:bottom w:val="single" w:sz="4" w:space="0" w:color="D9D9D9" w:themeColor="background1" w:themeShade="D9"/>
              <w:right w:val="nil"/>
            </w:tcBorders>
          </w:tcPr>
          <w:p w14:paraId="1D6EA872" w14:textId="77777777" w:rsidR="000307C0" w:rsidRDefault="001F7162" w:rsidP="004F4A85">
            <w:pPr>
              <w:ind w:left="-105"/>
              <w:jc w:val="both"/>
              <w:rPr>
                <w:rFonts w:ascii="Arial Narrow" w:hAnsi="Arial Narrow"/>
                <w:color w:val="595959"/>
                <w:sz w:val="22"/>
                <w:szCs w:val="22"/>
              </w:rPr>
            </w:pPr>
            <w:r>
              <w:rPr>
                <w:rFonts w:ascii="Arial Narrow" w:hAnsi="Arial Narrow"/>
                <w:b/>
                <w:bCs/>
                <w:color w:val="595959"/>
                <w:sz w:val="22"/>
                <w:szCs w:val="22"/>
              </w:rPr>
              <w:lastRenderedPageBreak/>
              <w:t xml:space="preserve">FIGURA 2. </w:t>
            </w:r>
            <w:r>
              <w:rPr>
                <w:rFonts w:ascii="Arial Narrow" w:hAnsi="Arial Narrow"/>
                <w:color w:val="595959"/>
                <w:sz w:val="22"/>
                <w:szCs w:val="22"/>
              </w:rPr>
              <w:t xml:space="preserve">PIRAMIDE DELLE ETÀ DELLA POPOLAZIONE ITALIANA E STRANIERA. </w:t>
            </w:r>
          </w:p>
          <w:p w14:paraId="491DB2B7" w14:textId="14124F08" w:rsidR="001F7162" w:rsidRPr="000307C0" w:rsidRDefault="001F7162" w:rsidP="00F13D9F">
            <w:pPr>
              <w:ind w:left="-105"/>
              <w:rPr>
                <w:rFonts w:ascii="Arial Narrow" w:hAnsi="Arial Narrow"/>
                <w:color w:val="595959"/>
                <w:sz w:val="22"/>
                <w:szCs w:val="22"/>
              </w:rPr>
            </w:pPr>
            <w:r>
              <w:rPr>
                <w:rFonts w:ascii="Arial Narrow" w:hAnsi="Arial Narrow"/>
                <w:color w:val="595959"/>
                <w:sz w:val="22"/>
                <w:szCs w:val="22"/>
              </w:rPr>
              <w:t>Censimento 2020</w:t>
            </w:r>
          </w:p>
        </w:tc>
        <w:tc>
          <w:tcPr>
            <w:tcW w:w="4415" w:type="dxa"/>
            <w:tcBorders>
              <w:top w:val="nil"/>
              <w:left w:val="nil"/>
              <w:bottom w:val="single" w:sz="4" w:space="0" w:color="D9D9D9" w:themeColor="background1" w:themeShade="D9"/>
              <w:right w:val="nil"/>
            </w:tcBorders>
          </w:tcPr>
          <w:p w14:paraId="1F300FD3" w14:textId="77777777" w:rsidR="000307C0" w:rsidRDefault="000307C0" w:rsidP="004F4A85">
            <w:pPr>
              <w:jc w:val="both"/>
              <w:rPr>
                <w:rFonts w:ascii="Arial Narrow" w:hAnsi="Arial Narrow"/>
                <w:color w:val="595959"/>
                <w:sz w:val="22"/>
                <w:szCs w:val="22"/>
              </w:rPr>
            </w:pPr>
            <w:r>
              <w:rPr>
                <w:rFonts w:ascii="Arial Narrow" w:hAnsi="Arial Narrow"/>
                <w:b/>
                <w:bCs/>
                <w:color w:val="595959"/>
                <w:sz w:val="22"/>
                <w:szCs w:val="22"/>
              </w:rPr>
              <w:t>PROSPETTO 8.</w:t>
            </w:r>
            <w:r>
              <w:rPr>
                <w:rFonts w:ascii="Arial Narrow" w:hAnsi="Arial Narrow"/>
                <w:b/>
                <w:bCs/>
                <w:color w:val="A6A6A6"/>
                <w:sz w:val="20"/>
                <w:szCs w:val="20"/>
              </w:rPr>
              <w:t xml:space="preserve"> </w:t>
            </w:r>
            <w:r w:rsidRPr="0049735D">
              <w:rPr>
                <w:rFonts w:ascii="Arial Narrow" w:hAnsi="Arial Narrow"/>
                <w:color w:val="595959"/>
                <w:sz w:val="22"/>
                <w:szCs w:val="22"/>
              </w:rPr>
              <w:t>POPOLAZIONE</w:t>
            </w:r>
            <w:r>
              <w:rPr>
                <w:rFonts w:ascii="Arial Narrow" w:hAnsi="Arial Narrow"/>
                <w:color w:val="595959"/>
                <w:sz w:val="22"/>
                <w:szCs w:val="22"/>
              </w:rPr>
              <w:t xml:space="preserve"> </w:t>
            </w:r>
            <w:r w:rsidRPr="0049735D">
              <w:rPr>
                <w:rFonts w:ascii="Arial Narrow" w:hAnsi="Arial Narrow"/>
                <w:color w:val="595959"/>
                <w:sz w:val="22"/>
                <w:szCs w:val="22"/>
              </w:rPr>
              <w:t xml:space="preserve">STRANIERA E </w:t>
            </w:r>
            <w:r>
              <w:rPr>
                <w:rFonts w:ascii="Arial Narrow" w:hAnsi="Arial Narrow"/>
                <w:color w:val="595959"/>
                <w:sz w:val="22"/>
                <w:szCs w:val="22"/>
              </w:rPr>
              <w:t xml:space="preserve">    </w:t>
            </w:r>
            <w:r w:rsidRPr="0049735D">
              <w:rPr>
                <w:rFonts w:ascii="Arial Narrow" w:hAnsi="Arial Narrow"/>
                <w:color w:val="595959"/>
                <w:sz w:val="22"/>
                <w:szCs w:val="22"/>
              </w:rPr>
              <w:t>ITALIANA</w:t>
            </w:r>
            <w:r>
              <w:rPr>
                <w:rFonts w:ascii="Arial Narrow" w:hAnsi="Arial Narrow"/>
                <w:color w:val="595959"/>
                <w:sz w:val="22"/>
                <w:szCs w:val="22"/>
              </w:rPr>
              <w:t>, INDICATORI PER PROVINCIA.</w:t>
            </w:r>
          </w:p>
          <w:p w14:paraId="135E0082" w14:textId="11DBC4FB" w:rsidR="001F7162" w:rsidRDefault="000307C0" w:rsidP="000307C0">
            <w:pPr>
              <w:keepLines/>
              <w:spacing w:after="120"/>
              <w:ind w:right="502"/>
              <w:jc w:val="both"/>
              <w:rPr>
                <w:rFonts w:ascii="Arial Narrow" w:eastAsia="Calibri" w:hAnsi="Arial Narrow" w:cs="Arial"/>
                <w:b/>
                <w:bCs/>
                <w:color w:val="595959"/>
                <w:sz w:val="6"/>
                <w:szCs w:val="6"/>
              </w:rPr>
            </w:pPr>
            <w:r>
              <w:rPr>
                <w:rFonts w:ascii="Arial Narrow" w:hAnsi="Arial Narrow"/>
                <w:color w:val="595959"/>
                <w:sz w:val="22"/>
                <w:szCs w:val="22"/>
              </w:rPr>
              <w:t>C</w:t>
            </w:r>
            <w:r w:rsidRPr="0049735D">
              <w:rPr>
                <w:rFonts w:ascii="Arial Narrow" w:hAnsi="Arial Narrow"/>
                <w:color w:val="595959"/>
                <w:sz w:val="22"/>
                <w:szCs w:val="22"/>
              </w:rPr>
              <w:t>ensimento</w:t>
            </w:r>
            <w:r>
              <w:rPr>
                <w:rFonts w:ascii="Arial Narrow" w:hAnsi="Arial Narrow"/>
                <w:color w:val="595959"/>
                <w:sz w:val="22"/>
                <w:szCs w:val="22"/>
              </w:rPr>
              <w:t xml:space="preserve"> 2020, valori percentuali</w:t>
            </w:r>
          </w:p>
        </w:tc>
      </w:tr>
      <w:tr w:rsidR="001F7162" w14:paraId="2B306599" w14:textId="77777777" w:rsidTr="00E17E76">
        <w:tblPrEx>
          <w:tblCellMar>
            <w:left w:w="70" w:type="dxa"/>
            <w:right w:w="70" w:type="dxa"/>
          </w:tblCellMar>
        </w:tblPrEx>
        <w:trPr>
          <w:trHeight w:val="227"/>
        </w:trPr>
        <w:tc>
          <w:tcPr>
            <w:tcW w:w="52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53585BA" w14:textId="77777777" w:rsidR="005D7A1A" w:rsidRDefault="005D7A1A" w:rsidP="00FE7046">
            <w:pPr>
              <w:keepLines/>
              <w:spacing w:after="120"/>
              <w:ind w:right="502"/>
              <w:jc w:val="both"/>
              <w:rPr>
                <w:rFonts w:ascii="Arial Narrow" w:eastAsia="Calibri" w:hAnsi="Arial Narrow" w:cs="Arial"/>
                <w:b/>
                <w:bCs/>
                <w:color w:val="595959"/>
                <w:sz w:val="6"/>
                <w:szCs w:val="6"/>
              </w:rPr>
            </w:pPr>
          </w:p>
          <w:p w14:paraId="5B0C97EF" w14:textId="11E83B3E" w:rsidR="001F7162" w:rsidRDefault="005D7A1A" w:rsidP="00FE7046">
            <w:pPr>
              <w:keepLines/>
              <w:spacing w:after="120"/>
              <w:ind w:right="502"/>
              <w:jc w:val="both"/>
              <w:rPr>
                <w:rFonts w:ascii="Arial Narrow" w:eastAsia="Calibri" w:hAnsi="Arial Narrow" w:cs="Arial"/>
                <w:b/>
                <w:bCs/>
                <w:color w:val="595959"/>
                <w:sz w:val="6"/>
                <w:szCs w:val="6"/>
              </w:rPr>
            </w:pPr>
            <w:r>
              <w:rPr>
                <w:noProof/>
              </w:rPr>
              <w:drawing>
                <wp:inline distT="0" distB="0" distL="0" distR="0" wp14:anchorId="33A9873B" wp14:editId="09EAB9B8">
                  <wp:extent cx="3000375" cy="2771775"/>
                  <wp:effectExtent l="0" t="0" r="0" b="0"/>
                  <wp:docPr id="5" name="Grafico 5">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441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tbl>
            <w:tblPr>
              <w:tblW w:w="4440" w:type="dxa"/>
              <w:tblCellMar>
                <w:left w:w="70" w:type="dxa"/>
                <w:right w:w="70" w:type="dxa"/>
              </w:tblCellMar>
              <w:tblLook w:val="04A0" w:firstRow="1" w:lastRow="0" w:firstColumn="1" w:lastColumn="0" w:noHBand="0" w:noVBand="1"/>
            </w:tblPr>
            <w:tblGrid>
              <w:gridCol w:w="1082"/>
              <w:gridCol w:w="911"/>
              <w:gridCol w:w="709"/>
              <w:gridCol w:w="904"/>
              <w:gridCol w:w="704"/>
            </w:tblGrid>
            <w:tr w:rsidR="00791377" w14:paraId="468CFC31" w14:textId="77777777" w:rsidTr="00786A29">
              <w:trPr>
                <w:trHeight w:val="255"/>
              </w:trPr>
              <w:tc>
                <w:tcPr>
                  <w:tcW w:w="1116" w:type="dxa"/>
                  <w:vMerge w:val="restart"/>
                  <w:tcBorders>
                    <w:top w:val="single" w:sz="4" w:space="0" w:color="auto"/>
                    <w:left w:val="nil"/>
                    <w:bottom w:val="single" w:sz="4" w:space="0" w:color="000000"/>
                    <w:right w:val="nil"/>
                  </w:tcBorders>
                  <w:shd w:val="clear" w:color="auto" w:fill="auto"/>
                  <w:noWrap/>
                  <w:vAlign w:val="center"/>
                  <w:hideMark/>
                </w:tcPr>
                <w:p w14:paraId="0279297E" w14:textId="77777777" w:rsidR="00791377" w:rsidRDefault="00791377" w:rsidP="00791377">
                  <w:pPr>
                    <w:rPr>
                      <w:rFonts w:ascii="Arial Narrow" w:hAnsi="Arial Narrow" w:cs="Calibri"/>
                      <w:b/>
                      <w:bCs/>
                      <w:color w:val="000000"/>
                      <w:sz w:val="18"/>
                      <w:szCs w:val="18"/>
                    </w:rPr>
                  </w:pPr>
                  <w:r>
                    <w:rPr>
                      <w:rFonts w:ascii="Arial Narrow" w:hAnsi="Arial Narrow" w:cs="Calibri"/>
                      <w:b/>
                      <w:bCs/>
                      <w:color w:val="000000"/>
                      <w:sz w:val="18"/>
                      <w:szCs w:val="18"/>
                    </w:rPr>
                    <w:t>PROVINCE</w:t>
                  </w:r>
                </w:p>
              </w:tc>
              <w:tc>
                <w:tcPr>
                  <w:tcW w:w="1668" w:type="dxa"/>
                  <w:gridSpan w:val="2"/>
                  <w:tcBorders>
                    <w:top w:val="single" w:sz="4" w:space="0" w:color="auto"/>
                    <w:left w:val="nil"/>
                    <w:bottom w:val="single" w:sz="4" w:space="0" w:color="auto"/>
                    <w:right w:val="nil"/>
                  </w:tcBorders>
                  <w:shd w:val="clear" w:color="000000" w:fill="E7E6E6"/>
                  <w:vAlign w:val="center"/>
                  <w:hideMark/>
                </w:tcPr>
                <w:p w14:paraId="7D396710" w14:textId="77777777" w:rsidR="00791377" w:rsidRDefault="00791377" w:rsidP="00791377">
                  <w:pPr>
                    <w:jc w:val="center"/>
                    <w:rPr>
                      <w:rFonts w:ascii="Arial Narrow" w:hAnsi="Arial Narrow" w:cs="Calibri"/>
                      <w:b/>
                      <w:bCs/>
                      <w:color w:val="000000"/>
                      <w:sz w:val="18"/>
                      <w:szCs w:val="18"/>
                    </w:rPr>
                  </w:pPr>
                  <w:r>
                    <w:rPr>
                      <w:rFonts w:ascii="Arial Narrow" w:hAnsi="Arial Narrow" w:cs="Calibri"/>
                      <w:b/>
                      <w:bCs/>
                      <w:color w:val="000000"/>
                      <w:sz w:val="18"/>
                      <w:szCs w:val="18"/>
                    </w:rPr>
                    <w:t>Indice di dipendenza</w:t>
                  </w:r>
                </w:p>
              </w:tc>
              <w:tc>
                <w:tcPr>
                  <w:tcW w:w="1656" w:type="dxa"/>
                  <w:gridSpan w:val="2"/>
                  <w:tcBorders>
                    <w:top w:val="single" w:sz="4" w:space="0" w:color="auto"/>
                    <w:left w:val="nil"/>
                    <w:bottom w:val="single" w:sz="4" w:space="0" w:color="auto"/>
                    <w:right w:val="nil"/>
                  </w:tcBorders>
                  <w:shd w:val="clear" w:color="auto" w:fill="auto"/>
                  <w:noWrap/>
                  <w:vAlign w:val="center"/>
                  <w:hideMark/>
                </w:tcPr>
                <w:p w14:paraId="1E33DC09" w14:textId="77777777" w:rsidR="00791377" w:rsidRDefault="00791377" w:rsidP="00791377">
                  <w:pPr>
                    <w:jc w:val="center"/>
                    <w:rPr>
                      <w:rFonts w:ascii="Arial Narrow" w:hAnsi="Arial Narrow" w:cs="Calibri"/>
                      <w:b/>
                      <w:bCs/>
                      <w:color w:val="000000"/>
                      <w:sz w:val="18"/>
                      <w:szCs w:val="18"/>
                    </w:rPr>
                  </w:pPr>
                  <w:r>
                    <w:rPr>
                      <w:rFonts w:ascii="Arial Narrow" w:hAnsi="Arial Narrow" w:cs="Calibri"/>
                      <w:b/>
                      <w:bCs/>
                      <w:color w:val="000000"/>
                      <w:sz w:val="18"/>
                      <w:szCs w:val="18"/>
                    </w:rPr>
                    <w:t>Indice di vecchiaia</w:t>
                  </w:r>
                </w:p>
              </w:tc>
            </w:tr>
            <w:tr w:rsidR="00791377" w14:paraId="0334DDCA" w14:textId="77777777" w:rsidTr="00786A29">
              <w:trPr>
                <w:trHeight w:val="255"/>
              </w:trPr>
              <w:tc>
                <w:tcPr>
                  <w:tcW w:w="1116" w:type="dxa"/>
                  <w:vMerge/>
                  <w:tcBorders>
                    <w:top w:val="single" w:sz="4" w:space="0" w:color="auto"/>
                    <w:left w:val="nil"/>
                    <w:bottom w:val="single" w:sz="4" w:space="0" w:color="000000"/>
                    <w:right w:val="nil"/>
                  </w:tcBorders>
                  <w:vAlign w:val="center"/>
                  <w:hideMark/>
                </w:tcPr>
                <w:p w14:paraId="29B3C31C" w14:textId="77777777" w:rsidR="00791377" w:rsidRDefault="00791377" w:rsidP="00791377">
                  <w:pPr>
                    <w:rPr>
                      <w:rFonts w:ascii="Arial Narrow" w:hAnsi="Arial Narrow" w:cs="Calibri"/>
                      <w:b/>
                      <w:bCs/>
                      <w:color w:val="000000"/>
                      <w:sz w:val="18"/>
                      <w:szCs w:val="18"/>
                    </w:rPr>
                  </w:pPr>
                </w:p>
              </w:tc>
              <w:tc>
                <w:tcPr>
                  <w:tcW w:w="939" w:type="dxa"/>
                  <w:tcBorders>
                    <w:top w:val="nil"/>
                    <w:left w:val="nil"/>
                    <w:bottom w:val="single" w:sz="4" w:space="0" w:color="auto"/>
                    <w:right w:val="nil"/>
                  </w:tcBorders>
                  <w:shd w:val="clear" w:color="auto" w:fill="auto"/>
                  <w:noWrap/>
                  <w:vAlign w:val="center"/>
                  <w:hideMark/>
                </w:tcPr>
                <w:p w14:paraId="7050E4CE" w14:textId="77777777" w:rsidR="00791377" w:rsidRDefault="00791377" w:rsidP="00791377">
                  <w:pPr>
                    <w:jc w:val="right"/>
                    <w:rPr>
                      <w:rFonts w:ascii="Arial Narrow" w:hAnsi="Arial Narrow" w:cs="Calibri"/>
                      <w:color w:val="000000"/>
                      <w:sz w:val="18"/>
                      <w:szCs w:val="18"/>
                    </w:rPr>
                  </w:pPr>
                  <w:r>
                    <w:rPr>
                      <w:rFonts w:ascii="Arial Narrow" w:hAnsi="Arial Narrow" w:cs="Calibri"/>
                      <w:color w:val="000000"/>
                      <w:sz w:val="18"/>
                      <w:szCs w:val="18"/>
                    </w:rPr>
                    <w:t>Stranieri</w:t>
                  </w:r>
                </w:p>
              </w:tc>
              <w:tc>
                <w:tcPr>
                  <w:tcW w:w="729" w:type="dxa"/>
                  <w:tcBorders>
                    <w:top w:val="nil"/>
                    <w:left w:val="nil"/>
                    <w:bottom w:val="single" w:sz="4" w:space="0" w:color="auto"/>
                    <w:right w:val="nil"/>
                  </w:tcBorders>
                  <w:shd w:val="clear" w:color="auto" w:fill="auto"/>
                  <w:noWrap/>
                  <w:vAlign w:val="center"/>
                  <w:hideMark/>
                </w:tcPr>
                <w:p w14:paraId="6A66B8A8" w14:textId="77777777" w:rsidR="00791377" w:rsidRDefault="00791377" w:rsidP="00791377">
                  <w:pPr>
                    <w:jc w:val="right"/>
                    <w:rPr>
                      <w:rFonts w:ascii="Arial Narrow" w:hAnsi="Arial Narrow" w:cs="Calibri"/>
                      <w:color w:val="000000"/>
                      <w:sz w:val="18"/>
                      <w:szCs w:val="18"/>
                    </w:rPr>
                  </w:pPr>
                  <w:r>
                    <w:rPr>
                      <w:rFonts w:ascii="Arial Narrow" w:hAnsi="Arial Narrow" w:cs="Calibri"/>
                      <w:color w:val="000000"/>
                      <w:sz w:val="18"/>
                      <w:szCs w:val="18"/>
                    </w:rPr>
                    <w:t>Italiani</w:t>
                  </w:r>
                </w:p>
              </w:tc>
              <w:tc>
                <w:tcPr>
                  <w:tcW w:w="932" w:type="dxa"/>
                  <w:tcBorders>
                    <w:top w:val="nil"/>
                    <w:left w:val="nil"/>
                    <w:bottom w:val="single" w:sz="4" w:space="0" w:color="auto"/>
                    <w:right w:val="nil"/>
                  </w:tcBorders>
                  <w:shd w:val="clear" w:color="auto" w:fill="auto"/>
                  <w:noWrap/>
                  <w:vAlign w:val="center"/>
                  <w:hideMark/>
                </w:tcPr>
                <w:p w14:paraId="01C6EEC2" w14:textId="77777777" w:rsidR="00791377" w:rsidRDefault="00791377" w:rsidP="00791377">
                  <w:pPr>
                    <w:jc w:val="right"/>
                    <w:rPr>
                      <w:rFonts w:ascii="Arial Narrow" w:hAnsi="Arial Narrow" w:cs="Calibri"/>
                      <w:color w:val="000000"/>
                      <w:sz w:val="18"/>
                      <w:szCs w:val="18"/>
                    </w:rPr>
                  </w:pPr>
                  <w:r>
                    <w:rPr>
                      <w:rFonts w:ascii="Arial Narrow" w:hAnsi="Arial Narrow" w:cs="Calibri"/>
                      <w:color w:val="000000"/>
                      <w:sz w:val="18"/>
                      <w:szCs w:val="18"/>
                    </w:rPr>
                    <w:t>Stranieri</w:t>
                  </w:r>
                </w:p>
              </w:tc>
              <w:tc>
                <w:tcPr>
                  <w:tcW w:w="724" w:type="dxa"/>
                  <w:tcBorders>
                    <w:top w:val="nil"/>
                    <w:left w:val="nil"/>
                    <w:bottom w:val="single" w:sz="4" w:space="0" w:color="auto"/>
                    <w:right w:val="nil"/>
                  </w:tcBorders>
                  <w:shd w:val="clear" w:color="auto" w:fill="auto"/>
                  <w:noWrap/>
                  <w:vAlign w:val="center"/>
                  <w:hideMark/>
                </w:tcPr>
                <w:p w14:paraId="47C24744" w14:textId="77777777" w:rsidR="00791377" w:rsidRDefault="00791377" w:rsidP="00791377">
                  <w:pPr>
                    <w:jc w:val="right"/>
                    <w:rPr>
                      <w:rFonts w:ascii="Arial Narrow" w:hAnsi="Arial Narrow" w:cs="Calibri"/>
                      <w:color w:val="000000"/>
                      <w:sz w:val="18"/>
                      <w:szCs w:val="18"/>
                    </w:rPr>
                  </w:pPr>
                  <w:r>
                    <w:rPr>
                      <w:rFonts w:ascii="Arial Narrow" w:hAnsi="Arial Narrow" w:cs="Calibri"/>
                      <w:color w:val="000000"/>
                      <w:sz w:val="18"/>
                      <w:szCs w:val="18"/>
                    </w:rPr>
                    <w:t>Italiani</w:t>
                  </w:r>
                </w:p>
              </w:tc>
            </w:tr>
            <w:tr w:rsidR="00791377" w14:paraId="48C4CE56" w14:textId="77777777" w:rsidTr="00786A29">
              <w:trPr>
                <w:trHeight w:val="255"/>
              </w:trPr>
              <w:tc>
                <w:tcPr>
                  <w:tcW w:w="1116" w:type="dxa"/>
                  <w:tcBorders>
                    <w:top w:val="nil"/>
                    <w:left w:val="nil"/>
                    <w:bottom w:val="single" w:sz="4" w:space="0" w:color="auto"/>
                    <w:right w:val="nil"/>
                  </w:tcBorders>
                  <w:shd w:val="clear" w:color="auto" w:fill="auto"/>
                  <w:vAlign w:val="center"/>
                  <w:hideMark/>
                </w:tcPr>
                <w:p w14:paraId="1E2D4FF3" w14:textId="77777777" w:rsidR="00791377" w:rsidRDefault="00791377" w:rsidP="00791377">
                  <w:pPr>
                    <w:rPr>
                      <w:rFonts w:ascii="Arial Narrow" w:hAnsi="Arial Narrow" w:cs="Calibri"/>
                      <w:color w:val="000000"/>
                      <w:sz w:val="18"/>
                      <w:szCs w:val="18"/>
                    </w:rPr>
                  </w:pPr>
                  <w:r>
                    <w:rPr>
                      <w:rFonts w:ascii="Arial Narrow" w:hAnsi="Arial Narrow" w:cs="Calibri"/>
                      <w:color w:val="000000"/>
                      <w:sz w:val="18"/>
                      <w:szCs w:val="18"/>
                    </w:rPr>
                    <w:t>Bergamo</w:t>
                  </w:r>
                </w:p>
              </w:tc>
              <w:tc>
                <w:tcPr>
                  <w:tcW w:w="939" w:type="dxa"/>
                  <w:tcBorders>
                    <w:top w:val="nil"/>
                    <w:left w:val="nil"/>
                    <w:bottom w:val="single" w:sz="4" w:space="0" w:color="auto"/>
                    <w:right w:val="nil"/>
                  </w:tcBorders>
                  <w:shd w:val="clear" w:color="000000" w:fill="D9D9D9"/>
                  <w:noWrap/>
                  <w:vAlign w:val="center"/>
                  <w:hideMark/>
                </w:tcPr>
                <w:p w14:paraId="4B60CE48" w14:textId="77777777" w:rsidR="00791377" w:rsidRDefault="00791377" w:rsidP="00791377">
                  <w:pPr>
                    <w:jc w:val="right"/>
                    <w:rPr>
                      <w:rFonts w:ascii="Arial Narrow" w:hAnsi="Arial Narrow" w:cs="Calibri"/>
                      <w:color w:val="000000"/>
                      <w:sz w:val="18"/>
                      <w:szCs w:val="18"/>
                    </w:rPr>
                  </w:pPr>
                  <w:r>
                    <w:rPr>
                      <w:rFonts w:ascii="Arial Narrow" w:hAnsi="Arial Narrow" w:cs="Calibri"/>
                      <w:color w:val="000000"/>
                      <w:sz w:val="18"/>
                      <w:szCs w:val="18"/>
                    </w:rPr>
                    <w:t>35,2</w:t>
                  </w:r>
                </w:p>
              </w:tc>
              <w:tc>
                <w:tcPr>
                  <w:tcW w:w="729" w:type="dxa"/>
                  <w:tcBorders>
                    <w:top w:val="nil"/>
                    <w:left w:val="nil"/>
                    <w:bottom w:val="single" w:sz="4" w:space="0" w:color="auto"/>
                    <w:right w:val="nil"/>
                  </w:tcBorders>
                  <w:shd w:val="clear" w:color="auto" w:fill="auto"/>
                  <w:noWrap/>
                  <w:vAlign w:val="center"/>
                  <w:hideMark/>
                </w:tcPr>
                <w:p w14:paraId="5BD6890E" w14:textId="77777777" w:rsidR="00791377" w:rsidRDefault="00791377" w:rsidP="00791377">
                  <w:pPr>
                    <w:jc w:val="right"/>
                    <w:rPr>
                      <w:rFonts w:ascii="Arial Narrow" w:hAnsi="Arial Narrow" w:cs="Calibri"/>
                      <w:color w:val="000000"/>
                      <w:sz w:val="18"/>
                      <w:szCs w:val="18"/>
                    </w:rPr>
                  </w:pPr>
                  <w:r>
                    <w:rPr>
                      <w:rFonts w:ascii="Arial Narrow" w:hAnsi="Arial Narrow" w:cs="Calibri"/>
                      <w:color w:val="000000"/>
                      <w:sz w:val="18"/>
                      <w:szCs w:val="18"/>
                    </w:rPr>
                    <w:t>57,7</w:t>
                  </w:r>
                </w:p>
              </w:tc>
              <w:tc>
                <w:tcPr>
                  <w:tcW w:w="932" w:type="dxa"/>
                  <w:tcBorders>
                    <w:top w:val="nil"/>
                    <w:left w:val="nil"/>
                    <w:bottom w:val="single" w:sz="4" w:space="0" w:color="auto"/>
                    <w:right w:val="nil"/>
                  </w:tcBorders>
                  <w:shd w:val="clear" w:color="000000" w:fill="D9D9D9"/>
                  <w:noWrap/>
                  <w:vAlign w:val="center"/>
                  <w:hideMark/>
                </w:tcPr>
                <w:p w14:paraId="5054C350" w14:textId="77777777" w:rsidR="00791377" w:rsidRDefault="00791377" w:rsidP="00791377">
                  <w:pPr>
                    <w:jc w:val="right"/>
                    <w:rPr>
                      <w:rFonts w:ascii="Arial Narrow" w:hAnsi="Arial Narrow" w:cs="Calibri"/>
                      <w:sz w:val="18"/>
                      <w:szCs w:val="18"/>
                    </w:rPr>
                  </w:pPr>
                  <w:r>
                    <w:rPr>
                      <w:rFonts w:ascii="Arial Narrow" w:hAnsi="Arial Narrow" w:cs="Calibri"/>
                      <w:sz w:val="18"/>
                      <w:szCs w:val="18"/>
                    </w:rPr>
                    <w:t>19,1</w:t>
                  </w:r>
                </w:p>
              </w:tc>
              <w:tc>
                <w:tcPr>
                  <w:tcW w:w="724" w:type="dxa"/>
                  <w:tcBorders>
                    <w:top w:val="nil"/>
                    <w:left w:val="nil"/>
                    <w:bottom w:val="single" w:sz="4" w:space="0" w:color="auto"/>
                    <w:right w:val="nil"/>
                  </w:tcBorders>
                  <w:shd w:val="clear" w:color="auto" w:fill="auto"/>
                  <w:noWrap/>
                  <w:vAlign w:val="center"/>
                  <w:hideMark/>
                </w:tcPr>
                <w:p w14:paraId="5ED5BD1C" w14:textId="77777777" w:rsidR="00791377" w:rsidRDefault="00791377" w:rsidP="00791377">
                  <w:pPr>
                    <w:jc w:val="right"/>
                    <w:rPr>
                      <w:rFonts w:ascii="Arial Narrow" w:hAnsi="Arial Narrow" w:cs="Calibri"/>
                      <w:sz w:val="18"/>
                      <w:szCs w:val="18"/>
                    </w:rPr>
                  </w:pPr>
                  <w:r>
                    <w:rPr>
                      <w:rFonts w:ascii="Arial Narrow" w:hAnsi="Arial Narrow" w:cs="Calibri"/>
                      <w:sz w:val="18"/>
                      <w:szCs w:val="18"/>
                    </w:rPr>
                    <w:t>181,4</w:t>
                  </w:r>
                </w:p>
              </w:tc>
            </w:tr>
            <w:tr w:rsidR="00791377" w14:paraId="0A0FD9C0" w14:textId="77777777" w:rsidTr="00786A29">
              <w:trPr>
                <w:trHeight w:val="255"/>
              </w:trPr>
              <w:tc>
                <w:tcPr>
                  <w:tcW w:w="1116" w:type="dxa"/>
                  <w:tcBorders>
                    <w:top w:val="nil"/>
                    <w:left w:val="nil"/>
                    <w:bottom w:val="single" w:sz="4" w:space="0" w:color="auto"/>
                    <w:right w:val="nil"/>
                  </w:tcBorders>
                  <w:shd w:val="clear" w:color="auto" w:fill="auto"/>
                  <w:vAlign w:val="center"/>
                  <w:hideMark/>
                </w:tcPr>
                <w:p w14:paraId="412C9A0D" w14:textId="77777777" w:rsidR="00791377" w:rsidRDefault="00791377" w:rsidP="00791377">
                  <w:pPr>
                    <w:rPr>
                      <w:rFonts w:ascii="Arial Narrow" w:hAnsi="Arial Narrow" w:cs="Calibri"/>
                      <w:color w:val="000000"/>
                      <w:sz w:val="18"/>
                      <w:szCs w:val="18"/>
                    </w:rPr>
                  </w:pPr>
                  <w:r>
                    <w:rPr>
                      <w:rFonts w:ascii="Arial Narrow" w:hAnsi="Arial Narrow" w:cs="Calibri"/>
                      <w:color w:val="000000"/>
                      <w:sz w:val="18"/>
                      <w:szCs w:val="18"/>
                    </w:rPr>
                    <w:t>Brescia</w:t>
                  </w:r>
                </w:p>
              </w:tc>
              <w:tc>
                <w:tcPr>
                  <w:tcW w:w="939" w:type="dxa"/>
                  <w:tcBorders>
                    <w:top w:val="nil"/>
                    <w:left w:val="nil"/>
                    <w:bottom w:val="single" w:sz="4" w:space="0" w:color="auto"/>
                    <w:right w:val="nil"/>
                  </w:tcBorders>
                  <w:shd w:val="clear" w:color="000000" w:fill="D9D9D9"/>
                  <w:noWrap/>
                  <w:vAlign w:val="center"/>
                  <w:hideMark/>
                </w:tcPr>
                <w:p w14:paraId="671EB245" w14:textId="77777777" w:rsidR="00791377" w:rsidRDefault="00791377" w:rsidP="00791377">
                  <w:pPr>
                    <w:jc w:val="right"/>
                    <w:rPr>
                      <w:rFonts w:ascii="Arial Narrow" w:hAnsi="Arial Narrow" w:cs="Calibri"/>
                      <w:color w:val="000000"/>
                      <w:sz w:val="18"/>
                      <w:szCs w:val="18"/>
                    </w:rPr>
                  </w:pPr>
                  <w:r>
                    <w:rPr>
                      <w:rFonts w:ascii="Arial Narrow" w:hAnsi="Arial Narrow" w:cs="Calibri"/>
                      <w:color w:val="000000"/>
                      <w:sz w:val="18"/>
                      <w:szCs w:val="18"/>
                    </w:rPr>
                    <w:t>33,3</w:t>
                  </w:r>
                </w:p>
              </w:tc>
              <w:tc>
                <w:tcPr>
                  <w:tcW w:w="729" w:type="dxa"/>
                  <w:tcBorders>
                    <w:top w:val="nil"/>
                    <w:left w:val="nil"/>
                    <w:bottom w:val="single" w:sz="4" w:space="0" w:color="auto"/>
                    <w:right w:val="nil"/>
                  </w:tcBorders>
                  <w:shd w:val="clear" w:color="auto" w:fill="auto"/>
                  <w:noWrap/>
                  <w:vAlign w:val="center"/>
                  <w:hideMark/>
                </w:tcPr>
                <w:p w14:paraId="1FAA0132" w14:textId="77777777" w:rsidR="00791377" w:rsidRDefault="00791377" w:rsidP="00791377">
                  <w:pPr>
                    <w:jc w:val="right"/>
                    <w:rPr>
                      <w:rFonts w:ascii="Arial Narrow" w:hAnsi="Arial Narrow" w:cs="Calibri"/>
                      <w:color w:val="000000"/>
                      <w:sz w:val="18"/>
                      <w:szCs w:val="18"/>
                    </w:rPr>
                  </w:pPr>
                  <w:r>
                    <w:rPr>
                      <w:rFonts w:ascii="Arial Narrow" w:hAnsi="Arial Narrow" w:cs="Calibri"/>
                      <w:color w:val="000000"/>
                      <w:sz w:val="18"/>
                      <w:szCs w:val="18"/>
                    </w:rPr>
                    <w:t>59,3</w:t>
                  </w:r>
                </w:p>
              </w:tc>
              <w:tc>
                <w:tcPr>
                  <w:tcW w:w="932" w:type="dxa"/>
                  <w:tcBorders>
                    <w:top w:val="nil"/>
                    <w:left w:val="nil"/>
                    <w:bottom w:val="single" w:sz="4" w:space="0" w:color="auto"/>
                    <w:right w:val="nil"/>
                  </w:tcBorders>
                  <w:shd w:val="clear" w:color="000000" w:fill="D9D9D9"/>
                  <w:noWrap/>
                  <w:vAlign w:val="center"/>
                  <w:hideMark/>
                </w:tcPr>
                <w:p w14:paraId="57FCA5DE" w14:textId="77777777" w:rsidR="00791377" w:rsidRDefault="00791377" w:rsidP="00791377">
                  <w:pPr>
                    <w:jc w:val="right"/>
                    <w:rPr>
                      <w:rFonts w:ascii="Arial Narrow" w:hAnsi="Arial Narrow" w:cs="Calibri"/>
                      <w:sz w:val="18"/>
                      <w:szCs w:val="18"/>
                    </w:rPr>
                  </w:pPr>
                  <w:r>
                    <w:rPr>
                      <w:rFonts w:ascii="Arial Narrow" w:hAnsi="Arial Narrow" w:cs="Calibri"/>
                      <w:sz w:val="18"/>
                      <w:szCs w:val="18"/>
                    </w:rPr>
                    <w:t>21,9</w:t>
                  </w:r>
                </w:p>
              </w:tc>
              <w:tc>
                <w:tcPr>
                  <w:tcW w:w="724" w:type="dxa"/>
                  <w:tcBorders>
                    <w:top w:val="nil"/>
                    <w:left w:val="nil"/>
                    <w:bottom w:val="single" w:sz="4" w:space="0" w:color="auto"/>
                    <w:right w:val="nil"/>
                  </w:tcBorders>
                  <w:shd w:val="clear" w:color="auto" w:fill="auto"/>
                  <w:noWrap/>
                  <w:vAlign w:val="center"/>
                  <w:hideMark/>
                </w:tcPr>
                <w:p w14:paraId="12741329" w14:textId="77777777" w:rsidR="00791377" w:rsidRDefault="00791377" w:rsidP="00791377">
                  <w:pPr>
                    <w:jc w:val="right"/>
                    <w:rPr>
                      <w:rFonts w:ascii="Arial Narrow" w:hAnsi="Arial Narrow" w:cs="Calibri"/>
                      <w:sz w:val="18"/>
                      <w:szCs w:val="18"/>
                    </w:rPr>
                  </w:pPr>
                  <w:r>
                    <w:rPr>
                      <w:rFonts w:ascii="Arial Narrow" w:hAnsi="Arial Narrow" w:cs="Calibri"/>
                      <w:sz w:val="18"/>
                      <w:szCs w:val="18"/>
                    </w:rPr>
                    <w:t>190,4</w:t>
                  </w:r>
                </w:p>
              </w:tc>
            </w:tr>
            <w:tr w:rsidR="00791377" w14:paraId="4FBD1EE4" w14:textId="77777777" w:rsidTr="00786A29">
              <w:trPr>
                <w:trHeight w:val="255"/>
              </w:trPr>
              <w:tc>
                <w:tcPr>
                  <w:tcW w:w="1116" w:type="dxa"/>
                  <w:tcBorders>
                    <w:top w:val="nil"/>
                    <w:left w:val="nil"/>
                    <w:bottom w:val="single" w:sz="4" w:space="0" w:color="auto"/>
                    <w:right w:val="nil"/>
                  </w:tcBorders>
                  <w:shd w:val="clear" w:color="auto" w:fill="auto"/>
                  <w:vAlign w:val="center"/>
                  <w:hideMark/>
                </w:tcPr>
                <w:p w14:paraId="1D2143AA" w14:textId="77777777" w:rsidR="00791377" w:rsidRDefault="00791377" w:rsidP="00791377">
                  <w:pPr>
                    <w:rPr>
                      <w:rFonts w:ascii="Arial Narrow" w:hAnsi="Arial Narrow" w:cs="Calibri"/>
                      <w:color w:val="000000"/>
                      <w:sz w:val="18"/>
                      <w:szCs w:val="18"/>
                    </w:rPr>
                  </w:pPr>
                  <w:r>
                    <w:rPr>
                      <w:rFonts w:ascii="Arial Narrow" w:hAnsi="Arial Narrow" w:cs="Calibri"/>
                      <w:color w:val="000000"/>
                      <w:sz w:val="18"/>
                      <w:szCs w:val="18"/>
                    </w:rPr>
                    <w:t>Como</w:t>
                  </w:r>
                </w:p>
              </w:tc>
              <w:tc>
                <w:tcPr>
                  <w:tcW w:w="939" w:type="dxa"/>
                  <w:tcBorders>
                    <w:top w:val="nil"/>
                    <w:left w:val="nil"/>
                    <w:bottom w:val="single" w:sz="4" w:space="0" w:color="auto"/>
                    <w:right w:val="nil"/>
                  </w:tcBorders>
                  <w:shd w:val="clear" w:color="000000" w:fill="D9D9D9"/>
                  <w:noWrap/>
                  <w:vAlign w:val="center"/>
                  <w:hideMark/>
                </w:tcPr>
                <w:p w14:paraId="202D8AFB" w14:textId="77777777" w:rsidR="00791377" w:rsidRDefault="00791377" w:rsidP="00791377">
                  <w:pPr>
                    <w:jc w:val="right"/>
                    <w:rPr>
                      <w:rFonts w:ascii="Arial Narrow" w:hAnsi="Arial Narrow" w:cs="Calibri"/>
                      <w:color w:val="000000"/>
                      <w:sz w:val="18"/>
                      <w:szCs w:val="18"/>
                    </w:rPr>
                  </w:pPr>
                  <w:r>
                    <w:rPr>
                      <w:rFonts w:ascii="Arial Narrow" w:hAnsi="Arial Narrow" w:cs="Calibri"/>
                      <w:color w:val="000000"/>
                      <w:sz w:val="18"/>
                      <w:szCs w:val="18"/>
                    </w:rPr>
                    <w:t>30,5</w:t>
                  </w:r>
                </w:p>
              </w:tc>
              <w:tc>
                <w:tcPr>
                  <w:tcW w:w="729" w:type="dxa"/>
                  <w:tcBorders>
                    <w:top w:val="nil"/>
                    <w:left w:val="nil"/>
                    <w:bottom w:val="single" w:sz="4" w:space="0" w:color="auto"/>
                    <w:right w:val="nil"/>
                  </w:tcBorders>
                  <w:shd w:val="clear" w:color="auto" w:fill="auto"/>
                  <w:noWrap/>
                  <w:vAlign w:val="center"/>
                  <w:hideMark/>
                </w:tcPr>
                <w:p w14:paraId="0E3977D5" w14:textId="77777777" w:rsidR="00791377" w:rsidRDefault="00791377" w:rsidP="00791377">
                  <w:pPr>
                    <w:jc w:val="right"/>
                    <w:rPr>
                      <w:rFonts w:ascii="Arial Narrow" w:hAnsi="Arial Narrow" w:cs="Calibri"/>
                      <w:color w:val="000000"/>
                      <w:sz w:val="18"/>
                      <w:szCs w:val="18"/>
                    </w:rPr>
                  </w:pPr>
                  <w:r>
                    <w:rPr>
                      <w:rFonts w:ascii="Arial Narrow" w:hAnsi="Arial Narrow" w:cs="Calibri"/>
                      <w:color w:val="000000"/>
                      <w:sz w:val="18"/>
                      <w:szCs w:val="18"/>
                    </w:rPr>
                    <w:t>60,0</w:t>
                  </w:r>
                </w:p>
              </w:tc>
              <w:tc>
                <w:tcPr>
                  <w:tcW w:w="932" w:type="dxa"/>
                  <w:tcBorders>
                    <w:top w:val="nil"/>
                    <w:left w:val="nil"/>
                    <w:bottom w:val="single" w:sz="4" w:space="0" w:color="auto"/>
                    <w:right w:val="nil"/>
                  </w:tcBorders>
                  <w:shd w:val="clear" w:color="000000" w:fill="D9D9D9"/>
                  <w:noWrap/>
                  <w:vAlign w:val="center"/>
                  <w:hideMark/>
                </w:tcPr>
                <w:p w14:paraId="4DB6E624" w14:textId="77777777" w:rsidR="00791377" w:rsidRDefault="00791377" w:rsidP="00791377">
                  <w:pPr>
                    <w:jc w:val="right"/>
                    <w:rPr>
                      <w:rFonts w:ascii="Arial Narrow" w:hAnsi="Arial Narrow" w:cs="Calibri"/>
                      <w:sz w:val="18"/>
                      <w:szCs w:val="18"/>
                    </w:rPr>
                  </w:pPr>
                  <w:r>
                    <w:rPr>
                      <w:rFonts w:ascii="Arial Narrow" w:hAnsi="Arial Narrow" w:cs="Calibri"/>
                      <w:sz w:val="18"/>
                      <w:szCs w:val="18"/>
                    </w:rPr>
                    <w:t>28,8</w:t>
                  </w:r>
                </w:p>
              </w:tc>
              <w:tc>
                <w:tcPr>
                  <w:tcW w:w="724" w:type="dxa"/>
                  <w:tcBorders>
                    <w:top w:val="nil"/>
                    <w:left w:val="nil"/>
                    <w:bottom w:val="single" w:sz="4" w:space="0" w:color="auto"/>
                    <w:right w:val="nil"/>
                  </w:tcBorders>
                  <w:shd w:val="clear" w:color="auto" w:fill="auto"/>
                  <w:noWrap/>
                  <w:vAlign w:val="center"/>
                  <w:hideMark/>
                </w:tcPr>
                <w:p w14:paraId="7CA7E305" w14:textId="77777777" w:rsidR="00791377" w:rsidRDefault="00791377" w:rsidP="00791377">
                  <w:pPr>
                    <w:jc w:val="right"/>
                    <w:rPr>
                      <w:rFonts w:ascii="Arial Narrow" w:hAnsi="Arial Narrow" w:cs="Calibri"/>
                      <w:sz w:val="18"/>
                      <w:szCs w:val="18"/>
                    </w:rPr>
                  </w:pPr>
                  <w:r>
                    <w:rPr>
                      <w:rFonts w:ascii="Arial Narrow" w:hAnsi="Arial Narrow" w:cs="Calibri"/>
                      <w:sz w:val="18"/>
                      <w:szCs w:val="18"/>
                    </w:rPr>
                    <w:t>196,1</w:t>
                  </w:r>
                </w:p>
              </w:tc>
            </w:tr>
            <w:tr w:rsidR="00791377" w14:paraId="3BE708E8" w14:textId="77777777" w:rsidTr="00786A29">
              <w:trPr>
                <w:trHeight w:val="255"/>
              </w:trPr>
              <w:tc>
                <w:tcPr>
                  <w:tcW w:w="1116" w:type="dxa"/>
                  <w:tcBorders>
                    <w:top w:val="nil"/>
                    <w:left w:val="nil"/>
                    <w:bottom w:val="single" w:sz="4" w:space="0" w:color="auto"/>
                    <w:right w:val="nil"/>
                  </w:tcBorders>
                  <w:shd w:val="clear" w:color="auto" w:fill="auto"/>
                  <w:vAlign w:val="center"/>
                  <w:hideMark/>
                </w:tcPr>
                <w:p w14:paraId="2556F635" w14:textId="77777777" w:rsidR="00791377" w:rsidRDefault="00791377" w:rsidP="00791377">
                  <w:pPr>
                    <w:rPr>
                      <w:rFonts w:ascii="Arial Narrow" w:hAnsi="Arial Narrow" w:cs="Calibri"/>
                      <w:color w:val="000000"/>
                      <w:sz w:val="18"/>
                      <w:szCs w:val="18"/>
                    </w:rPr>
                  </w:pPr>
                  <w:r>
                    <w:rPr>
                      <w:rFonts w:ascii="Arial Narrow" w:hAnsi="Arial Narrow" w:cs="Calibri"/>
                      <w:color w:val="000000"/>
                      <w:sz w:val="18"/>
                      <w:szCs w:val="18"/>
                    </w:rPr>
                    <w:t>Cremona</w:t>
                  </w:r>
                </w:p>
              </w:tc>
              <w:tc>
                <w:tcPr>
                  <w:tcW w:w="939" w:type="dxa"/>
                  <w:tcBorders>
                    <w:top w:val="nil"/>
                    <w:left w:val="nil"/>
                    <w:bottom w:val="single" w:sz="4" w:space="0" w:color="auto"/>
                    <w:right w:val="nil"/>
                  </w:tcBorders>
                  <w:shd w:val="clear" w:color="000000" w:fill="D9D9D9"/>
                  <w:noWrap/>
                  <w:vAlign w:val="center"/>
                  <w:hideMark/>
                </w:tcPr>
                <w:p w14:paraId="14301FE1" w14:textId="77777777" w:rsidR="00791377" w:rsidRDefault="00791377" w:rsidP="00791377">
                  <w:pPr>
                    <w:jc w:val="right"/>
                    <w:rPr>
                      <w:rFonts w:ascii="Arial Narrow" w:hAnsi="Arial Narrow" w:cs="Calibri"/>
                      <w:color w:val="000000"/>
                      <w:sz w:val="18"/>
                      <w:szCs w:val="18"/>
                    </w:rPr>
                  </w:pPr>
                  <w:r>
                    <w:rPr>
                      <w:rFonts w:ascii="Arial Narrow" w:hAnsi="Arial Narrow" w:cs="Calibri"/>
                      <w:color w:val="000000"/>
                      <w:sz w:val="18"/>
                      <w:szCs w:val="18"/>
                    </w:rPr>
                    <w:t>34,5</w:t>
                  </w:r>
                </w:p>
              </w:tc>
              <w:tc>
                <w:tcPr>
                  <w:tcW w:w="729" w:type="dxa"/>
                  <w:tcBorders>
                    <w:top w:val="nil"/>
                    <w:left w:val="nil"/>
                    <w:bottom w:val="single" w:sz="4" w:space="0" w:color="auto"/>
                    <w:right w:val="nil"/>
                  </w:tcBorders>
                  <w:shd w:val="clear" w:color="auto" w:fill="auto"/>
                  <w:noWrap/>
                  <w:vAlign w:val="center"/>
                  <w:hideMark/>
                </w:tcPr>
                <w:p w14:paraId="1543BF4D" w14:textId="77777777" w:rsidR="00791377" w:rsidRDefault="00791377" w:rsidP="00791377">
                  <w:pPr>
                    <w:jc w:val="right"/>
                    <w:rPr>
                      <w:rFonts w:ascii="Arial Narrow" w:hAnsi="Arial Narrow" w:cs="Calibri"/>
                      <w:color w:val="000000"/>
                      <w:sz w:val="18"/>
                      <w:szCs w:val="18"/>
                    </w:rPr>
                  </w:pPr>
                  <w:r>
                    <w:rPr>
                      <w:rFonts w:ascii="Arial Narrow" w:hAnsi="Arial Narrow" w:cs="Calibri"/>
                      <w:color w:val="000000"/>
                      <w:sz w:val="18"/>
                      <w:szCs w:val="18"/>
                    </w:rPr>
                    <w:t>63,2</w:t>
                  </w:r>
                </w:p>
              </w:tc>
              <w:tc>
                <w:tcPr>
                  <w:tcW w:w="932" w:type="dxa"/>
                  <w:tcBorders>
                    <w:top w:val="nil"/>
                    <w:left w:val="nil"/>
                    <w:bottom w:val="single" w:sz="4" w:space="0" w:color="auto"/>
                    <w:right w:val="nil"/>
                  </w:tcBorders>
                  <w:shd w:val="clear" w:color="000000" w:fill="D9D9D9"/>
                  <w:noWrap/>
                  <w:vAlign w:val="center"/>
                  <w:hideMark/>
                </w:tcPr>
                <w:p w14:paraId="630EA82A" w14:textId="77777777" w:rsidR="00791377" w:rsidRDefault="00791377" w:rsidP="00791377">
                  <w:pPr>
                    <w:jc w:val="right"/>
                    <w:rPr>
                      <w:rFonts w:ascii="Arial Narrow" w:hAnsi="Arial Narrow" w:cs="Calibri"/>
                      <w:sz w:val="18"/>
                      <w:szCs w:val="18"/>
                    </w:rPr>
                  </w:pPr>
                  <w:r>
                    <w:rPr>
                      <w:rFonts w:ascii="Arial Narrow" w:hAnsi="Arial Narrow" w:cs="Calibri"/>
                      <w:sz w:val="18"/>
                      <w:szCs w:val="18"/>
                    </w:rPr>
                    <w:t>20,2</w:t>
                  </w:r>
                </w:p>
              </w:tc>
              <w:tc>
                <w:tcPr>
                  <w:tcW w:w="724" w:type="dxa"/>
                  <w:tcBorders>
                    <w:top w:val="nil"/>
                    <w:left w:val="nil"/>
                    <w:bottom w:val="single" w:sz="4" w:space="0" w:color="auto"/>
                    <w:right w:val="nil"/>
                  </w:tcBorders>
                  <w:shd w:val="clear" w:color="auto" w:fill="auto"/>
                  <w:noWrap/>
                  <w:vAlign w:val="center"/>
                  <w:hideMark/>
                </w:tcPr>
                <w:p w14:paraId="44564021" w14:textId="77777777" w:rsidR="00791377" w:rsidRDefault="00791377" w:rsidP="00791377">
                  <w:pPr>
                    <w:jc w:val="right"/>
                    <w:rPr>
                      <w:rFonts w:ascii="Arial Narrow" w:hAnsi="Arial Narrow" w:cs="Calibri"/>
                      <w:sz w:val="18"/>
                      <w:szCs w:val="18"/>
                    </w:rPr>
                  </w:pPr>
                  <w:r>
                    <w:rPr>
                      <w:rFonts w:ascii="Arial Narrow" w:hAnsi="Arial Narrow" w:cs="Calibri"/>
                      <w:sz w:val="18"/>
                      <w:szCs w:val="18"/>
                    </w:rPr>
                    <w:t>239,0</w:t>
                  </w:r>
                </w:p>
              </w:tc>
            </w:tr>
            <w:tr w:rsidR="00791377" w14:paraId="13FA29EE" w14:textId="77777777" w:rsidTr="00786A29">
              <w:trPr>
                <w:trHeight w:val="255"/>
              </w:trPr>
              <w:tc>
                <w:tcPr>
                  <w:tcW w:w="1116" w:type="dxa"/>
                  <w:tcBorders>
                    <w:top w:val="nil"/>
                    <w:left w:val="nil"/>
                    <w:bottom w:val="single" w:sz="4" w:space="0" w:color="auto"/>
                    <w:right w:val="nil"/>
                  </w:tcBorders>
                  <w:shd w:val="clear" w:color="auto" w:fill="auto"/>
                  <w:vAlign w:val="center"/>
                  <w:hideMark/>
                </w:tcPr>
                <w:p w14:paraId="294D7ABC" w14:textId="77777777" w:rsidR="00791377" w:rsidRDefault="00791377" w:rsidP="00791377">
                  <w:pPr>
                    <w:rPr>
                      <w:rFonts w:ascii="Arial Narrow" w:hAnsi="Arial Narrow" w:cs="Calibri"/>
                      <w:color w:val="000000"/>
                      <w:sz w:val="18"/>
                      <w:szCs w:val="18"/>
                    </w:rPr>
                  </w:pPr>
                  <w:r>
                    <w:rPr>
                      <w:rFonts w:ascii="Arial Narrow" w:hAnsi="Arial Narrow" w:cs="Calibri"/>
                      <w:color w:val="000000"/>
                      <w:sz w:val="18"/>
                      <w:szCs w:val="18"/>
                    </w:rPr>
                    <w:t>Lecco</w:t>
                  </w:r>
                </w:p>
              </w:tc>
              <w:tc>
                <w:tcPr>
                  <w:tcW w:w="939" w:type="dxa"/>
                  <w:tcBorders>
                    <w:top w:val="nil"/>
                    <w:left w:val="nil"/>
                    <w:bottom w:val="single" w:sz="4" w:space="0" w:color="auto"/>
                    <w:right w:val="nil"/>
                  </w:tcBorders>
                  <w:shd w:val="clear" w:color="000000" w:fill="D9D9D9"/>
                  <w:noWrap/>
                  <w:vAlign w:val="center"/>
                  <w:hideMark/>
                </w:tcPr>
                <w:p w14:paraId="1C6A3898" w14:textId="77777777" w:rsidR="00791377" w:rsidRDefault="00791377" w:rsidP="00791377">
                  <w:pPr>
                    <w:jc w:val="right"/>
                    <w:rPr>
                      <w:rFonts w:ascii="Arial Narrow" w:hAnsi="Arial Narrow" w:cs="Calibri"/>
                      <w:color w:val="000000"/>
                      <w:sz w:val="18"/>
                      <w:szCs w:val="18"/>
                    </w:rPr>
                  </w:pPr>
                  <w:r>
                    <w:rPr>
                      <w:rFonts w:ascii="Arial Narrow" w:hAnsi="Arial Narrow" w:cs="Calibri"/>
                      <w:color w:val="000000"/>
                      <w:sz w:val="18"/>
                      <w:szCs w:val="18"/>
                    </w:rPr>
                    <w:t>31,7</w:t>
                  </w:r>
                </w:p>
              </w:tc>
              <w:tc>
                <w:tcPr>
                  <w:tcW w:w="729" w:type="dxa"/>
                  <w:tcBorders>
                    <w:top w:val="nil"/>
                    <w:left w:val="nil"/>
                    <w:bottom w:val="single" w:sz="4" w:space="0" w:color="auto"/>
                    <w:right w:val="nil"/>
                  </w:tcBorders>
                  <w:shd w:val="clear" w:color="auto" w:fill="auto"/>
                  <w:noWrap/>
                  <w:vAlign w:val="center"/>
                  <w:hideMark/>
                </w:tcPr>
                <w:p w14:paraId="3209DED6" w14:textId="77777777" w:rsidR="00791377" w:rsidRDefault="00791377" w:rsidP="00791377">
                  <w:pPr>
                    <w:jc w:val="right"/>
                    <w:rPr>
                      <w:rFonts w:ascii="Arial Narrow" w:hAnsi="Arial Narrow" w:cs="Calibri"/>
                      <w:color w:val="000000"/>
                      <w:sz w:val="18"/>
                      <w:szCs w:val="18"/>
                    </w:rPr>
                  </w:pPr>
                  <w:r>
                    <w:rPr>
                      <w:rFonts w:ascii="Arial Narrow" w:hAnsi="Arial Narrow" w:cs="Calibri"/>
                      <w:color w:val="000000"/>
                      <w:sz w:val="18"/>
                      <w:szCs w:val="18"/>
                    </w:rPr>
                    <w:t>62,3</w:t>
                  </w:r>
                </w:p>
              </w:tc>
              <w:tc>
                <w:tcPr>
                  <w:tcW w:w="932" w:type="dxa"/>
                  <w:tcBorders>
                    <w:top w:val="nil"/>
                    <w:left w:val="nil"/>
                    <w:bottom w:val="single" w:sz="4" w:space="0" w:color="auto"/>
                    <w:right w:val="nil"/>
                  </w:tcBorders>
                  <w:shd w:val="clear" w:color="000000" w:fill="D9D9D9"/>
                  <w:noWrap/>
                  <w:vAlign w:val="center"/>
                  <w:hideMark/>
                </w:tcPr>
                <w:p w14:paraId="3FB67363" w14:textId="77777777" w:rsidR="00791377" w:rsidRDefault="00791377" w:rsidP="00791377">
                  <w:pPr>
                    <w:jc w:val="right"/>
                    <w:rPr>
                      <w:rFonts w:ascii="Arial Narrow" w:hAnsi="Arial Narrow" w:cs="Calibri"/>
                      <w:sz w:val="18"/>
                      <w:szCs w:val="18"/>
                    </w:rPr>
                  </w:pPr>
                  <w:r>
                    <w:rPr>
                      <w:rFonts w:ascii="Arial Narrow" w:hAnsi="Arial Narrow" w:cs="Calibri"/>
                      <w:sz w:val="18"/>
                      <w:szCs w:val="18"/>
                    </w:rPr>
                    <w:t>24,6</w:t>
                  </w:r>
                </w:p>
              </w:tc>
              <w:tc>
                <w:tcPr>
                  <w:tcW w:w="724" w:type="dxa"/>
                  <w:tcBorders>
                    <w:top w:val="nil"/>
                    <w:left w:val="nil"/>
                    <w:bottom w:val="single" w:sz="4" w:space="0" w:color="auto"/>
                    <w:right w:val="nil"/>
                  </w:tcBorders>
                  <w:shd w:val="clear" w:color="auto" w:fill="auto"/>
                  <w:noWrap/>
                  <w:vAlign w:val="center"/>
                  <w:hideMark/>
                </w:tcPr>
                <w:p w14:paraId="557566EB" w14:textId="77777777" w:rsidR="00791377" w:rsidRDefault="00791377" w:rsidP="00791377">
                  <w:pPr>
                    <w:jc w:val="right"/>
                    <w:rPr>
                      <w:rFonts w:ascii="Arial Narrow" w:hAnsi="Arial Narrow" w:cs="Calibri"/>
                      <w:sz w:val="18"/>
                      <w:szCs w:val="18"/>
                    </w:rPr>
                  </w:pPr>
                  <w:r>
                    <w:rPr>
                      <w:rFonts w:ascii="Arial Narrow" w:hAnsi="Arial Narrow" w:cs="Calibri"/>
                      <w:sz w:val="18"/>
                      <w:szCs w:val="18"/>
                    </w:rPr>
                    <w:t>206,9</w:t>
                  </w:r>
                </w:p>
              </w:tc>
            </w:tr>
            <w:tr w:rsidR="00791377" w14:paraId="58414A9B" w14:textId="77777777" w:rsidTr="00786A29">
              <w:trPr>
                <w:trHeight w:val="255"/>
              </w:trPr>
              <w:tc>
                <w:tcPr>
                  <w:tcW w:w="1116" w:type="dxa"/>
                  <w:tcBorders>
                    <w:top w:val="nil"/>
                    <w:left w:val="nil"/>
                    <w:bottom w:val="single" w:sz="4" w:space="0" w:color="auto"/>
                    <w:right w:val="nil"/>
                  </w:tcBorders>
                  <w:shd w:val="clear" w:color="auto" w:fill="auto"/>
                  <w:vAlign w:val="center"/>
                  <w:hideMark/>
                </w:tcPr>
                <w:p w14:paraId="7F2739CB" w14:textId="77777777" w:rsidR="00791377" w:rsidRDefault="00791377" w:rsidP="00791377">
                  <w:pPr>
                    <w:rPr>
                      <w:rFonts w:ascii="Arial Narrow" w:hAnsi="Arial Narrow" w:cs="Calibri"/>
                      <w:color w:val="000000"/>
                      <w:sz w:val="18"/>
                      <w:szCs w:val="18"/>
                    </w:rPr>
                  </w:pPr>
                  <w:r>
                    <w:rPr>
                      <w:rFonts w:ascii="Arial Narrow" w:hAnsi="Arial Narrow" w:cs="Calibri"/>
                      <w:color w:val="000000"/>
                      <w:sz w:val="18"/>
                      <w:szCs w:val="18"/>
                    </w:rPr>
                    <w:t>Lodi</w:t>
                  </w:r>
                </w:p>
              </w:tc>
              <w:tc>
                <w:tcPr>
                  <w:tcW w:w="939" w:type="dxa"/>
                  <w:tcBorders>
                    <w:top w:val="nil"/>
                    <w:left w:val="nil"/>
                    <w:bottom w:val="single" w:sz="4" w:space="0" w:color="auto"/>
                    <w:right w:val="nil"/>
                  </w:tcBorders>
                  <w:shd w:val="clear" w:color="000000" w:fill="D9D9D9"/>
                  <w:noWrap/>
                  <w:vAlign w:val="center"/>
                  <w:hideMark/>
                </w:tcPr>
                <w:p w14:paraId="1EE112A4" w14:textId="77777777" w:rsidR="00791377" w:rsidRDefault="00791377" w:rsidP="00791377">
                  <w:pPr>
                    <w:jc w:val="right"/>
                    <w:rPr>
                      <w:rFonts w:ascii="Arial Narrow" w:hAnsi="Arial Narrow" w:cs="Calibri"/>
                      <w:color w:val="000000"/>
                      <w:sz w:val="18"/>
                      <w:szCs w:val="18"/>
                    </w:rPr>
                  </w:pPr>
                  <w:r>
                    <w:rPr>
                      <w:rFonts w:ascii="Arial Narrow" w:hAnsi="Arial Narrow" w:cs="Calibri"/>
                      <w:color w:val="000000"/>
                      <w:sz w:val="18"/>
                      <w:szCs w:val="18"/>
                    </w:rPr>
                    <w:t>36,2</w:t>
                  </w:r>
                </w:p>
              </w:tc>
              <w:tc>
                <w:tcPr>
                  <w:tcW w:w="729" w:type="dxa"/>
                  <w:tcBorders>
                    <w:top w:val="nil"/>
                    <w:left w:val="nil"/>
                    <w:bottom w:val="single" w:sz="4" w:space="0" w:color="auto"/>
                    <w:right w:val="nil"/>
                  </w:tcBorders>
                  <w:shd w:val="clear" w:color="auto" w:fill="auto"/>
                  <w:noWrap/>
                  <w:vAlign w:val="center"/>
                  <w:hideMark/>
                </w:tcPr>
                <w:p w14:paraId="3B94D4A7" w14:textId="77777777" w:rsidR="00791377" w:rsidRDefault="00791377" w:rsidP="00791377">
                  <w:pPr>
                    <w:jc w:val="right"/>
                    <w:rPr>
                      <w:rFonts w:ascii="Arial Narrow" w:hAnsi="Arial Narrow" w:cs="Calibri"/>
                      <w:color w:val="000000"/>
                      <w:sz w:val="18"/>
                      <w:szCs w:val="18"/>
                    </w:rPr>
                  </w:pPr>
                  <w:r>
                    <w:rPr>
                      <w:rFonts w:ascii="Arial Narrow" w:hAnsi="Arial Narrow" w:cs="Calibri"/>
                      <w:color w:val="000000"/>
                      <w:sz w:val="18"/>
                      <w:szCs w:val="18"/>
                    </w:rPr>
                    <w:t>58,2</w:t>
                  </w:r>
                </w:p>
              </w:tc>
              <w:tc>
                <w:tcPr>
                  <w:tcW w:w="932" w:type="dxa"/>
                  <w:tcBorders>
                    <w:top w:val="nil"/>
                    <w:left w:val="nil"/>
                    <w:bottom w:val="single" w:sz="4" w:space="0" w:color="auto"/>
                    <w:right w:val="nil"/>
                  </w:tcBorders>
                  <w:shd w:val="clear" w:color="000000" w:fill="D9D9D9"/>
                  <w:noWrap/>
                  <w:vAlign w:val="center"/>
                  <w:hideMark/>
                </w:tcPr>
                <w:p w14:paraId="57AED18D" w14:textId="77777777" w:rsidR="00791377" w:rsidRDefault="00791377" w:rsidP="00791377">
                  <w:pPr>
                    <w:jc w:val="right"/>
                    <w:rPr>
                      <w:rFonts w:ascii="Arial Narrow" w:hAnsi="Arial Narrow" w:cs="Calibri"/>
                      <w:sz w:val="18"/>
                      <w:szCs w:val="18"/>
                    </w:rPr>
                  </w:pPr>
                  <w:r>
                    <w:rPr>
                      <w:rFonts w:ascii="Arial Narrow" w:hAnsi="Arial Narrow" w:cs="Calibri"/>
                      <w:sz w:val="18"/>
                      <w:szCs w:val="18"/>
                    </w:rPr>
                    <w:t>17,0</w:t>
                  </w:r>
                </w:p>
              </w:tc>
              <w:tc>
                <w:tcPr>
                  <w:tcW w:w="724" w:type="dxa"/>
                  <w:tcBorders>
                    <w:top w:val="nil"/>
                    <w:left w:val="nil"/>
                    <w:bottom w:val="single" w:sz="4" w:space="0" w:color="auto"/>
                    <w:right w:val="nil"/>
                  </w:tcBorders>
                  <w:shd w:val="clear" w:color="auto" w:fill="auto"/>
                  <w:noWrap/>
                  <w:vAlign w:val="center"/>
                  <w:hideMark/>
                </w:tcPr>
                <w:p w14:paraId="68A9E19E" w14:textId="77777777" w:rsidR="00791377" w:rsidRDefault="00791377" w:rsidP="00791377">
                  <w:pPr>
                    <w:jc w:val="right"/>
                    <w:rPr>
                      <w:rFonts w:ascii="Arial Narrow" w:hAnsi="Arial Narrow" w:cs="Calibri"/>
                      <w:sz w:val="18"/>
                      <w:szCs w:val="18"/>
                    </w:rPr>
                  </w:pPr>
                  <w:r>
                    <w:rPr>
                      <w:rFonts w:ascii="Arial Narrow" w:hAnsi="Arial Narrow" w:cs="Calibri"/>
                      <w:sz w:val="18"/>
                      <w:szCs w:val="18"/>
                    </w:rPr>
                    <w:t>196,4</w:t>
                  </w:r>
                </w:p>
              </w:tc>
            </w:tr>
            <w:tr w:rsidR="00791377" w14:paraId="3F390F55" w14:textId="77777777" w:rsidTr="00786A29">
              <w:trPr>
                <w:trHeight w:val="255"/>
              </w:trPr>
              <w:tc>
                <w:tcPr>
                  <w:tcW w:w="1116" w:type="dxa"/>
                  <w:tcBorders>
                    <w:top w:val="nil"/>
                    <w:left w:val="nil"/>
                    <w:bottom w:val="single" w:sz="4" w:space="0" w:color="auto"/>
                    <w:right w:val="nil"/>
                  </w:tcBorders>
                  <w:shd w:val="clear" w:color="auto" w:fill="auto"/>
                  <w:noWrap/>
                  <w:vAlign w:val="center"/>
                  <w:hideMark/>
                </w:tcPr>
                <w:p w14:paraId="5BD7FED7" w14:textId="77777777" w:rsidR="00791377" w:rsidRDefault="00791377" w:rsidP="00791377">
                  <w:pPr>
                    <w:rPr>
                      <w:rFonts w:ascii="Arial Narrow" w:hAnsi="Arial Narrow" w:cs="Calibri"/>
                      <w:color w:val="000000"/>
                      <w:sz w:val="18"/>
                      <w:szCs w:val="18"/>
                    </w:rPr>
                  </w:pPr>
                  <w:r>
                    <w:rPr>
                      <w:rFonts w:ascii="Arial Narrow" w:hAnsi="Arial Narrow" w:cs="Calibri"/>
                      <w:color w:val="000000"/>
                      <w:sz w:val="18"/>
                      <w:szCs w:val="18"/>
                    </w:rPr>
                    <w:t>Mantova</w:t>
                  </w:r>
                </w:p>
              </w:tc>
              <w:tc>
                <w:tcPr>
                  <w:tcW w:w="939" w:type="dxa"/>
                  <w:tcBorders>
                    <w:top w:val="nil"/>
                    <w:left w:val="nil"/>
                    <w:bottom w:val="single" w:sz="4" w:space="0" w:color="auto"/>
                    <w:right w:val="nil"/>
                  </w:tcBorders>
                  <w:shd w:val="clear" w:color="000000" w:fill="D9D9D9"/>
                  <w:noWrap/>
                  <w:vAlign w:val="center"/>
                  <w:hideMark/>
                </w:tcPr>
                <w:p w14:paraId="0858527A" w14:textId="77777777" w:rsidR="00791377" w:rsidRDefault="00791377" w:rsidP="00791377">
                  <w:pPr>
                    <w:jc w:val="right"/>
                    <w:rPr>
                      <w:rFonts w:ascii="Arial Narrow" w:hAnsi="Arial Narrow" w:cs="Calibri"/>
                      <w:color w:val="000000"/>
                      <w:sz w:val="18"/>
                      <w:szCs w:val="18"/>
                    </w:rPr>
                  </w:pPr>
                  <w:r>
                    <w:rPr>
                      <w:rFonts w:ascii="Arial Narrow" w:hAnsi="Arial Narrow" w:cs="Calibri"/>
                      <w:color w:val="000000"/>
                      <w:sz w:val="18"/>
                      <w:szCs w:val="18"/>
                    </w:rPr>
                    <w:t>32,8</w:t>
                  </w:r>
                </w:p>
              </w:tc>
              <w:tc>
                <w:tcPr>
                  <w:tcW w:w="729" w:type="dxa"/>
                  <w:tcBorders>
                    <w:top w:val="nil"/>
                    <w:left w:val="nil"/>
                    <w:bottom w:val="single" w:sz="4" w:space="0" w:color="auto"/>
                    <w:right w:val="nil"/>
                  </w:tcBorders>
                  <w:shd w:val="clear" w:color="auto" w:fill="auto"/>
                  <w:noWrap/>
                  <w:vAlign w:val="center"/>
                  <w:hideMark/>
                </w:tcPr>
                <w:p w14:paraId="3F60DA07" w14:textId="77777777" w:rsidR="00791377" w:rsidRDefault="00791377" w:rsidP="00791377">
                  <w:pPr>
                    <w:jc w:val="right"/>
                    <w:rPr>
                      <w:rFonts w:ascii="Arial Narrow" w:hAnsi="Arial Narrow" w:cs="Calibri"/>
                      <w:color w:val="000000"/>
                      <w:sz w:val="18"/>
                      <w:szCs w:val="18"/>
                    </w:rPr>
                  </w:pPr>
                  <w:r>
                    <w:rPr>
                      <w:rFonts w:ascii="Arial Narrow" w:hAnsi="Arial Narrow" w:cs="Calibri"/>
                      <w:color w:val="000000"/>
                      <w:sz w:val="18"/>
                      <w:szCs w:val="18"/>
                    </w:rPr>
                    <w:t>63,6</w:t>
                  </w:r>
                </w:p>
              </w:tc>
              <w:tc>
                <w:tcPr>
                  <w:tcW w:w="932" w:type="dxa"/>
                  <w:tcBorders>
                    <w:top w:val="nil"/>
                    <w:left w:val="nil"/>
                    <w:bottom w:val="single" w:sz="4" w:space="0" w:color="auto"/>
                    <w:right w:val="nil"/>
                  </w:tcBorders>
                  <w:shd w:val="clear" w:color="000000" w:fill="D9D9D9"/>
                  <w:noWrap/>
                  <w:vAlign w:val="center"/>
                  <w:hideMark/>
                </w:tcPr>
                <w:p w14:paraId="019911DE" w14:textId="77777777" w:rsidR="00791377" w:rsidRDefault="00791377" w:rsidP="00791377">
                  <w:pPr>
                    <w:jc w:val="right"/>
                    <w:rPr>
                      <w:rFonts w:ascii="Arial Narrow" w:hAnsi="Arial Narrow" w:cs="Calibri"/>
                      <w:sz w:val="18"/>
                      <w:szCs w:val="18"/>
                    </w:rPr>
                  </w:pPr>
                  <w:r>
                    <w:rPr>
                      <w:rFonts w:ascii="Arial Narrow" w:hAnsi="Arial Narrow" w:cs="Calibri"/>
                      <w:sz w:val="18"/>
                      <w:szCs w:val="18"/>
                    </w:rPr>
                    <w:t>23,4</w:t>
                  </w:r>
                </w:p>
              </w:tc>
              <w:tc>
                <w:tcPr>
                  <w:tcW w:w="724" w:type="dxa"/>
                  <w:tcBorders>
                    <w:top w:val="nil"/>
                    <w:left w:val="nil"/>
                    <w:bottom w:val="single" w:sz="4" w:space="0" w:color="auto"/>
                    <w:right w:val="nil"/>
                  </w:tcBorders>
                  <w:shd w:val="clear" w:color="auto" w:fill="auto"/>
                  <w:noWrap/>
                  <w:vAlign w:val="center"/>
                  <w:hideMark/>
                </w:tcPr>
                <w:p w14:paraId="684F2486" w14:textId="77777777" w:rsidR="00791377" w:rsidRDefault="00791377" w:rsidP="00791377">
                  <w:pPr>
                    <w:jc w:val="right"/>
                    <w:rPr>
                      <w:rFonts w:ascii="Arial Narrow" w:hAnsi="Arial Narrow" w:cs="Calibri"/>
                      <w:sz w:val="18"/>
                      <w:szCs w:val="18"/>
                    </w:rPr>
                  </w:pPr>
                  <w:r>
                    <w:rPr>
                      <w:rFonts w:ascii="Arial Narrow" w:hAnsi="Arial Narrow" w:cs="Calibri"/>
                      <w:sz w:val="18"/>
                      <w:szCs w:val="18"/>
                    </w:rPr>
                    <w:t>226,3</w:t>
                  </w:r>
                </w:p>
              </w:tc>
            </w:tr>
            <w:tr w:rsidR="00791377" w14:paraId="7183AE54" w14:textId="77777777" w:rsidTr="00786A29">
              <w:trPr>
                <w:trHeight w:val="255"/>
              </w:trPr>
              <w:tc>
                <w:tcPr>
                  <w:tcW w:w="1116" w:type="dxa"/>
                  <w:tcBorders>
                    <w:top w:val="nil"/>
                    <w:left w:val="nil"/>
                    <w:bottom w:val="single" w:sz="4" w:space="0" w:color="auto"/>
                    <w:right w:val="nil"/>
                  </w:tcBorders>
                  <w:shd w:val="clear" w:color="auto" w:fill="auto"/>
                  <w:noWrap/>
                  <w:vAlign w:val="center"/>
                  <w:hideMark/>
                </w:tcPr>
                <w:p w14:paraId="0B0E0F57" w14:textId="77777777" w:rsidR="00791377" w:rsidRDefault="00791377" w:rsidP="00791377">
                  <w:pPr>
                    <w:rPr>
                      <w:rFonts w:ascii="Arial Narrow" w:hAnsi="Arial Narrow" w:cs="Calibri"/>
                      <w:color w:val="000000"/>
                      <w:sz w:val="18"/>
                      <w:szCs w:val="18"/>
                    </w:rPr>
                  </w:pPr>
                  <w:r>
                    <w:rPr>
                      <w:rFonts w:ascii="Arial Narrow" w:hAnsi="Arial Narrow" w:cs="Calibri"/>
                      <w:color w:val="000000"/>
                      <w:sz w:val="18"/>
                      <w:szCs w:val="18"/>
                    </w:rPr>
                    <w:t>Milano</w:t>
                  </w:r>
                </w:p>
              </w:tc>
              <w:tc>
                <w:tcPr>
                  <w:tcW w:w="939" w:type="dxa"/>
                  <w:tcBorders>
                    <w:top w:val="nil"/>
                    <w:left w:val="nil"/>
                    <w:bottom w:val="single" w:sz="4" w:space="0" w:color="auto"/>
                    <w:right w:val="nil"/>
                  </w:tcBorders>
                  <w:shd w:val="clear" w:color="000000" w:fill="D9D9D9"/>
                  <w:noWrap/>
                  <w:vAlign w:val="center"/>
                  <w:hideMark/>
                </w:tcPr>
                <w:p w14:paraId="356F3FD1" w14:textId="77777777" w:rsidR="00791377" w:rsidRDefault="00791377" w:rsidP="00791377">
                  <w:pPr>
                    <w:jc w:val="right"/>
                    <w:rPr>
                      <w:rFonts w:ascii="Arial Narrow" w:hAnsi="Arial Narrow" w:cs="Calibri"/>
                      <w:color w:val="000000"/>
                      <w:sz w:val="18"/>
                      <w:szCs w:val="18"/>
                    </w:rPr>
                  </w:pPr>
                  <w:r>
                    <w:rPr>
                      <w:rFonts w:ascii="Arial Narrow" w:hAnsi="Arial Narrow" w:cs="Calibri"/>
                      <w:color w:val="000000"/>
                      <w:sz w:val="18"/>
                      <w:szCs w:val="18"/>
                    </w:rPr>
                    <w:t>28,9</w:t>
                  </w:r>
                </w:p>
              </w:tc>
              <w:tc>
                <w:tcPr>
                  <w:tcW w:w="729" w:type="dxa"/>
                  <w:tcBorders>
                    <w:top w:val="nil"/>
                    <w:left w:val="nil"/>
                    <w:bottom w:val="single" w:sz="4" w:space="0" w:color="auto"/>
                    <w:right w:val="nil"/>
                  </w:tcBorders>
                  <w:shd w:val="clear" w:color="auto" w:fill="auto"/>
                  <w:noWrap/>
                  <w:vAlign w:val="center"/>
                  <w:hideMark/>
                </w:tcPr>
                <w:p w14:paraId="07F00C25" w14:textId="77777777" w:rsidR="00791377" w:rsidRDefault="00791377" w:rsidP="00791377">
                  <w:pPr>
                    <w:jc w:val="right"/>
                    <w:rPr>
                      <w:rFonts w:ascii="Arial Narrow" w:hAnsi="Arial Narrow" w:cs="Calibri"/>
                      <w:color w:val="000000"/>
                      <w:sz w:val="18"/>
                      <w:szCs w:val="18"/>
                    </w:rPr>
                  </w:pPr>
                  <w:r>
                    <w:rPr>
                      <w:rFonts w:ascii="Arial Narrow" w:hAnsi="Arial Narrow" w:cs="Calibri"/>
                      <w:color w:val="000000"/>
                      <w:sz w:val="18"/>
                      <w:szCs w:val="18"/>
                    </w:rPr>
                    <w:t>61,9</w:t>
                  </w:r>
                </w:p>
              </w:tc>
              <w:tc>
                <w:tcPr>
                  <w:tcW w:w="932" w:type="dxa"/>
                  <w:tcBorders>
                    <w:top w:val="nil"/>
                    <w:left w:val="nil"/>
                    <w:bottom w:val="single" w:sz="4" w:space="0" w:color="auto"/>
                    <w:right w:val="nil"/>
                  </w:tcBorders>
                  <w:shd w:val="clear" w:color="000000" w:fill="D9D9D9"/>
                  <w:noWrap/>
                  <w:vAlign w:val="center"/>
                  <w:hideMark/>
                </w:tcPr>
                <w:p w14:paraId="1F0EAB67" w14:textId="77777777" w:rsidR="00791377" w:rsidRDefault="00791377" w:rsidP="00791377">
                  <w:pPr>
                    <w:jc w:val="right"/>
                    <w:rPr>
                      <w:rFonts w:ascii="Arial Narrow" w:hAnsi="Arial Narrow" w:cs="Calibri"/>
                      <w:sz w:val="18"/>
                      <w:szCs w:val="18"/>
                    </w:rPr>
                  </w:pPr>
                  <w:r>
                    <w:rPr>
                      <w:rFonts w:ascii="Arial Narrow" w:hAnsi="Arial Narrow" w:cs="Calibri"/>
                      <w:sz w:val="18"/>
                      <w:szCs w:val="18"/>
                    </w:rPr>
                    <w:t>21,3</w:t>
                  </w:r>
                </w:p>
              </w:tc>
              <w:tc>
                <w:tcPr>
                  <w:tcW w:w="724" w:type="dxa"/>
                  <w:tcBorders>
                    <w:top w:val="nil"/>
                    <w:left w:val="nil"/>
                    <w:bottom w:val="single" w:sz="4" w:space="0" w:color="auto"/>
                    <w:right w:val="nil"/>
                  </w:tcBorders>
                  <w:shd w:val="clear" w:color="auto" w:fill="auto"/>
                  <w:noWrap/>
                  <w:vAlign w:val="center"/>
                  <w:hideMark/>
                </w:tcPr>
                <w:p w14:paraId="10D25E98" w14:textId="77777777" w:rsidR="00791377" w:rsidRDefault="00791377" w:rsidP="00791377">
                  <w:pPr>
                    <w:jc w:val="right"/>
                    <w:rPr>
                      <w:rFonts w:ascii="Arial Narrow" w:hAnsi="Arial Narrow" w:cs="Calibri"/>
                      <w:sz w:val="18"/>
                      <w:szCs w:val="18"/>
                    </w:rPr>
                  </w:pPr>
                  <w:r>
                    <w:rPr>
                      <w:rFonts w:ascii="Arial Narrow" w:hAnsi="Arial Narrow" w:cs="Calibri"/>
                      <w:sz w:val="18"/>
                      <w:szCs w:val="18"/>
                    </w:rPr>
                    <w:t>212,3</w:t>
                  </w:r>
                </w:p>
              </w:tc>
            </w:tr>
            <w:tr w:rsidR="00791377" w14:paraId="0978F5BE" w14:textId="77777777" w:rsidTr="00786A29">
              <w:trPr>
                <w:trHeight w:val="255"/>
              </w:trPr>
              <w:tc>
                <w:tcPr>
                  <w:tcW w:w="1116" w:type="dxa"/>
                  <w:tcBorders>
                    <w:top w:val="nil"/>
                    <w:left w:val="nil"/>
                    <w:bottom w:val="single" w:sz="4" w:space="0" w:color="auto"/>
                    <w:right w:val="nil"/>
                  </w:tcBorders>
                  <w:shd w:val="clear" w:color="auto" w:fill="auto"/>
                  <w:vAlign w:val="center"/>
                  <w:hideMark/>
                </w:tcPr>
                <w:p w14:paraId="63C3C6CC" w14:textId="77777777" w:rsidR="00791377" w:rsidRDefault="00791377" w:rsidP="00791377">
                  <w:pPr>
                    <w:rPr>
                      <w:rFonts w:ascii="Arial Narrow" w:hAnsi="Arial Narrow" w:cs="Calibri"/>
                      <w:color w:val="000000"/>
                      <w:sz w:val="18"/>
                      <w:szCs w:val="18"/>
                    </w:rPr>
                  </w:pPr>
                  <w:r>
                    <w:rPr>
                      <w:rFonts w:ascii="Arial Narrow" w:hAnsi="Arial Narrow" w:cs="Calibri"/>
                      <w:color w:val="000000"/>
                      <w:sz w:val="18"/>
                      <w:szCs w:val="18"/>
                    </w:rPr>
                    <w:t>Monza e della Brianza</w:t>
                  </w:r>
                </w:p>
              </w:tc>
              <w:tc>
                <w:tcPr>
                  <w:tcW w:w="939" w:type="dxa"/>
                  <w:tcBorders>
                    <w:top w:val="nil"/>
                    <w:left w:val="nil"/>
                    <w:bottom w:val="single" w:sz="4" w:space="0" w:color="auto"/>
                    <w:right w:val="nil"/>
                  </w:tcBorders>
                  <w:shd w:val="clear" w:color="000000" w:fill="D9D9D9"/>
                  <w:noWrap/>
                  <w:vAlign w:val="center"/>
                  <w:hideMark/>
                </w:tcPr>
                <w:p w14:paraId="68AE6ABB" w14:textId="77777777" w:rsidR="00791377" w:rsidRDefault="00791377" w:rsidP="00791377">
                  <w:pPr>
                    <w:jc w:val="right"/>
                    <w:rPr>
                      <w:rFonts w:ascii="Arial Narrow" w:hAnsi="Arial Narrow" w:cs="Calibri"/>
                      <w:color w:val="000000"/>
                      <w:sz w:val="18"/>
                      <w:szCs w:val="18"/>
                    </w:rPr>
                  </w:pPr>
                  <w:r>
                    <w:rPr>
                      <w:rFonts w:ascii="Arial Narrow" w:hAnsi="Arial Narrow" w:cs="Calibri"/>
                      <w:color w:val="000000"/>
                      <w:sz w:val="18"/>
                      <w:szCs w:val="18"/>
                    </w:rPr>
                    <w:t>32,1</w:t>
                  </w:r>
                </w:p>
              </w:tc>
              <w:tc>
                <w:tcPr>
                  <w:tcW w:w="729" w:type="dxa"/>
                  <w:tcBorders>
                    <w:top w:val="nil"/>
                    <w:left w:val="nil"/>
                    <w:bottom w:val="single" w:sz="4" w:space="0" w:color="auto"/>
                    <w:right w:val="nil"/>
                  </w:tcBorders>
                  <w:shd w:val="clear" w:color="auto" w:fill="auto"/>
                  <w:noWrap/>
                  <w:vAlign w:val="center"/>
                  <w:hideMark/>
                </w:tcPr>
                <w:p w14:paraId="064173FC" w14:textId="77777777" w:rsidR="00791377" w:rsidRDefault="00791377" w:rsidP="00791377">
                  <w:pPr>
                    <w:jc w:val="right"/>
                    <w:rPr>
                      <w:rFonts w:ascii="Arial Narrow" w:hAnsi="Arial Narrow" w:cs="Calibri"/>
                      <w:color w:val="000000"/>
                      <w:sz w:val="18"/>
                      <w:szCs w:val="18"/>
                    </w:rPr>
                  </w:pPr>
                  <w:r>
                    <w:rPr>
                      <w:rFonts w:ascii="Arial Narrow" w:hAnsi="Arial Narrow" w:cs="Calibri"/>
                      <w:color w:val="000000"/>
                      <w:sz w:val="18"/>
                      <w:szCs w:val="18"/>
                    </w:rPr>
                    <w:t>60,2</w:t>
                  </w:r>
                </w:p>
              </w:tc>
              <w:tc>
                <w:tcPr>
                  <w:tcW w:w="932" w:type="dxa"/>
                  <w:tcBorders>
                    <w:top w:val="nil"/>
                    <w:left w:val="nil"/>
                    <w:bottom w:val="single" w:sz="4" w:space="0" w:color="auto"/>
                    <w:right w:val="nil"/>
                  </w:tcBorders>
                  <w:shd w:val="clear" w:color="000000" w:fill="D9D9D9"/>
                  <w:noWrap/>
                  <w:vAlign w:val="center"/>
                  <w:hideMark/>
                </w:tcPr>
                <w:p w14:paraId="180B3B2E" w14:textId="77777777" w:rsidR="00791377" w:rsidRDefault="00791377" w:rsidP="00791377">
                  <w:pPr>
                    <w:jc w:val="right"/>
                    <w:rPr>
                      <w:rFonts w:ascii="Arial Narrow" w:hAnsi="Arial Narrow" w:cs="Calibri"/>
                      <w:sz w:val="18"/>
                      <w:szCs w:val="18"/>
                    </w:rPr>
                  </w:pPr>
                  <w:r>
                    <w:rPr>
                      <w:rFonts w:ascii="Arial Narrow" w:hAnsi="Arial Narrow" w:cs="Calibri"/>
                      <w:sz w:val="18"/>
                      <w:szCs w:val="18"/>
                    </w:rPr>
                    <w:t>17,6</w:t>
                  </w:r>
                </w:p>
              </w:tc>
              <w:tc>
                <w:tcPr>
                  <w:tcW w:w="724" w:type="dxa"/>
                  <w:tcBorders>
                    <w:top w:val="nil"/>
                    <w:left w:val="nil"/>
                    <w:bottom w:val="single" w:sz="4" w:space="0" w:color="auto"/>
                    <w:right w:val="nil"/>
                  </w:tcBorders>
                  <w:shd w:val="clear" w:color="auto" w:fill="auto"/>
                  <w:noWrap/>
                  <w:vAlign w:val="center"/>
                  <w:hideMark/>
                </w:tcPr>
                <w:p w14:paraId="01EA02C5" w14:textId="77777777" w:rsidR="00791377" w:rsidRDefault="00791377" w:rsidP="00791377">
                  <w:pPr>
                    <w:jc w:val="right"/>
                    <w:rPr>
                      <w:rFonts w:ascii="Arial Narrow" w:hAnsi="Arial Narrow" w:cs="Calibri"/>
                      <w:sz w:val="18"/>
                      <w:szCs w:val="18"/>
                    </w:rPr>
                  </w:pPr>
                  <w:r>
                    <w:rPr>
                      <w:rFonts w:ascii="Arial Narrow" w:hAnsi="Arial Narrow" w:cs="Calibri"/>
                      <w:sz w:val="18"/>
                      <w:szCs w:val="18"/>
                    </w:rPr>
                    <w:t>191,0</w:t>
                  </w:r>
                </w:p>
              </w:tc>
            </w:tr>
            <w:tr w:rsidR="00791377" w14:paraId="74CEA0A0" w14:textId="77777777" w:rsidTr="00786A29">
              <w:trPr>
                <w:trHeight w:val="255"/>
              </w:trPr>
              <w:tc>
                <w:tcPr>
                  <w:tcW w:w="1116" w:type="dxa"/>
                  <w:tcBorders>
                    <w:top w:val="nil"/>
                    <w:left w:val="nil"/>
                    <w:bottom w:val="single" w:sz="4" w:space="0" w:color="auto"/>
                    <w:right w:val="nil"/>
                  </w:tcBorders>
                  <w:shd w:val="clear" w:color="auto" w:fill="auto"/>
                  <w:noWrap/>
                  <w:vAlign w:val="center"/>
                  <w:hideMark/>
                </w:tcPr>
                <w:p w14:paraId="00783A05" w14:textId="77777777" w:rsidR="00791377" w:rsidRDefault="00791377" w:rsidP="00791377">
                  <w:pPr>
                    <w:rPr>
                      <w:rFonts w:ascii="Arial Narrow" w:hAnsi="Arial Narrow" w:cs="Calibri"/>
                      <w:color w:val="000000"/>
                      <w:sz w:val="18"/>
                      <w:szCs w:val="18"/>
                    </w:rPr>
                  </w:pPr>
                  <w:r>
                    <w:rPr>
                      <w:rFonts w:ascii="Arial Narrow" w:hAnsi="Arial Narrow" w:cs="Calibri"/>
                      <w:color w:val="000000"/>
                      <w:sz w:val="18"/>
                      <w:szCs w:val="18"/>
                    </w:rPr>
                    <w:t>Pavia</w:t>
                  </w:r>
                </w:p>
              </w:tc>
              <w:tc>
                <w:tcPr>
                  <w:tcW w:w="939" w:type="dxa"/>
                  <w:tcBorders>
                    <w:top w:val="nil"/>
                    <w:left w:val="nil"/>
                    <w:bottom w:val="single" w:sz="4" w:space="0" w:color="auto"/>
                    <w:right w:val="nil"/>
                  </w:tcBorders>
                  <w:shd w:val="clear" w:color="000000" w:fill="D9D9D9"/>
                  <w:noWrap/>
                  <w:vAlign w:val="center"/>
                  <w:hideMark/>
                </w:tcPr>
                <w:p w14:paraId="1F567A92" w14:textId="77777777" w:rsidR="00791377" w:rsidRDefault="00791377" w:rsidP="00791377">
                  <w:pPr>
                    <w:jc w:val="right"/>
                    <w:rPr>
                      <w:rFonts w:ascii="Arial Narrow" w:hAnsi="Arial Narrow" w:cs="Calibri"/>
                      <w:color w:val="000000"/>
                      <w:sz w:val="18"/>
                      <w:szCs w:val="18"/>
                    </w:rPr>
                  </w:pPr>
                  <w:r>
                    <w:rPr>
                      <w:rFonts w:ascii="Arial Narrow" w:hAnsi="Arial Narrow" w:cs="Calibri"/>
                      <w:color w:val="000000"/>
                      <w:sz w:val="18"/>
                      <w:szCs w:val="18"/>
                    </w:rPr>
                    <w:t>32,4</w:t>
                  </w:r>
                </w:p>
              </w:tc>
              <w:tc>
                <w:tcPr>
                  <w:tcW w:w="729" w:type="dxa"/>
                  <w:tcBorders>
                    <w:top w:val="nil"/>
                    <w:left w:val="nil"/>
                    <w:bottom w:val="single" w:sz="4" w:space="0" w:color="auto"/>
                    <w:right w:val="nil"/>
                  </w:tcBorders>
                  <w:shd w:val="clear" w:color="auto" w:fill="auto"/>
                  <w:noWrap/>
                  <w:vAlign w:val="center"/>
                  <w:hideMark/>
                </w:tcPr>
                <w:p w14:paraId="53A8F66E" w14:textId="77777777" w:rsidR="00791377" w:rsidRDefault="00791377" w:rsidP="00791377">
                  <w:pPr>
                    <w:jc w:val="right"/>
                    <w:rPr>
                      <w:rFonts w:ascii="Arial Narrow" w:hAnsi="Arial Narrow" w:cs="Calibri"/>
                      <w:color w:val="000000"/>
                      <w:sz w:val="18"/>
                      <w:szCs w:val="18"/>
                    </w:rPr>
                  </w:pPr>
                  <w:r>
                    <w:rPr>
                      <w:rFonts w:ascii="Arial Narrow" w:hAnsi="Arial Narrow" w:cs="Calibri"/>
                      <w:color w:val="000000"/>
                      <w:sz w:val="18"/>
                      <w:szCs w:val="18"/>
                    </w:rPr>
                    <w:t>62,7</w:t>
                  </w:r>
                </w:p>
              </w:tc>
              <w:tc>
                <w:tcPr>
                  <w:tcW w:w="932" w:type="dxa"/>
                  <w:tcBorders>
                    <w:top w:val="nil"/>
                    <w:left w:val="nil"/>
                    <w:bottom w:val="single" w:sz="4" w:space="0" w:color="auto"/>
                    <w:right w:val="nil"/>
                  </w:tcBorders>
                  <w:shd w:val="clear" w:color="000000" w:fill="D9D9D9"/>
                  <w:noWrap/>
                  <w:vAlign w:val="center"/>
                  <w:hideMark/>
                </w:tcPr>
                <w:p w14:paraId="1402ABAC" w14:textId="77777777" w:rsidR="00791377" w:rsidRDefault="00791377" w:rsidP="00791377">
                  <w:pPr>
                    <w:jc w:val="right"/>
                    <w:rPr>
                      <w:rFonts w:ascii="Arial Narrow" w:hAnsi="Arial Narrow" w:cs="Calibri"/>
                      <w:sz w:val="18"/>
                      <w:szCs w:val="18"/>
                    </w:rPr>
                  </w:pPr>
                  <w:r>
                    <w:rPr>
                      <w:rFonts w:ascii="Arial Narrow" w:hAnsi="Arial Narrow" w:cs="Calibri"/>
                      <w:sz w:val="18"/>
                      <w:szCs w:val="18"/>
                    </w:rPr>
                    <w:t>20,8</w:t>
                  </w:r>
                </w:p>
              </w:tc>
              <w:tc>
                <w:tcPr>
                  <w:tcW w:w="724" w:type="dxa"/>
                  <w:tcBorders>
                    <w:top w:val="nil"/>
                    <w:left w:val="nil"/>
                    <w:bottom w:val="single" w:sz="4" w:space="0" w:color="auto"/>
                    <w:right w:val="nil"/>
                  </w:tcBorders>
                  <w:shd w:val="clear" w:color="auto" w:fill="auto"/>
                  <w:noWrap/>
                  <w:vAlign w:val="center"/>
                  <w:hideMark/>
                </w:tcPr>
                <w:p w14:paraId="4580AF37" w14:textId="77777777" w:rsidR="00791377" w:rsidRDefault="00791377" w:rsidP="00791377">
                  <w:pPr>
                    <w:jc w:val="right"/>
                    <w:rPr>
                      <w:rFonts w:ascii="Arial Narrow" w:hAnsi="Arial Narrow" w:cs="Calibri"/>
                      <w:sz w:val="18"/>
                      <w:szCs w:val="18"/>
                    </w:rPr>
                  </w:pPr>
                  <w:r>
                    <w:rPr>
                      <w:rFonts w:ascii="Arial Narrow" w:hAnsi="Arial Narrow" w:cs="Calibri"/>
                      <w:sz w:val="18"/>
                      <w:szCs w:val="18"/>
                    </w:rPr>
                    <w:t>248,5</w:t>
                  </w:r>
                </w:p>
              </w:tc>
            </w:tr>
            <w:tr w:rsidR="00791377" w14:paraId="4024D06E" w14:textId="77777777" w:rsidTr="00786A29">
              <w:trPr>
                <w:trHeight w:val="255"/>
              </w:trPr>
              <w:tc>
                <w:tcPr>
                  <w:tcW w:w="1116" w:type="dxa"/>
                  <w:tcBorders>
                    <w:top w:val="nil"/>
                    <w:left w:val="nil"/>
                    <w:bottom w:val="single" w:sz="4" w:space="0" w:color="auto"/>
                    <w:right w:val="nil"/>
                  </w:tcBorders>
                  <w:shd w:val="clear" w:color="auto" w:fill="auto"/>
                  <w:noWrap/>
                  <w:vAlign w:val="center"/>
                  <w:hideMark/>
                </w:tcPr>
                <w:p w14:paraId="35F51D8D" w14:textId="77777777" w:rsidR="00791377" w:rsidRDefault="00791377" w:rsidP="00791377">
                  <w:pPr>
                    <w:rPr>
                      <w:rFonts w:ascii="Arial Narrow" w:hAnsi="Arial Narrow" w:cs="Calibri"/>
                      <w:color w:val="000000"/>
                      <w:sz w:val="18"/>
                      <w:szCs w:val="18"/>
                    </w:rPr>
                  </w:pPr>
                  <w:r>
                    <w:rPr>
                      <w:rFonts w:ascii="Arial Narrow" w:hAnsi="Arial Narrow" w:cs="Calibri"/>
                      <w:color w:val="000000"/>
                      <w:sz w:val="18"/>
                      <w:szCs w:val="18"/>
                    </w:rPr>
                    <w:t>Sondrio</w:t>
                  </w:r>
                </w:p>
              </w:tc>
              <w:tc>
                <w:tcPr>
                  <w:tcW w:w="939" w:type="dxa"/>
                  <w:tcBorders>
                    <w:top w:val="nil"/>
                    <w:left w:val="nil"/>
                    <w:bottom w:val="single" w:sz="4" w:space="0" w:color="auto"/>
                    <w:right w:val="nil"/>
                  </w:tcBorders>
                  <w:shd w:val="clear" w:color="000000" w:fill="D9D9D9"/>
                  <w:noWrap/>
                  <w:vAlign w:val="center"/>
                  <w:hideMark/>
                </w:tcPr>
                <w:p w14:paraId="177B74C7" w14:textId="77777777" w:rsidR="00791377" w:rsidRDefault="00791377" w:rsidP="00791377">
                  <w:pPr>
                    <w:jc w:val="right"/>
                    <w:rPr>
                      <w:rFonts w:ascii="Arial Narrow" w:hAnsi="Arial Narrow" w:cs="Calibri"/>
                      <w:color w:val="000000"/>
                      <w:sz w:val="18"/>
                      <w:szCs w:val="18"/>
                    </w:rPr>
                  </w:pPr>
                  <w:r>
                    <w:rPr>
                      <w:rFonts w:ascii="Arial Narrow" w:hAnsi="Arial Narrow" w:cs="Calibri"/>
                      <w:color w:val="000000"/>
                      <w:sz w:val="18"/>
                      <w:szCs w:val="18"/>
                    </w:rPr>
                    <w:t>30,0</w:t>
                  </w:r>
                </w:p>
              </w:tc>
              <w:tc>
                <w:tcPr>
                  <w:tcW w:w="729" w:type="dxa"/>
                  <w:tcBorders>
                    <w:top w:val="nil"/>
                    <w:left w:val="nil"/>
                    <w:bottom w:val="single" w:sz="4" w:space="0" w:color="auto"/>
                    <w:right w:val="nil"/>
                  </w:tcBorders>
                  <w:shd w:val="clear" w:color="auto" w:fill="auto"/>
                  <w:noWrap/>
                  <w:vAlign w:val="center"/>
                  <w:hideMark/>
                </w:tcPr>
                <w:p w14:paraId="763BC5DD" w14:textId="77777777" w:rsidR="00791377" w:rsidRDefault="00791377" w:rsidP="00791377">
                  <w:pPr>
                    <w:jc w:val="right"/>
                    <w:rPr>
                      <w:rFonts w:ascii="Arial Narrow" w:hAnsi="Arial Narrow" w:cs="Calibri"/>
                      <w:color w:val="000000"/>
                      <w:sz w:val="18"/>
                      <w:szCs w:val="18"/>
                    </w:rPr>
                  </w:pPr>
                  <w:r>
                    <w:rPr>
                      <w:rFonts w:ascii="Arial Narrow" w:hAnsi="Arial Narrow" w:cs="Calibri"/>
                      <w:color w:val="000000"/>
                      <w:sz w:val="18"/>
                      <w:szCs w:val="18"/>
                    </w:rPr>
                    <w:t>60,6</w:t>
                  </w:r>
                </w:p>
              </w:tc>
              <w:tc>
                <w:tcPr>
                  <w:tcW w:w="932" w:type="dxa"/>
                  <w:tcBorders>
                    <w:top w:val="nil"/>
                    <w:left w:val="nil"/>
                    <w:bottom w:val="single" w:sz="4" w:space="0" w:color="auto"/>
                    <w:right w:val="nil"/>
                  </w:tcBorders>
                  <w:shd w:val="clear" w:color="000000" w:fill="D9D9D9"/>
                  <w:noWrap/>
                  <w:vAlign w:val="center"/>
                  <w:hideMark/>
                </w:tcPr>
                <w:p w14:paraId="6E22ABBD" w14:textId="77777777" w:rsidR="00791377" w:rsidRDefault="00791377" w:rsidP="00791377">
                  <w:pPr>
                    <w:jc w:val="right"/>
                    <w:rPr>
                      <w:rFonts w:ascii="Arial Narrow" w:hAnsi="Arial Narrow" w:cs="Calibri"/>
                      <w:sz w:val="18"/>
                      <w:szCs w:val="18"/>
                    </w:rPr>
                  </w:pPr>
                  <w:r>
                    <w:rPr>
                      <w:rFonts w:ascii="Arial Narrow" w:hAnsi="Arial Narrow" w:cs="Calibri"/>
                      <w:sz w:val="18"/>
                      <w:szCs w:val="18"/>
                    </w:rPr>
                    <w:t>29,8</w:t>
                  </w:r>
                </w:p>
              </w:tc>
              <w:tc>
                <w:tcPr>
                  <w:tcW w:w="724" w:type="dxa"/>
                  <w:tcBorders>
                    <w:top w:val="nil"/>
                    <w:left w:val="nil"/>
                    <w:bottom w:val="single" w:sz="4" w:space="0" w:color="auto"/>
                    <w:right w:val="nil"/>
                  </w:tcBorders>
                  <w:shd w:val="clear" w:color="auto" w:fill="auto"/>
                  <w:noWrap/>
                  <w:vAlign w:val="center"/>
                  <w:hideMark/>
                </w:tcPr>
                <w:p w14:paraId="432366A0" w14:textId="77777777" w:rsidR="00791377" w:rsidRDefault="00791377" w:rsidP="00791377">
                  <w:pPr>
                    <w:jc w:val="right"/>
                    <w:rPr>
                      <w:rFonts w:ascii="Arial Narrow" w:hAnsi="Arial Narrow" w:cs="Calibri"/>
                      <w:sz w:val="18"/>
                      <w:szCs w:val="18"/>
                    </w:rPr>
                  </w:pPr>
                  <w:r>
                    <w:rPr>
                      <w:rFonts w:ascii="Arial Narrow" w:hAnsi="Arial Narrow" w:cs="Calibri"/>
                      <w:sz w:val="18"/>
                      <w:szCs w:val="18"/>
                    </w:rPr>
                    <w:t>203,5</w:t>
                  </w:r>
                </w:p>
              </w:tc>
            </w:tr>
            <w:tr w:rsidR="00791377" w14:paraId="1F61253A" w14:textId="77777777" w:rsidTr="00786A29">
              <w:trPr>
                <w:trHeight w:val="255"/>
              </w:trPr>
              <w:tc>
                <w:tcPr>
                  <w:tcW w:w="1116" w:type="dxa"/>
                  <w:tcBorders>
                    <w:top w:val="nil"/>
                    <w:left w:val="nil"/>
                    <w:bottom w:val="single" w:sz="4" w:space="0" w:color="auto"/>
                    <w:right w:val="nil"/>
                  </w:tcBorders>
                  <w:shd w:val="clear" w:color="auto" w:fill="auto"/>
                  <w:noWrap/>
                  <w:vAlign w:val="center"/>
                  <w:hideMark/>
                </w:tcPr>
                <w:p w14:paraId="5F5CF0AA" w14:textId="77777777" w:rsidR="00791377" w:rsidRDefault="00791377" w:rsidP="00791377">
                  <w:pPr>
                    <w:rPr>
                      <w:rFonts w:ascii="Arial Narrow" w:hAnsi="Arial Narrow" w:cs="Calibri"/>
                      <w:color w:val="000000"/>
                      <w:sz w:val="18"/>
                      <w:szCs w:val="18"/>
                    </w:rPr>
                  </w:pPr>
                  <w:r>
                    <w:rPr>
                      <w:rFonts w:ascii="Arial Narrow" w:hAnsi="Arial Narrow" w:cs="Calibri"/>
                      <w:color w:val="000000"/>
                      <w:sz w:val="18"/>
                      <w:szCs w:val="18"/>
                    </w:rPr>
                    <w:t>Varese</w:t>
                  </w:r>
                </w:p>
              </w:tc>
              <w:tc>
                <w:tcPr>
                  <w:tcW w:w="939" w:type="dxa"/>
                  <w:tcBorders>
                    <w:top w:val="nil"/>
                    <w:left w:val="nil"/>
                    <w:bottom w:val="single" w:sz="4" w:space="0" w:color="auto"/>
                    <w:right w:val="nil"/>
                  </w:tcBorders>
                  <w:shd w:val="clear" w:color="000000" w:fill="D9D9D9"/>
                  <w:noWrap/>
                  <w:vAlign w:val="center"/>
                  <w:hideMark/>
                </w:tcPr>
                <w:p w14:paraId="0B898865" w14:textId="77777777" w:rsidR="00791377" w:rsidRDefault="00791377" w:rsidP="00791377">
                  <w:pPr>
                    <w:jc w:val="right"/>
                    <w:rPr>
                      <w:rFonts w:ascii="Arial Narrow" w:hAnsi="Arial Narrow" w:cs="Calibri"/>
                      <w:color w:val="000000"/>
                      <w:sz w:val="18"/>
                      <w:szCs w:val="18"/>
                    </w:rPr>
                  </w:pPr>
                  <w:r>
                    <w:rPr>
                      <w:rFonts w:ascii="Arial Narrow" w:hAnsi="Arial Narrow" w:cs="Calibri"/>
                      <w:color w:val="000000"/>
                      <w:sz w:val="18"/>
                      <w:szCs w:val="18"/>
                    </w:rPr>
                    <w:t>33,6</w:t>
                  </w:r>
                </w:p>
              </w:tc>
              <w:tc>
                <w:tcPr>
                  <w:tcW w:w="729" w:type="dxa"/>
                  <w:tcBorders>
                    <w:top w:val="nil"/>
                    <w:left w:val="nil"/>
                    <w:bottom w:val="single" w:sz="4" w:space="0" w:color="auto"/>
                    <w:right w:val="nil"/>
                  </w:tcBorders>
                  <w:shd w:val="clear" w:color="auto" w:fill="auto"/>
                  <w:noWrap/>
                  <w:vAlign w:val="center"/>
                  <w:hideMark/>
                </w:tcPr>
                <w:p w14:paraId="36424DFA" w14:textId="77777777" w:rsidR="00791377" w:rsidRDefault="00791377" w:rsidP="00791377">
                  <w:pPr>
                    <w:jc w:val="right"/>
                    <w:rPr>
                      <w:rFonts w:ascii="Arial Narrow" w:hAnsi="Arial Narrow" w:cs="Calibri"/>
                      <w:color w:val="000000"/>
                      <w:sz w:val="18"/>
                      <w:szCs w:val="18"/>
                    </w:rPr>
                  </w:pPr>
                  <w:r>
                    <w:rPr>
                      <w:rFonts w:ascii="Arial Narrow" w:hAnsi="Arial Narrow" w:cs="Calibri"/>
                      <w:color w:val="000000"/>
                      <w:sz w:val="18"/>
                      <w:szCs w:val="18"/>
                    </w:rPr>
                    <w:t>62,3</w:t>
                  </w:r>
                </w:p>
              </w:tc>
              <w:tc>
                <w:tcPr>
                  <w:tcW w:w="932" w:type="dxa"/>
                  <w:tcBorders>
                    <w:top w:val="nil"/>
                    <w:left w:val="nil"/>
                    <w:bottom w:val="single" w:sz="4" w:space="0" w:color="auto"/>
                    <w:right w:val="nil"/>
                  </w:tcBorders>
                  <w:shd w:val="clear" w:color="000000" w:fill="D9D9D9"/>
                  <w:noWrap/>
                  <w:vAlign w:val="center"/>
                  <w:hideMark/>
                </w:tcPr>
                <w:p w14:paraId="28B64E02" w14:textId="77777777" w:rsidR="00791377" w:rsidRDefault="00791377" w:rsidP="00791377">
                  <w:pPr>
                    <w:jc w:val="right"/>
                    <w:rPr>
                      <w:rFonts w:ascii="Arial Narrow" w:hAnsi="Arial Narrow" w:cs="Calibri"/>
                      <w:sz w:val="18"/>
                      <w:szCs w:val="18"/>
                    </w:rPr>
                  </w:pPr>
                  <w:r>
                    <w:rPr>
                      <w:rFonts w:ascii="Arial Narrow" w:hAnsi="Arial Narrow" w:cs="Calibri"/>
                      <w:sz w:val="18"/>
                      <w:szCs w:val="18"/>
                    </w:rPr>
                    <w:t>31,0</w:t>
                  </w:r>
                </w:p>
              </w:tc>
              <w:tc>
                <w:tcPr>
                  <w:tcW w:w="724" w:type="dxa"/>
                  <w:tcBorders>
                    <w:top w:val="nil"/>
                    <w:left w:val="nil"/>
                    <w:bottom w:val="single" w:sz="4" w:space="0" w:color="auto"/>
                    <w:right w:val="nil"/>
                  </w:tcBorders>
                  <w:shd w:val="clear" w:color="auto" w:fill="auto"/>
                  <w:noWrap/>
                  <w:vAlign w:val="center"/>
                  <w:hideMark/>
                </w:tcPr>
                <w:p w14:paraId="74DB6290" w14:textId="77777777" w:rsidR="00791377" w:rsidRDefault="00791377" w:rsidP="00791377">
                  <w:pPr>
                    <w:jc w:val="right"/>
                    <w:rPr>
                      <w:rFonts w:ascii="Arial Narrow" w:hAnsi="Arial Narrow" w:cs="Calibri"/>
                      <w:sz w:val="18"/>
                      <w:szCs w:val="18"/>
                    </w:rPr>
                  </w:pPr>
                  <w:r>
                    <w:rPr>
                      <w:rFonts w:ascii="Arial Narrow" w:hAnsi="Arial Narrow" w:cs="Calibri"/>
                      <w:sz w:val="18"/>
                      <w:szCs w:val="18"/>
                    </w:rPr>
                    <w:t>205,1</w:t>
                  </w:r>
                </w:p>
              </w:tc>
            </w:tr>
            <w:tr w:rsidR="00791377" w14:paraId="3DA1A34C" w14:textId="77777777" w:rsidTr="00786A29">
              <w:trPr>
                <w:trHeight w:val="255"/>
              </w:trPr>
              <w:tc>
                <w:tcPr>
                  <w:tcW w:w="1116" w:type="dxa"/>
                  <w:tcBorders>
                    <w:top w:val="nil"/>
                    <w:left w:val="nil"/>
                    <w:bottom w:val="nil"/>
                    <w:right w:val="nil"/>
                  </w:tcBorders>
                  <w:shd w:val="clear" w:color="000000" w:fill="C9321F"/>
                  <w:noWrap/>
                  <w:vAlign w:val="center"/>
                  <w:hideMark/>
                </w:tcPr>
                <w:p w14:paraId="6CDDDFBC" w14:textId="77777777" w:rsidR="00791377" w:rsidRDefault="00791377" w:rsidP="00791377">
                  <w:pPr>
                    <w:rPr>
                      <w:rFonts w:ascii="Arial Narrow" w:hAnsi="Arial Narrow" w:cs="Calibri"/>
                      <w:b/>
                      <w:bCs/>
                      <w:color w:val="FFFFFF"/>
                      <w:sz w:val="18"/>
                      <w:szCs w:val="18"/>
                    </w:rPr>
                  </w:pPr>
                  <w:r>
                    <w:rPr>
                      <w:rFonts w:ascii="Arial Narrow" w:hAnsi="Arial Narrow" w:cs="Calibri"/>
                      <w:b/>
                      <w:bCs/>
                      <w:color w:val="FFFFFF"/>
                      <w:sz w:val="18"/>
                      <w:szCs w:val="18"/>
                    </w:rPr>
                    <w:t>LOMBARDIA</w:t>
                  </w:r>
                </w:p>
              </w:tc>
              <w:tc>
                <w:tcPr>
                  <w:tcW w:w="939" w:type="dxa"/>
                  <w:tcBorders>
                    <w:top w:val="nil"/>
                    <w:left w:val="nil"/>
                    <w:bottom w:val="nil"/>
                    <w:right w:val="nil"/>
                  </w:tcBorders>
                  <w:shd w:val="clear" w:color="000000" w:fill="C9321F"/>
                  <w:noWrap/>
                  <w:vAlign w:val="center"/>
                  <w:hideMark/>
                </w:tcPr>
                <w:p w14:paraId="16DD1BF2" w14:textId="77777777" w:rsidR="00791377" w:rsidRDefault="00791377" w:rsidP="00791377">
                  <w:pPr>
                    <w:jc w:val="right"/>
                    <w:rPr>
                      <w:rFonts w:ascii="Arial Narrow" w:hAnsi="Arial Narrow" w:cs="Calibri"/>
                      <w:b/>
                      <w:bCs/>
                      <w:color w:val="FFFFFF"/>
                      <w:sz w:val="18"/>
                      <w:szCs w:val="18"/>
                    </w:rPr>
                  </w:pPr>
                  <w:r>
                    <w:rPr>
                      <w:rFonts w:ascii="Arial Narrow" w:hAnsi="Arial Narrow" w:cs="Calibri"/>
                      <w:b/>
                      <w:bCs/>
                      <w:color w:val="FFFFFF"/>
                      <w:sz w:val="18"/>
                      <w:szCs w:val="18"/>
                    </w:rPr>
                    <w:t>31,5</w:t>
                  </w:r>
                </w:p>
              </w:tc>
              <w:tc>
                <w:tcPr>
                  <w:tcW w:w="729" w:type="dxa"/>
                  <w:tcBorders>
                    <w:top w:val="nil"/>
                    <w:left w:val="nil"/>
                    <w:bottom w:val="nil"/>
                    <w:right w:val="nil"/>
                  </w:tcBorders>
                  <w:shd w:val="clear" w:color="000000" w:fill="C9321F"/>
                  <w:noWrap/>
                  <w:vAlign w:val="center"/>
                  <w:hideMark/>
                </w:tcPr>
                <w:p w14:paraId="3B85D514" w14:textId="77777777" w:rsidR="00791377" w:rsidRDefault="00791377" w:rsidP="00791377">
                  <w:pPr>
                    <w:jc w:val="right"/>
                    <w:rPr>
                      <w:rFonts w:ascii="Arial Narrow" w:hAnsi="Arial Narrow" w:cs="Calibri"/>
                      <w:b/>
                      <w:bCs/>
                      <w:color w:val="FFFFFF"/>
                      <w:sz w:val="18"/>
                      <w:szCs w:val="18"/>
                    </w:rPr>
                  </w:pPr>
                  <w:r>
                    <w:rPr>
                      <w:rFonts w:ascii="Arial Narrow" w:hAnsi="Arial Narrow" w:cs="Calibri"/>
                      <w:b/>
                      <w:bCs/>
                      <w:color w:val="FFFFFF"/>
                      <w:sz w:val="18"/>
                      <w:szCs w:val="18"/>
                    </w:rPr>
                    <w:t>60,9</w:t>
                  </w:r>
                </w:p>
              </w:tc>
              <w:tc>
                <w:tcPr>
                  <w:tcW w:w="932" w:type="dxa"/>
                  <w:tcBorders>
                    <w:top w:val="nil"/>
                    <w:left w:val="nil"/>
                    <w:bottom w:val="nil"/>
                    <w:right w:val="nil"/>
                  </w:tcBorders>
                  <w:shd w:val="clear" w:color="000000" w:fill="C9321F"/>
                  <w:noWrap/>
                  <w:vAlign w:val="center"/>
                  <w:hideMark/>
                </w:tcPr>
                <w:p w14:paraId="184C22A8" w14:textId="77777777" w:rsidR="00791377" w:rsidRDefault="00791377" w:rsidP="00791377">
                  <w:pPr>
                    <w:jc w:val="right"/>
                    <w:rPr>
                      <w:rFonts w:ascii="Arial Narrow" w:hAnsi="Arial Narrow" w:cs="Calibri"/>
                      <w:b/>
                      <w:bCs/>
                      <w:color w:val="FFFFFF"/>
                      <w:sz w:val="18"/>
                      <w:szCs w:val="18"/>
                    </w:rPr>
                  </w:pPr>
                  <w:r>
                    <w:rPr>
                      <w:rFonts w:ascii="Arial Narrow" w:hAnsi="Arial Narrow" w:cs="Calibri"/>
                      <w:b/>
                      <w:bCs/>
                      <w:color w:val="FFFFFF"/>
                      <w:sz w:val="18"/>
                      <w:szCs w:val="18"/>
                    </w:rPr>
                    <w:t>21,8</w:t>
                  </w:r>
                </w:p>
              </w:tc>
              <w:tc>
                <w:tcPr>
                  <w:tcW w:w="724" w:type="dxa"/>
                  <w:tcBorders>
                    <w:top w:val="nil"/>
                    <w:left w:val="nil"/>
                    <w:bottom w:val="nil"/>
                    <w:right w:val="nil"/>
                  </w:tcBorders>
                  <w:shd w:val="clear" w:color="000000" w:fill="C9321F"/>
                  <w:noWrap/>
                  <w:vAlign w:val="center"/>
                  <w:hideMark/>
                </w:tcPr>
                <w:p w14:paraId="3BDA37F6" w14:textId="77777777" w:rsidR="00791377" w:rsidRDefault="00791377" w:rsidP="00791377">
                  <w:pPr>
                    <w:jc w:val="right"/>
                    <w:rPr>
                      <w:rFonts w:ascii="Arial Narrow" w:hAnsi="Arial Narrow" w:cs="Calibri"/>
                      <w:b/>
                      <w:bCs/>
                      <w:color w:val="FFFFFF"/>
                      <w:sz w:val="18"/>
                      <w:szCs w:val="18"/>
                    </w:rPr>
                  </w:pPr>
                  <w:r>
                    <w:rPr>
                      <w:rFonts w:ascii="Arial Narrow" w:hAnsi="Arial Narrow" w:cs="Calibri"/>
                      <w:b/>
                      <w:bCs/>
                      <w:color w:val="FFFFFF"/>
                      <w:sz w:val="18"/>
                      <w:szCs w:val="18"/>
                    </w:rPr>
                    <w:t>204,6</w:t>
                  </w:r>
                </w:p>
              </w:tc>
            </w:tr>
            <w:tr w:rsidR="00791377" w14:paraId="3C68C117" w14:textId="77777777" w:rsidTr="00786A29">
              <w:trPr>
                <w:trHeight w:val="255"/>
              </w:trPr>
              <w:tc>
                <w:tcPr>
                  <w:tcW w:w="1116" w:type="dxa"/>
                  <w:tcBorders>
                    <w:top w:val="nil"/>
                    <w:left w:val="nil"/>
                    <w:bottom w:val="single" w:sz="4" w:space="0" w:color="auto"/>
                    <w:right w:val="nil"/>
                  </w:tcBorders>
                  <w:shd w:val="clear" w:color="000000" w:fill="C9321F"/>
                  <w:noWrap/>
                  <w:vAlign w:val="center"/>
                  <w:hideMark/>
                </w:tcPr>
                <w:p w14:paraId="7D0266A8" w14:textId="77777777" w:rsidR="00791377" w:rsidRDefault="00791377" w:rsidP="00791377">
                  <w:pPr>
                    <w:rPr>
                      <w:rFonts w:ascii="Arial Narrow" w:hAnsi="Arial Narrow" w:cs="Calibri"/>
                      <w:b/>
                      <w:bCs/>
                      <w:color w:val="FFFFFF"/>
                      <w:sz w:val="18"/>
                      <w:szCs w:val="18"/>
                    </w:rPr>
                  </w:pPr>
                  <w:r>
                    <w:rPr>
                      <w:rFonts w:ascii="Arial Narrow" w:hAnsi="Arial Narrow" w:cs="Calibri"/>
                      <w:b/>
                      <w:bCs/>
                      <w:color w:val="FFFFFF"/>
                      <w:sz w:val="18"/>
                      <w:szCs w:val="18"/>
                    </w:rPr>
                    <w:t>ITALIA</w:t>
                  </w:r>
                </w:p>
              </w:tc>
              <w:tc>
                <w:tcPr>
                  <w:tcW w:w="939" w:type="dxa"/>
                  <w:tcBorders>
                    <w:top w:val="nil"/>
                    <w:left w:val="nil"/>
                    <w:bottom w:val="single" w:sz="4" w:space="0" w:color="auto"/>
                    <w:right w:val="nil"/>
                  </w:tcBorders>
                  <w:shd w:val="clear" w:color="000000" w:fill="C9321F"/>
                  <w:noWrap/>
                  <w:vAlign w:val="center"/>
                  <w:hideMark/>
                </w:tcPr>
                <w:p w14:paraId="6029493E" w14:textId="77777777" w:rsidR="00791377" w:rsidRDefault="00791377" w:rsidP="00791377">
                  <w:pPr>
                    <w:jc w:val="right"/>
                    <w:rPr>
                      <w:rFonts w:ascii="Arial Narrow" w:hAnsi="Arial Narrow" w:cs="Calibri"/>
                      <w:b/>
                      <w:bCs/>
                      <w:color w:val="FFFFFF"/>
                      <w:sz w:val="18"/>
                      <w:szCs w:val="18"/>
                    </w:rPr>
                  </w:pPr>
                  <w:r>
                    <w:rPr>
                      <w:rFonts w:ascii="Arial Narrow" w:hAnsi="Arial Narrow" w:cs="Calibri"/>
                      <w:b/>
                      <w:bCs/>
                      <w:color w:val="FFFFFF"/>
                      <w:sz w:val="18"/>
                      <w:szCs w:val="18"/>
                    </w:rPr>
                    <w:t>28,9</w:t>
                  </w:r>
                </w:p>
              </w:tc>
              <w:tc>
                <w:tcPr>
                  <w:tcW w:w="729" w:type="dxa"/>
                  <w:tcBorders>
                    <w:top w:val="nil"/>
                    <w:left w:val="nil"/>
                    <w:bottom w:val="single" w:sz="4" w:space="0" w:color="auto"/>
                    <w:right w:val="nil"/>
                  </w:tcBorders>
                  <w:shd w:val="clear" w:color="000000" w:fill="C9321F"/>
                  <w:noWrap/>
                  <w:vAlign w:val="center"/>
                  <w:hideMark/>
                </w:tcPr>
                <w:p w14:paraId="2AEBC670" w14:textId="77777777" w:rsidR="00791377" w:rsidRDefault="00791377" w:rsidP="00791377">
                  <w:pPr>
                    <w:jc w:val="right"/>
                    <w:rPr>
                      <w:rFonts w:ascii="Arial Narrow" w:hAnsi="Arial Narrow" w:cs="Calibri"/>
                      <w:b/>
                      <w:bCs/>
                      <w:color w:val="FFFFFF"/>
                      <w:sz w:val="18"/>
                      <w:szCs w:val="18"/>
                    </w:rPr>
                  </w:pPr>
                  <w:r>
                    <w:rPr>
                      <w:rFonts w:ascii="Arial Narrow" w:hAnsi="Arial Narrow" w:cs="Calibri"/>
                      <w:b/>
                      <w:bCs/>
                      <w:color w:val="FFFFFF"/>
                      <w:sz w:val="18"/>
                      <w:szCs w:val="18"/>
                    </w:rPr>
                    <w:t>60,7</w:t>
                  </w:r>
                </w:p>
              </w:tc>
              <w:tc>
                <w:tcPr>
                  <w:tcW w:w="932" w:type="dxa"/>
                  <w:tcBorders>
                    <w:top w:val="nil"/>
                    <w:left w:val="nil"/>
                    <w:bottom w:val="single" w:sz="4" w:space="0" w:color="auto"/>
                    <w:right w:val="nil"/>
                  </w:tcBorders>
                  <w:shd w:val="clear" w:color="000000" w:fill="C9321F"/>
                  <w:noWrap/>
                  <w:vAlign w:val="center"/>
                  <w:hideMark/>
                </w:tcPr>
                <w:p w14:paraId="32287448" w14:textId="77777777" w:rsidR="00791377" w:rsidRDefault="00791377" w:rsidP="00791377">
                  <w:pPr>
                    <w:jc w:val="right"/>
                    <w:rPr>
                      <w:rFonts w:ascii="Arial Narrow" w:hAnsi="Arial Narrow" w:cs="Calibri"/>
                      <w:b/>
                      <w:bCs/>
                      <w:color w:val="FFFFFF"/>
                      <w:sz w:val="18"/>
                      <w:szCs w:val="18"/>
                    </w:rPr>
                  </w:pPr>
                  <w:r>
                    <w:rPr>
                      <w:rFonts w:ascii="Arial Narrow" w:hAnsi="Arial Narrow" w:cs="Calibri"/>
                      <w:b/>
                      <w:bCs/>
                      <w:color w:val="FFFFFF"/>
                      <w:sz w:val="18"/>
                      <w:szCs w:val="18"/>
                    </w:rPr>
                    <w:t>27,7</w:t>
                  </w:r>
                </w:p>
              </w:tc>
              <w:tc>
                <w:tcPr>
                  <w:tcW w:w="724" w:type="dxa"/>
                  <w:tcBorders>
                    <w:top w:val="nil"/>
                    <w:left w:val="nil"/>
                    <w:bottom w:val="single" w:sz="4" w:space="0" w:color="auto"/>
                    <w:right w:val="nil"/>
                  </w:tcBorders>
                  <w:shd w:val="clear" w:color="000000" w:fill="C9321F"/>
                  <w:noWrap/>
                  <w:vAlign w:val="center"/>
                  <w:hideMark/>
                </w:tcPr>
                <w:p w14:paraId="5501AD78" w14:textId="77777777" w:rsidR="00791377" w:rsidRDefault="00791377" w:rsidP="00791377">
                  <w:pPr>
                    <w:jc w:val="right"/>
                    <w:rPr>
                      <w:rFonts w:ascii="Arial Narrow" w:hAnsi="Arial Narrow" w:cs="Calibri"/>
                      <w:b/>
                      <w:bCs/>
                      <w:color w:val="FFFFFF"/>
                      <w:sz w:val="18"/>
                      <w:szCs w:val="18"/>
                    </w:rPr>
                  </w:pPr>
                  <w:r>
                    <w:rPr>
                      <w:rFonts w:ascii="Arial Narrow" w:hAnsi="Arial Narrow" w:cs="Calibri"/>
                      <w:b/>
                      <w:bCs/>
                      <w:color w:val="FFFFFF"/>
                      <w:sz w:val="18"/>
                      <w:szCs w:val="18"/>
                    </w:rPr>
                    <w:t>203,5</w:t>
                  </w:r>
                </w:p>
              </w:tc>
            </w:tr>
          </w:tbl>
          <w:p w14:paraId="0D2DA570" w14:textId="77777777" w:rsidR="001F7162" w:rsidRDefault="001F7162" w:rsidP="00FE7046">
            <w:pPr>
              <w:keepLines/>
              <w:spacing w:after="120"/>
              <w:ind w:right="502"/>
              <w:jc w:val="both"/>
              <w:rPr>
                <w:rFonts w:ascii="Arial Narrow" w:eastAsia="Calibri" w:hAnsi="Arial Narrow" w:cs="Arial"/>
                <w:b/>
                <w:bCs/>
                <w:color w:val="595959"/>
                <w:sz w:val="6"/>
                <w:szCs w:val="6"/>
              </w:rPr>
            </w:pPr>
          </w:p>
        </w:tc>
      </w:tr>
    </w:tbl>
    <w:p w14:paraId="0A09A390" w14:textId="78D77AFD" w:rsidR="004162C3" w:rsidRPr="00F808CD" w:rsidRDefault="004162C3" w:rsidP="00BB0936">
      <w:pPr>
        <w:tabs>
          <w:tab w:val="left" w:pos="567"/>
        </w:tabs>
        <w:spacing w:after="120"/>
        <w:jc w:val="both"/>
        <w:rPr>
          <w:rFonts w:ascii="Trebuchet MS" w:hAnsi="Trebuchet MS" w:cs="Arial"/>
          <w:color w:val="5F5F5F"/>
          <w:sz w:val="20"/>
          <w:szCs w:val="20"/>
        </w:rPr>
      </w:pPr>
    </w:p>
    <w:p w14:paraId="2DB92B15" w14:textId="1DA737DD" w:rsidR="00BB0936" w:rsidRPr="004B4182" w:rsidRDefault="00681666" w:rsidP="00BB0936">
      <w:pPr>
        <w:tabs>
          <w:tab w:val="left" w:pos="567"/>
        </w:tabs>
        <w:spacing w:before="120" w:after="120"/>
        <w:jc w:val="both"/>
        <w:rPr>
          <w:rFonts w:ascii="Trebuchet MS" w:hAnsi="Trebuchet MS" w:cs="Arial"/>
          <w:color w:val="5F5F5F"/>
          <w:sz w:val="20"/>
          <w:szCs w:val="20"/>
        </w:rPr>
      </w:pPr>
      <w:r w:rsidRPr="004B4182">
        <w:rPr>
          <w:rFonts w:ascii="Trebuchet MS" w:hAnsi="Trebuchet MS" w:cs="Arial"/>
          <w:color w:val="5F5F5F"/>
          <w:sz w:val="20"/>
          <w:szCs w:val="20"/>
        </w:rPr>
        <w:t>Quanto</w:t>
      </w:r>
      <w:r w:rsidR="00BB0936" w:rsidRPr="004B4182">
        <w:rPr>
          <w:rFonts w:ascii="Trebuchet MS" w:hAnsi="Trebuchet MS" w:cs="Arial"/>
          <w:color w:val="5F5F5F"/>
          <w:sz w:val="20"/>
          <w:szCs w:val="20"/>
        </w:rPr>
        <w:t xml:space="preserve"> alla distribuzione per cittadinanza</w:t>
      </w:r>
      <w:r w:rsidR="00B1604F" w:rsidRPr="004B4182">
        <w:rPr>
          <w:rFonts w:ascii="Trebuchet MS" w:hAnsi="Trebuchet MS" w:cs="Arial"/>
          <w:color w:val="5F5F5F"/>
          <w:sz w:val="20"/>
          <w:szCs w:val="20"/>
        </w:rPr>
        <w:t>, nel 2020 il 36,6%</w:t>
      </w:r>
      <w:r w:rsidR="00BB0936" w:rsidRPr="004B4182">
        <w:rPr>
          <w:rFonts w:ascii="Trebuchet MS" w:hAnsi="Trebuchet MS" w:cs="Arial"/>
          <w:color w:val="5F5F5F"/>
          <w:sz w:val="20"/>
          <w:szCs w:val="20"/>
        </w:rPr>
        <w:t xml:space="preserve"> dei cittadini stranieri dimoranti in regio</w:t>
      </w:r>
      <w:r w:rsidR="00B1604F" w:rsidRPr="004B4182">
        <w:rPr>
          <w:rFonts w:ascii="Trebuchet MS" w:hAnsi="Trebuchet MS" w:cs="Arial"/>
          <w:color w:val="5F5F5F"/>
          <w:sz w:val="20"/>
          <w:szCs w:val="20"/>
        </w:rPr>
        <w:t>ne proviene dall’Europa, il 25,7</w:t>
      </w:r>
      <w:r w:rsidR="00BB0936" w:rsidRPr="004B4182">
        <w:rPr>
          <w:rFonts w:ascii="Trebuchet MS" w:hAnsi="Trebuchet MS" w:cs="Arial"/>
          <w:color w:val="5F5F5F"/>
          <w:sz w:val="20"/>
          <w:szCs w:val="20"/>
        </w:rPr>
        <w:t>% dall’Asia</w:t>
      </w:r>
      <w:r w:rsidRPr="004B4182">
        <w:rPr>
          <w:rFonts w:ascii="Trebuchet MS" w:hAnsi="Trebuchet MS" w:cs="Arial"/>
          <w:color w:val="5F5F5F"/>
          <w:sz w:val="20"/>
          <w:szCs w:val="20"/>
        </w:rPr>
        <w:t>,</w:t>
      </w:r>
      <w:r w:rsidR="00B1604F" w:rsidRPr="004B4182">
        <w:rPr>
          <w:rFonts w:ascii="Trebuchet MS" w:hAnsi="Trebuchet MS" w:cs="Arial"/>
          <w:color w:val="5F5F5F"/>
          <w:sz w:val="20"/>
          <w:szCs w:val="20"/>
        </w:rPr>
        <w:t xml:space="preserve"> il 25,6% dall’Africa e il 12,2</w:t>
      </w:r>
      <w:r w:rsidR="00BB0936" w:rsidRPr="004B4182">
        <w:rPr>
          <w:rFonts w:ascii="Trebuchet MS" w:hAnsi="Trebuchet MS" w:cs="Arial"/>
          <w:color w:val="5F5F5F"/>
          <w:sz w:val="20"/>
          <w:szCs w:val="20"/>
        </w:rPr>
        <w:t>% dall’America. So</w:t>
      </w:r>
      <w:r w:rsidRPr="004B4182">
        <w:rPr>
          <w:rFonts w:ascii="Trebuchet MS" w:hAnsi="Trebuchet MS" w:cs="Arial"/>
          <w:color w:val="5F5F5F"/>
          <w:sz w:val="20"/>
          <w:szCs w:val="20"/>
        </w:rPr>
        <w:t>n</w:t>
      </w:r>
      <w:r w:rsidR="00BB0936" w:rsidRPr="004B4182">
        <w:rPr>
          <w:rFonts w:ascii="Trebuchet MS" w:hAnsi="Trebuchet MS" w:cs="Arial"/>
          <w:color w:val="5F5F5F"/>
          <w:sz w:val="20"/>
          <w:szCs w:val="20"/>
        </w:rPr>
        <w:t xml:space="preserve">o residuali le presenze dall’Oceania e </w:t>
      </w:r>
      <w:r w:rsidR="00FF54A8" w:rsidRPr="004B4182">
        <w:rPr>
          <w:rFonts w:ascii="Trebuchet MS" w:hAnsi="Trebuchet MS" w:cs="Arial"/>
          <w:color w:val="5F5F5F"/>
          <w:sz w:val="20"/>
          <w:szCs w:val="20"/>
        </w:rPr>
        <w:t xml:space="preserve">di </w:t>
      </w:r>
      <w:r w:rsidR="00BB0936" w:rsidRPr="004B4182">
        <w:rPr>
          <w:rFonts w:ascii="Trebuchet MS" w:hAnsi="Trebuchet MS" w:cs="Arial"/>
          <w:color w:val="5F5F5F"/>
          <w:sz w:val="20"/>
          <w:szCs w:val="20"/>
        </w:rPr>
        <w:t>apolidi.</w:t>
      </w:r>
    </w:p>
    <w:p w14:paraId="71817364" w14:textId="7F1B6B2F" w:rsidR="00681666" w:rsidRPr="005F14A6" w:rsidRDefault="009A6A8A" w:rsidP="00681666">
      <w:pPr>
        <w:tabs>
          <w:tab w:val="left" w:pos="567"/>
        </w:tabs>
        <w:spacing w:before="120" w:after="120"/>
        <w:jc w:val="both"/>
        <w:rPr>
          <w:rFonts w:ascii="Trebuchet MS" w:hAnsi="Trebuchet MS" w:cs="Arial"/>
          <w:color w:val="5F5F5F"/>
          <w:sz w:val="20"/>
          <w:szCs w:val="20"/>
        </w:rPr>
      </w:pPr>
      <w:r>
        <w:rPr>
          <w:rFonts w:ascii="Trebuchet MS" w:hAnsi="Trebuchet MS" w:cs="Arial"/>
          <w:color w:val="5F5F5F"/>
          <w:sz w:val="20"/>
          <w:szCs w:val="20"/>
        </w:rPr>
        <w:t>Anche i</w:t>
      </w:r>
      <w:r w:rsidR="00681666" w:rsidRPr="004B4182">
        <w:rPr>
          <w:rFonts w:ascii="Trebuchet MS" w:hAnsi="Trebuchet MS" w:cs="Arial"/>
          <w:color w:val="5F5F5F"/>
          <w:sz w:val="20"/>
          <w:szCs w:val="20"/>
        </w:rPr>
        <w:t xml:space="preserve">n virtù della nuova metodologia che ha fatto emergere quote di stranieri presenti da tempo sul territorio </w:t>
      </w:r>
      <w:r w:rsidR="00681666" w:rsidRPr="00125C45">
        <w:rPr>
          <w:rFonts w:ascii="Trebuchet MS" w:hAnsi="Trebuchet MS" w:cs="Arial"/>
          <w:color w:val="5F5F5F"/>
          <w:sz w:val="20"/>
          <w:szCs w:val="20"/>
        </w:rPr>
        <w:t xml:space="preserve">italiano, tutti i continenti registrano valori più elevati rispetto al </w:t>
      </w:r>
      <w:r w:rsidR="004B4182" w:rsidRPr="00125C45">
        <w:rPr>
          <w:rFonts w:ascii="Trebuchet MS" w:hAnsi="Trebuchet MS" w:cs="Arial"/>
          <w:color w:val="5F5F5F"/>
          <w:sz w:val="20"/>
          <w:szCs w:val="20"/>
        </w:rPr>
        <w:t>2019, ad eccezione degli apolidi che conta</w:t>
      </w:r>
      <w:r w:rsidR="00C359B4" w:rsidRPr="00125C45">
        <w:rPr>
          <w:rFonts w:ascii="Trebuchet MS" w:hAnsi="Trebuchet MS" w:cs="Arial"/>
          <w:color w:val="5F5F5F"/>
          <w:sz w:val="20"/>
          <w:szCs w:val="20"/>
        </w:rPr>
        <w:t>no</w:t>
      </w:r>
      <w:r w:rsidR="004B4182" w:rsidRPr="00125C45">
        <w:rPr>
          <w:rFonts w:ascii="Trebuchet MS" w:hAnsi="Trebuchet MS" w:cs="Arial"/>
          <w:color w:val="5F5F5F"/>
          <w:sz w:val="20"/>
          <w:szCs w:val="20"/>
        </w:rPr>
        <w:t xml:space="preserve"> però solo 78 unità nel 2020 e 82 nel 2019</w:t>
      </w:r>
      <w:r w:rsidR="00A877D1">
        <w:rPr>
          <w:rFonts w:ascii="Trebuchet MS" w:hAnsi="Trebuchet MS" w:cs="Arial"/>
          <w:color w:val="5F5F5F"/>
          <w:sz w:val="20"/>
          <w:szCs w:val="20"/>
        </w:rPr>
        <w:t>.</w:t>
      </w:r>
    </w:p>
    <w:p w14:paraId="0E34C136" w14:textId="35B2441E" w:rsidR="00681666" w:rsidRPr="00F803F8" w:rsidRDefault="00681666" w:rsidP="00681666">
      <w:pPr>
        <w:tabs>
          <w:tab w:val="left" w:pos="567"/>
        </w:tabs>
        <w:spacing w:before="120" w:after="120"/>
        <w:jc w:val="both"/>
        <w:rPr>
          <w:rFonts w:ascii="Trebuchet MS" w:hAnsi="Trebuchet MS" w:cs="Arial"/>
          <w:color w:val="5F5F5F"/>
          <w:sz w:val="20"/>
          <w:szCs w:val="20"/>
        </w:rPr>
      </w:pPr>
      <w:r w:rsidRPr="00125C45">
        <w:rPr>
          <w:rFonts w:ascii="Trebuchet MS" w:hAnsi="Trebuchet MS" w:cs="Arial"/>
          <w:color w:val="5F5F5F"/>
          <w:sz w:val="20"/>
          <w:szCs w:val="20"/>
        </w:rPr>
        <w:t>Gli stranieri conte</w:t>
      </w:r>
      <w:r w:rsidR="00125C45" w:rsidRPr="00125C45">
        <w:rPr>
          <w:rFonts w:ascii="Trebuchet MS" w:hAnsi="Trebuchet MS" w:cs="Arial"/>
          <w:color w:val="5F5F5F"/>
          <w:sz w:val="20"/>
          <w:szCs w:val="20"/>
        </w:rPr>
        <w:t>ggiati nel 2020 provengono da 18</w:t>
      </w:r>
      <w:r w:rsidRPr="00125C45">
        <w:rPr>
          <w:rFonts w:ascii="Trebuchet MS" w:hAnsi="Trebuchet MS" w:cs="Arial"/>
          <w:color w:val="5F5F5F"/>
          <w:sz w:val="20"/>
          <w:szCs w:val="20"/>
        </w:rPr>
        <w:t>8 paesi del mondo</w:t>
      </w:r>
      <w:r w:rsidR="009E55D6" w:rsidRPr="00125C45">
        <w:rPr>
          <w:rFonts w:ascii="Trebuchet MS" w:hAnsi="Trebuchet MS" w:cs="Arial"/>
          <w:color w:val="5F5F5F"/>
          <w:sz w:val="20"/>
          <w:szCs w:val="20"/>
        </w:rPr>
        <w:t xml:space="preserve"> ma sono </w:t>
      </w:r>
      <w:r w:rsidRPr="00125C45">
        <w:rPr>
          <w:rFonts w:ascii="Trebuchet MS" w:hAnsi="Trebuchet MS" w:cs="Arial"/>
          <w:color w:val="5F5F5F"/>
          <w:sz w:val="20"/>
          <w:szCs w:val="20"/>
        </w:rPr>
        <w:t>concentrati in un</w:t>
      </w:r>
      <w:r>
        <w:rPr>
          <w:rFonts w:ascii="Trebuchet MS" w:hAnsi="Trebuchet MS" w:cs="Arial"/>
          <w:color w:val="5F5F5F"/>
          <w:sz w:val="20"/>
          <w:szCs w:val="20"/>
        </w:rPr>
        <w:t xml:space="preserve"> numero abbastanza ristretto di </w:t>
      </w:r>
      <w:r w:rsidRPr="00DB40C6">
        <w:rPr>
          <w:rFonts w:ascii="Trebuchet MS" w:hAnsi="Trebuchet MS" w:cs="Arial"/>
          <w:color w:val="5F5F5F"/>
          <w:sz w:val="20"/>
          <w:szCs w:val="20"/>
        </w:rPr>
        <w:t>collettività: le prime dieci</w:t>
      </w:r>
      <w:r w:rsidR="00EA7D77">
        <w:rPr>
          <w:rFonts w:ascii="Trebuchet MS" w:hAnsi="Trebuchet MS" w:cs="Arial"/>
          <w:color w:val="5F5F5F"/>
          <w:sz w:val="20"/>
          <w:szCs w:val="20"/>
        </w:rPr>
        <w:t>,</w:t>
      </w:r>
      <w:r>
        <w:rPr>
          <w:rFonts w:ascii="Trebuchet MS" w:hAnsi="Trebuchet MS" w:cs="Arial"/>
          <w:color w:val="5F5F5F"/>
          <w:sz w:val="20"/>
          <w:szCs w:val="20"/>
        </w:rPr>
        <w:t xml:space="preserve"> infatti</w:t>
      </w:r>
      <w:r w:rsidR="00EA7D77">
        <w:rPr>
          <w:rFonts w:ascii="Trebuchet MS" w:hAnsi="Trebuchet MS" w:cs="Arial"/>
          <w:color w:val="5F5F5F"/>
          <w:sz w:val="20"/>
          <w:szCs w:val="20"/>
        </w:rPr>
        <w:t>,</w:t>
      </w:r>
      <w:r w:rsidR="009E55D6">
        <w:rPr>
          <w:rFonts w:ascii="Trebuchet MS" w:hAnsi="Trebuchet MS" w:cs="Arial"/>
          <w:color w:val="5F5F5F"/>
          <w:sz w:val="20"/>
          <w:szCs w:val="20"/>
        </w:rPr>
        <w:t xml:space="preserve"> totalizzano il 64,4</w:t>
      </w:r>
      <w:r w:rsidRPr="00DB40C6">
        <w:rPr>
          <w:rFonts w:ascii="Trebuchet MS" w:hAnsi="Trebuchet MS" w:cs="Arial"/>
          <w:color w:val="5F5F5F"/>
          <w:sz w:val="20"/>
          <w:szCs w:val="20"/>
        </w:rPr>
        <w:t xml:space="preserve">% della presenza straniera </w:t>
      </w:r>
      <w:r>
        <w:rPr>
          <w:rFonts w:ascii="Trebuchet MS" w:hAnsi="Trebuchet MS" w:cs="Arial"/>
          <w:color w:val="5F5F5F"/>
          <w:sz w:val="20"/>
          <w:szCs w:val="20"/>
        </w:rPr>
        <w:t xml:space="preserve">mentre le prime tre (cittadini provenienti da Romania, </w:t>
      </w:r>
      <w:r w:rsidR="009E55D6">
        <w:rPr>
          <w:rFonts w:ascii="Trebuchet MS" w:hAnsi="Trebuchet MS" w:cs="Arial"/>
          <w:color w:val="5F5F5F"/>
          <w:sz w:val="20"/>
          <w:szCs w:val="20"/>
        </w:rPr>
        <w:t>Egitto</w:t>
      </w:r>
      <w:r>
        <w:rPr>
          <w:rFonts w:ascii="Trebuchet MS" w:hAnsi="Trebuchet MS" w:cs="Arial"/>
          <w:color w:val="5F5F5F"/>
          <w:sz w:val="20"/>
          <w:szCs w:val="20"/>
        </w:rPr>
        <w:t xml:space="preserve"> e </w:t>
      </w:r>
      <w:r w:rsidR="009E55D6">
        <w:rPr>
          <w:rFonts w:ascii="Trebuchet MS" w:hAnsi="Trebuchet MS" w:cs="Arial"/>
          <w:color w:val="5F5F5F"/>
          <w:sz w:val="20"/>
          <w:szCs w:val="20"/>
        </w:rPr>
        <w:t>Marocco</w:t>
      </w:r>
      <w:r>
        <w:rPr>
          <w:rFonts w:ascii="Trebuchet MS" w:hAnsi="Trebuchet MS" w:cs="Arial"/>
          <w:color w:val="5F5F5F"/>
          <w:sz w:val="20"/>
          <w:szCs w:val="20"/>
        </w:rPr>
        <w:t xml:space="preserve">) </w:t>
      </w:r>
      <w:r w:rsidR="009E55D6">
        <w:rPr>
          <w:rFonts w:ascii="Trebuchet MS" w:hAnsi="Trebuchet MS" w:cs="Arial"/>
          <w:color w:val="5F5F5F"/>
          <w:sz w:val="20"/>
          <w:szCs w:val="20"/>
        </w:rPr>
        <w:t>s</w:t>
      </w:r>
      <w:r>
        <w:rPr>
          <w:rFonts w:ascii="Trebuchet MS" w:hAnsi="Trebuchet MS" w:cs="Arial"/>
          <w:color w:val="5F5F5F"/>
          <w:sz w:val="20"/>
          <w:szCs w:val="20"/>
        </w:rPr>
        <w:t xml:space="preserve">ono </w:t>
      </w:r>
      <w:r w:rsidR="009E55D6">
        <w:rPr>
          <w:rFonts w:ascii="Trebuchet MS" w:hAnsi="Trebuchet MS" w:cs="Arial"/>
          <w:color w:val="5F5F5F"/>
          <w:sz w:val="20"/>
          <w:szCs w:val="20"/>
        </w:rPr>
        <w:t>circa il 30% del totale.</w:t>
      </w:r>
    </w:p>
    <w:p w14:paraId="792FBB5E" w14:textId="517B4642" w:rsidR="00681666" w:rsidRDefault="00681666" w:rsidP="00681666">
      <w:pPr>
        <w:spacing w:after="120"/>
        <w:jc w:val="both"/>
        <w:rPr>
          <w:rFonts w:ascii="Trebuchet MS" w:hAnsi="Trebuchet MS" w:cs="Arial"/>
          <w:color w:val="5F5F5F"/>
          <w:sz w:val="20"/>
          <w:szCs w:val="20"/>
        </w:rPr>
      </w:pPr>
      <w:r w:rsidRPr="00427BE1">
        <w:rPr>
          <w:rFonts w:ascii="Trebuchet MS" w:hAnsi="Trebuchet MS" w:cs="Arial"/>
          <w:color w:val="5F5F5F"/>
          <w:sz w:val="20"/>
          <w:szCs w:val="20"/>
        </w:rPr>
        <w:t>La comunità rumena, prima in regione per numero di</w:t>
      </w:r>
      <w:r w:rsidR="009E55D6" w:rsidRPr="00427BE1">
        <w:rPr>
          <w:rFonts w:ascii="Trebuchet MS" w:hAnsi="Trebuchet MS" w:cs="Arial"/>
          <w:color w:val="5F5F5F"/>
          <w:sz w:val="20"/>
          <w:szCs w:val="20"/>
        </w:rPr>
        <w:t xml:space="preserve"> componenti, rappresenta il 14,1</w:t>
      </w:r>
      <w:r w:rsidRPr="00427BE1">
        <w:rPr>
          <w:rFonts w:ascii="Trebuchet MS" w:hAnsi="Trebuchet MS" w:cs="Arial"/>
          <w:color w:val="5F5F5F"/>
          <w:sz w:val="20"/>
          <w:szCs w:val="20"/>
        </w:rPr>
        <w:t>% degli stranieri censiti nel 2020, sebbene con un peso percentuale più basso rispetto al dato nazio</w:t>
      </w:r>
      <w:r w:rsidR="00873109" w:rsidRPr="00427BE1">
        <w:rPr>
          <w:rFonts w:ascii="Trebuchet MS" w:hAnsi="Trebuchet MS" w:cs="Arial"/>
          <w:color w:val="5F5F5F"/>
          <w:sz w:val="20"/>
          <w:szCs w:val="20"/>
        </w:rPr>
        <w:t>nale (20,8%). La comunità egiziana</w:t>
      </w:r>
      <w:r w:rsidRPr="00427BE1">
        <w:rPr>
          <w:rFonts w:ascii="Trebuchet MS" w:hAnsi="Trebuchet MS" w:cs="Arial"/>
          <w:color w:val="5F5F5F"/>
          <w:sz w:val="20"/>
          <w:szCs w:val="20"/>
        </w:rPr>
        <w:t xml:space="preserve">, seconda per numero assoluto di individui dimoranti abitualmente, </w:t>
      </w:r>
      <w:r w:rsidR="008A6D47" w:rsidRPr="00427BE1">
        <w:rPr>
          <w:rFonts w:ascii="Trebuchet MS" w:hAnsi="Trebuchet MS" w:cs="Arial"/>
          <w:color w:val="5F5F5F"/>
          <w:sz w:val="20"/>
          <w:szCs w:val="20"/>
        </w:rPr>
        <w:t>rappresenta</w:t>
      </w:r>
      <w:r w:rsidRPr="00427BE1">
        <w:rPr>
          <w:rFonts w:ascii="Trebuchet MS" w:hAnsi="Trebuchet MS" w:cs="Arial"/>
          <w:color w:val="5F5F5F"/>
          <w:sz w:val="20"/>
          <w:szCs w:val="20"/>
        </w:rPr>
        <w:t xml:space="preserve"> </w:t>
      </w:r>
      <w:r w:rsidR="008A6D47" w:rsidRPr="00427BE1">
        <w:rPr>
          <w:rFonts w:ascii="Trebuchet MS" w:hAnsi="Trebuchet MS" w:cs="Arial"/>
          <w:color w:val="5F5F5F"/>
          <w:sz w:val="20"/>
          <w:szCs w:val="20"/>
        </w:rPr>
        <w:t>i</w:t>
      </w:r>
      <w:r w:rsidR="00873109" w:rsidRPr="00427BE1">
        <w:rPr>
          <w:rFonts w:ascii="Trebuchet MS" w:hAnsi="Trebuchet MS" w:cs="Arial"/>
          <w:color w:val="5F5F5F"/>
          <w:sz w:val="20"/>
          <w:szCs w:val="20"/>
        </w:rPr>
        <w:t>l 7,9</w:t>
      </w:r>
      <w:r w:rsidRPr="00427BE1">
        <w:rPr>
          <w:rFonts w:ascii="Trebuchet MS" w:hAnsi="Trebuchet MS" w:cs="Arial"/>
          <w:color w:val="5F5F5F"/>
          <w:sz w:val="20"/>
          <w:szCs w:val="20"/>
        </w:rPr>
        <w:t>% del</w:t>
      </w:r>
      <w:r w:rsidR="008A6D47" w:rsidRPr="00427BE1">
        <w:rPr>
          <w:rFonts w:ascii="Trebuchet MS" w:hAnsi="Trebuchet MS" w:cs="Arial"/>
          <w:color w:val="5F5F5F"/>
          <w:sz w:val="20"/>
          <w:szCs w:val="20"/>
        </w:rPr>
        <w:t xml:space="preserve">la popolazione </w:t>
      </w:r>
      <w:r w:rsidR="00E77827" w:rsidRPr="00427BE1">
        <w:rPr>
          <w:rFonts w:ascii="Trebuchet MS" w:hAnsi="Trebuchet MS" w:cs="Arial"/>
          <w:color w:val="5F5F5F"/>
          <w:sz w:val="20"/>
          <w:szCs w:val="20"/>
        </w:rPr>
        <w:t xml:space="preserve">straniera </w:t>
      </w:r>
      <w:r w:rsidR="00873109" w:rsidRPr="00427BE1">
        <w:rPr>
          <w:rFonts w:ascii="Trebuchet MS" w:hAnsi="Trebuchet MS" w:cs="Arial"/>
          <w:color w:val="5F5F5F"/>
          <w:sz w:val="20"/>
          <w:szCs w:val="20"/>
        </w:rPr>
        <w:t>regionale</w:t>
      </w:r>
      <w:r w:rsidRPr="00427BE1">
        <w:rPr>
          <w:rFonts w:ascii="Trebuchet MS" w:hAnsi="Trebuchet MS" w:cs="Arial"/>
          <w:color w:val="5F5F5F"/>
          <w:sz w:val="20"/>
          <w:szCs w:val="20"/>
        </w:rPr>
        <w:t>.</w:t>
      </w:r>
      <w:r w:rsidR="00873109" w:rsidRPr="00427BE1">
        <w:rPr>
          <w:rFonts w:ascii="Trebuchet MS" w:hAnsi="Trebuchet MS" w:cs="Arial"/>
          <w:color w:val="5F5F5F"/>
          <w:sz w:val="20"/>
          <w:szCs w:val="20"/>
        </w:rPr>
        <w:t xml:space="preserve"> Seguono la comunità marocchina, con un’incidenza analoga a quella egiziana, e la comunità al</w:t>
      </w:r>
      <w:r w:rsidR="00000F03" w:rsidRPr="00427BE1">
        <w:rPr>
          <w:rFonts w:ascii="Trebuchet MS" w:hAnsi="Trebuchet MS" w:cs="Arial"/>
          <w:color w:val="5F5F5F"/>
          <w:sz w:val="20"/>
          <w:szCs w:val="20"/>
        </w:rPr>
        <w:t>banese, con un un’i</w:t>
      </w:r>
      <w:r w:rsidR="00873109" w:rsidRPr="00427BE1">
        <w:rPr>
          <w:rFonts w:ascii="Trebuchet MS" w:hAnsi="Trebuchet MS" w:cs="Arial"/>
          <w:color w:val="5F5F5F"/>
          <w:sz w:val="20"/>
          <w:szCs w:val="20"/>
        </w:rPr>
        <w:t>ncidenza pari al 7,5%</w:t>
      </w:r>
      <w:r w:rsidR="000907AD" w:rsidRPr="00427BE1">
        <w:rPr>
          <w:rFonts w:ascii="Trebuchet MS" w:hAnsi="Trebuchet MS" w:cs="Arial"/>
          <w:color w:val="5F5F5F"/>
          <w:sz w:val="20"/>
          <w:szCs w:val="20"/>
        </w:rPr>
        <w:t xml:space="preserve"> (Figura 3</w:t>
      </w:r>
      <w:r w:rsidR="008A6D47" w:rsidRPr="00427BE1">
        <w:rPr>
          <w:rFonts w:ascii="Trebuchet MS" w:hAnsi="Trebuchet MS" w:cs="Arial"/>
          <w:color w:val="5F5F5F"/>
          <w:sz w:val="20"/>
          <w:szCs w:val="20"/>
        </w:rPr>
        <w:t>)</w:t>
      </w:r>
      <w:r w:rsidRPr="00427BE1">
        <w:rPr>
          <w:rFonts w:ascii="Trebuchet MS" w:hAnsi="Trebuchet MS" w:cs="Arial"/>
          <w:color w:val="5F5F5F"/>
          <w:sz w:val="20"/>
          <w:szCs w:val="20"/>
        </w:rPr>
        <w:t>.</w:t>
      </w:r>
    </w:p>
    <w:p w14:paraId="1CBBF3B7" w14:textId="77777777" w:rsidR="00681666" w:rsidRPr="003B71FA" w:rsidRDefault="00681666" w:rsidP="00BB0936">
      <w:pPr>
        <w:tabs>
          <w:tab w:val="left" w:pos="567"/>
        </w:tabs>
        <w:spacing w:before="120" w:after="120"/>
        <w:jc w:val="both"/>
        <w:rPr>
          <w:rFonts w:ascii="Trebuchet MS" w:hAnsi="Trebuchet MS" w:cs="Arial"/>
          <w:color w:val="5F5F5F"/>
          <w:sz w:val="20"/>
          <w:szCs w:val="20"/>
        </w:rPr>
      </w:pPr>
    </w:p>
    <w:p w14:paraId="0020D0D0" w14:textId="5CD101CE" w:rsidR="00BB0936" w:rsidRPr="00710C34" w:rsidRDefault="00BB0936" w:rsidP="00BB0936">
      <w:pPr>
        <w:keepNext/>
        <w:spacing w:after="60"/>
        <w:jc w:val="both"/>
        <w:rPr>
          <w:rFonts w:ascii="Arial Narrow" w:hAnsi="Arial Narrow"/>
          <w:color w:val="595959" w:themeColor="text1" w:themeTint="A6"/>
          <w:sz w:val="22"/>
          <w:szCs w:val="22"/>
        </w:rPr>
      </w:pPr>
      <w:r w:rsidRPr="00710C34">
        <w:rPr>
          <w:rFonts w:ascii="Arial Narrow" w:hAnsi="Arial Narrow"/>
          <w:b/>
          <w:bCs/>
          <w:color w:val="595959" w:themeColor="text1" w:themeTint="A6"/>
          <w:sz w:val="22"/>
          <w:szCs w:val="22"/>
        </w:rPr>
        <w:t xml:space="preserve">FIGURA </w:t>
      </w:r>
      <w:r w:rsidR="000E7CDD">
        <w:rPr>
          <w:rFonts w:ascii="Arial Narrow" w:hAnsi="Arial Narrow"/>
          <w:b/>
          <w:bCs/>
          <w:color w:val="595959" w:themeColor="text1" w:themeTint="A6"/>
          <w:sz w:val="22"/>
          <w:szCs w:val="22"/>
        </w:rPr>
        <w:t>3</w:t>
      </w:r>
      <w:r w:rsidRPr="00710C34">
        <w:rPr>
          <w:rFonts w:ascii="Arial Narrow" w:hAnsi="Arial Narrow"/>
          <w:b/>
          <w:bCs/>
          <w:color w:val="595959" w:themeColor="text1" w:themeTint="A6"/>
          <w:sz w:val="22"/>
          <w:szCs w:val="22"/>
        </w:rPr>
        <w:t>.</w:t>
      </w:r>
      <w:r w:rsidRPr="00710C34">
        <w:rPr>
          <w:rFonts w:ascii="Arial Narrow" w:hAnsi="Arial Narrow" w:cs="Calibri"/>
          <w:b/>
          <w:bCs/>
          <w:color w:val="595959" w:themeColor="text1" w:themeTint="A6"/>
          <w:sz w:val="22"/>
          <w:szCs w:val="22"/>
        </w:rPr>
        <w:t xml:space="preserve"> </w:t>
      </w:r>
      <w:r w:rsidRPr="00710C34">
        <w:rPr>
          <w:rFonts w:ascii="Arial Narrow" w:hAnsi="Arial Narrow"/>
          <w:color w:val="595959" w:themeColor="text1" w:themeTint="A6"/>
          <w:sz w:val="22"/>
          <w:szCs w:val="22"/>
        </w:rPr>
        <w:t xml:space="preserve">POPOLAZIONE STRANIERA PER CITTADINANZA, </w:t>
      </w:r>
      <w:r w:rsidR="000B6DF6">
        <w:rPr>
          <w:rFonts w:ascii="Arial Narrow" w:hAnsi="Arial Narrow"/>
          <w:color w:val="595959" w:themeColor="text1" w:themeTint="A6"/>
          <w:sz w:val="22"/>
          <w:szCs w:val="22"/>
        </w:rPr>
        <w:t>LOMBARDIA</w:t>
      </w:r>
      <w:r w:rsidRPr="00710C34">
        <w:rPr>
          <w:rFonts w:ascii="Arial Narrow" w:hAnsi="Arial Narrow"/>
          <w:color w:val="595959" w:themeColor="text1" w:themeTint="A6"/>
          <w:sz w:val="22"/>
          <w:szCs w:val="22"/>
        </w:rPr>
        <w:t xml:space="preserve"> e ITALIA</w:t>
      </w:r>
      <w:r w:rsidRPr="00710C34">
        <w:rPr>
          <w:rFonts w:ascii="Arial Narrow" w:hAnsi="Arial Narrow" w:cs="Calibri"/>
          <w:color w:val="595959" w:themeColor="text1" w:themeTint="A6"/>
          <w:sz w:val="22"/>
          <w:szCs w:val="22"/>
        </w:rPr>
        <w:t>.</w:t>
      </w:r>
      <w:r>
        <w:rPr>
          <w:rFonts w:ascii="Arial Narrow" w:hAnsi="Arial Narrow" w:cs="Calibri"/>
          <w:color w:val="595959" w:themeColor="text1" w:themeTint="A6"/>
          <w:sz w:val="22"/>
          <w:szCs w:val="22"/>
        </w:rPr>
        <w:t xml:space="preserve"> </w:t>
      </w:r>
      <w:r>
        <w:rPr>
          <w:rFonts w:ascii="Arial Narrow" w:hAnsi="Arial Narrow"/>
          <w:color w:val="595959" w:themeColor="text1" w:themeTint="A6"/>
          <w:sz w:val="22"/>
          <w:szCs w:val="22"/>
        </w:rPr>
        <w:t xml:space="preserve">Censimento 2020. </w:t>
      </w:r>
      <w:r w:rsidR="00F13D9F">
        <w:rPr>
          <w:rFonts w:ascii="Arial Narrow" w:hAnsi="Arial Narrow"/>
          <w:color w:val="595959" w:themeColor="text1" w:themeTint="A6"/>
          <w:sz w:val="22"/>
          <w:szCs w:val="22"/>
        </w:rPr>
        <w:t>V</w:t>
      </w:r>
      <w:r w:rsidRPr="00E76A40">
        <w:rPr>
          <w:rFonts w:ascii="Arial Narrow" w:hAnsi="Arial Narrow"/>
          <w:color w:val="595959" w:themeColor="text1" w:themeTint="A6"/>
          <w:sz w:val="22"/>
          <w:szCs w:val="22"/>
        </w:rPr>
        <w:t>alori percentuali</w:t>
      </w:r>
      <w:r>
        <w:rPr>
          <w:rFonts w:ascii="Arial Narrow" w:hAnsi="Arial Narrow"/>
          <w:color w:val="595959" w:themeColor="text1" w:themeTint="A6"/>
          <w:sz w:val="22"/>
          <w:szCs w:val="22"/>
        </w:rPr>
        <w:t xml:space="preserve"> </w:t>
      </w:r>
      <w:r w:rsidRPr="00710C34">
        <w:rPr>
          <w:rFonts w:ascii="Arial Narrow" w:hAnsi="Arial Narrow"/>
          <w:color w:val="595959" w:themeColor="text1" w:themeTint="A6"/>
          <w:sz w:val="22"/>
          <w:szCs w:val="22"/>
        </w:rPr>
        <w:t>per le prime dieci cittadinanze</w:t>
      </w:r>
    </w:p>
    <w:p w14:paraId="05F76D05" w14:textId="308CE953" w:rsidR="00BB0936" w:rsidRDefault="00427BE1" w:rsidP="00BB0936">
      <w:pPr>
        <w:spacing w:after="120"/>
        <w:jc w:val="both"/>
        <w:rPr>
          <w:rFonts w:ascii="Arial Narrow" w:hAnsi="Arial Narrow"/>
          <w:color w:val="404040" w:themeColor="text1" w:themeTint="BF"/>
          <w:sz w:val="22"/>
          <w:szCs w:val="22"/>
        </w:rPr>
      </w:pPr>
      <w:r>
        <w:rPr>
          <w:noProof/>
        </w:rPr>
        <w:drawing>
          <wp:inline distT="0" distB="0" distL="0" distR="0" wp14:anchorId="28DFEB52" wp14:editId="0653BB98">
            <wp:extent cx="6120130" cy="2000885"/>
            <wp:effectExtent l="0" t="0" r="13970" b="18415"/>
            <wp:docPr id="2" name="Grafico 2">
              <a:extLst xmlns:a="http://schemas.openxmlformats.org/drawingml/2006/main">
                <a:ext uri="{FF2B5EF4-FFF2-40B4-BE49-F238E27FC236}">
                  <a16:creationId xmlns:a16="http://schemas.microsoft.com/office/drawing/2014/main" id="{16A7613E-8AF8-47CF-A1BC-FB35D21E1B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23D42B7" w14:textId="217E0FF2" w:rsidR="00647C98" w:rsidRDefault="008C7BC5" w:rsidP="005B0778">
      <w:pPr>
        <w:spacing w:after="120"/>
        <w:jc w:val="both"/>
        <w:rPr>
          <w:rFonts w:ascii="Trebuchet MS" w:hAnsi="Trebuchet MS" w:cs="Arial"/>
          <w:b/>
          <w:color w:val="5F5F5F"/>
          <w:kern w:val="28"/>
          <w:sz w:val="22"/>
          <w:szCs w:val="22"/>
        </w:rPr>
      </w:pPr>
      <w:r>
        <w:rPr>
          <w:rFonts w:ascii="Trebuchet MS" w:hAnsi="Trebuchet MS" w:cs="Arial"/>
          <w:b/>
          <w:color w:val="5F5F5F"/>
          <w:kern w:val="28"/>
          <w:sz w:val="22"/>
          <w:szCs w:val="22"/>
        </w:rPr>
        <w:lastRenderedPageBreak/>
        <w:t>C</w:t>
      </w:r>
      <w:r w:rsidR="000907AD">
        <w:rPr>
          <w:rFonts w:ascii="Trebuchet MS" w:hAnsi="Trebuchet MS" w:cs="Arial"/>
          <w:b/>
          <w:color w:val="5F5F5F"/>
          <w:kern w:val="28"/>
          <w:sz w:val="22"/>
          <w:szCs w:val="22"/>
        </w:rPr>
        <w:t>aratteristiche delle famiglie</w:t>
      </w:r>
      <w:r w:rsidR="00FF54A8">
        <w:rPr>
          <w:rFonts w:ascii="Trebuchet MS" w:hAnsi="Trebuchet MS" w:cs="Arial"/>
          <w:b/>
          <w:color w:val="5F5F5F"/>
          <w:kern w:val="28"/>
          <w:sz w:val="22"/>
          <w:szCs w:val="22"/>
        </w:rPr>
        <w:t xml:space="preserve"> </w:t>
      </w:r>
    </w:p>
    <w:p w14:paraId="68DC0998" w14:textId="5FBE7C02" w:rsidR="00EA2CE6" w:rsidRDefault="000C4833" w:rsidP="00725AAF">
      <w:pPr>
        <w:tabs>
          <w:tab w:val="left" w:pos="567"/>
        </w:tabs>
        <w:spacing w:after="120"/>
        <w:jc w:val="both"/>
        <w:rPr>
          <w:rFonts w:ascii="Trebuchet MS" w:hAnsi="Trebuchet MS" w:cs="Arial"/>
          <w:color w:val="5F5F5F"/>
          <w:sz w:val="20"/>
          <w:szCs w:val="20"/>
        </w:rPr>
      </w:pPr>
      <w:r>
        <w:rPr>
          <w:rFonts w:ascii="Trebuchet MS" w:hAnsi="Trebuchet MS" w:cs="Arial"/>
          <w:color w:val="5F5F5F"/>
          <w:sz w:val="20"/>
          <w:szCs w:val="20"/>
        </w:rPr>
        <w:t xml:space="preserve">Al 31 dicembre 2019 vivono in Lombardia </w:t>
      </w:r>
      <w:r w:rsidRPr="000A6178">
        <w:rPr>
          <w:rFonts w:ascii="Trebuchet MS" w:hAnsi="Trebuchet MS" w:cs="Arial"/>
          <w:color w:val="5F5F5F"/>
          <w:sz w:val="20"/>
          <w:szCs w:val="20"/>
        </w:rPr>
        <w:t>4.462.776 famiglie, lo 0,7% in più dell’anno precedente (+0,5% il dato nazionale). Il numero medio di componenti per famiglia è di 2,2 unità</w:t>
      </w:r>
      <w:r>
        <w:rPr>
          <w:rFonts w:ascii="Trebuchet MS" w:hAnsi="Trebuchet MS" w:cs="Arial"/>
          <w:color w:val="5F5F5F"/>
          <w:sz w:val="20"/>
          <w:szCs w:val="20"/>
        </w:rPr>
        <w:t>, leggermente sotto la media nazionale di 2,3 componenti (Prospetto 9</w:t>
      </w:r>
      <w:r w:rsidR="000907AD">
        <w:rPr>
          <w:rFonts w:ascii="Trebuchet MS" w:hAnsi="Trebuchet MS" w:cs="Arial"/>
          <w:color w:val="5F5F5F"/>
          <w:sz w:val="20"/>
          <w:szCs w:val="20"/>
        </w:rPr>
        <w:t>)</w:t>
      </w:r>
      <w:r w:rsidR="00EA2CE6">
        <w:rPr>
          <w:rFonts w:ascii="Trebuchet MS" w:hAnsi="Trebuchet MS" w:cs="Arial"/>
          <w:color w:val="5F5F5F"/>
          <w:sz w:val="20"/>
          <w:szCs w:val="20"/>
        </w:rPr>
        <w:t>.</w:t>
      </w:r>
    </w:p>
    <w:p w14:paraId="3AED1461" w14:textId="77777777" w:rsidR="00EA7D77" w:rsidRPr="00EA7D77" w:rsidRDefault="00EA7D77" w:rsidP="00725AAF">
      <w:pPr>
        <w:tabs>
          <w:tab w:val="left" w:pos="567"/>
        </w:tabs>
        <w:spacing w:after="120"/>
        <w:jc w:val="both"/>
        <w:rPr>
          <w:rFonts w:ascii="Trebuchet MS" w:hAnsi="Trebuchet MS" w:cs="Arial"/>
          <w:color w:val="5F5F5F"/>
          <w:sz w:val="10"/>
          <w:szCs w:val="10"/>
        </w:rPr>
      </w:pPr>
    </w:p>
    <w:p w14:paraId="60EB37B3" w14:textId="0D7EAF78" w:rsidR="00EA7D77" w:rsidRDefault="00EA7D77" w:rsidP="00EA7D77">
      <w:pPr>
        <w:spacing w:before="240" w:after="60"/>
        <w:jc w:val="both"/>
        <w:rPr>
          <w:rFonts w:ascii="Arial Narrow" w:hAnsi="Arial Narrow"/>
          <w:bCs/>
          <w:color w:val="595959" w:themeColor="text1" w:themeTint="A6"/>
          <w:sz w:val="22"/>
          <w:szCs w:val="22"/>
        </w:rPr>
      </w:pPr>
      <w:r w:rsidRPr="001A589C">
        <w:rPr>
          <w:rFonts w:ascii="Arial Narrow" w:hAnsi="Arial Narrow"/>
          <w:b/>
          <w:bCs/>
          <w:color w:val="595959" w:themeColor="text1" w:themeTint="A6"/>
          <w:sz w:val="22"/>
          <w:szCs w:val="22"/>
        </w:rPr>
        <w:t xml:space="preserve">PROSPETTO 9. </w:t>
      </w:r>
      <w:r w:rsidRPr="001A589C">
        <w:rPr>
          <w:rFonts w:ascii="Arial Narrow" w:hAnsi="Arial Narrow"/>
          <w:bCs/>
          <w:color w:val="595959" w:themeColor="text1" w:themeTint="A6"/>
          <w:sz w:val="22"/>
          <w:szCs w:val="22"/>
        </w:rPr>
        <w:t>FAMIGLIE PER TIPOLOGIA E PER PROVINCIA</w:t>
      </w:r>
      <w:r w:rsidRPr="001A589C">
        <w:rPr>
          <w:rFonts w:ascii="Arial Narrow" w:hAnsi="Arial Narrow"/>
          <w:b/>
          <w:bCs/>
          <w:color w:val="595959" w:themeColor="text1" w:themeTint="A6"/>
          <w:sz w:val="22"/>
          <w:szCs w:val="22"/>
        </w:rPr>
        <w:t xml:space="preserve">. </w:t>
      </w:r>
      <w:r w:rsidRPr="001A589C">
        <w:rPr>
          <w:rFonts w:ascii="Arial Narrow" w:hAnsi="Arial Narrow"/>
          <w:bCs/>
          <w:color w:val="595959" w:themeColor="text1" w:themeTint="A6"/>
          <w:sz w:val="22"/>
          <w:szCs w:val="22"/>
        </w:rPr>
        <w:t xml:space="preserve">Censimento </w:t>
      </w:r>
      <w:r>
        <w:rPr>
          <w:rFonts w:ascii="Arial Narrow" w:hAnsi="Arial Narrow"/>
          <w:bCs/>
          <w:color w:val="595959" w:themeColor="text1" w:themeTint="A6"/>
          <w:sz w:val="22"/>
          <w:szCs w:val="22"/>
        </w:rPr>
        <w:t>2019</w:t>
      </w:r>
      <w:r w:rsidRPr="001A589C">
        <w:rPr>
          <w:rFonts w:ascii="Arial Narrow" w:hAnsi="Arial Narrow"/>
          <w:bCs/>
          <w:color w:val="595959" w:themeColor="text1" w:themeTint="A6"/>
          <w:sz w:val="22"/>
          <w:szCs w:val="22"/>
        </w:rPr>
        <w:t>, valori assoluti e percentuali</w:t>
      </w:r>
    </w:p>
    <w:tbl>
      <w:tblPr>
        <w:tblW w:w="9760" w:type="dxa"/>
        <w:tblCellMar>
          <w:left w:w="70" w:type="dxa"/>
          <w:right w:w="70" w:type="dxa"/>
        </w:tblCellMar>
        <w:tblLook w:val="04A0" w:firstRow="1" w:lastRow="0" w:firstColumn="1" w:lastColumn="0" w:noHBand="0" w:noVBand="1"/>
      </w:tblPr>
      <w:tblGrid>
        <w:gridCol w:w="1462"/>
        <w:gridCol w:w="879"/>
        <w:gridCol w:w="894"/>
        <w:gridCol w:w="977"/>
        <w:gridCol w:w="872"/>
        <w:gridCol w:w="872"/>
        <w:gridCol w:w="872"/>
        <w:gridCol w:w="872"/>
        <w:gridCol w:w="1102"/>
        <w:gridCol w:w="994"/>
      </w:tblGrid>
      <w:tr w:rsidR="00BA206B" w14:paraId="7E18956F" w14:textId="77777777" w:rsidTr="00BA206B">
        <w:trPr>
          <w:trHeight w:val="300"/>
        </w:trPr>
        <w:tc>
          <w:tcPr>
            <w:tcW w:w="1462" w:type="dxa"/>
            <w:vMerge w:val="restart"/>
            <w:tcBorders>
              <w:top w:val="single" w:sz="4" w:space="0" w:color="auto"/>
              <w:left w:val="nil"/>
              <w:bottom w:val="single" w:sz="4" w:space="0" w:color="000000"/>
              <w:right w:val="nil"/>
            </w:tcBorders>
            <w:shd w:val="clear" w:color="auto" w:fill="auto"/>
            <w:noWrap/>
            <w:vAlign w:val="center"/>
            <w:hideMark/>
          </w:tcPr>
          <w:p w14:paraId="359AC761" w14:textId="77777777" w:rsidR="00BA206B" w:rsidRDefault="00BA206B">
            <w:pPr>
              <w:rPr>
                <w:rFonts w:ascii="Arial Narrow" w:hAnsi="Arial Narrow" w:cs="Calibri"/>
                <w:b/>
                <w:bCs/>
                <w:color w:val="000000"/>
                <w:sz w:val="18"/>
                <w:szCs w:val="18"/>
              </w:rPr>
            </w:pPr>
            <w:r>
              <w:rPr>
                <w:rFonts w:ascii="Arial Narrow" w:hAnsi="Arial Narrow" w:cs="Calibri"/>
                <w:b/>
                <w:bCs/>
                <w:color w:val="000000"/>
                <w:sz w:val="18"/>
                <w:szCs w:val="18"/>
              </w:rPr>
              <w:t>PROVINCE</w:t>
            </w:r>
          </w:p>
        </w:tc>
        <w:tc>
          <w:tcPr>
            <w:tcW w:w="1771" w:type="dxa"/>
            <w:gridSpan w:val="2"/>
            <w:tcBorders>
              <w:top w:val="single" w:sz="4" w:space="0" w:color="auto"/>
              <w:left w:val="nil"/>
              <w:bottom w:val="single" w:sz="4" w:space="0" w:color="auto"/>
              <w:right w:val="nil"/>
            </w:tcBorders>
            <w:shd w:val="clear" w:color="000000" w:fill="D9D9D9"/>
            <w:vAlign w:val="center"/>
            <w:hideMark/>
          </w:tcPr>
          <w:p w14:paraId="0DDFAF5B" w14:textId="77777777" w:rsidR="00BA206B" w:rsidRDefault="00BA206B">
            <w:pPr>
              <w:jc w:val="center"/>
              <w:rPr>
                <w:rFonts w:ascii="Arial Narrow" w:hAnsi="Arial Narrow" w:cs="Calibri"/>
                <w:b/>
                <w:bCs/>
                <w:color w:val="000000"/>
                <w:sz w:val="18"/>
                <w:szCs w:val="18"/>
              </w:rPr>
            </w:pPr>
            <w:r>
              <w:rPr>
                <w:rFonts w:ascii="Arial Narrow" w:hAnsi="Arial Narrow" w:cs="Calibri"/>
                <w:b/>
                <w:bCs/>
                <w:color w:val="000000"/>
                <w:sz w:val="18"/>
                <w:szCs w:val="18"/>
              </w:rPr>
              <w:t>Famiglie</w:t>
            </w:r>
          </w:p>
        </w:tc>
        <w:tc>
          <w:tcPr>
            <w:tcW w:w="4431" w:type="dxa"/>
            <w:gridSpan w:val="5"/>
            <w:tcBorders>
              <w:top w:val="single" w:sz="4" w:space="0" w:color="auto"/>
              <w:left w:val="nil"/>
              <w:bottom w:val="single" w:sz="4" w:space="0" w:color="auto"/>
              <w:right w:val="nil"/>
            </w:tcBorders>
            <w:shd w:val="clear" w:color="000000" w:fill="FFFFFF"/>
            <w:vAlign w:val="center"/>
            <w:hideMark/>
          </w:tcPr>
          <w:p w14:paraId="5956E4BD" w14:textId="77777777" w:rsidR="00BA206B" w:rsidRDefault="00BA206B">
            <w:pPr>
              <w:jc w:val="center"/>
              <w:rPr>
                <w:rFonts w:ascii="Arial Narrow" w:hAnsi="Arial Narrow" w:cs="Calibri"/>
                <w:b/>
                <w:bCs/>
                <w:color w:val="000000"/>
                <w:sz w:val="18"/>
                <w:szCs w:val="18"/>
              </w:rPr>
            </w:pPr>
            <w:r>
              <w:rPr>
                <w:rFonts w:ascii="Arial Narrow" w:hAnsi="Arial Narrow" w:cs="Calibri"/>
                <w:b/>
                <w:bCs/>
                <w:color w:val="000000"/>
                <w:sz w:val="18"/>
                <w:szCs w:val="18"/>
              </w:rPr>
              <w:t>Componenti</w:t>
            </w:r>
          </w:p>
        </w:tc>
        <w:tc>
          <w:tcPr>
            <w:tcW w:w="2096" w:type="dxa"/>
            <w:gridSpan w:val="2"/>
            <w:tcBorders>
              <w:top w:val="single" w:sz="4" w:space="0" w:color="auto"/>
              <w:left w:val="nil"/>
              <w:bottom w:val="single" w:sz="4" w:space="0" w:color="auto"/>
              <w:right w:val="nil"/>
            </w:tcBorders>
            <w:shd w:val="clear" w:color="000000" w:fill="E7E6E6"/>
            <w:vAlign w:val="center"/>
            <w:hideMark/>
          </w:tcPr>
          <w:p w14:paraId="759206B7" w14:textId="77777777" w:rsidR="00BA206B" w:rsidRDefault="00BA206B">
            <w:pPr>
              <w:jc w:val="center"/>
              <w:rPr>
                <w:rFonts w:ascii="Arial Narrow" w:hAnsi="Arial Narrow" w:cs="Calibri"/>
                <w:b/>
                <w:bCs/>
                <w:color w:val="000000"/>
                <w:sz w:val="18"/>
                <w:szCs w:val="18"/>
              </w:rPr>
            </w:pPr>
            <w:r>
              <w:rPr>
                <w:rFonts w:ascii="Arial Narrow" w:hAnsi="Arial Narrow" w:cs="Calibri"/>
                <w:b/>
                <w:bCs/>
                <w:color w:val="000000"/>
                <w:sz w:val="18"/>
                <w:szCs w:val="18"/>
              </w:rPr>
              <w:t>Famiglie con stranieri</w:t>
            </w:r>
          </w:p>
        </w:tc>
      </w:tr>
      <w:tr w:rsidR="00BA206B" w14:paraId="3AEDCC90" w14:textId="77777777" w:rsidTr="00BA206B">
        <w:trPr>
          <w:trHeight w:val="810"/>
        </w:trPr>
        <w:tc>
          <w:tcPr>
            <w:tcW w:w="1462" w:type="dxa"/>
            <w:vMerge/>
            <w:tcBorders>
              <w:top w:val="single" w:sz="4" w:space="0" w:color="auto"/>
              <w:left w:val="nil"/>
              <w:bottom w:val="single" w:sz="4" w:space="0" w:color="000000"/>
              <w:right w:val="nil"/>
            </w:tcBorders>
            <w:vAlign w:val="center"/>
            <w:hideMark/>
          </w:tcPr>
          <w:p w14:paraId="1029C661" w14:textId="77777777" w:rsidR="00BA206B" w:rsidRDefault="00BA206B">
            <w:pPr>
              <w:rPr>
                <w:rFonts w:ascii="Arial Narrow" w:hAnsi="Arial Narrow" w:cs="Calibri"/>
                <w:b/>
                <w:bCs/>
                <w:color w:val="000000"/>
                <w:sz w:val="18"/>
                <w:szCs w:val="18"/>
              </w:rPr>
            </w:pPr>
          </w:p>
        </w:tc>
        <w:tc>
          <w:tcPr>
            <w:tcW w:w="877" w:type="dxa"/>
            <w:tcBorders>
              <w:top w:val="nil"/>
              <w:left w:val="nil"/>
              <w:bottom w:val="single" w:sz="4" w:space="0" w:color="auto"/>
              <w:right w:val="nil"/>
            </w:tcBorders>
            <w:shd w:val="clear" w:color="auto" w:fill="auto"/>
            <w:vAlign w:val="center"/>
            <w:hideMark/>
          </w:tcPr>
          <w:p w14:paraId="2DAC1EE0" w14:textId="77777777" w:rsidR="00BA206B" w:rsidRDefault="00BA206B">
            <w:pPr>
              <w:jc w:val="center"/>
              <w:rPr>
                <w:rFonts w:ascii="Arial Narrow" w:hAnsi="Arial Narrow" w:cs="Calibri"/>
                <w:b/>
                <w:bCs/>
                <w:color w:val="000000"/>
                <w:sz w:val="18"/>
                <w:szCs w:val="18"/>
              </w:rPr>
            </w:pPr>
            <w:r>
              <w:rPr>
                <w:rFonts w:ascii="Arial Narrow" w:hAnsi="Arial Narrow" w:cs="Calibri"/>
                <w:b/>
                <w:bCs/>
                <w:color w:val="000000"/>
                <w:sz w:val="18"/>
                <w:szCs w:val="18"/>
              </w:rPr>
              <w:t>Numero</w:t>
            </w:r>
          </w:p>
        </w:tc>
        <w:tc>
          <w:tcPr>
            <w:tcW w:w="894" w:type="dxa"/>
            <w:tcBorders>
              <w:top w:val="nil"/>
              <w:left w:val="nil"/>
              <w:bottom w:val="single" w:sz="4" w:space="0" w:color="auto"/>
              <w:right w:val="nil"/>
            </w:tcBorders>
            <w:shd w:val="clear" w:color="auto" w:fill="auto"/>
            <w:vAlign w:val="center"/>
            <w:hideMark/>
          </w:tcPr>
          <w:p w14:paraId="3F295496" w14:textId="77777777" w:rsidR="00BA206B" w:rsidRDefault="00BA206B">
            <w:pPr>
              <w:jc w:val="center"/>
              <w:rPr>
                <w:rFonts w:ascii="Arial Narrow" w:hAnsi="Arial Narrow" w:cs="Calibri"/>
                <w:b/>
                <w:bCs/>
                <w:color w:val="000000"/>
                <w:sz w:val="18"/>
                <w:szCs w:val="18"/>
              </w:rPr>
            </w:pPr>
            <w:r>
              <w:rPr>
                <w:rFonts w:ascii="Arial Narrow" w:hAnsi="Arial Narrow" w:cs="Calibri"/>
                <w:b/>
                <w:bCs/>
                <w:color w:val="000000"/>
                <w:sz w:val="18"/>
                <w:szCs w:val="18"/>
              </w:rPr>
              <w:t>Variazione % rispetto al 2018</w:t>
            </w:r>
          </w:p>
        </w:tc>
        <w:tc>
          <w:tcPr>
            <w:tcW w:w="943" w:type="dxa"/>
            <w:tcBorders>
              <w:top w:val="nil"/>
              <w:left w:val="nil"/>
              <w:bottom w:val="single" w:sz="4" w:space="0" w:color="auto"/>
              <w:right w:val="nil"/>
            </w:tcBorders>
            <w:shd w:val="clear" w:color="auto" w:fill="auto"/>
            <w:vAlign w:val="center"/>
            <w:hideMark/>
          </w:tcPr>
          <w:p w14:paraId="2F9ED6D5" w14:textId="77777777" w:rsidR="00BA206B" w:rsidRDefault="00BA206B">
            <w:pPr>
              <w:jc w:val="center"/>
              <w:rPr>
                <w:rFonts w:ascii="Arial Narrow" w:hAnsi="Arial Narrow" w:cs="Calibri"/>
                <w:b/>
                <w:bCs/>
                <w:color w:val="000000"/>
                <w:sz w:val="18"/>
                <w:szCs w:val="18"/>
              </w:rPr>
            </w:pPr>
            <w:r>
              <w:rPr>
                <w:rFonts w:ascii="Arial Narrow" w:hAnsi="Arial Narrow" w:cs="Calibri"/>
                <w:b/>
                <w:bCs/>
                <w:color w:val="000000"/>
                <w:sz w:val="18"/>
                <w:szCs w:val="18"/>
              </w:rPr>
              <w:t>Numero medio di componenti</w:t>
            </w:r>
          </w:p>
        </w:tc>
        <w:tc>
          <w:tcPr>
            <w:tcW w:w="872" w:type="dxa"/>
            <w:tcBorders>
              <w:top w:val="nil"/>
              <w:left w:val="nil"/>
              <w:bottom w:val="single" w:sz="4" w:space="0" w:color="auto"/>
              <w:right w:val="nil"/>
            </w:tcBorders>
            <w:shd w:val="clear" w:color="auto" w:fill="auto"/>
            <w:vAlign w:val="center"/>
            <w:hideMark/>
          </w:tcPr>
          <w:p w14:paraId="7BA48922" w14:textId="77777777" w:rsidR="00BA206B" w:rsidRDefault="00BA206B">
            <w:pPr>
              <w:jc w:val="center"/>
              <w:rPr>
                <w:rFonts w:ascii="Arial Narrow" w:hAnsi="Arial Narrow" w:cs="Calibri"/>
                <w:b/>
                <w:bCs/>
                <w:color w:val="000000"/>
                <w:sz w:val="18"/>
                <w:szCs w:val="18"/>
              </w:rPr>
            </w:pPr>
            <w:r>
              <w:rPr>
                <w:rFonts w:ascii="Arial Narrow" w:hAnsi="Arial Narrow" w:cs="Calibri"/>
                <w:b/>
                <w:bCs/>
                <w:color w:val="000000"/>
                <w:sz w:val="18"/>
                <w:szCs w:val="18"/>
              </w:rPr>
              <w:t>1 Persona (%)</w:t>
            </w:r>
          </w:p>
        </w:tc>
        <w:tc>
          <w:tcPr>
            <w:tcW w:w="872" w:type="dxa"/>
            <w:tcBorders>
              <w:top w:val="nil"/>
              <w:left w:val="nil"/>
              <w:bottom w:val="single" w:sz="4" w:space="0" w:color="auto"/>
              <w:right w:val="nil"/>
            </w:tcBorders>
            <w:shd w:val="clear" w:color="auto" w:fill="auto"/>
            <w:vAlign w:val="center"/>
            <w:hideMark/>
          </w:tcPr>
          <w:p w14:paraId="722DE2CC" w14:textId="77777777" w:rsidR="00BA206B" w:rsidRDefault="00BA206B">
            <w:pPr>
              <w:jc w:val="center"/>
              <w:rPr>
                <w:rFonts w:ascii="Arial Narrow" w:hAnsi="Arial Narrow" w:cs="Calibri"/>
                <w:b/>
                <w:bCs/>
                <w:color w:val="000000"/>
                <w:sz w:val="18"/>
                <w:szCs w:val="18"/>
              </w:rPr>
            </w:pPr>
            <w:r>
              <w:rPr>
                <w:rFonts w:ascii="Arial Narrow" w:hAnsi="Arial Narrow" w:cs="Calibri"/>
                <w:b/>
                <w:bCs/>
                <w:color w:val="000000"/>
                <w:sz w:val="18"/>
                <w:szCs w:val="18"/>
              </w:rPr>
              <w:t>2 Persone (%)</w:t>
            </w:r>
          </w:p>
        </w:tc>
        <w:tc>
          <w:tcPr>
            <w:tcW w:w="872" w:type="dxa"/>
            <w:tcBorders>
              <w:top w:val="nil"/>
              <w:left w:val="nil"/>
              <w:bottom w:val="single" w:sz="4" w:space="0" w:color="auto"/>
              <w:right w:val="nil"/>
            </w:tcBorders>
            <w:shd w:val="clear" w:color="auto" w:fill="auto"/>
            <w:vAlign w:val="center"/>
            <w:hideMark/>
          </w:tcPr>
          <w:p w14:paraId="65629947" w14:textId="77777777" w:rsidR="00BA206B" w:rsidRDefault="00BA206B">
            <w:pPr>
              <w:jc w:val="center"/>
              <w:rPr>
                <w:rFonts w:ascii="Arial Narrow" w:hAnsi="Arial Narrow" w:cs="Calibri"/>
                <w:b/>
                <w:bCs/>
                <w:color w:val="000000"/>
                <w:sz w:val="18"/>
                <w:szCs w:val="18"/>
              </w:rPr>
            </w:pPr>
            <w:r>
              <w:rPr>
                <w:rFonts w:ascii="Arial Narrow" w:hAnsi="Arial Narrow" w:cs="Calibri"/>
                <w:b/>
                <w:bCs/>
                <w:color w:val="000000"/>
                <w:sz w:val="18"/>
                <w:szCs w:val="18"/>
              </w:rPr>
              <w:t>3 Persone (%)</w:t>
            </w:r>
          </w:p>
        </w:tc>
        <w:tc>
          <w:tcPr>
            <w:tcW w:w="872" w:type="dxa"/>
            <w:tcBorders>
              <w:top w:val="nil"/>
              <w:left w:val="nil"/>
              <w:bottom w:val="single" w:sz="4" w:space="0" w:color="auto"/>
              <w:right w:val="nil"/>
            </w:tcBorders>
            <w:shd w:val="clear" w:color="auto" w:fill="auto"/>
            <w:vAlign w:val="center"/>
            <w:hideMark/>
          </w:tcPr>
          <w:p w14:paraId="129F2BA9" w14:textId="77777777" w:rsidR="00BA206B" w:rsidRDefault="00BA206B">
            <w:pPr>
              <w:jc w:val="center"/>
              <w:rPr>
                <w:rFonts w:ascii="Arial Narrow" w:hAnsi="Arial Narrow" w:cs="Calibri"/>
                <w:b/>
                <w:bCs/>
                <w:color w:val="000000"/>
                <w:sz w:val="18"/>
                <w:szCs w:val="18"/>
              </w:rPr>
            </w:pPr>
            <w:r>
              <w:rPr>
                <w:rFonts w:ascii="Arial Narrow" w:hAnsi="Arial Narrow" w:cs="Calibri"/>
                <w:b/>
                <w:bCs/>
                <w:color w:val="000000"/>
                <w:sz w:val="18"/>
                <w:szCs w:val="18"/>
              </w:rPr>
              <w:t>4 Persone (%)</w:t>
            </w:r>
          </w:p>
        </w:tc>
        <w:tc>
          <w:tcPr>
            <w:tcW w:w="1102" w:type="dxa"/>
            <w:tcBorders>
              <w:top w:val="nil"/>
              <w:left w:val="nil"/>
              <w:bottom w:val="single" w:sz="4" w:space="0" w:color="auto"/>
              <w:right w:val="nil"/>
            </w:tcBorders>
            <w:shd w:val="clear" w:color="auto" w:fill="auto"/>
            <w:vAlign w:val="center"/>
            <w:hideMark/>
          </w:tcPr>
          <w:p w14:paraId="7F5AB753" w14:textId="77777777" w:rsidR="00BA206B" w:rsidRDefault="00BA206B">
            <w:pPr>
              <w:jc w:val="center"/>
              <w:rPr>
                <w:rFonts w:ascii="Arial Narrow" w:hAnsi="Arial Narrow" w:cs="Calibri"/>
                <w:b/>
                <w:bCs/>
                <w:color w:val="000000"/>
                <w:sz w:val="18"/>
                <w:szCs w:val="18"/>
              </w:rPr>
            </w:pPr>
            <w:r>
              <w:rPr>
                <w:rFonts w:ascii="Arial Narrow" w:hAnsi="Arial Narrow" w:cs="Calibri"/>
                <w:b/>
                <w:bCs/>
                <w:color w:val="000000"/>
                <w:sz w:val="18"/>
                <w:szCs w:val="18"/>
              </w:rPr>
              <w:t>Famiglie con almeno uno straniero (%)</w:t>
            </w:r>
          </w:p>
        </w:tc>
        <w:tc>
          <w:tcPr>
            <w:tcW w:w="994" w:type="dxa"/>
            <w:tcBorders>
              <w:top w:val="nil"/>
              <w:left w:val="nil"/>
              <w:bottom w:val="single" w:sz="4" w:space="0" w:color="auto"/>
              <w:right w:val="nil"/>
            </w:tcBorders>
            <w:shd w:val="clear" w:color="auto" w:fill="auto"/>
            <w:vAlign w:val="center"/>
            <w:hideMark/>
          </w:tcPr>
          <w:p w14:paraId="5637EF8D" w14:textId="77777777" w:rsidR="00BA206B" w:rsidRDefault="00BA206B">
            <w:pPr>
              <w:jc w:val="center"/>
              <w:rPr>
                <w:rFonts w:ascii="Arial Narrow" w:hAnsi="Arial Narrow" w:cs="Calibri"/>
                <w:b/>
                <w:bCs/>
                <w:color w:val="000000"/>
                <w:sz w:val="18"/>
                <w:szCs w:val="18"/>
              </w:rPr>
            </w:pPr>
            <w:r>
              <w:rPr>
                <w:rFonts w:ascii="Arial Narrow" w:hAnsi="Arial Narrow" w:cs="Calibri"/>
                <w:b/>
                <w:bCs/>
                <w:color w:val="000000"/>
                <w:sz w:val="18"/>
                <w:szCs w:val="18"/>
              </w:rPr>
              <w:t>Famiglie con solo stranieri (%)</w:t>
            </w:r>
          </w:p>
        </w:tc>
      </w:tr>
      <w:tr w:rsidR="00BA206B" w14:paraId="33147152" w14:textId="77777777" w:rsidTr="00BA206B">
        <w:trPr>
          <w:trHeight w:val="300"/>
        </w:trPr>
        <w:tc>
          <w:tcPr>
            <w:tcW w:w="1462" w:type="dxa"/>
            <w:tcBorders>
              <w:top w:val="nil"/>
              <w:left w:val="nil"/>
              <w:bottom w:val="single" w:sz="4" w:space="0" w:color="auto"/>
              <w:right w:val="nil"/>
            </w:tcBorders>
            <w:shd w:val="clear" w:color="auto" w:fill="auto"/>
            <w:noWrap/>
            <w:vAlign w:val="center"/>
            <w:hideMark/>
          </w:tcPr>
          <w:p w14:paraId="4FCD9012" w14:textId="77777777" w:rsidR="00BA206B" w:rsidRDefault="00BA206B">
            <w:pPr>
              <w:rPr>
                <w:rFonts w:ascii="Arial Narrow" w:hAnsi="Arial Narrow" w:cs="Calibri"/>
                <w:color w:val="000000"/>
                <w:sz w:val="18"/>
                <w:szCs w:val="18"/>
              </w:rPr>
            </w:pPr>
            <w:r>
              <w:rPr>
                <w:rFonts w:ascii="Arial Narrow" w:hAnsi="Arial Narrow" w:cs="Calibri"/>
                <w:color w:val="000000"/>
                <w:sz w:val="18"/>
                <w:szCs w:val="18"/>
              </w:rPr>
              <w:t>Bergamo</w:t>
            </w:r>
          </w:p>
        </w:tc>
        <w:tc>
          <w:tcPr>
            <w:tcW w:w="877" w:type="dxa"/>
            <w:tcBorders>
              <w:top w:val="nil"/>
              <w:left w:val="nil"/>
              <w:bottom w:val="single" w:sz="4" w:space="0" w:color="auto"/>
              <w:right w:val="nil"/>
            </w:tcBorders>
            <w:shd w:val="clear" w:color="000000" w:fill="D9D9D9"/>
            <w:noWrap/>
            <w:vAlign w:val="center"/>
            <w:hideMark/>
          </w:tcPr>
          <w:p w14:paraId="1C1CE1A0"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467.852</w:t>
            </w:r>
          </w:p>
        </w:tc>
        <w:tc>
          <w:tcPr>
            <w:tcW w:w="894" w:type="dxa"/>
            <w:tcBorders>
              <w:top w:val="nil"/>
              <w:left w:val="nil"/>
              <w:bottom w:val="single" w:sz="4" w:space="0" w:color="auto"/>
              <w:right w:val="nil"/>
            </w:tcBorders>
            <w:shd w:val="clear" w:color="auto" w:fill="auto"/>
            <w:noWrap/>
            <w:vAlign w:val="center"/>
            <w:hideMark/>
          </w:tcPr>
          <w:p w14:paraId="1B087DDC"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0,6</w:t>
            </w:r>
          </w:p>
        </w:tc>
        <w:tc>
          <w:tcPr>
            <w:tcW w:w="943" w:type="dxa"/>
            <w:tcBorders>
              <w:top w:val="nil"/>
              <w:left w:val="nil"/>
              <w:bottom w:val="single" w:sz="4" w:space="0" w:color="auto"/>
              <w:right w:val="nil"/>
            </w:tcBorders>
            <w:shd w:val="clear" w:color="000000" w:fill="D9D9D9"/>
            <w:noWrap/>
            <w:vAlign w:val="center"/>
            <w:hideMark/>
          </w:tcPr>
          <w:p w14:paraId="2FD12662"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2,4</w:t>
            </w:r>
          </w:p>
        </w:tc>
        <w:tc>
          <w:tcPr>
            <w:tcW w:w="872" w:type="dxa"/>
            <w:tcBorders>
              <w:top w:val="nil"/>
              <w:left w:val="nil"/>
              <w:bottom w:val="single" w:sz="4" w:space="0" w:color="auto"/>
              <w:right w:val="nil"/>
            </w:tcBorders>
            <w:shd w:val="clear" w:color="auto" w:fill="auto"/>
            <w:noWrap/>
            <w:vAlign w:val="center"/>
            <w:hideMark/>
          </w:tcPr>
          <w:p w14:paraId="05BA3FB1"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32,5</w:t>
            </w:r>
          </w:p>
        </w:tc>
        <w:tc>
          <w:tcPr>
            <w:tcW w:w="872" w:type="dxa"/>
            <w:tcBorders>
              <w:top w:val="nil"/>
              <w:left w:val="nil"/>
              <w:bottom w:val="single" w:sz="4" w:space="0" w:color="auto"/>
              <w:right w:val="nil"/>
            </w:tcBorders>
            <w:shd w:val="clear" w:color="000000" w:fill="D9D9D9"/>
            <w:noWrap/>
            <w:vAlign w:val="center"/>
            <w:hideMark/>
          </w:tcPr>
          <w:p w14:paraId="552A24B8"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28,1</w:t>
            </w:r>
          </w:p>
        </w:tc>
        <w:tc>
          <w:tcPr>
            <w:tcW w:w="872" w:type="dxa"/>
            <w:tcBorders>
              <w:top w:val="nil"/>
              <w:left w:val="nil"/>
              <w:bottom w:val="single" w:sz="4" w:space="0" w:color="auto"/>
              <w:right w:val="nil"/>
            </w:tcBorders>
            <w:shd w:val="clear" w:color="auto" w:fill="auto"/>
            <w:noWrap/>
            <w:vAlign w:val="center"/>
            <w:hideMark/>
          </w:tcPr>
          <w:p w14:paraId="4CCF8241"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18,7</w:t>
            </w:r>
          </w:p>
        </w:tc>
        <w:tc>
          <w:tcPr>
            <w:tcW w:w="872" w:type="dxa"/>
            <w:tcBorders>
              <w:top w:val="nil"/>
              <w:left w:val="nil"/>
              <w:bottom w:val="single" w:sz="4" w:space="0" w:color="auto"/>
              <w:right w:val="nil"/>
            </w:tcBorders>
            <w:shd w:val="clear" w:color="000000" w:fill="D9D9D9"/>
            <w:noWrap/>
            <w:vAlign w:val="center"/>
            <w:hideMark/>
          </w:tcPr>
          <w:p w14:paraId="4FC4E888"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15,2</w:t>
            </w:r>
          </w:p>
        </w:tc>
        <w:tc>
          <w:tcPr>
            <w:tcW w:w="1102" w:type="dxa"/>
            <w:tcBorders>
              <w:top w:val="nil"/>
              <w:left w:val="nil"/>
              <w:bottom w:val="single" w:sz="4" w:space="0" w:color="auto"/>
              <w:right w:val="nil"/>
            </w:tcBorders>
            <w:shd w:val="clear" w:color="auto" w:fill="auto"/>
            <w:noWrap/>
            <w:vAlign w:val="center"/>
            <w:hideMark/>
          </w:tcPr>
          <w:p w14:paraId="501978FB"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10,8</w:t>
            </w:r>
          </w:p>
        </w:tc>
        <w:tc>
          <w:tcPr>
            <w:tcW w:w="994" w:type="dxa"/>
            <w:tcBorders>
              <w:top w:val="nil"/>
              <w:left w:val="nil"/>
              <w:bottom w:val="single" w:sz="4" w:space="0" w:color="auto"/>
              <w:right w:val="nil"/>
            </w:tcBorders>
            <w:shd w:val="clear" w:color="000000" w:fill="D9D9D9"/>
            <w:noWrap/>
            <w:vAlign w:val="center"/>
            <w:hideMark/>
          </w:tcPr>
          <w:p w14:paraId="7C430B46"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7,2</w:t>
            </w:r>
          </w:p>
        </w:tc>
      </w:tr>
      <w:tr w:rsidR="00BA206B" w14:paraId="0CDA05DC" w14:textId="77777777" w:rsidTr="00BA206B">
        <w:trPr>
          <w:trHeight w:val="300"/>
        </w:trPr>
        <w:tc>
          <w:tcPr>
            <w:tcW w:w="1462" w:type="dxa"/>
            <w:tcBorders>
              <w:top w:val="nil"/>
              <w:left w:val="nil"/>
              <w:bottom w:val="single" w:sz="4" w:space="0" w:color="auto"/>
              <w:right w:val="nil"/>
            </w:tcBorders>
            <w:shd w:val="clear" w:color="auto" w:fill="auto"/>
            <w:noWrap/>
            <w:vAlign w:val="center"/>
            <w:hideMark/>
          </w:tcPr>
          <w:p w14:paraId="324C180E" w14:textId="77777777" w:rsidR="00BA206B" w:rsidRDefault="00BA206B">
            <w:pPr>
              <w:rPr>
                <w:rFonts w:ascii="Arial Narrow" w:hAnsi="Arial Narrow" w:cs="Calibri"/>
                <w:color w:val="000000"/>
                <w:sz w:val="18"/>
                <w:szCs w:val="18"/>
              </w:rPr>
            </w:pPr>
            <w:r>
              <w:rPr>
                <w:rFonts w:ascii="Arial Narrow" w:hAnsi="Arial Narrow" w:cs="Calibri"/>
                <w:color w:val="000000"/>
                <w:sz w:val="18"/>
                <w:szCs w:val="18"/>
              </w:rPr>
              <w:t>Brescia</w:t>
            </w:r>
          </w:p>
        </w:tc>
        <w:tc>
          <w:tcPr>
            <w:tcW w:w="877" w:type="dxa"/>
            <w:tcBorders>
              <w:top w:val="nil"/>
              <w:left w:val="nil"/>
              <w:bottom w:val="single" w:sz="4" w:space="0" w:color="auto"/>
              <w:right w:val="nil"/>
            </w:tcBorders>
            <w:shd w:val="clear" w:color="000000" w:fill="D9D9D9"/>
            <w:noWrap/>
            <w:vAlign w:val="center"/>
            <w:hideMark/>
          </w:tcPr>
          <w:p w14:paraId="2C438C95"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537.809</w:t>
            </w:r>
          </w:p>
        </w:tc>
        <w:tc>
          <w:tcPr>
            <w:tcW w:w="894" w:type="dxa"/>
            <w:tcBorders>
              <w:top w:val="nil"/>
              <w:left w:val="nil"/>
              <w:bottom w:val="single" w:sz="4" w:space="0" w:color="auto"/>
              <w:right w:val="nil"/>
            </w:tcBorders>
            <w:shd w:val="clear" w:color="auto" w:fill="auto"/>
            <w:noWrap/>
            <w:vAlign w:val="center"/>
            <w:hideMark/>
          </w:tcPr>
          <w:p w14:paraId="3674EC26"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0,6</w:t>
            </w:r>
          </w:p>
        </w:tc>
        <w:tc>
          <w:tcPr>
            <w:tcW w:w="943" w:type="dxa"/>
            <w:tcBorders>
              <w:top w:val="nil"/>
              <w:left w:val="nil"/>
              <w:bottom w:val="single" w:sz="4" w:space="0" w:color="auto"/>
              <w:right w:val="nil"/>
            </w:tcBorders>
            <w:shd w:val="clear" w:color="000000" w:fill="D9D9D9"/>
            <w:noWrap/>
            <w:vAlign w:val="center"/>
            <w:hideMark/>
          </w:tcPr>
          <w:p w14:paraId="3E94343D"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2,3</w:t>
            </w:r>
          </w:p>
        </w:tc>
        <w:tc>
          <w:tcPr>
            <w:tcW w:w="872" w:type="dxa"/>
            <w:tcBorders>
              <w:top w:val="nil"/>
              <w:left w:val="nil"/>
              <w:bottom w:val="single" w:sz="4" w:space="0" w:color="auto"/>
              <w:right w:val="nil"/>
            </w:tcBorders>
            <w:shd w:val="clear" w:color="auto" w:fill="auto"/>
            <w:noWrap/>
            <w:vAlign w:val="center"/>
            <w:hideMark/>
          </w:tcPr>
          <w:p w14:paraId="56A4D81C"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33,8</w:t>
            </w:r>
          </w:p>
        </w:tc>
        <w:tc>
          <w:tcPr>
            <w:tcW w:w="872" w:type="dxa"/>
            <w:tcBorders>
              <w:top w:val="nil"/>
              <w:left w:val="nil"/>
              <w:bottom w:val="single" w:sz="4" w:space="0" w:color="auto"/>
              <w:right w:val="nil"/>
            </w:tcBorders>
            <w:shd w:val="clear" w:color="000000" w:fill="D9D9D9"/>
            <w:noWrap/>
            <w:vAlign w:val="center"/>
            <w:hideMark/>
          </w:tcPr>
          <w:p w14:paraId="0D037CBF"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28,1</w:t>
            </w:r>
          </w:p>
        </w:tc>
        <w:tc>
          <w:tcPr>
            <w:tcW w:w="872" w:type="dxa"/>
            <w:tcBorders>
              <w:top w:val="nil"/>
              <w:left w:val="nil"/>
              <w:bottom w:val="single" w:sz="4" w:space="0" w:color="auto"/>
              <w:right w:val="nil"/>
            </w:tcBorders>
            <w:shd w:val="clear" w:color="auto" w:fill="auto"/>
            <w:noWrap/>
            <w:vAlign w:val="center"/>
            <w:hideMark/>
          </w:tcPr>
          <w:p w14:paraId="59D5654E"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18,5</w:t>
            </w:r>
          </w:p>
        </w:tc>
        <w:tc>
          <w:tcPr>
            <w:tcW w:w="872" w:type="dxa"/>
            <w:tcBorders>
              <w:top w:val="nil"/>
              <w:left w:val="nil"/>
              <w:bottom w:val="single" w:sz="4" w:space="0" w:color="auto"/>
              <w:right w:val="nil"/>
            </w:tcBorders>
            <w:shd w:val="clear" w:color="000000" w:fill="D9D9D9"/>
            <w:noWrap/>
            <w:vAlign w:val="center"/>
            <w:hideMark/>
          </w:tcPr>
          <w:p w14:paraId="6A9C4AD5"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14,2</w:t>
            </w:r>
          </w:p>
        </w:tc>
        <w:tc>
          <w:tcPr>
            <w:tcW w:w="1102" w:type="dxa"/>
            <w:tcBorders>
              <w:top w:val="nil"/>
              <w:left w:val="nil"/>
              <w:bottom w:val="single" w:sz="4" w:space="0" w:color="auto"/>
              <w:right w:val="nil"/>
            </w:tcBorders>
            <w:shd w:val="clear" w:color="auto" w:fill="auto"/>
            <w:noWrap/>
            <w:vAlign w:val="center"/>
            <w:hideMark/>
          </w:tcPr>
          <w:p w14:paraId="08EFC3FE"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12,5</w:t>
            </w:r>
          </w:p>
        </w:tc>
        <w:tc>
          <w:tcPr>
            <w:tcW w:w="994" w:type="dxa"/>
            <w:tcBorders>
              <w:top w:val="nil"/>
              <w:left w:val="nil"/>
              <w:bottom w:val="single" w:sz="4" w:space="0" w:color="auto"/>
              <w:right w:val="nil"/>
            </w:tcBorders>
            <w:shd w:val="clear" w:color="000000" w:fill="D9D9D9"/>
            <w:noWrap/>
            <w:vAlign w:val="center"/>
            <w:hideMark/>
          </w:tcPr>
          <w:p w14:paraId="713EAF5A"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8,3</w:t>
            </w:r>
          </w:p>
        </w:tc>
      </w:tr>
      <w:tr w:rsidR="00BA206B" w14:paraId="0C66420F" w14:textId="77777777" w:rsidTr="00BA206B">
        <w:trPr>
          <w:trHeight w:val="300"/>
        </w:trPr>
        <w:tc>
          <w:tcPr>
            <w:tcW w:w="1462" w:type="dxa"/>
            <w:tcBorders>
              <w:top w:val="nil"/>
              <w:left w:val="nil"/>
              <w:bottom w:val="single" w:sz="4" w:space="0" w:color="auto"/>
              <w:right w:val="nil"/>
            </w:tcBorders>
            <w:shd w:val="clear" w:color="auto" w:fill="auto"/>
            <w:noWrap/>
            <w:vAlign w:val="center"/>
            <w:hideMark/>
          </w:tcPr>
          <w:p w14:paraId="231F8DA2" w14:textId="77777777" w:rsidR="00BA206B" w:rsidRDefault="00BA206B">
            <w:pPr>
              <w:rPr>
                <w:rFonts w:ascii="Arial Narrow" w:hAnsi="Arial Narrow" w:cs="Calibri"/>
                <w:color w:val="000000"/>
                <w:sz w:val="18"/>
                <w:szCs w:val="18"/>
              </w:rPr>
            </w:pPr>
            <w:r>
              <w:rPr>
                <w:rFonts w:ascii="Arial Narrow" w:hAnsi="Arial Narrow" w:cs="Calibri"/>
                <w:color w:val="000000"/>
                <w:sz w:val="18"/>
                <w:szCs w:val="18"/>
              </w:rPr>
              <w:t>Como</w:t>
            </w:r>
          </w:p>
        </w:tc>
        <w:tc>
          <w:tcPr>
            <w:tcW w:w="877" w:type="dxa"/>
            <w:tcBorders>
              <w:top w:val="nil"/>
              <w:left w:val="nil"/>
              <w:bottom w:val="single" w:sz="4" w:space="0" w:color="auto"/>
              <w:right w:val="nil"/>
            </w:tcBorders>
            <w:shd w:val="clear" w:color="000000" w:fill="D9D9D9"/>
            <w:noWrap/>
            <w:vAlign w:val="center"/>
            <w:hideMark/>
          </w:tcPr>
          <w:p w14:paraId="0C8948FC"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259.173</w:t>
            </w:r>
          </w:p>
        </w:tc>
        <w:tc>
          <w:tcPr>
            <w:tcW w:w="894" w:type="dxa"/>
            <w:tcBorders>
              <w:top w:val="nil"/>
              <w:left w:val="nil"/>
              <w:bottom w:val="single" w:sz="4" w:space="0" w:color="auto"/>
              <w:right w:val="nil"/>
            </w:tcBorders>
            <w:shd w:val="clear" w:color="auto" w:fill="auto"/>
            <w:noWrap/>
            <w:vAlign w:val="center"/>
            <w:hideMark/>
          </w:tcPr>
          <w:p w14:paraId="09C1A9D1"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0,6</w:t>
            </w:r>
          </w:p>
        </w:tc>
        <w:tc>
          <w:tcPr>
            <w:tcW w:w="943" w:type="dxa"/>
            <w:tcBorders>
              <w:top w:val="nil"/>
              <w:left w:val="nil"/>
              <w:bottom w:val="single" w:sz="4" w:space="0" w:color="auto"/>
              <w:right w:val="nil"/>
            </w:tcBorders>
            <w:shd w:val="clear" w:color="000000" w:fill="D9D9D9"/>
            <w:noWrap/>
            <w:vAlign w:val="center"/>
            <w:hideMark/>
          </w:tcPr>
          <w:p w14:paraId="659C683A"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2,3</w:t>
            </w:r>
          </w:p>
        </w:tc>
        <w:tc>
          <w:tcPr>
            <w:tcW w:w="872" w:type="dxa"/>
            <w:tcBorders>
              <w:top w:val="nil"/>
              <w:left w:val="nil"/>
              <w:bottom w:val="single" w:sz="4" w:space="0" w:color="auto"/>
              <w:right w:val="nil"/>
            </w:tcBorders>
            <w:shd w:val="clear" w:color="auto" w:fill="auto"/>
            <w:noWrap/>
            <w:vAlign w:val="center"/>
            <w:hideMark/>
          </w:tcPr>
          <w:p w14:paraId="3C5766D7"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33,6</w:t>
            </w:r>
          </w:p>
        </w:tc>
        <w:tc>
          <w:tcPr>
            <w:tcW w:w="872" w:type="dxa"/>
            <w:tcBorders>
              <w:top w:val="nil"/>
              <w:left w:val="nil"/>
              <w:bottom w:val="single" w:sz="4" w:space="0" w:color="auto"/>
              <w:right w:val="nil"/>
            </w:tcBorders>
            <w:shd w:val="clear" w:color="000000" w:fill="D9D9D9"/>
            <w:noWrap/>
            <w:vAlign w:val="center"/>
            <w:hideMark/>
          </w:tcPr>
          <w:p w14:paraId="001123EB"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28,9</w:t>
            </w:r>
          </w:p>
        </w:tc>
        <w:tc>
          <w:tcPr>
            <w:tcW w:w="872" w:type="dxa"/>
            <w:tcBorders>
              <w:top w:val="nil"/>
              <w:left w:val="nil"/>
              <w:bottom w:val="single" w:sz="4" w:space="0" w:color="auto"/>
              <w:right w:val="nil"/>
            </w:tcBorders>
            <w:shd w:val="clear" w:color="auto" w:fill="auto"/>
            <w:noWrap/>
            <w:vAlign w:val="center"/>
            <w:hideMark/>
          </w:tcPr>
          <w:p w14:paraId="2C9BB1BC"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18,7</w:t>
            </w:r>
          </w:p>
        </w:tc>
        <w:tc>
          <w:tcPr>
            <w:tcW w:w="872" w:type="dxa"/>
            <w:tcBorders>
              <w:top w:val="nil"/>
              <w:left w:val="nil"/>
              <w:bottom w:val="single" w:sz="4" w:space="0" w:color="auto"/>
              <w:right w:val="nil"/>
            </w:tcBorders>
            <w:shd w:val="clear" w:color="000000" w:fill="D9D9D9"/>
            <w:noWrap/>
            <w:vAlign w:val="center"/>
            <w:hideMark/>
          </w:tcPr>
          <w:p w14:paraId="6BFE3816"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14,2</w:t>
            </w:r>
          </w:p>
        </w:tc>
        <w:tc>
          <w:tcPr>
            <w:tcW w:w="1102" w:type="dxa"/>
            <w:tcBorders>
              <w:top w:val="nil"/>
              <w:left w:val="nil"/>
              <w:bottom w:val="single" w:sz="4" w:space="0" w:color="auto"/>
              <w:right w:val="nil"/>
            </w:tcBorders>
            <w:shd w:val="clear" w:color="auto" w:fill="auto"/>
            <w:noWrap/>
            <w:vAlign w:val="center"/>
            <w:hideMark/>
          </w:tcPr>
          <w:p w14:paraId="12BA93B7"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9,0</w:t>
            </w:r>
          </w:p>
        </w:tc>
        <w:tc>
          <w:tcPr>
            <w:tcW w:w="994" w:type="dxa"/>
            <w:tcBorders>
              <w:top w:val="nil"/>
              <w:left w:val="nil"/>
              <w:bottom w:val="single" w:sz="4" w:space="0" w:color="auto"/>
              <w:right w:val="nil"/>
            </w:tcBorders>
            <w:shd w:val="clear" w:color="000000" w:fill="D9D9D9"/>
            <w:noWrap/>
            <w:vAlign w:val="center"/>
            <w:hideMark/>
          </w:tcPr>
          <w:p w14:paraId="1AC1805D"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5,6</w:t>
            </w:r>
          </w:p>
        </w:tc>
      </w:tr>
      <w:tr w:rsidR="00BA206B" w14:paraId="4AF6026E" w14:textId="77777777" w:rsidTr="00BA206B">
        <w:trPr>
          <w:trHeight w:val="300"/>
        </w:trPr>
        <w:tc>
          <w:tcPr>
            <w:tcW w:w="1462" w:type="dxa"/>
            <w:tcBorders>
              <w:top w:val="nil"/>
              <w:left w:val="nil"/>
              <w:bottom w:val="single" w:sz="4" w:space="0" w:color="auto"/>
              <w:right w:val="nil"/>
            </w:tcBorders>
            <w:shd w:val="clear" w:color="auto" w:fill="auto"/>
            <w:noWrap/>
            <w:vAlign w:val="center"/>
            <w:hideMark/>
          </w:tcPr>
          <w:p w14:paraId="4A00FDDC" w14:textId="77777777" w:rsidR="00BA206B" w:rsidRDefault="00BA206B">
            <w:pPr>
              <w:rPr>
                <w:rFonts w:ascii="Arial Narrow" w:hAnsi="Arial Narrow" w:cs="Calibri"/>
                <w:color w:val="000000"/>
                <w:sz w:val="18"/>
                <w:szCs w:val="18"/>
              </w:rPr>
            </w:pPr>
            <w:r>
              <w:rPr>
                <w:rFonts w:ascii="Arial Narrow" w:hAnsi="Arial Narrow" w:cs="Calibri"/>
                <w:color w:val="000000"/>
                <w:sz w:val="18"/>
                <w:szCs w:val="18"/>
              </w:rPr>
              <w:t>Cremona</w:t>
            </w:r>
          </w:p>
        </w:tc>
        <w:tc>
          <w:tcPr>
            <w:tcW w:w="877" w:type="dxa"/>
            <w:tcBorders>
              <w:top w:val="nil"/>
              <w:left w:val="nil"/>
              <w:bottom w:val="single" w:sz="4" w:space="0" w:color="auto"/>
              <w:right w:val="nil"/>
            </w:tcBorders>
            <w:shd w:val="clear" w:color="000000" w:fill="D9D9D9"/>
            <w:noWrap/>
            <w:vAlign w:val="center"/>
            <w:hideMark/>
          </w:tcPr>
          <w:p w14:paraId="2317B48B"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152.976</w:t>
            </w:r>
          </w:p>
        </w:tc>
        <w:tc>
          <w:tcPr>
            <w:tcW w:w="894" w:type="dxa"/>
            <w:tcBorders>
              <w:top w:val="nil"/>
              <w:left w:val="nil"/>
              <w:bottom w:val="single" w:sz="4" w:space="0" w:color="auto"/>
              <w:right w:val="nil"/>
            </w:tcBorders>
            <w:shd w:val="clear" w:color="auto" w:fill="auto"/>
            <w:noWrap/>
            <w:vAlign w:val="center"/>
            <w:hideMark/>
          </w:tcPr>
          <w:p w14:paraId="5F76073E"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0,3</w:t>
            </w:r>
          </w:p>
        </w:tc>
        <w:tc>
          <w:tcPr>
            <w:tcW w:w="943" w:type="dxa"/>
            <w:tcBorders>
              <w:top w:val="nil"/>
              <w:left w:val="nil"/>
              <w:bottom w:val="single" w:sz="4" w:space="0" w:color="auto"/>
              <w:right w:val="nil"/>
            </w:tcBorders>
            <w:shd w:val="clear" w:color="000000" w:fill="D9D9D9"/>
            <w:noWrap/>
            <w:vAlign w:val="center"/>
            <w:hideMark/>
          </w:tcPr>
          <w:p w14:paraId="4E00D20E"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2,3</w:t>
            </w:r>
          </w:p>
        </w:tc>
        <w:tc>
          <w:tcPr>
            <w:tcW w:w="872" w:type="dxa"/>
            <w:tcBorders>
              <w:top w:val="nil"/>
              <w:left w:val="nil"/>
              <w:bottom w:val="single" w:sz="4" w:space="0" w:color="auto"/>
              <w:right w:val="nil"/>
            </w:tcBorders>
            <w:shd w:val="clear" w:color="auto" w:fill="auto"/>
            <w:noWrap/>
            <w:vAlign w:val="center"/>
            <w:hideMark/>
          </w:tcPr>
          <w:p w14:paraId="10873895"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32,8</w:t>
            </w:r>
          </w:p>
        </w:tc>
        <w:tc>
          <w:tcPr>
            <w:tcW w:w="872" w:type="dxa"/>
            <w:tcBorders>
              <w:top w:val="nil"/>
              <w:left w:val="nil"/>
              <w:bottom w:val="single" w:sz="4" w:space="0" w:color="auto"/>
              <w:right w:val="nil"/>
            </w:tcBorders>
            <w:shd w:val="clear" w:color="000000" w:fill="D9D9D9"/>
            <w:noWrap/>
            <w:vAlign w:val="center"/>
            <w:hideMark/>
          </w:tcPr>
          <w:p w14:paraId="2E926946"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30,0</w:t>
            </w:r>
          </w:p>
        </w:tc>
        <w:tc>
          <w:tcPr>
            <w:tcW w:w="872" w:type="dxa"/>
            <w:tcBorders>
              <w:top w:val="nil"/>
              <w:left w:val="nil"/>
              <w:bottom w:val="single" w:sz="4" w:space="0" w:color="auto"/>
              <w:right w:val="nil"/>
            </w:tcBorders>
            <w:shd w:val="clear" w:color="auto" w:fill="auto"/>
            <w:noWrap/>
            <w:vAlign w:val="center"/>
            <w:hideMark/>
          </w:tcPr>
          <w:p w14:paraId="41DD5E4C"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19,4</w:t>
            </w:r>
          </w:p>
        </w:tc>
        <w:tc>
          <w:tcPr>
            <w:tcW w:w="872" w:type="dxa"/>
            <w:tcBorders>
              <w:top w:val="nil"/>
              <w:left w:val="nil"/>
              <w:bottom w:val="single" w:sz="4" w:space="0" w:color="auto"/>
              <w:right w:val="nil"/>
            </w:tcBorders>
            <w:shd w:val="clear" w:color="000000" w:fill="D9D9D9"/>
            <w:noWrap/>
            <w:vAlign w:val="center"/>
            <w:hideMark/>
          </w:tcPr>
          <w:p w14:paraId="64776877"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13,0</w:t>
            </w:r>
          </w:p>
        </w:tc>
        <w:tc>
          <w:tcPr>
            <w:tcW w:w="1102" w:type="dxa"/>
            <w:tcBorders>
              <w:top w:val="nil"/>
              <w:left w:val="nil"/>
              <w:bottom w:val="single" w:sz="4" w:space="0" w:color="auto"/>
              <w:right w:val="nil"/>
            </w:tcBorders>
            <w:shd w:val="clear" w:color="auto" w:fill="auto"/>
            <w:noWrap/>
            <w:vAlign w:val="center"/>
            <w:hideMark/>
          </w:tcPr>
          <w:p w14:paraId="53EF9BC9"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10,9</w:t>
            </w:r>
          </w:p>
        </w:tc>
        <w:tc>
          <w:tcPr>
            <w:tcW w:w="994" w:type="dxa"/>
            <w:tcBorders>
              <w:top w:val="nil"/>
              <w:left w:val="nil"/>
              <w:bottom w:val="single" w:sz="4" w:space="0" w:color="auto"/>
              <w:right w:val="nil"/>
            </w:tcBorders>
            <w:shd w:val="clear" w:color="000000" w:fill="D9D9D9"/>
            <w:noWrap/>
            <w:vAlign w:val="center"/>
            <w:hideMark/>
          </w:tcPr>
          <w:p w14:paraId="2A383FD8"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7,2</w:t>
            </w:r>
          </w:p>
        </w:tc>
      </w:tr>
      <w:tr w:rsidR="00BA206B" w14:paraId="075E8A54" w14:textId="77777777" w:rsidTr="00BA206B">
        <w:trPr>
          <w:trHeight w:val="300"/>
        </w:trPr>
        <w:tc>
          <w:tcPr>
            <w:tcW w:w="1462" w:type="dxa"/>
            <w:tcBorders>
              <w:top w:val="nil"/>
              <w:left w:val="nil"/>
              <w:bottom w:val="single" w:sz="4" w:space="0" w:color="auto"/>
              <w:right w:val="nil"/>
            </w:tcBorders>
            <w:shd w:val="clear" w:color="auto" w:fill="auto"/>
            <w:noWrap/>
            <w:vAlign w:val="center"/>
            <w:hideMark/>
          </w:tcPr>
          <w:p w14:paraId="5AC8224E" w14:textId="77777777" w:rsidR="00BA206B" w:rsidRDefault="00BA206B">
            <w:pPr>
              <w:rPr>
                <w:rFonts w:ascii="Arial Narrow" w:hAnsi="Arial Narrow" w:cs="Calibri"/>
                <w:color w:val="000000"/>
                <w:sz w:val="18"/>
                <w:szCs w:val="18"/>
              </w:rPr>
            </w:pPr>
            <w:r>
              <w:rPr>
                <w:rFonts w:ascii="Arial Narrow" w:hAnsi="Arial Narrow" w:cs="Calibri"/>
                <w:color w:val="000000"/>
                <w:sz w:val="18"/>
                <w:szCs w:val="18"/>
              </w:rPr>
              <w:t>Lecco</w:t>
            </w:r>
          </w:p>
        </w:tc>
        <w:tc>
          <w:tcPr>
            <w:tcW w:w="877" w:type="dxa"/>
            <w:tcBorders>
              <w:top w:val="nil"/>
              <w:left w:val="nil"/>
              <w:bottom w:val="single" w:sz="4" w:space="0" w:color="auto"/>
              <w:right w:val="nil"/>
            </w:tcBorders>
            <w:shd w:val="clear" w:color="000000" w:fill="D9D9D9"/>
            <w:noWrap/>
            <w:vAlign w:val="center"/>
            <w:hideMark/>
          </w:tcPr>
          <w:p w14:paraId="4AD8FD33"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143.949</w:t>
            </w:r>
          </w:p>
        </w:tc>
        <w:tc>
          <w:tcPr>
            <w:tcW w:w="894" w:type="dxa"/>
            <w:tcBorders>
              <w:top w:val="nil"/>
              <w:left w:val="nil"/>
              <w:bottom w:val="single" w:sz="4" w:space="0" w:color="auto"/>
              <w:right w:val="nil"/>
            </w:tcBorders>
            <w:shd w:val="clear" w:color="auto" w:fill="auto"/>
            <w:noWrap/>
            <w:vAlign w:val="center"/>
            <w:hideMark/>
          </w:tcPr>
          <w:p w14:paraId="017678D4"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0,4</w:t>
            </w:r>
          </w:p>
        </w:tc>
        <w:tc>
          <w:tcPr>
            <w:tcW w:w="943" w:type="dxa"/>
            <w:tcBorders>
              <w:top w:val="nil"/>
              <w:left w:val="nil"/>
              <w:bottom w:val="single" w:sz="4" w:space="0" w:color="auto"/>
              <w:right w:val="nil"/>
            </w:tcBorders>
            <w:shd w:val="clear" w:color="000000" w:fill="D9D9D9"/>
            <w:noWrap/>
            <w:vAlign w:val="center"/>
            <w:hideMark/>
          </w:tcPr>
          <w:p w14:paraId="390614B0"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2,3</w:t>
            </w:r>
          </w:p>
        </w:tc>
        <w:tc>
          <w:tcPr>
            <w:tcW w:w="872" w:type="dxa"/>
            <w:tcBorders>
              <w:top w:val="nil"/>
              <w:left w:val="nil"/>
              <w:bottom w:val="single" w:sz="4" w:space="0" w:color="auto"/>
              <w:right w:val="nil"/>
            </w:tcBorders>
            <w:shd w:val="clear" w:color="auto" w:fill="auto"/>
            <w:noWrap/>
            <w:vAlign w:val="center"/>
            <w:hideMark/>
          </w:tcPr>
          <w:p w14:paraId="39547C34"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33,2</w:t>
            </w:r>
          </w:p>
        </w:tc>
        <w:tc>
          <w:tcPr>
            <w:tcW w:w="872" w:type="dxa"/>
            <w:tcBorders>
              <w:top w:val="nil"/>
              <w:left w:val="nil"/>
              <w:bottom w:val="single" w:sz="4" w:space="0" w:color="auto"/>
              <w:right w:val="nil"/>
            </w:tcBorders>
            <w:shd w:val="clear" w:color="000000" w:fill="D9D9D9"/>
            <w:noWrap/>
            <w:vAlign w:val="center"/>
            <w:hideMark/>
          </w:tcPr>
          <w:p w14:paraId="792DBB24"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29,2</w:t>
            </w:r>
          </w:p>
        </w:tc>
        <w:tc>
          <w:tcPr>
            <w:tcW w:w="872" w:type="dxa"/>
            <w:tcBorders>
              <w:top w:val="nil"/>
              <w:left w:val="nil"/>
              <w:bottom w:val="single" w:sz="4" w:space="0" w:color="auto"/>
              <w:right w:val="nil"/>
            </w:tcBorders>
            <w:shd w:val="clear" w:color="auto" w:fill="auto"/>
            <w:noWrap/>
            <w:vAlign w:val="center"/>
            <w:hideMark/>
          </w:tcPr>
          <w:p w14:paraId="6A7155A0"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18,3</w:t>
            </w:r>
          </w:p>
        </w:tc>
        <w:tc>
          <w:tcPr>
            <w:tcW w:w="872" w:type="dxa"/>
            <w:tcBorders>
              <w:top w:val="nil"/>
              <w:left w:val="nil"/>
              <w:bottom w:val="single" w:sz="4" w:space="0" w:color="auto"/>
              <w:right w:val="nil"/>
            </w:tcBorders>
            <w:shd w:val="clear" w:color="000000" w:fill="D9D9D9"/>
            <w:noWrap/>
            <w:vAlign w:val="center"/>
            <w:hideMark/>
          </w:tcPr>
          <w:p w14:paraId="18EEDD94"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14,3</w:t>
            </w:r>
          </w:p>
        </w:tc>
        <w:tc>
          <w:tcPr>
            <w:tcW w:w="1102" w:type="dxa"/>
            <w:tcBorders>
              <w:top w:val="nil"/>
              <w:left w:val="nil"/>
              <w:bottom w:val="single" w:sz="4" w:space="0" w:color="auto"/>
              <w:right w:val="nil"/>
            </w:tcBorders>
            <w:shd w:val="clear" w:color="auto" w:fill="auto"/>
            <w:noWrap/>
            <w:vAlign w:val="center"/>
            <w:hideMark/>
          </w:tcPr>
          <w:p w14:paraId="1EB7334F"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8,4</w:t>
            </w:r>
          </w:p>
        </w:tc>
        <w:tc>
          <w:tcPr>
            <w:tcW w:w="994" w:type="dxa"/>
            <w:tcBorders>
              <w:top w:val="nil"/>
              <w:left w:val="nil"/>
              <w:bottom w:val="single" w:sz="4" w:space="0" w:color="auto"/>
              <w:right w:val="nil"/>
            </w:tcBorders>
            <w:shd w:val="clear" w:color="000000" w:fill="D9D9D9"/>
            <w:noWrap/>
            <w:vAlign w:val="center"/>
            <w:hideMark/>
          </w:tcPr>
          <w:p w14:paraId="75382E8B"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5,3</w:t>
            </w:r>
          </w:p>
        </w:tc>
      </w:tr>
      <w:tr w:rsidR="00BA206B" w14:paraId="798F8262" w14:textId="77777777" w:rsidTr="00BA206B">
        <w:trPr>
          <w:trHeight w:val="300"/>
        </w:trPr>
        <w:tc>
          <w:tcPr>
            <w:tcW w:w="1462" w:type="dxa"/>
            <w:tcBorders>
              <w:top w:val="nil"/>
              <w:left w:val="nil"/>
              <w:bottom w:val="single" w:sz="4" w:space="0" w:color="auto"/>
              <w:right w:val="nil"/>
            </w:tcBorders>
            <w:shd w:val="clear" w:color="auto" w:fill="auto"/>
            <w:noWrap/>
            <w:vAlign w:val="center"/>
            <w:hideMark/>
          </w:tcPr>
          <w:p w14:paraId="50ED677F" w14:textId="77777777" w:rsidR="00BA206B" w:rsidRDefault="00BA206B">
            <w:pPr>
              <w:rPr>
                <w:rFonts w:ascii="Arial Narrow" w:hAnsi="Arial Narrow" w:cs="Calibri"/>
                <w:color w:val="000000"/>
                <w:sz w:val="18"/>
                <w:szCs w:val="18"/>
              </w:rPr>
            </w:pPr>
            <w:r>
              <w:rPr>
                <w:rFonts w:ascii="Arial Narrow" w:hAnsi="Arial Narrow" w:cs="Calibri"/>
                <w:color w:val="000000"/>
                <w:sz w:val="18"/>
                <w:szCs w:val="18"/>
              </w:rPr>
              <w:t>Lodi</w:t>
            </w:r>
          </w:p>
        </w:tc>
        <w:tc>
          <w:tcPr>
            <w:tcW w:w="877" w:type="dxa"/>
            <w:tcBorders>
              <w:top w:val="nil"/>
              <w:left w:val="nil"/>
              <w:bottom w:val="single" w:sz="4" w:space="0" w:color="auto"/>
              <w:right w:val="nil"/>
            </w:tcBorders>
            <w:shd w:val="clear" w:color="000000" w:fill="D9D9D9"/>
            <w:noWrap/>
            <w:vAlign w:val="center"/>
            <w:hideMark/>
          </w:tcPr>
          <w:p w14:paraId="3EA848B5"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96.536</w:t>
            </w:r>
          </w:p>
        </w:tc>
        <w:tc>
          <w:tcPr>
            <w:tcW w:w="894" w:type="dxa"/>
            <w:tcBorders>
              <w:top w:val="nil"/>
              <w:left w:val="nil"/>
              <w:bottom w:val="single" w:sz="4" w:space="0" w:color="auto"/>
              <w:right w:val="nil"/>
            </w:tcBorders>
            <w:shd w:val="clear" w:color="auto" w:fill="auto"/>
            <w:noWrap/>
            <w:vAlign w:val="center"/>
            <w:hideMark/>
          </w:tcPr>
          <w:p w14:paraId="58FA0BDD"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0,8</w:t>
            </w:r>
          </w:p>
        </w:tc>
        <w:tc>
          <w:tcPr>
            <w:tcW w:w="943" w:type="dxa"/>
            <w:tcBorders>
              <w:top w:val="nil"/>
              <w:left w:val="nil"/>
              <w:bottom w:val="single" w:sz="4" w:space="0" w:color="auto"/>
              <w:right w:val="nil"/>
            </w:tcBorders>
            <w:shd w:val="clear" w:color="000000" w:fill="D9D9D9"/>
            <w:noWrap/>
            <w:vAlign w:val="center"/>
            <w:hideMark/>
          </w:tcPr>
          <w:p w14:paraId="0BA5FB66"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2,3</w:t>
            </w:r>
          </w:p>
        </w:tc>
        <w:tc>
          <w:tcPr>
            <w:tcW w:w="872" w:type="dxa"/>
            <w:tcBorders>
              <w:top w:val="nil"/>
              <w:left w:val="nil"/>
              <w:bottom w:val="single" w:sz="4" w:space="0" w:color="auto"/>
              <w:right w:val="nil"/>
            </w:tcBorders>
            <w:shd w:val="clear" w:color="auto" w:fill="auto"/>
            <w:noWrap/>
            <w:vAlign w:val="center"/>
            <w:hideMark/>
          </w:tcPr>
          <w:p w14:paraId="79AA30EC"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31,4</w:t>
            </w:r>
          </w:p>
        </w:tc>
        <w:tc>
          <w:tcPr>
            <w:tcW w:w="872" w:type="dxa"/>
            <w:tcBorders>
              <w:top w:val="nil"/>
              <w:left w:val="nil"/>
              <w:bottom w:val="single" w:sz="4" w:space="0" w:color="auto"/>
              <w:right w:val="nil"/>
            </w:tcBorders>
            <w:shd w:val="clear" w:color="000000" w:fill="D9D9D9"/>
            <w:noWrap/>
            <w:vAlign w:val="center"/>
            <w:hideMark/>
          </w:tcPr>
          <w:p w14:paraId="1123C8C5"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29,6</w:t>
            </w:r>
          </w:p>
        </w:tc>
        <w:tc>
          <w:tcPr>
            <w:tcW w:w="872" w:type="dxa"/>
            <w:tcBorders>
              <w:top w:val="nil"/>
              <w:left w:val="nil"/>
              <w:bottom w:val="single" w:sz="4" w:space="0" w:color="auto"/>
              <w:right w:val="nil"/>
            </w:tcBorders>
            <w:shd w:val="clear" w:color="auto" w:fill="auto"/>
            <w:noWrap/>
            <w:vAlign w:val="center"/>
            <w:hideMark/>
          </w:tcPr>
          <w:p w14:paraId="24D9EAEF"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20,0</w:t>
            </w:r>
          </w:p>
        </w:tc>
        <w:tc>
          <w:tcPr>
            <w:tcW w:w="872" w:type="dxa"/>
            <w:tcBorders>
              <w:top w:val="nil"/>
              <w:left w:val="nil"/>
              <w:bottom w:val="single" w:sz="4" w:space="0" w:color="auto"/>
              <w:right w:val="nil"/>
            </w:tcBorders>
            <w:shd w:val="clear" w:color="000000" w:fill="D9D9D9"/>
            <w:noWrap/>
            <w:vAlign w:val="center"/>
            <w:hideMark/>
          </w:tcPr>
          <w:p w14:paraId="5716A399"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14,0</w:t>
            </w:r>
          </w:p>
        </w:tc>
        <w:tc>
          <w:tcPr>
            <w:tcW w:w="1102" w:type="dxa"/>
            <w:tcBorders>
              <w:top w:val="nil"/>
              <w:left w:val="nil"/>
              <w:bottom w:val="single" w:sz="4" w:space="0" w:color="auto"/>
              <w:right w:val="nil"/>
            </w:tcBorders>
            <w:shd w:val="clear" w:color="auto" w:fill="auto"/>
            <w:noWrap/>
            <w:vAlign w:val="center"/>
            <w:hideMark/>
          </w:tcPr>
          <w:p w14:paraId="1A8EF715"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11,5</w:t>
            </w:r>
          </w:p>
        </w:tc>
        <w:tc>
          <w:tcPr>
            <w:tcW w:w="994" w:type="dxa"/>
            <w:tcBorders>
              <w:top w:val="nil"/>
              <w:left w:val="nil"/>
              <w:bottom w:val="single" w:sz="4" w:space="0" w:color="auto"/>
              <w:right w:val="nil"/>
            </w:tcBorders>
            <w:shd w:val="clear" w:color="000000" w:fill="D9D9D9"/>
            <w:noWrap/>
            <w:vAlign w:val="center"/>
            <w:hideMark/>
          </w:tcPr>
          <w:p w14:paraId="79A99394"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7,7</w:t>
            </w:r>
          </w:p>
        </w:tc>
      </w:tr>
      <w:tr w:rsidR="00BA206B" w14:paraId="1594D336" w14:textId="77777777" w:rsidTr="00BA206B">
        <w:trPr>
          <w:trHeight w:val="300"/>
        </w:trPr>
        <w:tc>
          <w:tcPr>
            <w:tcW w:w="1462" w:type="dxa"/>
            <w:tcBorders>
              <w:top w:val="nil"/>
              <w:left w:val="nil"/>
              <w:bottom w:val="single" w:sz="4" w:space="0" w:color="auto"/>
              <w:right w:val="nil"/>
            </w:tcBorders>
            <w:shd w:val="clear" w:color="auto" w:fill="auto"/>
            <w:noWrap/>
            <w:vAlign w:val="center"/>
            <w:hideMark/>
          </w:tcPr>
          <w:p w14:paraId="1189DFEB" w14:textId="77777777" w:rsidR="00BA206B" w:rsidRDefault="00BA206B">
            <w:pPr>
              <w:rPr>
                <w:rFonts w:ascii="Arial Narrow" w:hAnsi="Arial Narrow" w:cs="Calibri"/>
                <w:color w:val="000000"/>
                <w:sz w:val="18"/>
                <w:szCs w:val="18"/>
              </w:rPr>
            </w:pPr>
            <w:r>
              <w:rPr>
                <w:rFonts w:ascii="Arial Narrow" w:hAnsi="Arial Narrow" w:cs="Calibri"/>
                <w:color w:val="000000"/>
                <w:sz w:val="18"/>
                <w:szCs w:val="18"/>
              </w:rPr>
              <w:t>Mantova</w:t>
            </w:r>
          </w:p>
        </w:tc>
        <w:tc>
          <w:tcPr>
            <w:tcW w:w="877" w:type="dxa"/>
            <w:tcBorders>
              <w:top w:val="nil"/>
              <w:left w:val="nil"/>
              <w:bottom w:val="single" w:sz="4" w:space="0" w:color="auto"/>
              <w:right w:val="nil"/>
            </w:tcBorders>
            <w:shd w:val="clear" w:color="000000" w:fill="D9D9D9"/>
            <w:noWrap/>
            <w:vAlign w:val="center"/>
            <w:hideMark/>
          </w:tcPr>
          <w:p w14:paraId="715FE6A7"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171.198</w:t>
            </w:r>
          </w:p>
        </w:tc>
        <w:tc>
          <w:tcPr>
            <w:tcW w:w="894" w:type="dxa"/>
            <w:tcBorders>
              <w:top w:val="nil"/>
              <w:left w:val="nil"/>
              <w:bottom w:val="single" w:sz="4" w:space="0" w:color="auto"/>
              <w:right w:val="nil"/>
            </w:tcBorders>
            <w:shd w:val="clear" w:color="auto" w:fill="auto"/>
            <w:noWrap/>
            <w:vAlign w:val="center"/>
            <w:hideMark/>
          </w:tcPr>
          <w:p w14:paraId="07207BEC"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0,3</w:t>
            </w:r>
          </w:p>
        </w:tc>
        <w:tc>
          <w:tcPr>
            <w:tcW w:w="943" w:type="dxa"/>
            <w:tcBorders>
              <w:top w:val="nil"/>
              <w:left w:val="nil"/>
              <w:bottom w:val="single" w:sz="4" w:space="0" w:color="auto"/>
              <w:right w:val="nil"/>
            </w:tcBorders>
            <w:shd w:val="clear" w:color="000000" w:fill="D9D9D9"/>
            <w:noWrap/>
            <w:vAlign w:val="center"/>
            <w:hideMark/>
          </w:tcPr>
          <w:p w14:paraId="043ECBE7"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2,4</w:t>
            </w:r>
          </w:p>
        </w:tc>
        <w:tc>
          <w:tcPr>
            <w:tcW w:w="872" w:type="dxa"/>
            <w:tcBorders>
              <w:top w:val="nil"/>
              <w:left w:val="nil"/>
              <w:bottom w:val="single" w:sz="4" w:space="0" w:color="auto"/>
              <w:right w:val="nil"/>
            </w:tcBorders>
            <w:shd w:val="clear" w:color="auto" w:fill="auto"/>
            <w:noWrap/>
            <w:vAlign w:val="center"/>
            <w:hideMark/>
          </w:tcPr>
          <w:p w14:paraId="7821151C"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31,3</w:t>
            </w:r>
          </w:p>
        </w:tc>
        <w:tc>
          <w:tcPr>
            <w:tcW w:w="872" w:type="dxa"/>
            <w:tcBorders>
              <w:top w:val="nil"/>
              <w:left w:val="nil"/>
              <w:bottom w:val="single" w:sz="4" w:space="0" w:color="auto"/>
              <w:right w:val="nil"/>
            </w:tcBorders>
            <w:shd w:val="clear" w:color="000000" w:fill="D9D9D9"/>
            <w:noWrap/>
            <w:vAlign w:val="center"/>
            <w:hideMark/>
          </w:tcPr>
          <w:p w14:paraId="2833DC38"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29,5</w:t>
            </w:r>
          </w:p>
        </w:tc>
        <w:tc>
          <w:tcPr>
            <w:tcW w:w="872" w:type="dxa"/>
            <w:tcBorders>
              <w:top w:val="nil"/>
              <w:left w:val="nil"/>
              <w:bottom w:val="single" w:sz="4" w:space="0" w:color="auto"/>
              <w:right w:val="nil"/>
            </w:tcBorders>
            <w:shd w:val="clear" w:color="auto" w:fill="auto"/>
            <w:noWrap/>
            <w:vAlign w:val="center"/>
            <w:hideMark/>
          </w:tcPr>
          <w:p w14:paraId="68940C5C"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19,8</w:t>
            </w:r>
          </w:p>
        </w:tc>
        <w:tc>
          <w:tcPr>
            <w:tcW w:w="872" w:type="dxa"/>
            <w:tcBorders>
              <w:top w:val="nil"/>
              <w:left w:val="nil"/>
              <w:bottom w:val="single" w:sz="4" w:space="0" w:color="auto"/>
              <w:right w:val="nil"/>
            </w:tcBorders>
            <w:shd w:val="clear" w:color="000000" w:fill="D9D9D9"/>
            <w:noWrap/>
            <w:vAlign w:val="center"/>
            <w:hideMark/>
          </w:tcPr>
          <w:p w14:paraId="12AB1239"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13,7</w:t>
            </w:r>
          </w:p>
        </w:tc>
        <w:tc>
          <w:tcPr>
            <w:tcW w:w="1102" w:type="dxa"/>
            <w:tcBorders>
              <w:top w:val="nil"/>
              <w:left w:val="nil"/>
              <w:bottom w:val="single" w:sz="4" w:space="0" w:color="auto"/>
              <w:right w:val="nil"/>
            </w:tcBorders>
            <w:shd w:val="clear" w:color="auto" w:fill="auto"/>
            <w:noWrap/>
            <w:vAlign w:val="center"/>
            <w:hideMark/>
          </w:tcPr>
          <w:p w14:paraId="47E6BE4B"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12,9</w:t>
            </w:r>
          </w:p>
        </w:tc>
        <w:tc>
          <w:tcPr>
            <w:tcW w:w="994" w:type="dxa"/>
            <w:tcBorders>
              <w:top w:val="nil"/>
              <w:left w:val="nil"/>
              <w:bottom w:val="single" w:sz="4" w:space="0" w:color="auto"/>
              <w:right w:val="nil"/>
            </w:tcBorders>
            <w:shd w:val="clear" w:color="000000" w:fill="D9D9D9"/>
            <w:noWrap/>
            <w:vAlign w:val="center"/>
            <w:hideMark/>
          </w:tcPr>
          <w:p w14:paraId="7A1F15D0"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8,6</w:t>
            </w:r>
          </w:p>
        </w:tc>
      </w:tr>
      <w:tr w:rsidR="00BA206B" w14:paraId="144D946D" w14:textId="77777777" w:rsidTr="00BA206B">
        <w:trPr>
          <w:trHeight w:val="300"/>
        </w:trPr>
        <w:tc>
          <w:tcPr>
            <w:tcW w:w="1462" w:type="dxa"/>
            <w:tcBorders>
              <w:top w:val="nil"/>
              <w:left w:val="nil"/>
              <w:bottom w:val="single" w:sz="4" w:space="0" w:color="auto"/>
              <w:right w:val="nil"/>
            </w:tcBorders>
            <w:shd w:val="clear" w:color="auto" w:fill="auto"/>
            <w:noWrap/>
            <w:vAlign w:val="center"/>
            <w:hideMark/>
          </w:tcPr>
          <w:p w14:paraId="097781D5" w14:textId="77777777" w:rsidR="00BA206B" w:rsidRDefault="00BA206B">
            <w:pPr>
              <w:rPr>
                <w:rFonts w:ascii="Arial Narrow" w:hAnsi="Arial Narrow" w:cs="Calibri"/>
                <w:color w:val="000000"/>
                <w:sz w:val="18"/>
                <w:szCs w:val="18"/>
              </w:rPr>
            </w:pPr>
            <w:r>
              <w:rPr>
                <w:rFonts w:ascii="Arial Narrow" w:hAnsi="Arial Narrow" w:cs="Calibri"/>
                <w:color w:val="000000"/>
                <w:sz w:val="18"/>
                <w:szCs w:val="18"/>
              </w:rPr>
              <w:t>Milano</w:t>
            </w:r>
          </w:p>
        </w:tc>
        <w:tc>
          <w:tcPr>
            <w:tcW w:w="877" w:type="dxa"/>
            <w:tcBorders>
              <w:top w:val="nil"/>
              <w:left w:val="nil"/>
              <w:bottom w:val="single" w:sz="4" w:space="0" w:color="auto"/>
              <w:right w:val="nil"/>
            </w:tcBorders>
            <w:shd w:val="clear" w:color="000000" w:fill="D9D9D9"/>
            <w:noWrap/>
            <w:vAlign w:val="center"/>
            <w:hideMark/>
          </w:tcPr>
          <w:p w14:paraId="48BC793B"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1.548.625</w:t>
            </w:r>
          </w:p>
        </w:tc>
        <w:tc>
          <w:tcPr>
            <w:tcW w:w="894" w:type="dxa"/>
            <w:tcBorders>
              <w:top w:val="nil"/>
              <w:left w:val="nil"/>
              <w:bottom w:val="single" w:sz="4" w:space="0" w:color="auto"/>
              <w:right w:val="nil"/>
            </w:tcBorders>
            <w:shd w:val="clear" w:color="auto" w:fill="auto"/>
            <w:noWrap/>
            <w:vAlign w:val="center"/>
            <w:hideMark/>
          </w:tcPr>
          <w:p w14:paraId="0183B6C3"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1,1</w:t>
            </w:r>
          </w:p>
        </w:tc>
        <w:tc>
          <w:tcPr>
            <w:tcW w:w="943" w:type="dxa"/>
            <w:tcBorders>
              <w:top w:val="nil"/>
              <w:left w:val="nil"/>
              <w:bottom w:val="single" w:sz="4" w:space="0" w:color="auto"/>
              <w:right w:val="nil"/>
            </w:tcBorders>
            <w:shd w:val="clear" w:color="000000" w:fill="D9D9D9"/>
            <w:noWrap/>
            <w:vAlign w:val="center"/>
            <w:hideMark/>
          </w:tcPr>
          <w:p w14:paraId="350700A7"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2,1</w:t>
            </w:r>
          </w:p>
        </w:tc>
        <w:tc>
          <w:tcPr>
            <w:tcW w:w="872" w:type="dxa"/>
            <w:tcBorders>
              <w:top w:val="nil"/>
              <w:left w:val="nil"/>
              <w:bottom w:val="single" w:sz="4" w:space="0" w:color="auto"/>
              <w:right w:val="nil"/>
            </w:tcBorders>
            <w:shd w:val="clear" w:color="auto" w:fill="auto"/>
            <w:noWrap/>
            <w:vAlign w:val="center"/>
            <w:hideMark/>
          </w:tcPr>
          <w:p w14:paraId="68B0C7C8"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42,2</w:t>
            </w:r>
          </w:p>
        </w:tc>
        <w:tc>
          <w:tcPr>
            <w:tcW w:w="872" w:type="dxa"/>
            <w:tcBorders>
              <w:top w:val="nil"/>
              <w:left w:val="nil"/>
              <w:bottom w:val="single" w:sz="4" w:space="0" w:color="auto"/>
              <w:right w:val="nil"/>
            </w:tcBorders>
            <w:shd w:val="clear" w:color="000000" w:fill="D9D9D9"/>
            <w:noWrap/>
            <w:vAlign w:val="center"/>
            <w:hideMark/>
          </w:tcPr>
          <w:p w14:paraId="60ED2313"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26,5</w:t>
            </w:r>
          </w:p>
        </w:tc>
        <w:tc>
          <w:tcPr>
            <w:tcW w:w="872" w:type="dxa"/>
            <w:tcBorders>
              <w:top w:val="nil"/>
              <w:left w:val="nil"/>
              <w:bottom w:val="single" w:sz="4" w:space="0" w:color="auto"/>
              <w:right w:val="nil"/>
            </w:tcBorders>
            <w:shd w:val="clear" w:color="auto" w:fill="auto"/>
            <w:noWrap/>
            <w:vAlign w:val="center"/>
            <w:hideMark/>
          </w:tcPr>
          <w:p w14:paraId="04678924"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16,0</w:t>
            </w:r>
          </w:p>
        </w:tc>
        <w:tc>
          <w:tcPr>
            <w:tcW w:w="872" w:type="dxa"/>
            <w:tcBorders>
              <w:top w:val="nil"/>
              <w:left w:val="nil"/>
              <w:bottom w:val="single" w:sz="4" w:space="0" w:color="auto"/>
              <w:right w:val="nil"/>
            </w:tcBorders>
            <w:shd w:val="clear" w:color="000000" w:fill="D9D9D9"/>
            <w:noWrap/>
            <w:vAlign w:val="center"/>
            <w:hideMark/>
          </w:tcPr>
          <w:p w14:paraId="1304D983"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11,7</w:t>
            </w:r>
          </w:p>
        </w:tc>
        <w:tc>
          <w:tcPr>
            <w:tcW w:w="1102" w:type="dxa"/>
            <w:tcBorders>
              <w:top w:val="nil"/>
              <w:left w:val="nil"/>
              <w:bottom w:val="single" w:sz="4" w:space="0" w:color="auto"/>
              <w:right w:val="nil"/>
            </w:tcBorders>
            <w:shd w:val="clear" w:color="auto" w:fill="auto"/>
            <w:noWrap/>
            <w:vAlign w:val="center"/>
            <w:hideMark/>
          </w:tcPr>
          <w:p w14:paraId="3C19293E"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15,0</w:t>
            </w:r>
          </w:p>
        </w:tc>
        <w:tc>
          <w:tcPr>
            <w:tcW w:w="994" w:type="dxa"/>
            <w:tcBorders>
              <w:top w:val="nil"/>
              <w:left w:val="nil"/>
              <w:bottom w:val="single" w:sz="4" w:space="0" w:color="auto"/>
              <w:right w:val="nil"/>
            </w:tcBorders>
            <w:shd w:val="clear" w:color="000000" w:fill="D9D9D9"/>
            <w:noWrap/>
            <w:vAlign w:val="center"/>
            <w:hideMark/>
          </w:tcPr>
          <w:p w14:paraId="2C500146"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11,5</w:t>
            </w:r>
          </w:p>
        </w:tc>
      </w:tr>
      <w:tr w:rsidR="00BA206B" w14:paraId="01F6707E" w14:textId="77777777" w:rsidTr="00BA206B">
        <w:trPr>
          <w:trHeight w:val="300"/>
        </w:trPr>
        <w:tc>
          <w:tcPr>
            <w:tcW w:w="1462" w:type="dxa"/>
            <w:tcBorders>
              <w:top w:val="nil"/>
              <w:left w:val="nil"/>
              <w:bottom w:val="single" w:sz="4" w:space="0" w:color="auto"/>
              <w:right w:val="nil"/>
            </w:tcBorders>
            <w:shd w:val="clear" w:color="auto" w:fill="auto"/>
            <w:noWrap/>
            <w:vAlign w:val="center"/>
            <w:hideMark/>
          </w:tcPr>
          <w:p w14:paraId="7F43E3B3" w14:textId="77777777" w:rsidR="00BA206B" w:rsidRDefault="00BA206B">
            <w:pPr>
              <w:rPr>
                <w:rFonts w:ascii="Arial Narrow" w:hAnsi="Arial Narrow" w:cs="Calibri"/>
                <w:color w:val="000000"/>
                <w:sz w:val="18"/>
                <w:szCs w:val="18"/>
              </w:rPr>
            </w:pPr>
            <w:r>
              <w:rPr>
                <w:rFonts w:ascii="Arial Narrow" w:hAnsi="Arial Narrow" w:cs="Calibri"/>
                <w:color w:val="000000"/>
                <w:sz w:val="18"/>
                <w:szCs w:val="18"/>
              </w:rPr>
              <w:t>Monza e della Brianza</w:t>
            </w:r>
          </w:p>
        </w:tc>
        <w:tc>
          <w:tcPr>
            <w:tcW w:w="877" w:type="dxa"/>
            <w:tcBorders>
              <w:top w:val="nil"/>
              <w:left w:val="nil"/>
              <w:bottom w:val="single" w:sz="4" w:space="0" w:color="auto"/>
              <w:right w:val="nil"/>
            </w:tcBorders>
            <w:shd w:val="clear" w:color="000000" w:fill="D9D9D9"/>
            <w:noWrap/>
            <w:vAlign w:val="center"/>
            <w:hideMark/>
          </w:tcPr>
          <w:p w14:paraId="6A833C84"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375.404</w:t>
            </w:r>
          </w:p>
        </w:tc>
        <w:tc>
          <w:tcPr>
            <w:tcW w:w="894" w:type="dxa"/>
            <w:tcBorders>
              <w:top w:val="nil"/>
              <w:left w:val="nil"/>
              <w:bottom w:val="single" w:sz="4" w:space="0" w:color="auto"/>
              <w:right w:val="nil"/>
            </w:tcBorders>
            <w:shd w:val="clear" w:color="auto" w:fill="auto"/>
            <w:noWrap/>
            <w:vAlign w:val="center"/>
            <w:hideMark/>
          </w:tcPr>
          <w:p w14:paraId="47B582C6"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0,8</w:t>
            </w:r>
          </w:p>
        </w:tc>
        <w:tc>
          <w:tcPr>
            <w:tcW w:w="943" w:type="dxa"/>
            <w:tcBorders>
              <w:top w:val="nil"/>
              <w:left w:val="nil"/>
              <w:bottom w:val="single" w:sz="4" w:space="0" w:color="auto"/>
              <w:right w:val="nil"/>
            </w:tcBorders>
            <w:shd w:val="clear" w:color="000000" w:fill="D9D9D9"/>
            <w:noWrap/>
            <w:vAlign w:val="center"/>
            <w:hideMark/>
          </w:tcPr>
          <w:p w14:paraId="1966B236"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2,3</w:t>
            </w:r>
          </w:p>
        </w:tc>
        <w:tc>
          <w:tcPr>
            <w:tcW w:w="872" w:type="dxa"/>
            <w:tcBorders>
              <w:top w:val="nil"/>
              <w:left w:val="nil"/>
              <w:bottom w:val="single" w:sz="4" w:space="0" w:color="auto"/>
              <w:right w:val="nil"/>
            </w:tcBorders>
            <w:shd w:val="clear" w:color="auto" w:fill="auto"/>
            <w:noWrap/>
            <w:vAlign w:val="center"/>
            <w:hideMark/>
          </w:tcPr>
          <w:p w14:paraId="13CF71A6"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32,1</w:t>
            </w:r>
          </w:p>
        </w:tc>
        <w:tc>
          <w:tcPr>
            <w:tcW w:w="872" w:type="dxa"/>
            <w:tcBorders>
              <w:top w:val="nil"/>
              <w:left w:val="nil"/>
              <w:bottom w:val="single" w:sz="4" w:space="0" w:color="auto"/>
              <w:right w:val="nil"/>
            </w:tcBorders>
            <w:shd w:val="clear" w:color="000000" w:fill="D9D9D9"/>
            <w:noWrap/>
            <w:vAlign w:val="center"/>
            <w:hideMark/>
          </w:tcPr>
          <w:p w14:paraId="1847B158"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29,6</w:t>
            </w:r>
          </w:p>
        </w:tc>
        <w:tc>
          <w:tcPr>
            <w:tcW w:w="872" w:type="dxa"/>
            <w:tcBorders>
              <w:top w:val="nil"/>
              <w:left w:val="nil"/>
              <w:bottom w:val="single" w:sz="4" w:space="0" w:color="auto"/>
              <w:right w:val="nil"/>
            </w:tcBorders>
            <w:shd w:val="clear" w:color="auto" w:fill="auto"/>
            <w:noWrap/>
            <w:vAlign w:val="center"/>
            <w:hideMark/>
          </w:tcPr>
          <w:p w14:paraId="116B2DC0"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19,3</w:t>
            </w:r>
          </w:p>
        </w:tc>
        <w:tc>
          <w:tcPr>
            <w:tcW w:w="872" w:type="dxa"/>
            <w:tcBorders>
              <w:top w:val="nil"/>
              <w:left w:val="nil"/>
              <w:bottom w:val="single" w:sz="4" w:space="0" w:color="auto"/>
              <w:right w:val="nil"/>
            </w:tcBorders>
            <w:shd w:val="clear" w:color="000000" w:fill="D9D9D9"/>
            <w:noWrap/>
            <w:vAlign w:val="center"/>
            <w:hideMark/>
          </w:tcPr>
          <w:p w14:paraId="57C6DBBE"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14,6</w:t>
            </w:r>
          </w:p>
        </w:tc>
        <w:tc>
          <w:tcPr>
            <w:tcW w:w="1102" w:type="dxa"/>
            <w:tcBorders>
              <w:top w:val="nil"/>
              <w:left w:val="nil"/>
              <w:bottom w:val="single" w:sz="4" w:space="0" w:color="auto"/>
              <w:right w:val="nil"/>
            </w:tcBorders>
            <w:shd w:val="clear" w:color="auto" w:fill="auto"/>
            <w:noWrap/>
            <w:vAlign w:val="center"/>
            <w:hideMark/>
          </w:tcPr>
          <w:p w14:paraId="02E8DC52"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9,5</w:t>
            </w:r>
          </w:p>
        </w:tc>
        <w:tc>
          <w:tcPr>
            <w:tcW w:w="994" w:type="dxa"/>
            <w:tcBorders>
              <w:top w:val="nil"/>
              <w:left w:val="nil"/>
              <w:bottom w:val="single" w:sz="4" w:space="0" w:color="auto"/>
              <w:right w:val="nil"/>
            </w:tcBorders>
            <w:shd w:val="clear" w:color="000000" w:fill="D9D9D9"/>
            <w:noWrap/>
            <w:vAlign w:val="center"/>
            <w:hideMark/>
          </w:tcPr>
          <w:p w14:paraId="3A58F687"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6,3</w:t>
            </w:r>
          </w:p>
        </w:tc>
      </w:tr>
      <w:tr w:rsidR="00BA206B" w14:paraId="36DF3AAF" w14:textId="77777777" w:rsidTr="00BA206B">
        <w:trPr>
          <w:trHeight w:val="300"/>
        </w:trPr>
        <w:tc>
          <w:tcPr>
            <w:tcW w:w="1462" w:type="dxa"/>
            <w:tcBorders>
              <w:top w:val="nil"/>
              <w:left w:val="nil"/>
              <w:bottom w:val="single" w:sz="4" w:space="0" w:color="auto"/>
              <w:right w:val="nil"/>
            </w:tcBorders>
            <w:shd w:val="clear" w:color="auto" w:fill="auto"/>
            <w:noWrap/>
            <w:vAlign w:val="center"/>
            <w:hideMark/>
          </w:tcPr>
          <w:p w14:paraId="664634EA" w14:textId="77777777" w:rsidR="00BA206B" w:rsidRDefault="00BA206B">
            <w:pPr>
              <w:rPr>
                <w:rFonts w:ascii="Arial Narrow" w:hAnsi="Arial Narrow" w:cs="Calibri"/>
                <w:color w:val="000000"/>
                <w:sz w:val="18"/>
                <w:szCs w:val="18"/>
              </w:rPr>
            </w:pPr>
            <w:r>
              <w:rPr>
                <w:rFonts w:ascii="Arial Narrow" w:hAnsi="Arial Narrow" w:cs="Calibri"/>
                <w:color w:val="000000"/>
                <w:sz w:val="18"/>
                <w:szCs w:val="18"/>
              </w:rPr>
              <w:t>Pavia</w:t>
            </w:r>
          </w:p>
        </w:tc>
        <w:tc>
          <w:tcPr>
            <w:tcW w:w="877" w:type="dxa"/>
            <w:tcBorders>
              <w:top w:val="nil"/>
              <w:left w:val="nil"/>
              <w:bottom w:val="single" w:sz="4" w:space="0" w:color="auto"/>
              <w:right w:val="nil"/>
            </w:tcBorders>
            <w:shd w:val="clear" w:color="000000" w:fill="D9D9D9"/>
            <w:noWrap/>
            <w:vAlign w:val="center"/>
            <w:hideMark/>
          </w:tcPr>
          <w:p w14:paraId="2E68D61E"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245.215</w:t>
            </w:r>
          </w:p>
        </w:tc>
        <w:tc>
          <w:tcPr>
            <w:tcW w:w="894" w:type="dxa"/>
            <w:tcBorders>
              <w:top w:val="nil"/>
              <w:left w:val="nil"/>
              <w:bottom w:val="single" w:sz="4" w:space="0" w:color="auto"/>
              <w:right w:val="nil"/>
            </w:tcBorders>
            <w:shd w:val="clear" w:color="auto" w:fill="auto"/>
            <w:noWrap/>
            <w:vAlign w:val="center"/>
            <w:hideMark/>
          </w:tcPr>
          <w:p w14:paraId="06EB16F7"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0,2</w:t>
            </w:r>
          </w:p>
        </w:tc>
        <w:tc>
          <w:tcPr>
            <w:tcW w:w="943" w:type="dxa"/>
            <w:tcBorders>
              <w:top w:val="nil"/>
              <w:left w:val="nil"/>
              <w:bottom w:val="single" w:sz="4" w:space="0" w:color="auto"/>
              <w:right w:val="nil"/>
            </w:tcBorders>
            <w:shd w:val="clear" w:color="000000" w:fill="D9D9D9"/>
            <w:noWrap/>
            <w:vAlign w:val="center"/>
            <w:hideMark/>
          </w:tcPr>
          <w:p w14:paraId="03DCC1F3"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2,2</w:t>
            </w:r>
          </w:p>
        </w:tc>
        <w:tc>
          <w:tcPr>
            <w:tcW w:w="872" w:type="dxa"/>
            <w:tcBorders>
              <w:top w:val="nil"/>
              <w:left w:val="nil"/>
              <w:bottom w:val="single" w:sz="4" w:space="0" w:color="auto"/>
              <w:right w:val="nil"/>
            </w:tcBorders>
            <w:shd w:val="clear" w:color="auto" w:fill="auto"/>
            <w:noWrap/>
            <w:vAlign w:val="center"/>
            <w:hideMark/>
          </w:tcPr>
          <w:p w14:paraId="47092DF1"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36,7</w:t>
            </w:r>
          </w:p>
        </w:tc>
        <w:tc>
          <w:tcPr>
            <w:tcW w:w="872" w:type="dxa"/>
            <w:tcBorders>
              <w:top w:val="nil"/>
              <w:left w:val="nil"/>
              <w:bottom w:val="single" w:sz="4" w:space="0" w:color="auto"/>
              <w:right w:val="nil"/>
            </w:tcBorders>
            <w:shd w:val="clear" w:color="000000" w:fill="D9D9D9"/>
            <w:noWrap/>
            <w:vAlign w:val="center"/>
            <w:hideMark/>
          </w:tcPr>
          <w:p w14:paraId="463445E6"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29,4</w:t>
            </w:r>
          </w:p>
        </w:tc>
        <w:tc>
          <w:tcPr>
            <w:tcW w:w="872" w:type="dxa"/>
            <w:tcBorders>
              <w:top w:val="nil"/>
              <w:left w:val="nil"/>
              <w:bottom w:val="single" w:sz="4" w:space="0" w:color="auto"/>
              <w:right w:val="nil"/>
            </w:tcBorders>
            <w:shd w:val="clear" w:color="auto" w:fill="auto"/>
            <w:noWrap/>
            <w:vAlign w:val="center"/>
            <w:hideMark/>
          </w:tcPr>
          <w:p w14:paraId="5E6A701B"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18,8</w:t>
            </w:r>
          </w:p>
        </w:tc>
        <w:tc>
          <w:tcPr>
            <w:tcW w:w="872" w:type="dxa"/>
            <w:tcBorders>
              <w:top w:val="nil"/>
              <w:left w:val="nil"/>
              <w:bottom w:val="single" w:sz="4" w:space="0" w:color="auto"/>
              <w:right w:val="nil"/>
            </w:tcBorders>
            <w:shd w:val="clear" w:color="000000" w:fill="D9D9D9"/>
            <w:noWrap/>
            <w:vAlign w:val="center"/>
            <w:hideMark/>
          </w:tcPr>
          <w:p w14:paraId="345B96B3"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11,3</w:t>
            </w:r>
          </w:p>
        </w:tc>
        <w:tc>
          <w:tcPr>
            <w:tcW w:w="1102" w:type="dxa"/>
            <w:tcBorders>
              <w:top w:val="nil"/>
              <w:left w:val="nil"/>
              <w:bottom w:val="single" w:sz="4" w:space="0" w:color="auto"/>
              <w:right w:val="nil"/>
            </w:tcBorders>
            <w:shd w:val="clear" w:color="auto" w:fill="auto"/>
            <w:noWrap/>
            <w:vAlign w:val="center"/>
            <w:hideMark/>
          </w:tcPr>
          <w:p w14:paraId="38B1112B"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11,4</w:t>
            </w:r>
          </w:p>
        </w:tc>
        <w:tc>
          <w:tcPr>
            <w:tcW w:w="994" w:type="dxa"/>
            <w:tcBorders>
              <w:top w:val="nil"/>
              <w:left w:val="nil"/>
              <w:bottom w:val="single" w:sz="4" w:space="0" w:color="auto"/>
              <w:right w:val="nil"/>
            </w:tcBorders>
            <w:shd w:val="clear" w:color="000000" w:fill="D9D9D9"/>
            <w:noWrap/>
            <w:vAlign w:val="center"/>
            <w:hideMark/>
          </w:tcPr>
          <w:p w14:paraId="7BEC64AD"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7,9</w:t>
            </w:r>
          </w:p>
        </w:tc>
      </w:tr>
      <w:tr w:rsidR="00BA206B" w14:paraId="35C8162E" w14:textId="77777777" w:rsidTr="00BA206B">
        <w:trPr>
          <w:trHeight w:val="300"/>
        </w:trPr>
        <w:tc>
          <w:tcPr>
            <w:tcW w:w="1462" w:type="dxa"/>
            <w:tcBorders>
              <w:top w:val="nil"/>
              <w:left w:val="nil"/>
              <w:bottom w:val="single" w:sz="4" w:space="0" w:color="auto"/>
              <w:right w:val="nil"/>
            </w:tcBorders>
            <w:shd w:val="clear" w:color="auto" w:fill="auto"/>
            <w:noWrap/>
            <w:vAlign w:val="center"/>
            <w:hideMark/>
          </w:tcPr>
          <w:p w14:paraId="2CDB0C8A" w14:textId="77777777" w:rsidR="00BA206B" w:rsidRDefault="00BA206B">
            <w:pPr>
              <w:rPr>
                <w:rFonts w:ascii="Arial Narrow" w:hAnsi="Arial Narrow" w:cs="Calibri"/>
                <w:color w:val="000000"/>
                <w:sz w:val="18"/>
                <w:szCs w:val="18"/>
              </w:rPr>
            </w:pPr>
            <w:r>
              <w:rPr>
                <w:rFonts w:ascii="Arial Narrow" w:hAnsi="Arial Narrow" w:cs="Calibri"/>
                <w:color w:val="000000"/>
                <w:sz w:val="18"/>
                <w:szCs w:val="18"/>
              </w:rPr>
              <w:t>Sondrio</w:t>
            </w:r>
          </w:p>
        </w:tc>
        <w:tc>
          <w:tcPr>
            <w:tcW w:w="877" w:type="dxa"/>
            <w:tcBorders>
              <w:top w:val="nil"/>
              <w:left w:val="nil"/>
              <w:bottom w:val="single" w:sz="4" w:space="0" w:color="auto"/>
              <w:right w:val="nil"/>
            </w:tcBorders>
            <w:shd w:val="clear" w:color="000000" w:fill="D9D9D9"/>
            <w:noWrap/>
            <w:vAlign w:val="center"/>
            <w:hideMark/>
          </w:tcPr>
          <w:p w14:paraId="6A7CD01D"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79.344</w:t>
            </w:r>
          </w:p>
        </w:tc>
        <w:tc>
          <w:tcPr>
            <w:tcW w:w="894" w:type="dxa"/>
            <w:tcBorders>
              <w:top w:val="nil"/>
              <w:left w:val="nil"/>
              <w:bottom w:val="single" w:sz="4" w:space="0" w:color="auto"/>
              <w:right w:val="nil"/>
            </w:tcBorders>
            <w:shd w:val="clear" w:color="auto" w:fill="auto"/>
            <w:noWrap/>
            <w:vAlign w:val="center"/>
            <w:hideMark/>
          </w:tcPr>
          <w:p w14:paraId="5148DB66"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0,3</w:t>
            </w:r>
          </w:p>
        </w:tc>
        <w:tc>
          <w:tcPr>
            <w:tcW w:w="943" w:type="dxa"/>
            <w:tcBorders>
              <w:top w:val="nil"/>
              <w:left w:val="nil"/>
              <w:bottom w:val="single" w:sz="4" w:space="0" w:color="auto"/>
              <w:right w:val="nil"/>
            </w:tcBorders>
            <w:shd w:val="clear" w:color="000000" w:fill="D9D9D9"/>
            <w:noWrap/>
            <w:vAlign w:val="center"/>
            <w:hideMark/>
          </w:tcPr>
          <w:p w14:paraId="7315C359"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2,2</w:t>
            </w:r>
          </w:p>
        </w:tc>
        <w:tc>
          <w:tcPr>
            <w:tcW w:w="872" w:type="dxa"/>
            <w:tcBorders>
              <w:top w:val="nil"/>
              <w:left w:val="nil"/>
              <w:bottom w:val="single" w:sz="4" w:space="0" w:color="auto"/>
              <w:right w:val="nil"/>
            </w:tcBorders>
            <w:shd w:val="clear" w:color="auto" w:fill="auto"/>
            <w:noWrap/>
            <w:vAlign w:val="center"/>
            <w:hideMark/>
          </w:tcPr>
          <w:p w14:paraId="24F431BB"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36,2</w:t>
            </w:r>
          </w:p>
        </w:tc>
        <w:tc>
          <w:tcPr>
            <w:tcW w:w="872" w:type="dxa"/>
            <w:tcBorders>
              <w:top w:val="nil"/>
              <w:left w:val="nil"/>
              <w:bottom w:val="single" w:sz="4" w:space="0" w:color="auto"/>
              <w:right w:val="nil"/>
            </w:tcBorders>
            <w:shd w:val="clear" w:color="000000" w:fill="D9D9D9"/>
            <w:noWrap/>
            <w:vAlign w:val="center"/>
            <w:hideMark/>
          </w:tcPr>
          <w:p w14:paraId="4724AB46"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27,6</w:t>
            </w:r>
          </w:p>
        </w:tc>
        <w:tc>
          <w:tcPr>
            <w:tcW w:w="872" w:type="dxa"/>
            <w:tcBorders>
              <w:top w:val="nil"/>
              <w:left w:val="nil"/>
              <w:bottom w:val="single" w:sz="4" w:space="0" w:color="auto"/>
              <w:right w:val="nil"/>
            </w:tcBorders>
            <w:shd w:val="clear" w:color="auto" w:fill="auto"/>
            <w:noWrap/>
            <w:vAlign w:val="center"/>
            <w:hideMark/>
          </w:tcPr>
          <w:p w14:paraId="64CB7C30"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17,4</w:t>
            </w:r>
          </w:p>
        </w:tc>
        <w:tc>
          <w:tcPr>
            <w:tcW w:w="872" w:type="dxa"/>
            <w:tcBorders>
              <w:top w:val="nil"/>
              <w:left w:val="nil"/>
              <w:bottom w:val="single" w:sz="4" w:space="0" w:color="auto"/>
              <w:right w:val="nil"/>
            </w:tcBorders>
            <w:shd w:val="clear" w:color="000000" w:fill="D9D9D9"/>
            <w:noWrap/>
            <w:vAlign w:val="center"/>
            <w:hideMark/>
          </w:tcPr>
          <w:p w14:paraId="6D681C85"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14,3</w:t>
            </w:r>
          </w:p>
        </w:tc>
        <w:tc>
          <w:tcPr>
            <w:tcW w:w="1102" w:type="dxa"/>
            <w:tcBorders>
              <w:top w:val="nil"/>
              <w:left w:val="nil"/>
              <w:bottom w:val="single" w:sz="4" w:space="0" w:color="auto"/>
              <w:right w:val="nil"/>
            </w:tcBorders>
            <w:shd w:val="clear" w:color="auto" w:fill="auto"/>
            <w:noWrap/>
            <w:vAlign w:val="center"/>
            <w:hideMark/>
          </w:tcPr>
          <w:p w14:paraId="4E1B0769"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6,0</w:t>
            </w:r>
          </w:p>
        </w:tc>
        <w:tc>
          <w:tcPr>
            <w:tcW w:w="994" w:type="dxa"/>
            <w:tcBorders>
              <w:top w:val="nil"/>
              <w:left w:val="nil"/>
              <w:bottom w:val="single" w:sz="4" w:space="0" w:color="auto"/>
              <w:right w:val="nil"/>
            </w:tcBorders>
            <w:shd w:val="clear" w:color="000000" w:fill="D9D9D9"/>
            <w:noWrap/>
            <w:vAlign w:val="center"/>
            <w:hideMark/>
          </w:tcPr>
          <w:p w14:paraId="7DF832F6"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3,7</w:t>
            </w:r>
          </w:p>
        </w:tc>
      </w:tr>
      <w:tr w:rsidR="00BA206B" w14:paraId="11B101DB" w14:textId="77777777" w:rsidTr="00BA206B">
        <w:trPr>
          <w:trHeight w:val="300"/>
        </w:trPr>
        <w:tc>
          <w:tcPr>
            <w:tcW w:w="1462" w:type="dxa"/>
            <w:tcBorders>
              <w:top w:val="nil"/>
              <w:left w:val="nil"/>
              <w:bottom w:val="single" w:sz="4" w:space="0" w:color="auto"/>
              <w:right w:val="nil"/>
            </w:tcBorders>
            <w:shd w:val="clear" w:color="auto" w:fill="auto"/>
            <w:noWrap/>
            <w:vAlign w:val="center"/>
            <w:hideMark/>
          </w:tcPr>
          <w:p w14:paraId="5807C4A4" w14:textId="77777777" w:rsidR="00BA206B" w:rsidRDefault="00BA206B">
            <w:pPr>
              <w:rPr>
                <w:rFonts w:ascii="Arial Narrow" w:hAnsi="Arial Narrow" w:cs="Calibri"/>
                <w:color w:val="000000"/>
                <w:sz w:val="18"/>
                <w:szCs w:val="18"/>
              </w:rPr>
            </w:pPr>
            <w:r>
              <w:rPr>
                <w:rFonts w:ascii="Arial Narrow" w:hAnsi="Arial Narrow" w:cs="Calibri"/>
                <w:color w:val="000000"/>
                <w:sz w:val="18"/>
                <w:szCs w:val="18"/>
              </w:rPr>
              <w:t>Varese</w:t>
            </w:r>
          </w:p>
        </w:tc>
        <w:tc>
          <w:tcPr>
            <w:tcW w:w="877" w:type="dxa"/>
            <w:tcBorders>
              <w:top w:val="nil"/>
              <w:left w:val="nil"/>
              <w:bottom w:val="single" w:sz="4" w:space="0" w:color="auto"/>
              <w:right w:val="nil"/>
            </w:tcBorders>
            <w:shd w:val="clear" w:color="000000" w:fill="D9D9D9"/>
            <w:noWrap/>
            <w:vAlign w:val="center"/>
            <w:hideMark/>
          </w:tcPr>
          <w:p w14:paraId="3D0FB0EE"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384.695</w:t>
            </w:r>
          </w:p>
        </w:tc>
        <w:tc>
          <w:tcPr>
            <w:tcW w:w="894" w:type="dxa"/>
            <w:tcBorders>
              <w:top w:val="nil"/>
              <w:left w:val="nil"/>
              <w:bottom w:val="single" w:sz="4" w:space="0" w:color="auto"/>
              <w:right w:val="nil"/>
            </w:tcBorders>
            <w:shd w:val="clear" w:color="auto" w:fill="auto"/>
            <w:noWrap/>
            <w:vAlign w:val="center"/>
            <w:hideMark/>
          </w:tcPr>
          <w:p w14:paraId="1E035CC6"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0,5</w:t>
            </w:r>
          </w:p>
        </w:tc>
        <w:tc>
          <w:tcPr>
            <w:tcW w:w="943" w:type="dxa"/>
            <w:tcBorders>
              <w:top w:val="nil"/>
              <w:left w:val="nil"/>
              <w:bottom w:val="single" w:sz="4" w:space="0" w:color="auto"/>
              <w:right w:val="nil"/>
            </w:tcBorders>
            <w:shd w:val="clear" w:color="000000" w:fill="D9D9D9"/>
            <w:noWrap/>
            <w:vAlign w:val="center"/>
            <w:hideMark/>
          </w:tcPr>
          <w:p w14:paraId="020AE842"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2,3</w:t>
            </w:r>
          </w:p>
        </w:tc>
        <w:tc>
          <w:tcPr>
            <w:tcW w:w="872" w:type="dxa"/>
            <w:tcBorders>
              <w:top w:val="nil"/>
              <w:left w:val="nil"/>
              <w:bottom w:val="single" w:sz="4" w:space="0" w:color="auto"/>
              <w:right w:val="nil"/>
            </w:tcBorders>
            <w:shd w:val="clear" w:color="auto" w:fill="auto"/>
            <w:noWrap/>
            <w:vAlign w:val="center"/>
            <w:hideMark/>
          </w:tcPr>
          <w:p w14:paraId="777CD4A9"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33,1</w:t>
            </w:r>
          </w:p>
        </w:tc>
        <w:tc>
          <w:tcPr>
            <w:tcW w:w="872" w:type="dxa"/>
            <w:tcBorders>
              <w:top w:val="nil"/>
              <w:left w:val="nil"/>
              <w:bottom w:val="single" w:sz="4" w:space="0" w:color="auto"/>
              <w:right w:val="nil"/>
            </w:tcBorders>
            <w:shd w:val="clear" w:color="000000" w:fill="D9D9D9"/>
            <w:noWrap/>
            <w:vAlign w:val="center"/>
            <w:hideMark/>
          </w:tcPr>
          <w:p w14:paraId="0AF74971"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29,8</w:t>
            </w:r>
          </w:p>
        </w:tc>
        <w:tc>
          <w:tcPr>
            <w:tcW w:w="872" w:type="dxa"/>
            <w:tcBorders>
              <w:top w:val="nil"/>
              <w:left w:val="nil"/>
              <w:bottom w:val="single" w:sz="4" w:space="0" w:color="auto"/>
              <w:right w:val="nil"/>
            </w:tcBorders>
            <w:shd w:val="clear" w:color="auto" w:fill="auto"/>
            <w:noWrap/>
            <w:vAlign w:val="center"/>
            <w:hideMark/>
          </w:tcPr>
          <w:p w14:paraId="4BC929C6"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18,8</w:t>
            </w:r>
          </w:p>
        </w:tc>
        <w:tc>
          <w:tcPr>
            <w:tcW w:w="872" w:type="dxa"/>
            <w:tcBorders>
              <w:top w:val="nil"/>
              <w:left w:val="nil"/>
              <w:bottom w:val="single" w:sz="4" w:space="0" w:color="auto"/>
              <w:right w:val="nil"/>
            </w:tcBorders>
            <w:shd w:val="clear" w:color="000000" w:fill="D9D9D9"/>
            <w:noWrap/>
            <w:vAlign w:val="center"/>
            <w:hideMark/>
          </w:tcPr>
          <w:p w14:paraId="7F5473D5"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13,7</w:t>
            </w:r>
          </w:p>
        </w:tc>
        <w:tc>
          <w:tcPr>
            <w:tcW w:w="1102" w:type="dxa"/>
            <w:tcBorders>
              <w:top w:val="nil"/>
              <w:left w:val="nil"/>
              <w:bottom w:val="single" w:sz="4" w:space="0" w:color="auto"/>
              <w:right w:val="nil"/>
            </w:tcBorders>
            <w:shd w:val="clear" w:color="auto" w:fill="auto"/>
            <w:noWrap/>
            <w:vAlign w:val="center"/>
            <w:hideMark/>
          </w:tcPr>
          <w:p w14:paraId="65ECA996"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9,2</w:t>
            </w:r>
          </w:p>
        </w:tc>
        <w:tc>
          <w:tcPr>
            <w:tcW w:w="994" w:type="dxa"/>
            <w:tcBorders>
              <w:top w:val="nil"/>
              <w:left w:val="nil"/>
              <w:bottom w:val="single" w:sz="4" w:space="0" w:color="auto"/>
              <w:right w:val="nil"/>
            </w:tcBorders>
            <w:shd w:val="clear" w:color="000000" w:fill="D9D9D9"/>
            <w:noWrap/>
            <w:vAlign w:val="center"/>
            <w:hideMark/>
          </w:tcPr>
          <w:p w14:paraId="4332DF65" w14:textId="77777777" w:rsidR="00BA206B" w:rsidRDefault="00BA206B">
            <w:pPr>
              <w:jc w:val="right"/>
              <w:rPr>
                <w:rFonts w:ascii="Arial Narrow" w:hAnsi="Arial Narrow" w:cs="Calibri"/>
                <w:color w:val="000000"/>
                <w:sz w:val="18"/>
                <w:szCs w:val="18"/>
              </w:rPr>
            </w:pPr>
            <w:r>
              <w:rPr>
                <w:rFonts w:ascii="Arial Narrow" w:hAnsi="Arial Narrow" w:cs="Calibri"/>
                <w:color w:val="000000"/>
                <w:sz w:val="18"/>
                <w:szCs w:val="18"/>
              </w:rPr>
              <w:t>5,7</w:t>
            </w:r>
          </w:p>
        </w:tc>
      </w:tr>
      <w:tr w:rsidR="00BA206B" w14:paraId="3C72F2D8" w14:textId="77777777" w:rsidTr="00BA206B">
        <w:trPr>
          <w:trHeight w:val="300"/>
        </w:trPr>
        <w:tc>
          <w:tcPr>
            <w:tcW w:w="1462" w:type="dxa"/>
            <w:tcBorders>
              <w:top w:val="single" w:sz="4" w:space="0" w:color="auto"/>
              <w:left w:val="nil"/>
              <w:bottom w:val="single" w:sz="4" w:space="0" w:color="auto"/>
              <w:right w:val="nil"/>
            </w:tcBorders>
            <w:shd w:val="clear" w:color="000000" w:fill="C9321F"/>
            <w:noWrap/>
            <w:vAlign w:val="center"/>
            <w:hideMark/>
          </w:tcPr>
          <w:p w14:paraId="4EA0F212" w14:textId="77777777" w:rsidR="00BA206B" w:rsidRDefault="00BA206B">
            <w:pPr>
              <w:rPr>
                <w:rFonts w:ascii="Arial Narrow" w:hAnsi="Arial Narrow" w:cs="Calibri"/>
                <w:b/>
                <w:bCs/>
                <w:color w:val="FFFFFF"/>
                <w:sz w:val="18"/>
                <w:szCs w:val="18"/>
              </w:rPr>
            </w:pPr>
            <w:r>
              <w:rPr>
                <w:rFonts w:ascii="Arial Narrow" w:hAnsi="Arial Narrow" w:cs="Calibri"/>
                <w:b/>
                <w:bCs/>
                <w:color w:val="FFFFFF"/>
                <w:sz w:val="18"/>
                <w:szCs w:val="18"/>
              </w:rPr>
              <w:t>LOMBARDIA</w:t>
            </w:r>
          </w:p>
        </w:tc>
        <w:tc>
          <w:tcPr>
            <w:tcW w:w="877" w:type="dxa"/>
            <w:tcBorders>
              <w:top w:val="single" w:sz="4" w:space="0" w:color="auto"/>
              <w:left w:val="nil"/>
              <w:bottom w:val="single" w:sz="4" w:space="0" w:color="auto"/>
              <w:right w:val="nil"/>
            </w:tcBorders>
            <w:shd w:val="clear" w:color="000000" w:fill="C9321F"/>
            <w:noWrap/>
            <w:vAlign w:val="center"/>
            <w:hideMark/>
          </w:tcPr>
          <w:p w14:paraId="0F736945" w14:textId="77777777" w:rsidR="00BA206B" w:rsidRDefault="00BA206B">
            <w:pPr>
              <w:jc w:val="right"/>
              <w:rPr>
                <w:rFonts w:ascii="Arial Narrow" w:hAnsi="Arial Narrow" w:cs="Calibri"/>
                <w:b/>
                <w:bCs/>
                <w:color w:val="FFFFFF"/>
                <w:sz w:val="18"/>
                <w:szCs w:val="18"/>
              </w:rPr>
            </w:pPr>
            <w:r>
              <w:rPr>
                <w:rFonts w:ascii="Arial Narrow" w:hAnsi="Arial Narrow" w:cs="Calibri"/>
                <w:b/>
                <w:bCs/>
                <w:color w:val="FFFFFF"/>
                <w:sz w:val="18"/>
                <w:szCs w:val="18"/>
              </w:rPr>
              <w:t>4.462.776</w:t>
            </w:r>
          </w:p>
        </w:tc>
        <w:tc>
          <w:tcPr>
            <w:tcW w:w="894" w:type="dxa"/>
            <w:tcBorders>
              <w:top w:val="single" w:sz="4" w:space="0" w:color="auto"/>
              <w:left w:val="nil"/>
              <w:bottom w:val="single" w:sz="4" w:space="0" w:color="auto"/>
              <w:right w:val="nil"/>
            </w:tcBorders>
            <w:shd w:val="clear" w:color="000000" w:fill="C9321F"/>
            <w:noWrap/>
            <w:vAlign w:val="center"/>
            <w:hideMark/>
          </w:tcPr>
          <w:p w14:paraId="599A2F8A" w14:textId="77777777" w:rsidR="00BA206B" w:rsidRDefault="00BA206B">
            <w:pPr>
              <w:jc w:val="right"/>
              <w:rPr>
                <w:rFonts w:ascii="Arial Narrow" w:hAnsi="Arial Narrow" w:cs="Calibri"/>
                <w:b/>
                <w:bCs/>
                <w:color w:val="FFFFFF"/>
                <w:sz w:val="18"/>
                <w:szCs w:val="18"/>
              </w:rPr>
            </w:pPr>
            <w:r>
              <w:rPr>
                <w:rFonts w:ascii="Arial Narrow" w:hAnsi="Arial Narrow" w:cs="Calibri"/>
                <w:b/>
                <w:bCs/>
                <w:color w:val="FFFFFF"/>
                <w:sz w:val="18"/>
                <w:szCs w:val="18"/>
              </w:rPr>
              <w:t>0,7</w:t>
            </w:r>
          </w:p>
        </w:tc>
        <w:tc>
          <w:tcPr>
            <w:tcW w:w="943" w:type="dxa"/>
            <w:tcBorders>
              <w:top w:val="single" w:sz="4" w:space="0" w:color="auto"/>
              <w:left w:val="nil"/>
              <w:bottom w:val="single" w:sz="4" w:space="0" w:color="auto"/>
              <w:right w:val="nil"/>
            </w:tcBorders>
            <w:shd w:val="clear" w:color="000000" w:fill="C9321F"/>
            <w:noWrap/>
            <w:vAlign w:val="center"/>
            <w:hideMark/>
          </w:tcPr>
          <w:p w14:paraId="0B1EB92C" w14:textId="77777777" w:rsidR="00BA206B" w:rsidRDefault="00BA206B">
            <w:pPr>
              <w:jc w:val="right"/>
              <w:rPr>
                <w:rFonts w:ascii="Arial Narrow" w:hAnsi="Arial Narrow" w:cs="Calibri"/>
                <w:b/>
                <w:bCs/>
                <w:color w:val="FFFFFF"/>
                <w:sz w:val="18"/>
                <w:szCs w:val="18"/>
              </w:rPr>
            </w:pPr>
            <w:r>
              <w:rPr>
                <w:rFonts w:ascii="Arial Narrow" w:hAnsi="Arial Narrow" w:cs="Calibri"/>
                <w:b/>
                <w:bCs/>
                <w:color w:val="FFFFFF"/>
                <w:sz w:val="18"/>
                <w:szCs w:val="18"/>
              </w:rPr>
              <w:t>2,2</w:t>
            </w:r>
          </w:p>
        </w:tc>
        <w:tc>
          <w:tcPr>
            <w:tcW w:w="872" w:type="dxa"/>
            <w:tcBorders>
              <w:top w:val="single" w:sz="4" w:space="0" w:color="auto"/>
              <w:left w:val="nil"/>
              <w:bottom w:val="single" w:sz="4" w:space="0" w:color="auto"/>
              <w:right w:val="nil"/>
            </w:tcBorders>
            <w:shd w:val="clear" w:color="000000" w:fill="C9321F"/>
            <w:noWrap/>
            <w:vAlign w:val="center"/>
            <w:hideMark/>
          </w:tcPr>
          <w:p w14:paraId="34B28003" w14:textId="77777777" w:rsidR="00BA206B" w:rsidRDefault="00BA206B">
            <w:pPr>
              <w:jc w:val="right"/>
              <w:rPr>
                <w:rFonts w:ascii="Arial Narrow" w:hAnsi="Arial Narrow" w:cs="Calibri"/>
                <w:b/>
                <w:bCs/>
                <w:color w:val="FFFFFF"/>
                <w:sz w:val="18"/>
                <w:szCs w:val="18"/>
              </w:rPr>
            </w:pPr>
            <w:r>
              <w:rPr>
                <w:rFonts w:ascii="Arial Narrow" w:hAnsi="Arial Narrow" w:cs="Calibri"/>
                <w:b/>
                <w:bCs/>
                <w:color w:val="FFFFFF"/>
                <w:sz w:val="18"/>
                <w:szCs w:val="18"/>
              </w:rPr>
              <w:t>36,4</w:t>
            </w:r>
          </w:p>
        </w:tc>
        <w:tc>
          <w:tcPr>
            <w:tcW w:w="872" w:type="dxa"/>
            <w:tcBorders>
              <w:top w:val="single" w:sz="4" w:space="0" w:color="auto"/>
              <w:left w:val="nil"/>
              <w:bottom w:val="single" w:sz="4" w:space="0" w:color="auto"/>
              <w:right w:val="nil"/>
            </w:tcBorders>
            <w:shd w:val="clear" w:color="000000" w:fill="C9321F"/>
            <w:noWrap/>
            <w:vAlign w:val="center"/>
            <w:hideMark/>
          </w:tcPr>
          <w:p w14:paraId="3EE5C151" w14:textId="77777777" w:rsidR="00BA206B" w:rsidRDefault="00BA206B">
            <w:pPr>
              <w:jc w:val="right"/>
              <w:rPr>
                <w:rFonts w:ascii="Arial Narrow" w:hAnsi="Arial Narrow" w:cs="Calibri"/>
                <w:b/>
                <w:bCs/>
                <w:color w:val="FFFFFF"/>
                <w:sz w:val="18"/>
                <w:szCs w:val="18"/>
              </w:rPr>
            </w:pPr>
            <w:r>
              <w:rPr>
                <w:rFonts w:ascii="Arial Narrow" w:hAnsi="Arial Narrow" w:cs="Calibri"/>
                <w:b/>
                <w:bCs/>
                <w:color w:val="FFFFFF"/>
                <w:sz w:val="18"/>
                <w:szCs w:val="18"/>
              </w:rPr>
              <w:t>28,1</w:t>
            </w:r>
          </w:p>
        </w:tc>
        <w:tc>
          <w:tcPr>
            <w:tcW w:w="872" w:type="dxa"/>
            <w:tcBorders>
              <w:top w:val="single" w:sz="4" w:space="0" w:color="auto"/>
              <w:left w:val="nil"/>
              <w:bottom w:val="single" w:sz="4" w:space="0" w:color="auto"/>
              <w:right w:val="nil"/>
            </w:tcBorders>
            <w:shd w:val="clear" w:color="000000" w:fill="C9321F"/>
            <w:noWrap/>
            <w:vAlign w:val="center"/>
            <w:hideMark/>
          </w:tcPr>
          <w:p w14:paraId="0F360C2E" w14:textId="77777777" w:rsidR="00BA206B" w:rsidRDefault="00BA206B">
            <w:pPr>
              <w:jc w:val="right"/>
              <w:rPr>
                <w:rFonts w:ascii="Arial Narrow" w:hAnsi="Arial Narrow" w:cs="Calibri"/>
                <w:b/>
                <w:bCs/>
                <w:color w:val="FFFFFF"/>
                <w:sz w:val="18"/>
                <w:szCs w:val="18"/>
              </w:rPr>
            </w:pPr>
            <w:r>
              <w:rPr>
                <w:rFonts w:ascii="Arial Narrow" w:hAnsi="Arial Narrow" w:cs="Calibri"/>
                <w:b/>
                <w:bCs/>
                <w:color w:val="FFFFFF"/>
                <w:sz w:val="18"/>
                <w:szCs w:val="18"/>
              </w:rPr>
              <w:t>17,9</w:t>
            </w:r>
          </w:p>
        </w:tc>
        <w:tc>
          <w:tcPr>
            <w:tcW w:w="872" w:type="dxa"/>
            <w:tcBorders>
              <w:top w:val="single" w:sz="4" w:space="0" w:color="auto"/>
              <w:left w:val="nil"/>
              <w:bottom w:val="single" w:sz="4" w:space="0" w:color="auto"/>
              <w:right w:val="nil"/>
            </w:tcBorders>
            <w:shd w:val="clear" w:color="000000" w:fill="C9321F"/>
            <w:noWrap/>
            <w:vAlign w:val="center"/>
            <w:hideMark/>
          </w:tcPr>
          <w:p w14:paraId="277E0CB1" w14:textId="77777777" w:rsidR="00BA206B" w:rsidRDefault="00BA206B">
            <w:pPr>
              <w:jc w:val="right"/>
              <w:rPr>
                <w:rFonts w:ascii="Arial Narrow" w:hAnsi="Arial Narrow" w:cs="Calibri"/>
                <w:b/>
                <w:bCs/>
                <w:color w:val="FFFFFF"/>
                <w:sz w:val="18"/>
                <w:szCs w:val="18"/>
              </w:rPr>
            </w:pPr>
            <w:r>
              <w:rPr>
                <w:rFonts w:ascii="Arial Narrow" w:hAnsi="Arial Narrow" w:cs="Calibri"/>
                <w:b/>
                <w:bCs/>
                <w:color w:val="FFFFFF"/>
                <w:sz w:val="18"/>
                <w:szCs w:val="18"/>
              </w:rPr>
              <w:t>13,2</w:t>
            </w:r>
          </w:p>
        </w:tc>
        <w:tc>
          <w:tcPr>
            <w:tcW w:w="1102" w:type="dxa"/>
            <w:tcBorders>
              <w:top w:val="single" w:sz="4" w:space="0" w:color="auto"/>
              <w:left w:val="nil"/>
              <w:bottom w:val="single" w:sz="4" w:space="0" w:color="auto"/>
              <w:right w:val="nil"/>
            </w:tcBorders>
            <w:shd w:val="clear" w:color="000000" w:fill="C9321F"/>
            <w:noWrap/>
            <w:vAlign w:val="center"/>
            <w:hideMark/>
          </w:tcPr>
          <w:p w14:paraId="29B99CD2" w14:textId="77777777" w:rsidR="00BA206B" w:rsidRDefault="00BA206B">
            <w:pPr>
              <w:jc w:val="right"/>
              <w:rPr>
                <w:rFonts w:ascii="Arial Narrow" w:hAnsi="Arial Narrow" w:cs="Calibri"/>
                <w:b/>
                <w:bCs/>
                <w:color w:val="FFFFFF"/>
                <w:sz w:val="18"/>
                <w:szCs w:val="18"/>
              </w:rPr>
            </w:pPr>
            <w:r>
              <w:rPr>
                <w:rFonts w:ascii="Arial Narrow" w:hAnsi="Arial Narrow" w:cs="Calibri"/>
                <w:b/>
                <w:bCs/>
                <w:color w:val="FFFFFF"/>
                <w:sz w:val="18"/>
                <w:szCs w:val="18"/>
              </w:rPr>
              <w:t>12,1</w:t>
            </w:r>
          </w:p>
        </w:tc>
        <w:tc>
          <w:tcPr>
            <w:tcW w:w="994" w:type="dxa"/>
            <w:tcBorders>
              <w:top w:val="single" w:sz="4" w:space="0" w:color="auto"/>
              <w:left w:val="nil"/>
              <w:bottom w:val="single" w:sz="4" w:space="0" w:color="auto"/>
              <w:right w:val="nil"/>
            </w:tcBorders>
            <w:shd w:val="clear" w:color="000000" w:fill="C9321F"/>
            <w:noWrap/>
            <w:vAlign w:val="center"/>
            <w:hideMark/>
          </w:tcPr>
          <w:p w14:paraId="50C1F8CF" w14:textId="77777777" w:rsidR="00BA206B" w:rsidRDefault="00BA206B">
            <w:pPr>
              <w:jc w:val="right"/>
              <w:rPr>
                <w:rFonts w:ascii="Arial Narrow" w:hAnsi="Arial Narrow" w:cs="Calibri"/>
                <w:b/>
                <w:bCs/>
                <w:color w:val="FFFFFF"/>
                <w:sz w:val="18"/>
                <w:szCs w:val="18"/>
              </w:rPr>
            </w:pPr>
            <w:r>
              <w:rPr>
                <w:rFonts w:ascii="Arial Narrow" w:hAnsi="Arial Narrow" w:cs="Calibri"/>
                <w:b/>
                <w:bCs/>
                <w:color w:val="FFFFFF"/>
                <w:sz w:val="18"/>
                <w:szCs w:val="18"/>
              </w:rPr>
              <w:t>8,5</w:t>
            </w:r>
          </w:p>
        </w:tc>
      </w:tr>
      <w:tr w:rsidR="00BA206B" w14:paraId="73C045EB" w14:textId="77777777" w:rsidTr="00BA206B">
        <w:trPr>
          <w:trHeight w:val="300"/>
        </w:trPr>
        <w:tc>
          <w:tcPr>
            <w:tcW w:w="1462" w:type="dxa"/>
            <w:tcBorders>
              <w:top w:val="single" w:sz="4" w:space="0" w:color="auto"/>
              <w:left w:val="nil"/>
              <w:bottom w:val="single" w:sz="4" w:space="0" w:color="auto"/>
              <w:right w:val="nil"/>
            </w:tcBorders>
            <w:shd w:val="clear" w:color="000000" w:fill="C9321F"/>
            <w:noWrap/>
            <w:vAlign w:val="center"/>
            <w:hideMark/>
          </w:tcPr>
          <w:p w14:paraId="20DB138D" w14:textId="77777777" w:rsidR="00BA206B" w:rsidRDefault="00BA206B">
            <w:pPr>
              <w:rPr>
                <w:rFonts w:ascii="Arial Narrow" w:hAnsi="Arial Narrow" w:cs="Calibri"/>
                <w:b/>
                <w:bCs/>
                <w:color w:val="FFFFFF"/>
                <w:sz w:val="18"/>
                <w:szCs w:val="18"/>
              </w:rPr>
            </w:pPr>
            <w:r>
              <w:rPr>
                <w:rFonts w:ascii="Arial Narrow" w:hAnsi="Arial Narrow" w:cs="Calibri"/>
                <w:b/>
                <w:bCs/>
                <w:color w:val="FFFFFF"/>
                <w:sz w:val="18"/>
                <w:szCs w:val="18"/>
              </w:rPr>
              <w:t>ITALIA</w:t>
            </w:r>
          </w:p>
        </w:tc>
        <w:tc>
          <w:tcPr>
            <w:tcW w:w="877" w:type="dxa"/>
            <w:tcBorders>
              <w:top w:val="single" w:sz="4" w:space="0" w:color="auto"/>
              <w:left w:val="nil"/>
              <w:bottom w:val="single" w:sz="4" w:space="0" w:color="auto"/>
              <w:right w:val="nil"/>
            </w:tcBorders>
            <w:shd w:val="clear" w:color="000000" w:fill="C9321F"/>
            <w:noWrap/>
            <w:vAlign w:val="center"/>
            <w:hideMark/>
          </w:tcPr>
          <w:p w14:paraId="0F89BBDA" w14:textId="77777777" w:rsidR="00BA206B" w:rsidRDefault="00BA206B">
            <w:pPr>
              <w:jc w:val="right"/>
              <w:rPr>
                <w:rFonts w:ascii="Arial Narrow" w:hAnsi="Arial Narrow" w:cs="Calibri"/>
                <w:b/>
                <w:bCs/>
                <w:color w:val="FFFFFF"/>
                <w:sz w:val="18"/>
                <w:szCs w:val="18"/>
              </w:rPr>
            </w:pPr>
            <w:r>
              <w:rPr>
                <w:rFonts w:ascii="Arial Narrow" w:hAnsi="Arial Narrow" w:cs="Calibri"/>
                <w:b/>
                <w:bCs/>
                <w:color w:val="FFFFFF"/>
                <w:sz w:val="18"/>
                <w:szCs w:val="18"/>
              </w:rPr>
              <w:t>25.851.122</w:t>
            </w:r>
          </w:p>
        </w:tc>
        <w:tc>
          <w:tcPr>
            <w:tcW w:w="894" w:type="dxa"/>
            <w:tcBorders>
              <w:top w:val="single" w:sz="4" w:space="0" w:color="auto"/>
              <w:left w:val="nil"/>
              <w:bottom w:val="single" w:sz="4" w:space="0" w:color="auto"/>
              <w:right w:val="nil"/>
            </w:tcBorders>
            <w:shd w:val="clear" w:color="000000" w:fill="C9321F"/>
            <w:noWrap/>
            <w:vAlign w:val="center"/>
            <w:hideMark/>
          </w:tcPr>
          <w:p w14:paraId="31F85371" w14:textId="77777777" w:rsidR="00BA206B" w:rsidRDefault="00BA206B">
            <w:pPr>
              <w:jc w:val="right"/>
              <w:rPr>
                <w:rFonts w:ascii="Arial Narrow" w:hAnsi="Arial Narrow" w:cs="Calibri"/>
                <w:b/>
                <w:bCs/>
                <w:color w:val="FFFFFF"/>
                <w:sz w:val="18"/>
                <w:szCs w:val="18"/>
              </w:rPr>
            </w:pPr>
            <w:r>
              <w:rPr>
                <w:rFonts w:ascii="Arial Narrow" w:hAnsi="Arial Narrow" w:cs="Calibri"/>
                <w:b/>
                <w:bCs/>
                <w:color w:val="FFFFFF"/>
                <w:sz w:val="18"/>
                <w:szCs w:val="18"/>
              </w:rPr>
              <w:t>0,5</w:t>
            </w:r>
          </w:p>
        </w:tc>
        <w:tc>
          <w:tcPr>
            <w:tcW w:w="943" w:type="dxa"/>
            <w:tcBorders>
              <w:top w:val="single" w:sz="4" w:space="0" w:color="auto"/>
              <w:left w:val="nil"/>
              <w:bottom w:val="single" w:sz="4" w:space="0" w:color="auto"/>
              <w:right w:val="nil"/>
            </w:tcBorders>
            <w:shd w:val="clear" w:color="000000" w:fill="C9321F"/>
            <w:noWrap/>
            <w:vAlign w:val="center"/>
            <w:hideMark/>
          </w:tcPr>
          <w:p w14:paraId="1EA5E733" w14:textId="77777777" w:rsidR="00BA206B" w:rsidRDefault="00BA206B">
            <w:pPr>
              <w:jc w:val="right"/>
              <w:rPr>
                <w:rFonts w:ascii="Arial Narrow" w:hAnsi="Arial Narrow" w:cs="Calibri"/>
                <w:b/>
                <w:bCs/>
                <w:color w:val="FFFFFF"/>
                <w:sz w:val="18"/>
                <w:szCs w:val="18"/>
              </w:rPr>
            </w:pPr>
            <w:r>
              <w:rPr>
                <w:rFonts w:ascii="Arial Narrow" w:hAnsi="Arial Narrow" w:cs="Calibri"/>
                <w:b/>
                <w:bCs/>
                <w:color w:val="FFFFFF"/>
                <w:sz w:val="18"/>
                <w:szCs w:val="18"/>
              </w:rPr>
              <w:t>2,3</w:t>
            </w:r>
          </w:p>
        </w:tc>
        <w:tc>
          <w:tcPr>
            <w:tcW w:w="872" w:type="dxa"/>
            <w:tcBorders>
              <w:top w:val="single" w:sz="4" w:space="0" w:color="auto"/>
              <w:left w:val="nil"/>
              <w:bottom w:val="single" w:sz="4" w:space="0" w:color="auto"/>
              <w:right w:val="nil"/>
            </w:tcBorders>
            <w:shd w:val="clear" w:color="000000" w:fill="C9321F"/>
            <w:noWrap/>
            <w:vAlign w:val="center"/>
            <w:hideMark/>
          </w:tcPr>
          <w:p w14:paraId="5DA35E80" w14:textId="77777777" w:rsidR="00BA206B" w:rsidRDefault="00BA206B">
            <w:pPr>
              <w:jc w:val="right"/>
              <w:rPr>
                <w:rFonts w:ascii="Arial Narrow" w:hAnsi="Arial Narrow" w:cs="Calibri"/>
                <w:b/>
                <w:bCs/>
                <w:color w:val="FFFFFF"/>
                <w:sz w:val="18"/>
                <w:szCs w:val="18"/>
              </w:rPr>
            </w:pPr>
            <w:r>
              <w:rPr>
                <w:rFonts w:ascii="Arial Narrow" w:hAnsi="Arial Narrow" w:cs="Calibri"/>
                <w:b/>
                <w:bCs/>
                <w:color w:val="FFFFFF"/>
                <w:sz w:val="18"/>
                <w:szCs w:val="18"/>
              </w:rPr>
              <w:t>35,1</w:t>
            </w:r>
          </w:p>
        </w:tc>
        <w:tc>
          <w:tcPr>
            <w:tcW w:w="872" w:type="dxa"/>
            <w:tcBorders>
              <w:top w:val="single" w:sz="4" w:space="0" w:color="auto"/>
              <w:left w:val="nil"/>
              <w:bottom w:val="single" w:sz="4" w:space="0" w:color="auto"/>
              <w:right w:val="nil"/>
            </w:tcBorders>
            <w:shd w:val="clear" w:color="000000" w:fill="C9321F"/>
            <w:noWrap/>
            <w:vAlign w:val="center"/>
            <w:hideMark/>
          </w:tcPr>
          <w:p w14:paraId="5F6D3F92" w14:textId="77777777" w:rsidR="00BA206B" w:rsidRDefault="00BA206B">
            <w:pPr>
              <w:jc w:val="right"/>
              <w:rPr>
                <w:rFonts w:ascii="Arial Narrow" w:hAnsi="Arial Narrow" w:cs="Calibri"/>
                <w:b/>
                <w:bCs/>
                <w:color w:val="FFFFFF"/>
                <w:sz w:val="18"/>
                <w:szCs w:val="18"/>
              </w:rPr>
            </w:pPr>
            <w:r>
              <w:rPr>
                <w:rFonts w:ascii="Arial Narrow" w:hAnsi="Arial Narrow" w:cs="Calibri"/>
                <w:b/>
                <w:bCs/>
                <w:color w:val="FFFFFF"/>
                <w:sz w:val="18"/>
                <w:szCs w:val="18"/>
              </w:rPr>
              <w:t>27,1</w:t>
            </w:r>
          </w:p>
        </w:tc>
        <w:tc>
          <w:tcPr>
            <w:tcW w:w="872" w:type="dxa"/>
            <w:tcBorders>
              <w:top w:val="single" w:sz="4" w:space="0" w:color="auto"/>
              <w:left w:val="nil"/>
              <w:bottom w:val="single" w:sz="4" w:space="0" w:color="auto"/>
              <w:right w:val="nil"/>
            </w:tcBorders>
            <w:shd w:val="clear" w:color="000000" w:fill="C9321F"/>
            <w:noWrap/>
            <w:vAlign w:val="center"/>
            <w:hideMark/>
          </w:tcPr>
          <w:p w14:paraId="7D2CB387" w14:textId="77777777" w:rsidR="00BA206B" w:rsidRDefault="00BA206B">
            <w:pPr>
              <w:jc w:val="right"/>
              <w:rPr>
                <w:rFonts w:ascii="Arial Narrow" w:hAnsi="Arial Narrow" w:cs="Calibri"/>
                <w:b/>
                <w:bCs/>
                <w:color w:val="FFFFFF"/>
                <w:sz w:val="18"/>
                <w:szCs w:val="18"/>
              </w:rPr>
            </w:pPr>
            <w:r>
              <w:rPr>
                <w:rFonts w:ascii="Arial Narrow" w:hAnsi="Arial Narrow" w:cs="Calibri"/>
                <w:b/>
                <w:bCs/>
                <w:color w:val="FFFFFF"/>
                <w:sz w:val="18"/>
                <w:szCs w:val="18"/>
              </w:rPr>
              <w:t>18,5</w:t>
            </w:r>
          </w:p>
        </w:tc>
        <w:tc>
          <w:tcPr>
            <w:tcW w:w="872" w:type="dxa"/>
            <w:tcBorders>
              <w:top w:val="single" w:sz="4" w:space="0" w:color="auto"/>
              <w:left w:val="nil"/>
              <w:bottom w:val="single" w:sz="4" w:space="0" w:color="auto"/>
              <w:right w:val="nil"/>
            </w:tcBorders>
            <w:shd w:val="clear" w:color="000000" w:fill="C9321F"/>
            <w:noWrap/>
            <w:vAlign w:val="center"/>
            <w:hideMark/>
          </w:tcPr>
          <w:p w14:paraId="36F04D09" w14:textId="77777777" w:rsidR="00BA206B" w:rsidRDefault="00BA206B">
            <w:pPr>
              <w:jc w:val="right"/>
              <w:rPr>
                <w:rFonts w:ascii="Arial Narrow" w:hAnsi="Arial Narrow" w:cs="Calibri"/>
                <w:b/>
                <w:bCs/>
                <w:color w:val="FFFFFF"/>
                <w:sz w:val="18"/>
                <w:szCs w:val="18"/>
              </w:rPr>
            </w:pPr>
            <w:r>
              <w:rPr>
                <w:rFonts w:ascii="Arial Narrow" w:hAnsi="Arial Narrow" w:cs="Calibri"/>
                <w:b/>
                <w:bCs/>
                <w:color w:val="FFFFFF"/>
                <w:sz w:val="18"/>
                <w:szCs w:val="18"/>
              </w:rPr>
              <w:t>14,3</w:t>
            </w:r>
          </w:p>
        </w:tc>
        <w:tc>
          <w:tcPr>
            <w:tcW w:w="1102" w:type="dxa"/>
            <w:tcBorders>
              <w:top w:val="single" w:sz="4" w:space="0" w:color="auto"/>
              <w:left w:val="nil"/>
              <w:bottom w:val="single" w:sz="4" w:space="0" w:color="auto"/>
              <w:right w:val="nil"/>
            </w:tcBorders>
            <w:shd w:val="clear" w:color="000000" w:fill="C9321F"/>
            <w:noWrap/>
            <w:vAlign w:val="center"/>
            <w:hideMark/>
          </w:tcPr>
          <w:p w14:paraId="3BC82A03" w14:textId="77777777" w:rsidR="00BA206B" w:rsidRDefault="00BA206B">
            <w:pPr>
              <w:jc w:val="right"/>
              <w:rPr>
                <w:rFonts w:ascii="Arial Narrow" w:hAnsi="Arial Narrow" w:cs="Calibri"/>
                <w:b/>
                <w:bCs/>
                <w:color w:val="FFFFFF"/>
                <w:sz w:val="18"/>
                <w:szCs w:val="18"/>
              </w:rPr>
            </w:pPr>
            <w:r>
              <w:rPr>
                <w:rFonts w:ascii="Arial Narrow" w:hAnsi="Arial Narrow" w:cs="Calibri"/>
                <w:b/>
                <w:bCs/>
                <w:color w:val="FFFFFF"/>
                <w:sz w:val="18"/>
                <w:szCs w:val="18"/>
              </w:rPr>
              <w:t>9,3</w:t>
            </w:r>
          </w:p>
        </w:tc>
        <w:tc>
          <w:tcPr>
            <w:tcW w:w="994" w:type="dxa"/>
            <w:tcBorders>
              <w:top w:val="single" w:sz="4" w:space="0" w:color="auto"/>
              <w:left w:val="nil"/>
              <w:bottom w:val="single" w:sz="4" w:space="0" w:color="auto"/>
              <w:right w:val="nil"/>
            </w:tcBorders>
            <w:shd w:val="clear" w:color="000000" w:fill="C9321F"/>
            <w:noWrap/>
            <w:vAlign w:val="center"/>
            <w:hideMark/>
          </w:tcPr>
          <w:p w14:paraId="09008378" w14:textId="77777777" w:rsidR="00BA206B" w:rsidRDefault="00BA206B">
            <w:pPr>
              <w:jc w:val="right"/>
              <w:rPr>
                <w:rFonts w:ascii="Arial Narrow" w:hAnsi="Arial Narrow" w:cs="Calibri"/>
                <w:b/>
                <w:bCs/>
                <w:color w:val="FFFFFF"/>
                <w:sz w:val="18"/>
                <w:szCs w:val="18"/>
              </w:rPr>
            </w:pPr>
            <w:r>
              <w:rPr>
                <w:rFonts w:ascii="Arial Narrow" w:hAnsi="Arial Narrow" w:cs="Calibri"/>
                <w:b/>
                <w:bCs/>
                <w:color w:val="FFFFFF"/>
                <w:sz w:val="18"/>
                <w:szCs w:val="18"/>
              </w:rPr>
              <w:t>6,6</w:t>
            </w:r>
          </w:p>
        </w:tc>
      </w:tr>
    </w:tbl>
    <w:p w14:paraId="10E30B8A" w14:textId="333F0680" w:rsidR="008102C8" w:rsidRDefault="008102C8" w:rsidP="00725AAF">
      <w:pPr>
        <w:tabs>
          <w:tab w:val="left" w:pos="567"/>
        </w:tabs>
        <w:spacing w:after="120"/>
        <w:jc w:val="both"/>
        <w:rPr>
          <w:rFonts w:ascii="Trebuchet MS" w:hAnsi="Trebuchet MS" w:cs="Arial"/>
          <w:color w:val="5F5F5F"/>
          <w:sz w:val="20"/>
          <w:szCs w:val="20"/>
        </w:rPr>
      </w:pPr>
    </w:p>
    <w:p w14:paraId="1A6F8B27" w14:textId="2D948258" w:rsidR="00446A44" w:rsidRDefault="00446A44" w:rsidP="00446A44">
      <w:pPr>
        <w:tabs>
          <w:tab w:val="left" w:pos="567"/>
        </w:tabs>
        <w:spacing w:after="120"/>
        <w:jc w:val="both"/>
        <w:rPr>
          <w:rFonts w:ascii="Trebuchet MS" w:hAnsi="Trebuchet MS" w:cs="Arial"/>
          <w:color w:val="5F5F5F"/>
          <w:sz w:val="20"/>
          <w:szCs w:val="20"/>
        </w:rPr>
      </w:pPr>
      <w:r>
        <w:rPr>
          <w:rFonts w:ascii="Trebuchet MS" w:hAnsi="Trebuchet MS" w:cs="Arial"/>
          <w:color w:val="5F5F5F"/>
          <w:sz w:val="20"/>
          <w:szCs w:val="20"/>
        </w:rPr>
        <w:t>Nella regione la tipologia familiare più frequente è quella delle famiglie unipersonali (</w:t>
      </w:r>
      <w:r w:rsidRPr="000A6178">
        <w:rPr>
          <w:rFonts w:ascii="Trebuchet MS" w:hAnsi="Trebuchet MS" w:cs="Arial"/>
          <w:color w:val="5F5F5F"/>
          <w:sz w:val="20"/>
          <w:szCs w:val="20"/>
        </w:rPr>
        <w:t>36,4%</w:t>
      </w:r>
      <w:r>
        <w:rPr>
          <w:rFonts w:ascii="Trebuchet MS" w:hAnsi="Trebuchet MS" w:cs="Arial"/>
          <w:color w:val="5F5F5F"/>
          <w:sz w:val="20"/>
          <w:szCs w:val="20"/>
        </w:rPr>
        <w:t xml:space="preserve"> del totale contro 35,1% della media nazionale), che </w:t>
      </w:r>
      <w:r w:rsidR="002E49AB">
        <w:rPr>
          <w:rFonts w:ascii="Trebuchet MS" w:hAnsi="Trebuchet MS" w:cs="Arial"/>
          <w:color w:val="5F5F5F"/>
          <w:sz w:val="20"/>
          <w:szCs w:val="20"/>
        </w:rPr>
        <w:t>nella provincia di</w:t>
      </w:r>
      <w:r>
        <w:rPr>
          <w:rFonts w:ascii="Trebuchet MS" w:hAnsi="Trebuchet MS" w:cs="Arial"/>
          <w:color w:val="5F5F5F"/>
          <w:sz w:val="20"/>
          <w:szCs w:val="20"/>
        </w:rPr>
        <w:t xml:space="preserve"> Milano </w:t>
      </w:r>
      <w:r w:rsidRPr="00EB14C2">
        <w:rPr>
          <w:rFonts w:ascii="Trebuchet MS" w:hAnsi="Trebuchet MS" w:cs="Arial"/>
          <w:color w:val="5F5F5F"/>
          <w:sz w:val="20"/>
          <w:szCs w:val="20"/>
        </w:rPr>
        <w:t>raggiunge</w:t>
      </w:r>
      <w:r>
        <w:rPr>
          <w:rFonts w:ascii="Trebuchet MS" w:hAnsi="Trebuchet MS" w:cs="Arial"/>
          <w:color w:val="5F5F5F"/>
          <w:sz w:val="20"/>
          <w:szCs w:val="20"/>
        </w:rPr>
        <w:t xml:space="preserve"> </w:t>
      </w:r>
      <w:r w:rsidRPr="000A6178">
        <w:rPr>
          <w:rFonts w:ascii="Trebuchet MS" w:hAnsi="Trebuchet MS" w:cs="Arial"/>
          <w:color w:val="5F5F5F"/>
          <w:sz w:val="20"/>
          <w:szCs w:val="20"/>
        </w:rPr>
        <w:t>il 42,2%,</w:t>
      </w:r>
      <w:r>
        <w:rPr>
          <w:rFonts w:ascii="Trebuchet MS" w:hAnsi="Trebuchet MS" w:cs="Arial"/>
          <w:color w:val="5F5F5F"/>
          <w:sz w:val="20"/>
          <w:szCs w:val="20"/>
        </w:rPr>
        <w:t xml:space="preserve"> seguono le famiglie con due componenti (</w:t>
      </w:r>
      <w:r w:rsidRPr="000A6178">
        <w:rPr>
          <w:rFonts w:ascii="Trebuchet MS" w:hAnsi="Trebuchet MS" w:cs="Arial"/>
          <w:color w:val="5F5F5F"/>
          <w:sz w:val="20"/>
          <w:szCs w:val="20"/>
        </w:rPr>
        <w:t>28,1%).</w:t>
      </w:r>
      <w:r>
        <w:rPr>
          <w:rFonts w:ascii="Trebuchet MS" w:hAnsi="Trebuchet MS" w:cs="Arial"/>
          <w:color w:val="5F5F5F"/>
          <w:sz w:val="20"/>
          <w:szCs w:val="20"/>
        </w:rPr>
        <w:t xml:space="preserve"> Le famiglie più numerose, con almeno tre componenti</w:t>
      </w:r>
      <w:r w:rsidRPr="00EB14C2">
        <w:rPr>
          <w:rFonts w:ascii="Trebuchet MS" w:hAnsi="Trebuchet MS" w:cs="Arial"/>
          <w:color w:val="5F5F5F"/>
          <w:sz w:val="20"/>
          <w:szCs w:val="20"/>
        </w:rPr>
        <w:t>, costituiscono il 35,5% del</w:t>
      </w:r>
      <w:r>
        <w:rPr>
          <w:rFonts w:ascii="Trebuchet MS" w:hAnsi="Trebuchet MS" w:cs="Arial"/>
          <w:color w:val="5F5F5F"/>
          <w:sz w:val="20"/>
          <w:szCs w:val="20"/>
        </w:rPr>
        <w:t xml:space="preserve"> totale. </w:t>
      </w:r>
    </w:p>
    <w:p w14:paraId="443A10CA" w14:textId="612A538E" w:rsidR="00446A44" w:rsidRDefault="00446A44" w:rsidP="00446A44">
      <w:pPr>
        <w:spacing w:after="120"/>
        <w:jc w:val="both"/>
        <w:rPr>
          <w:rFonts w:ascii="Trebuchet MS" w:hAnsi="Trebuchet MS" w:cs="Arial"/>
          <w:color w:val="5F5F5F"/>
          <w:sz w:val="20"/>
          <w:szCs w:val="20"/>
        </w:rPr>
      </w:pPr>
      <w:r>
        <w:rPr>
          <w:rFonts w:ascii="Trebuchet MS" w:hAnsi="Trebuchet MS" w:cs="Arial"/>
          <w:color w:val="5F5F5F"/>
          <w:sz w:val="20"/>
          <w:szCs w:val="20"/>
        </w:rPr>
        <w:t>Tra le Province</w:t>
      </w:r>
      <w:r w:rsidRPr="00D71CDD">
        <w:rPr>
          <w:rFonts w:ascii="Trebuchet MS" w:hAnsi="Trebuchet MS" w:cs="Arial"/>
          <w:color w:val="5F5F5F"/>
          <w:sz w:val="20"/>
          <w:szCs w:val="20"/>
        </w:rPr>
        <w:t xml:space="preserve">, Bergamo e Mantova sono caratterizzate da una maggiore dimensione media familiare (2,4 componenti). </w:t>
      </w:r>
      <w:r w:rsidR="00BE72E3">
        <w:rPr>
          <w:rFonts w:ascii="Trebuchet MS" w:hAnsi="Trebuchet MS" w:cs="Arial"/>
          <w:color w:val="5F5F5F"/>
          <w:sz w:val="20"/>
          <w:szCs w:val="20"/>
        </w:rPr>
        <w:t>Nella provincia di</w:t>
      </w:r>
      <w:r>
        <w:rPr>
          <w:rFonts w:ascii="Trebuchet MS" w:hAnsi="Trebuchet MS" w:cs="Arial"/>
          <w:color w:val="5F5F5F"/>
          <w:sz w:val="20"/>
          <w:szCs w:val="20"/>
        </w:rPr>
        <w:t xml:space="preserve"> Milano, invece, il numero medio di componenti (2,1) è sotto la media della regione </w:t>
      </w:r>
      <w:r w:rsidRPr="00F0059F">
        <w:rPr>
          <w:rFonts w:ascii="Trebuchet MS" w:hAnsi="Trebuchet MS" w:cs="Arial"/>
          <w:color w:val="5F5F5F"/>
          <w:sz w:val="20"/>
          <w:szCs w:val="20"/>
        </w:rPr>
        <w:t>(2,</w:t>
      </w:r>
      <w:r>
        <w:rPr>
          <w:rFonts w:ascii="Trebuchet MS" w:hAnsi="Trebuchet MS" w:cs="Arial"/>
          <w:color w:val="5F5F5F"/>
          <w:sz w:val="20"/>
          <w:szCs w:val="20"/>
        </w:rPr>
        <w:t>2</w:t>
      </w:r>
      <w:r w:rsidRPr="00F0059F">
        <w:rPr>
          <w:rFonts w:ascii="Trebuchet MS" w:hAnsi="Trebuchet MS" w:cs="Arial"/>
          <w:color w:val="5F5F5F"/>
          <w:sz w:val="20"/>
          <w:szCs w:val="20"/>
        </w:rPr>
        <w:t xml:space="preserve">). </w:t>
      </w:r>
      <w:r>
        <w:rPr>
          <w:rFonts w:ascii="Trebuchet MS" w:hAnsi="Trebuchet MS" w:cs="Arial"/>
          <w:color w:val="5F5F5F"/>
          <w:sz w:val="20"/>
          <w:szCs w:val="20"/>
        </w:rPr>
        <w:t>Nella provincia di Brescia si trovano i due comuni con la maggiore dimensione media familiare</w:t>
      </w:r>
      <w:r w:rsidR="00890B8F">
        <w:rPr>
          <w:rFonts w:ascii="Trebuchet MS" w:hAnsi="Trebuchet MS" w:cs="Arial"/>
          <w:color w:val="5F5F5F"/>
          <w:sz w:val="20"/>
          <w:szCs w:val="20"/>
        </w:rPr>
        <w:t>,</w:t>
      </w:r>
      <w:r>
        <w:rPr>
          <w:rFonts w:ascii="Trebuchet MS" w:hAnsi="Trebuchet MS" w:cs="Arial"/>
          <w:color w:val="5F5F5F"/>
          <w:sz w:val="20"/>
          <w:szCs w:val="20"/>
        </w:rPr>
        <w:t xml:space="preserve">  Comezzano-Cizzago e Maclodio</w:t>
      </w:r>
      <w:r w:rsidR="00890B8F">
        <w:rPr>
          <w:rFonts w:ascii="Trebuchet MS" w:hAnsi="Trebuchet MS" w:cs="Arial"/>
          <w:color w:val="5F5F5F"/>
          <w:sz w:val="20"/>
          <w:szCs w:val="20"/>
        </w:rPr>
        <w:t xml:space="preserve"> (</w:t>
      </w:r>
      <w:r w:rsidR="00890B8F" w:rsidRPr="001C73CE">
        <w:rPr>
          <w:rFonts w:ascii="Trebuchet MS" w:hAnsi="Trebuchet MS" w:cs="Arial"/>
          <w:color w:val="5F5F5F"/>
          <w:sz w:val="20"/>
          <w:szCs w:val="20"/>
        </w:rPr>
        <w:t>2,8</w:t>
      </w:r>
      <w:r w:rsidR="00890B8F">
        <w:rPr>
          <w:rFonts w:ascii="Trebuchet MS" w:hAnsi="Trebuchet MS" w:cs="Arial"/>
          <w:color w:val="5F5F5F"/>
          <w:sz w:val="20"/>
          <w:szCs w:val="20"/>
        </w:rPr>
        <w:t xml:space="preserve"> componenti), mentre in quelle</w:t>
      </w:r>
      <w:r>
        <w:rPr>
          <w:rFonts w:ascii="Trebuchet MS" w:hAnsi="Trebuchet MS" w:cs="Arial"/>
          <w:color w:val="5F5F5F"/>
          <w:sz w:val="20"/>
          <w:szCs w:val="20"/>
        </w:rPr>
        <w:t xml:space="preserve"> di Lecco e Sondrio s</w:t>
      </w:r>
      <w:r w:rsidR="00890B8F">
        <w:rPr>
          <w:rFonts w:ascii="Trebuchet MS" w:hAnsi="Trebuchet MS" w:cs="Arial"/>
          <w:color w:val="5F5F5F"/>
          <w:sz w:val="20"/>
          <w:szCs w:val="20"/>
        </w:rPr>
        <w:t xml:space="preserve">ono localizzati </w:t>
      </w:r>
      <w:r>
        <w:rPr>
          <w:rFonts w:ascii="Trebuchet MS" w:hAnsi="Trebuchet MS" w:cs="Arial"/>
          <w:color w:val="5F5F5F"/>
          <w:sz w:val="20"/>
          <w:szCs w:val="20"/>
        </w:rPr>
        <w:t>i due Comuni con il valore pi</w:t>
      </w:r>
      <w:r w:rsidR="00890B8F">
        <w:rPr>
          <w:rFonts w:ascii="Trebuchet MS" w:hAnsi="Trebuchet MS" w:cs="Arial"/>
          <w:color w:val="5F5F5F"/>
          <w:sz w:val="20"/>
          <w:szCs w:val="20"/>
        </w:rPr>
        <w:t xml:space="preserve">ù basso </w:t>
      </w:r>
      <w:r w:rsidRPr="002714A3">
        <w:rPr>
          <w:rFonts w:ascii="Trebuchet MS" w:hAnsi="Trebuchet MS" w:cs="Arial"/>
          <w:color w:val="5F5F5F"/>
          <w:sz w:val="20"/>
          <w:szCs w:val="20"/>
        </w:rPr>
        <w:t>(1,4)</w:t>
      </w:r>
      <w:r>
        <w:rPr>
          <w:rFonts w:ascii="Trebuchet MS" w:hAnsi="Trebuchet MS" w:cs="Arial"/>
          <w:color w:val="5F5F5F"/>
          <w:sz w:val="20"/>
          <w:szCs w:val="20"/>
        </w:rPr>
        <w:t>.</w:t>
      </w:r>
    </w:p>
    <w:p w14:paraId="77276722" w14:textId="56F9A697" w:rsidR="00703DC9" w:rsidRDefault="00BE72E3" w:rsidP="00446A44">
      <w:pPr>
        <w:spacing w:after="120"/>
        <w:jc w:val="both"/>
        <w:rPr>
          <w:rFonts w:ascii="Trebuchet MS" w:hAnsi="Trebuchet MS" w:cs="Arial"/>
          <w:color w:val="5F5F5F"/>
          <w:sz w:val="20"/>
          <w:szCs w:val="20"/>
        </w:rPr>
      </w:pPr>
      <w:r>
        <w:rPr>
          <w:rFonts w:ascii="Trebuchet MS" w:hAnsi="Trebuchet MS" w:cs="Arial"/>
          <w:color w:val="5F5F5F"/>
          <w:sz w:val="20"/>
          <w:szCs w:val="20"/>
        </w:rPr>
        <w:t>Nella provincia di</w:t>
      </w:r>
      <w:r w:rsidR="00446A44" w:rsidRPr="00D71CDD">
        <w:rPr>
          <w:rFonts w:ascii="Trebuchet MS" w:hAnsi="Trebuchet MS" w:cs="Arial"/>
          <w:color w:val="5F5F5F"/>
          <w:sz w:val="20"/>
          <w:szCs w:val="20"/>
        </w:rPr>
        <w:t xml:space="preserve"> Milano il 15</w:t>
      </w:r>
      <w:r w:rsidR="00446A44">
        <w:rPr>
          <w:rFonts w:ascii="Trebuchet MS" w:hAnsi="Trebuchet MS" w:cs="Arial"/>
          <w:color w:val="5F5F5F"/>
          <w:sz w:val="20"/>
          <w:szCs w:val="20"/>
        </w:rPr>
        <w:t>,0</w:t>
      </w:r>
      <w:r w:rsidR="00446A44" w:rsidRPr="00D71CDD">
        <w:rPr>
          <w:rFonts w:ascii="Trebuchet MS" w:hAnsi="Trebuchet MS" w:cs="Arial"/>
          <w:color w:val="5F5F5F"/>
          <w:sz w:val="20"/>
          <w:szCs w:val="20"/>
        </w:rPr>
        <w:t>% delle famiglie</w:t>
      </w:r>
      <w:r w:rsidR="00446A44">
        <w:rPr>
          <w:rFonts w:ascii="Trebuchet MS" w:hAnsi="Trebuchet MS" w:cs="Arial"/>
          <w:color w:val="5F5F5F"/>
          <w:sz w:val="20"/>
          <w:szCs w:val="20"/>
        </w:rPr>
        <w:t xml:space="preserve"> include almeno uno straniero (la media regionale è </w:t>
      </w:r>
      <w:r w:rsidR="00446A44" w:rsidRPr="00EB14C2">
        <w:rPr>
          <w:rFonts w:ascii="Trebuchet MS" w:hAnsi="Trebuchet MS" w:cs="Arial"/>
          <w:color w:val="5F5F5F"/>
          <w:sz w:val="20"/>
          <w:szCs w:val="20"/>
        </w:rPr>
        <w:t>12,1%)</w:t>
      </w:r>
      <w:r w:rsidR="00446A44">
        <w:rPr>
          <w:rFonts w:ascii="Trebuchet MS" w:hAnsi="Trebuchet MS" w:cs="Arial"/>
          <w:color w:val="5F5F5F"/>
          <w:sz w:val="20"/>
          <w:szCs w:val="20"/>
        </w:rPr>
        <w:t xml:space="preserve"> </w:t>
      </w:r>
      <w:r w:rsidR="00446A44" w:rsidRPr="00264B35">
        <w:rPr>
          <w:rFonts w:ascii="Trebuchet MS" w:hAnsi="Trebuchet MS" w:cs="Arial"/>
          <w:color w:val="5F5F5F"/>
          <w:sz w:val="20"/>
          <w:szCs w:val="20"/>
        </w:rPr>
        <w:t>e l’11,5% delle famiglie è composta da soli stranieri, un dato superiore rispetto alla media regionale (8,5</w:t>
      </w:r>
      <w:r w:rsidR="00446A44" w:rsidRPr="001248C2">
        <w:rPr>
          <w:rFonts w:ascii="Trebuchet MS" w:hAnsi="Trebuchet MS" w:cs="Arial"/>
          <w:color w:val="5F5F5F"/>
          <w:sz w:val="20"/>
          <w:szCs w:val="20"/>
        </w:rPr>
        <w:t>%).</w:t>
      </w:r>
      <w:r w:rsidR="00446A44">
        <w:rPr>
          <w:rFonts w:ascii="Trebuchet MS" w:hAnsi="Trebuchet MS" w:cs="Arial"/>
          <w:color w:val="5F5F5F"/>
          <w:sz w:val="20"/>
          <w:szCs w:val="20"/>
        </w:rPr>
        <w:t xml:space="preserve"> A Sondrio invece l’incidenza delle famiglie con stranieri è la </w:t>
      </w:r>
      <w:r w:rsidR="00446A44" w:rsidRPr="006A0521">
        <w:rPr>
          <w:rFonts w:ascii="Trebuchet MS" w:hAnsi="Trebuchet MS" w:cs="Arial"/>
          <w:color w:val="5F5F5F"/>
          <w:sz w:val="20"/>
          <w:szCs w:val="20"/>
        </w:rPr>
        <w:t>più bassa</w:t>
      </w:r>
      <w:r w:rsidR="00446A44" w:rsidRPr="00BA5782">
        <w:rPr>
          <w:rFonts w:ascii="Trebuchet MS" w:hAnsi="Trebuchet MS" w:cs="Arial"/>
          <w:color w:val="5F5F5F"/>
          <w:sz w:val="20"/>
          <w:szCs w:val="20"/>
        </w:rPr>
        <w:t xml:space="preserve"> (6</w:t>
      </w:r>
      <w:r w:rsidR="00446A44">
        <w:rPr>
          <w:rFonts w:ascii="Trebuchet MS" w:hAnsi="Trebuchet MS" w:cs="Arial"/>
          <w:color w:val="5F5F5F"/>
          <w:sz w:val="20"/>
          <w:szCs w:val="20"/>
        </w:rPr>
        <w:t>,0</w:t>
      </w:r>
      <w:r w:rsidR="00446A44" w:rsidRPr="00BA5782">
        <w:rPr>
          <w:rFonts w:ascii="Trebuchet MS" w:hAnsi="Trebuchet MS" w:cs="Arial"/>
          <w:color w:val="5F5F5F"/>
          <w:sz w:val="20"/>
          <w:szCs w:val="20"/>
        </w:rPr>
        <w:t>%</w:t>
      </w:r>
      <w:r w:rsidR="008F116B">
        <w:rPr>
          <w:rFonts w:ascii="Trebuchet MS" w:hAnsi="Trebuchet MS" w:cs="Arial"/>
          <w:color w:val="5F5F5F"/>
          <w:sz w:val="20"/>
          <w:szCs w:val="20"/>
        </w:rPr>
        <w:t>).</w:t>
      </w:r>
    </w:p>
    <w:p w14:paraId="366D72D3" w14:textId="77777777" w:rsidR="00EA7D77" w:rsidRPr="00BA206B" w:rsidRDefault="00EA7D77" w:rsidP="00FA2069">
      <w:pPr>
        <w:spacing w:after="120"/>
        <w:jc w:val="both"/>
        <w:rPr>
          <w:rFonts w:ascii="Trebuchet MS" w:hAnsi="Trebuchet MS" w:cs="Arial"/>
          <w:color w:val="5F5F5F"/>
          <w:sz w:val="12"/>
          <w:szCs w:val="12"/>
        </w:rPr>
      </w:pPr>
    </w:p>
    <w:p w14:paraId="0B84B8EF" w14:textId="7C4EE533" w:rsidR="004162C3" w:rsidRPr="004162C3" w:rsidRDefault="008C7BC5" w:rsidP="004162C3">
      <w:pPr>
        <w:spacing w:after="120"/>
        <w:jc w:val="both"/>
        <w:rPr>
          <w:rFonts w:ascii="Trebuchet MS" w:hAnsi="Trebuchet MS" w:cs="Arial"/>
          <w:b/>
          <w:iCs/>
          <w:color w:val="5F5F5F"/>
          <w:kern w:val="28"/>
          <w:sz w:val="22"/>
          <w:szCs w:val="22"/>
        </w:rPr>
      </w:pPr>
      <w:r>
        <w:rPr>
          <w:rFonts w:ascii="Trebuchet MS" w:hAnsi="Trebuchet MS" w:cs="Arial"/>
          <w:b/>
          <w:iCs/>
          <w:color w:val="5F5F5F"/>
          <w:kern w:val="28"/>
          <w:sz w:val="22"/>
          <w:szCs w:val="22"/>
        </w:rPr>
        <w:t>Livello</w:t>
      </w:r>
      <w:r w:rsidR="004162C3" w:rsidRPr="004162C3">
        <w:rPr>
          <w:rFonts w:ascii="Trebuchet MS" w:hAnsi="Trebuchet MS" w:cs="Arial"/>
          <w:b/>
          <w:iCs/>
          <w:color w:val="5F5F5F"/>
          <w:kern w:val="28"/>
          <w:sz w:val="22"/>
          <w:szCs w:val="22"/>
        </w:rPr>
        <w:t xml:space="preserve"> di istruzione </w:t>
      </w:r>
    </w:p>
    <w:p w14:paraId="575B29AD" w14:textId="3B4CB732" w:rsidR="005B0778" w:rsidRDefault="00C74FBA" w:rsidP="004162C3">
      <w:pPr>
        <w:spacing w:after="120"/>
        <w:jc w:val="both"/>
        <w:rPr>
          <w:rFonts w:ascii="Trebuchet MS" w:hAnsi="Trebuchet MS" w:cs="Arial"/>
          <w:color w:val="5F5F5F"/>
          <w:sz w:val="20"/>
          <w:szCs w:val="20"/>
        </w:rPr>
      </w:pPr>
      <w:r>
        <w:rPr>
          <w:rFonts w:ascii="Trebuchet MS" w:hAnsi="Trebuchet MS" w:cs="Arial"/>
          <w:color w:val="5F5F5F"/>
          <w:sz w:val="20"/>
          <w:szCs w:val="20"/>
        </w:rPr>
        <w:t xml:space="preserve">Si innalza il livello medio d’istruzione della popolazione residente di 9 anni e più in </w:t>
      </w:r>
      <w:r w:rsidRPr="00BA5782">
        <w:rPr>
          <w:rFonts w:ascii="Trebuchet MS" w:hAnsi="Trebuchet MS" w:cs="Arial"/>
          <w:color w:val="5F5F5F"/>
          <w:sz w:val="20"/>
          <w:szCs w:val="20"/>
        </w:rPr>
        <w:t>Lombardia</w:t>
      </w:r>
      <w:r>
        <w:rPr>
          <w:rFonts w:ascii="Trebuchet MS" w:hAnsi="Trebuchet MS" w:cs="Arial"/>
          <w:color w:val="5F5F5F"/>
          <w:sz w:val="20"/>
          <w:szCs w:val="20"/>
        </w:rPr>
        <w:t>, grazie alla crescita continua della scolarizzazione e al conseguimento di titoli di livello superiore. Rispetto al 2019 diminuisce nel complesso la quota di popolazione con un basso livello d’istruzione: coloro</w:t>
      </w:r>
      <w:r w:rsidRPr="00A95E64">
        <w:rPr>
          <w:rFonts w:ascii="Trebuchet MS" w:hAnsi="Trebuchet MS" w:cs="Arial"/>
          <w:color w:val="5F5F5F"/>
          <w:sz w:val="20"/>
          <w:szCs w:val="20"/>
        </w:rPr>
        <w:t xml:space="preserve"> che </w:t>
      </w:r>
      <w:r>
        <w:rPr>
          <w:rFonts w:ascii="Trebuchet MS" w:hAnsi="Trebuchet MS" w:cs="Arial"/>
          <w:color w:val="5F5F5F"/>
          <w:sz w:val="20"/>
          <w:szCs w:val="20"/>
        </w:rPr>
        <w:t xml:space="preserve">sono privi di un titolo di studio passano </w:t>
      </w:r>
      <w:r w:rsidRPr="00502514">
        <w:rPr>
          <w:rFonts w:ascii="Trebuchet MS" w:hAnsi="Trebuchet MS" w:cs="Arial"/>
          <w:color w:val="5F5F5F"/>
          <w:sz w:val="20"/>
          <w:szCs w:val="20"/>
        </w:rPr>
        <w:t>dal 3,7% al 3,6%, le</w:t>
      </w:r>
      <w:r w:rsidRPr="00A95E64">
        <w:rPr>
          <w:rFonts w:ascii="Trebuchet MS" w:hAnsi="Trebuchet MS" w:cs="Arial"/>
          <w:color w:val="5F5F5F"/>
          <w:sz w:val="20"/>
          <w:szCs w:val="20"/>
        </w:rPr>
        <w:t xml:space="preserve"> licenze elementari </w:t>
      </w:r>
      <w:r w:rsidRPr="00BA5782">
        <w:rPr>
          <w:rFonts w:ascii="Trebuchet MS" w:hAnsi="Trebuchet MS" w:cs="Arial"/>
          <w:color w:val="5F5F5F"/>
          <w:sz w:val="20"/>
          <w:szCs w:val="20"/>
        </w:rPr>
        <w:t>dal 15,6% al 15,0%,</w:t>
      </w:r>
      <w:r>
        <w:rPr>
          <w:rFonts w:ascii="Trebuchet MS" w:hAnsi="Trebuchet MS" w:cs="Arial"/>
          <w:color w:val="5F5F5F"/>
          <w:sz w:val="20"/>
          <w:szCs w:val="20"/>
        </w:rPr>
        <w:t xml:space="preserve"> </w:t>
      </w:r>
      <w:r w:rsidRPr="00A95E64">
        <w:rPr>
          <w:rFonts w:ascii="Trebuchet MS" w:hAnsi="Trebuchet MS" w:cs="Arial"/>
          <w:color w:val="5F5F5F"/>
          <w:sz w:val="20"/>
          <w:szCs w:val="20"/>
        </w:rPr>
        <w:t>quelle di s</w:t>
      </w:r>
      <w:r>
        <w:rPr>
          <w:rFonts w:ascii="Trebuchet MS" w:hAnsi="Trebuchet MS" w:cs="Arial"/>
          <w:color w:val="5F5F5F"/>
          <w:sz w:val="20"/>
          <w:szCs w:val="20"/>
        </w:rPr>
        <w:t xml:space="preserve">cuola media </w:t>
      </w:r>
      <w:r w:rsidRPr="00502514">
        <w:rPr>
          <w:rFonts w:ascii="Trebuchet MS" w:hAnsi="Trebuchet MS" w:cs="Arial"/>
          <w:color w:val="5F5F5F"/>
          <w:sz w:val="20"/>
          <w:szCs w:val="20"/>
        </w:rPr>
        <w:t>dal 28,9% al 28,8%.</w:t>
      </w:r>
      <w:r w:rsidR="004162C3">
        <w:rPr>
          <w:rFonts w:ascii="Trebuchet MS" w:hAnsi="Trebuchet MS" w:cs="Arial"/>
          <w:color w:val="5F5F5F"/>
          <w:sz w:val="20"/>
          <w:szCs w:val="20"/>
        </w:rPr>
        <w:t xml:space="preserve"> </w:t>
      </w:r>
    </w:p>
    <w:p w14:paraId="7DB76D28" w14:textId="08A98FE8" w:rsidR="004162C3" w:rsidRDefault="004162C3" w:rsidP="004162C3">
      <w:pPr>
        <w:spacing w:after="120"/>
        <w:jc w:val="both"/>
        <w:rPr>
          <w:rFonts w:ascii="Trebuchet MS" w:hAnsi="Trebuchet MS" w:cs="Arial"/>
          <w:color w:val="5F5F5F"/>
          <w:sz w:val="20"/>
          <w:szCs w:val="20"/>
        </w:rPr>
      </w:pPr>
      <w:r>
        <w:rPr>
          <w:rFonts w:ascii="Trebuchet MS" w:hAnsi="Trebuchet MS" w:cs="Arial"/>
          <w:color w:val="5F5F5F"/>
          <w:sz w:val="20"/>
          <w:szCs w:val="20"/>
        </w:rPr>
        <w:lastRenderedPageBreak/>
        <w:t>Nel contempo l</w:t>
      </w:r>
      <w:r w:rsidR="00C74FBA">
        <w:rPr>
          <w:rFonts w:ascii="Trebuchet MS" w:hAnsi="Trebuchet MS" w:cs="Arial"/>
          <w:color w:val="5F5F5F"/>
          <w:sz w:val="20"/>
          <w:szCs w:val="20"/>
        </w:rPr>
        <w:t>e</w:t>
      </w:r>
      <w:r>
        <w:rPr>
          <w:rFonts w:ascii="Trebuchet MS" w:hAnsi="Trebuchet MS" w:cs="Arial"/>
          <w:color w:val="5F5F5F"/>
          <w:sz w:val="20"/>
          <w:szCs w:val="20"/>
        </w:rPr>
        <w:t xml:space="preserve"> percentual</w:t>
      </w:r>
      <w:r w:rsidR="00C74FBA">
        <w:rPr>
          <w:rFonts w:ascii="Trebuchet MS" w:hAnsi="Trebuchet MS" w:cs="Arial"/>
          <w:color w:val="5F5F5F"/>
          <w:sz w:val="20"/>
          <w:szCs w:val="20"/>
        </w:rPr>
        <w:t>i</w:t>
      </w:r>
      <w:r>
        <w:rPr>
          <w:rFonts w:ascii="Trebuchet MS" w:hAnsi="Trebuchet MS" w:cs="Arial"/>
          <w:color w:val="5F5F5F"/>
          <w:sz w:val="20"/>
          <w:szCs w:val="20"/>
        </w:rPr>
        <w:t xml:space="preserve"> dei diplomati</w:t>
      </w:r>
      <w:r>
        <w:rPr>
          <w:rStyle w:val="Rimandonotaapidipagina"/>
          <w:rFonts w:ascii="Trebuchet MS" w:hAnsi="Trebuchet MS" w:cs="Arial"/>
          <w:color w:val="5F5F5F"/>
          <w:sz w:val="20"/>
          <w:szCs w:val="20"/>
        </w:rPr>
        <w:footnoteReference w:id="2"/>
      </w:r>
      <w:r>
        <w:rPr>
          <w:rFonts w:ascii="Trebuchet MS" w:hAnsi="Trebuchet MS" w:cs="Arial"/>
          <w:color w:val="5F5F5F"/>
          <w:sz w:val="20"/>
          <w:szCs w:val="20"/>
        </w:rPr>
        <w:t xml:space="preserve"> e delle persone con istruzione terziaria (e superiore</w:t>
      </w:r>
      <w:r>
        <w:rPr>
          <w:rStyle w:val="Rimandonotaapidipagina"/>
          <w:rFonts w:ascii="Trebuchet MS" w:hAnsi="Trebuchet MS" w:cs="Arial"/>
          <w:color w:val="5F5F5F"/>
          <w:sz w:val="20"/>
          <w:szCs w:val="20"/>
        </w:rPr>
        <w:footnoteReference w:id="3"/>
      </w:r>
      <w:r w:rsidR="00C74FBA">
        <w:rPr>
          <w:rFonts w:ascii="Trebuchet MS" w:hAnsi="Trebuchet MS" w:cs="Arial"/>
          <w:color w:val="5F5F5F"/>
          <w:sz w:val="20"/>
          <w:szCs w:val="20"/>
        </w:rPr>
        <w:t>) sono</w:t>
      </w:r>
      <w:r>
        <w:rPr>
          <w:rFonts w:ascii="Trebuchet MS" w:hAnsi="Trebuchet MS" w:cs="Arial"/>
          <w:color w:val="5F5F5F"/>
          <w:sz w:val="20"/>
          <w:szCs w:val="20"/>
        </w:rPr>
        <w:t xml:space="preserve"> aumentat</w:t>
      </w:r>
      <w:r w:rsidR="00C74FBA">
        <w:rPr>
          <w:rFonts w:ascii="Trebuchet MS" w:hAnsi="Trebuchet MS" w:cs="Arial"/>
          <w:color w:val="5F5F5F"/>
          <w:sz w:val="20"/>
          <w:szCs w:val="20"/>
        </w:rPr>
        <w:t>e</w:t>
      </w:r>
      <w:r>
        <w:rPr>
          <w:rFonts w:ascii="Trebuchet MS" w:hAnsi="Trebuchet MS" w:cs="Arial"/>
          <w:color w:val="5F5F5F"/>
          <w:sz w:val="20"/>
          <w:szCs w:val="20"/>
        </w:rPr>
        <w:t xml:space="preserve"> </w:t>
      </w:r>
      <w:r w:rsidR="00C74FBA">
        <w:rPr>
          <w:rFonts w:ascii="Trebuchet MS" w:hAnsi="Trebuchet MS" w:cs="Arial"/>
          <w:color w:val="5F5F5F"/>
          <w:sz w:val="20"/>
          <w:szCs w:val="20"/>
        </w:rPr>
        <w:t xml:space="preserve">attestandosi rispettivamente al </w:t>
      </w:r>
      <w:r w:rsidR="00C74FBA" w:rsidRPr="00BA5782">
        <w:rPr>
          <w:rFonts w:ascii="Trebuchet MS" w:hAnsi="Trebuchet MS" w:cs="Arial"/>
          <w:color w:val="5F5F5F"/>
          <w:sz w:val="20"/>
          <w:szCs w:val="20"/>
        </w:rPr>
        <w:t>37,0%</w:t>
      </w:r>
      <w:r w:rsidR="00C74FBA">
        <w:rPr>
          <w:rFonts w:ascii="Trebuchet MS" w:hAnsi="Trebuchet MS" w:cs="Arial"/>
          <w:color w:val="5F5F5F"/>
          <w:sz w:val="20"/>
          <w:szCs w:val="20"/>
        </w:rPr>
        <w:t xml:space="preserve"> e al </w:t>
      </w:r>
      <w:r w:rsidR="00C74FBA" w:rsidRPr="00EE2863">
        <w:rPr>
          <w:rFonts w:ascii="Trebuchet MS" w:hAnsi="Trebuchet MS" w:cs="Arial"/>
          <w:color w:val="5F5F5F"/>
          <w:sz w:val="20"/>
          <w:szCs w:val="20"/>
        </w:rPr>
        <w:t>15,7%.</w:t>
      </w:r>
      <w:r w:rsidR="00C74FBA">
        <w:rPr>
          <w:rFonts w:ascii="Trebuchet MS" w:hAnsi="Trebuchet MS" w:cs="Arial"/>
          <w:color w:val="5F5F5F"/>
          <w:sz w:val="20"/>
          <w:szCs w:val="20"/>
        </w:rPr>
        <w:t xml:space="preserve"> L’incremento dell’incidenza nei titoli universitari è da attribuire quasi interamente a quelli di II livello con un tasso di variazione </w:t>
      </w:r>
      <w:r w:rsidR="00C74FBA" w:rsidRPr="008677A8">
        <w:rPr>
          <w:rFonts w:ascii="Trebuchet MS" w:hAnsi="Trebuchet MS" w:cs="Arial"/>
          <w:color w:val="5F5F5F"/>
          <w:sz w:val="20"/>
          <w:szCs w:val="20"/>
        </w:rPr>
        <w:t>del +4,9%.</w:t>
      </w:r>
      <w:r>
        <w:rPr>
          <w:rFonts w:ascii="Trebuchet MS" w:hAnsi="Trebuchet MS" w:cs="Arial"/>
          <w:color w:val="5F5F5F"/>
          <w:sz w:val="20"/>
          <w:szCs w:val="20"/>
        </w:rPr>
        <w:t xml:space="preserve"> </w:t>
      </w:r>
    </w:p>
    <w:p w14:paraId="00E38A8D" w14:textId="6E6EDD34" w:rsidR="004162C3" w:rsidRDefault="00C74FBA" w:rsidP="004162C3">
      <w:pPr>
        <w:spacing w:after="120"/>
        <w:jc w:val="both"/>
        <w:rPr>
          <w:rFonts w:ascii="Trebuchet MS" w:hAnsi="Trebuchet MS" w:cs="Arial"/>
          <w:color w:val="5F5F5F"/>
          <w:sz w:val="20"/>
          <w:szCs w:val="20"/>
        </w:rPr>
      </w:pPr>
      <w:r w:rsidRPr="006566F6">
        <w:rPr>
          <w:rFonts w:ascii="Trebuchet MS" w:hAnsi="Trebuchet MS" w:cs="Arial"/>
          <w:color w:val="5F5F5F"/>
          <w:sz w:val="20"/>
          <w:szCs w:val="20"/>
        </w:rPr>
        <w:t>La distribuzione del grado di istruzione della popolazione lombarda si caratterizza per una peculiare geografia provinciale, condizionata dalla struttura per età e cittadinanza della popolazione e dal tessuto socio-economico di riferimento, per la presenza di strutture universitarie o di adeguate infrastrutture di mobilità.</w:t>
      </w:r>
      <w:r>
        <w:rPr>
          <w:rFonts w:ascii="Trebuchet MS" w:hAnsi="Trebuchet MS" w:cs="Arial"/>
          <w:color w:val="5F5F5F"/>
          <w:sz w:val="20"/>
          <w:szCs w:val="20"/>
        </w:rPr>
        <w:t xml:space="preserve"> Spicca </w:t>
      </w:r>
      <w:r w:rsidR="00BE72E3">
        <w:rPr>
          <w:rFonts w:ascii="Trebuchet MS" w:hAnsi="Trebuchet MS" w:cs="Arial"/>
          <w:color w:val="5F5F5F"/>
          <w:sz w:val="20"/>
          <w:szCs w:val="20"/>
        </w:rPr>
        <w:t xml:space="preserve">la provincia di </w:t>
      </w:r>
      <w:r>
        <w:rPr>
          <w:rFonts w:ascii="Trebuchet MS" w:hAnsi="Trebuchet MS" w:cs="Arial"/>
          <w:color w:val="5F5F5F"/>
          <w:sz w:val="20"/>
          <w:szCs w:val="20"/>
        </w:rPr>
        <w:t xml:space="preserve">Milano con una percentuale del </w:t>
      </w:r>
      <w:r w:rsidRPr="006566F6">
        <w:rPr>
          <w:rFonts w:ascii="Trebuchet MS" w:hAnsi="Trebuchet MS" w:cs="Arial"/>
          <w:color w:val="5F5F5F"/>
          <w:sz w:val="20"/>
          <w:szCs w:val="20"/>
        </w:rPr>
        <w:t>15,7</w:t>
      </w:r>
      <w:r w:rsidRPr="008677A8">
        <w:rPr>
          <w:rFonts w:ascii="Trebuchet MS" w:hAnsi="Trebuchet MS" w:cs="Arial"/>
          <w:color w:val="5F5F5F"/>
          <w:sz w:val="20"/>
          <w:szCs w:val="20"/>
        </w:rPr>
        <w:t xml:space="preserve">% </w:t>
      </w:r>
      <w:r w:rsidR="00BE72E3">
        <w:rPr>
          <w:rFonts w:ascii="Trebuchet MS" w:hAnsi="Trebuchet MS" w:cs="Arial"/>
          <w:color w:val="5F5F5F"/>
          <w:sz w:val="20"/>
          <w:szCs w:val="20"/>
        </w:rPr>
        <w:t>di popolazione con istruzione terziaria</w:t>
      </w:r>
      <w:r>
        <w:rPr>
          <w:rFonts w:ascii="Trebuchet MS" w:hAnsi="Trebuchet MS" w:cs="Arial"/>
          <w:color w:val="5F5F5F"/>
          <w:sz w:val="20"/>
          <w:szCs w:val="20"/>
        </w:rPr>
        <w:t xml:space="preserve"> di II livello e una quota pari </w:t>
      </w:r>
      <w:r w:rsidRPr="008677A8">
        <w:rPr>
          <w:rFonts w:ascii="Trebuchet MS" w:hAnsi="Trebuchet MS" w:cs="Arial"/>
          <w:color w:val="5F5F5F"/>
          <w:sz w:val="20"/>
          <w:szCs w:val="20"/>
        </w:rPr>
        <w:t>a 0,7% di individui in possesso del Dottorato</w:t>
      </w:r>
      <w:r>
        <w:rPr>
          <w:rFonts w:ascii="Trebuchet MS" w:hAnsi="Trebuchet MS" w:cs="Arial"/>
          <w:color w:val="5F5F5F"/>
          <w:sz w:val="20"/>
          <w:szCs w:val="20"/>
        </w:rPr>
        <w:t xml:space="preserve"> di ricerca </w:t>
      </w:r>
      <w:r w:rsidRPr="008677A8">
        <w:rPr>
          <w:rFonts w:ascii="Trebuchet MS" w:hAnsi="Trebuchet MS" w:cs="Arial"/>
          <w:color w:val="5F5F5F"/>
          <w:sz w:val="20"/>
          <w:szCs w:val="20"/>
        </w:rPr>
        <w:t>(le corrispettive proporzioni medie regionali sono rispettivamente pari a 11,2% e 0,4%)</w:t>
      </w:r>
      <w:r w:rsidR="004E6611">
        <w:rPr>
          <w:rFonts w:ascii="Trebuchet MS" w:hAnsi="Trebuchet MS" w:cs="Arial"/>
          <w:color w:val="5F5F5F"/>
          <w:sz w:val="20"/>
          <w:szCs w:val="20"/>
        </w:rPr>
        <w:t xml:space="preserve"> (Prospetto 10)</w:t>
      </w:r>
      <w:r w:rsidR="004162C3">
        <w:rPr>
          <w:rFonts w:ascii="Trebuchet MS" w:hAnsi="Trebuchet MS" w:cs="Arial"/>
          <w:color w:val="5F5F5F"/>
          <w:sz w:val="20"/>
          <w:szCs w:val="20"/>
        </w:rPr>
        <w:t>.</w:t>
      </w:r>
    </w:p>
    <w:p w14:paraId="3446EFCE" w14:textId="77777777" w:rsidR="004162C3" w:rsidRPr="00D46435" w:rsidRDefault="004162C3" w:rsidP="004162C3">
      <w:pPr>
        <w:spacing w:after="120"/>
        <w:jc w:val="both"/>
        <w:rPr>
          <w:rFonts w:ascii="Trebuchet MS" w:hAnsi="Trebuchet MS" w:cs="Arial"/>
          <w:color w:val="5F5F5F"/>
          <w:sz w:val="16"/>
          <w:szCs w:val="16"/>
        </w:rPr>
      </w:pPr>
    </w:p>
    <w:p w14:paraId="206A8E9A" w14:textId="391B25E4" w:rsidR="004162C3" w:rsidRPr="001A589C" w:rsidRDefault="004162C3" w:rsidP="004162C3">
      <w:pPr>
        <w:spacing w:after="120"/>
        <w:jc w:val="both"/>
        <w:rPr>
          <w:rFonts w:ascii="Arial Narrow" w:hAnsi="Arial Narrow"/>
          <w:color w:val="595959" w:themeColor="text1" w:themeTint="A6"/>
          <w:sz w:val="20"/>
          <w:szCs w:val="22"/>
        </w:rPr>
      </w:pPr>
      <w:r w:rsidRPr="001A589C">
        <w:rPr>
          <w:rFonts w:ascii="Arial Narrow" w:hAnsi="Arial Narrow"/>
          <w:b/>
          <w:bCs/>
          <w:color w:val="595959" w:themeColor="text1" w:themeTint="A6"/>
          <w:sz w:val="22"/>
          <w:szCs w:val="22"/>
        </w:rPr>
        <w:t>PROSPETTO 10.</w:t>
      </w:r>
      <w:r w:rsidRPr="001A589C">
        <w:rPr>
          <w:rFonts w:ascii="Arial Narrow" w:hAnsi="Arial Narrow" w:cs="Calibri"/>
          <w:b/>
          <w:bCs/>
          <w:color w:val="595959" w:themeColor="text1" w:themeTint="A6"/>
          <w:sz w:val="20"/>
          <w:szCs w:val="20"/>
        </w:rPr>
        <w:t xml:space="preserve"> </w:t>
      </w:r>
      <w:r w:rsidRPr="001A589C">
        <w:rPr>
          <w:rFonts w:ascii="Arial Narrow" w:hAnsi="Arial Narrow"/>
          <w:color w:val="595959" w:themeColor="text1" w:themeTint="A6"/>
          <w:sz w:val="22"/>
          <w:szCs w:val="22"/>
        </w:rPr>
        <w:t>POPOLAZIONE DI 9 ANNI E PI</w:t>
      </w:r>
      <w:r w:rsidRPr="001A589C">
        <w:rPr>
          <w:rFonts w:ascii="Arial Narrow" w:hAnsi="Arial Narrow"/>
          <w:caps/>
          <w:color w:val="595959" w:themeColor="text1" w:themeTint="A6"/>
          <w:sz w:val="22"/>
          <w:szCs w:val="22"/>
        </w:rPr>
        <w:t>ù</w:t>
      </w:r>
      <w:r w:rsidRPr="001A589C">
        <w:rPr>
          <w:rFonts w:ascii="Arial Narrow" w:hAnsi="Arial Narrow"/>
          <w:color w:val="595959" w:themeColor="text1" w:themeTint="A6"/>
          <w:sz w:val="22"/>
          <w:szCs w:val="22"/>
        </w:rPr>
        <w:t xml:space="preserve"> PER GRADO DI ISTRUZIONE E PROVINCIA. Censimento 2020. </w:t>
      </w:r>
      <w:r w:rsidR="00A5552F">
        <w:rPr>
          <w:rFonts w:ascii="Arial Narrow" w:hAnsi="Arial Narrow"/>
          <w:color w:val="595959" w:themeColor="text1" w:themeTint="A6"/>
          <w:sz w:val="20"/>
          <w:szCs w:val="22"/>
        </w:rPr>
        <w:t>C</w:t>
      </w:r>
      <w:r w:rsidRPr="001A589C">
        <w:rPr>
          <w:rFonts w:ascii="Arial Narrow" w:hAnsi="Arial Narrow"/>
          <w:color w:val="595959" w:themeColor="text1" w:themeTint="A6"/>
          <w:sz w:val="20"/>
          <w:szCs w:val="22"/>
        </w:rPr>
        <w:t>omposizione percentuale</w:t>
      </w:r>
    </w:p>
    <w:tbl>
      <w:tblPr>
        <w:tblW w:w="9638" w:type="dxa"/>
        <w:tblCellMar>
          <w:left w:w="70" w:type="dxa"/>
          <w:right w:w="70" w:type="dxa"/>
        </w:tblCellMar>
        <w:tblLook w:val="04A0" w:firstRow="1" w:lastRow="0" w:firstColumn="1" w:lastColumn="0" w:noHBand="0" w:noVBand="1"/>
      </w:tblPr>
      <w:tblGrid>
        <w:gridCol w:w="1452"/>
        <w:gridCol w:w="870"/>
        <w:gridCol w:w="1254"/>
        <w:gridCol w:w="929"/>
        <w:gridCol w:w="827"/>
        <w:gridCol w:w="935"/>
        <w:gridCol w:w="829"/>
        <w:gridCol w:w="887"/>
        <w:gridCol w:w="830"/>
        <w:gridCol w:w="825"/>
      </w:tblGrid>
      <w:tr w:rsidR="00E17E76" w14:paraId="50028A25" w14:textId="77777777" w:rsidTr="00AD527A">
        <w:trPr>
          <w:trHeight w:val="555"/>
        </w:trPr>
        <w:tc>
          <w:tcPr>
            <w:tcW w:w="1452" w:type="dxa"/>
            <w:tcBorders>
              <w:top w:val="single" w:sz="4" w:space="0" w:color="auto"/>
              <w:left w:val="nil"/>
              <w:bottom w:val="single" w:sz="4" w:space="0" w:color="auto"/>
              <w:right w:val="nil"/>
            </w:tcBorders>
            <w:shd w:val="clear" w:color="auto" w:fill="auto"/>
            <w:noWrap/>
            <w:vAlign w:val="center"/>
            <w:hideMark/>
          </w:tcPr>
          <w:p w14:paraId="60498635" w14:textId="77777777" w:rsidR="00E17E76" w:rsidRDefault="00E17E76">
            <w:pPr>
              <w:rPr>
                <w:rFonts w:ascii="Arial Narrow" w:hAnsi="Arial Narrow" w:cs="Calibri"/>
                <w:b/>
                <w:bCs/>
                <w:color w:val="000000"/>
                <w:sz w:val="18"/>
                <w:szCs w:val="18"/>
              </w:rPr>
            </w:pPr>
            <w:r>
              <w:rPr>
                <w:rFonts w:ascii="Arial Narrow" w:hAnsi="Arial Narrow" w:cs="Calibri"/>
                <w:b/>
                <w:bCs/>
                <w:color w:val="000000"/>
                <w:sz w:val="18"/>
                <w:szCs w:val="18"/>
              </w:rPr>
              <w:t>PROVINCE</w:t>
            </w:r>
          </w:p>
        </w:tc>
        <w:tc>
          <w:tcPr>
            <w:tcW w:w="870" w:type="dxa"/>
            <w:tcBorders>
              <w:top w:val="single" w:sz="4" w:space="0" w:color="auto"/>
              <w:left w:val="nil"/>
              <w:bottom w:val="single" w:sz="4" w:space="0" w:color="auto"/>
              <w:right w:val="nil"/>
            </w:tcBorders>
            <w:shd w:val="clear" w:color="auto" w:fill="auto"/>
            <w:vAlign w:val="center"/>
            <w:hideMark/>
          </w:tcPr>
          <w:p w14:paraId="7FAE878D" w14:textId="77777777" w:rsidR="00E17E76" w:rsidRDefault="00E17E76">
            <w:pPr>
              <w:jc w:val="right"/>
              <w:rPr>
                <w:rFonts w:ascii="Arial Narrow" w:hAnsi="Arial Narrow" w:cs="Calibri"/>
                <w:b/>
                <w:bCs/>
                <w:color w:val="000000"/>
                <w:sz w:val="18"/>
                <w:szCs w:val="18"/>
              </w:rPr>
            </w:pPr>
            <w:r>
              <w:rPr>
                <w:rFonts w:ascii="Arial Narrow" w:hAnsi="Arial Narrow" w:cs="Calibri"/>
                <w:b/>
                <w:bCs/>
                <w:color w:val="000000"/>
                <w:sz w:val="18"/>
                <w:szCs w:val="18"/>
              </w:rPr>
              <w:t>Analfabeti</w:t>
            </w:r>
          </w:p>
        </w:tc>
        <w:tc>
          <w:tcPr>
            <w:tcW w:w="1254" w:type="dxa"/>
            <w:tcBorders>
              <w:top w:val="single" w:sz="4" w:space="0" w:color="auto"/>
              <w:left w:val="nil"/>
              <w:bottom w:val="single" w:sz="4" w:space="0" w:color="auto"/>
              <w:right w:val="nil"/>
            </w:tcBorders>
            <w:shd w:val="clear" w:color="auto" w:fill="auto"/>
            <w:vAlign w:val="center"/>
            <w:hideMark/>
          </w:tcPr>
          <w:p w14:paraId="6593266E" w14:textId="77777777" w:rsidR="00E17E76" w:rsidRDefault="00E17E76">
            <w:pPr>
              <w:jc w:val="right"/>
              <w:rPr>
                <w:rFonts w:ascii="Arial Narrow" w:hAnsi="Arial Narrow" w:cs="Calibri"/>
                <w:b/>
                <w:bCs/>
                <w:color w:val="000000"/>
                <w:sz w:val="18"/>
                <w:szCs w:val="18"/>
              </w:rPr>
            </w:pPr>
            <w:r>
              <w:rPr>
                <w:rFonts w:ascii="Arial Narrow" w:hAnsi="Arial Narrow" w:cs="Calibri"/>
                <w:b/>
                <w:bCs/>
                <w:color w:val="000000"/>
                <w:sz w:val="18"/>
                <w:szCs w:val="18"/>
              </w:rPr>
              <w:t>Alfabeti privi di titolo di studio</w:t>
            </w:r>
          </w:p>
        </w:tc>
        <w:tc>
          <w:tcPr>
            <w:tcW w:w="930" w:type="dxa"/>
            <w:tcBorders>
              <w:top w:val="single" w:sz="4" w:space="0" w:color="auto"/>
              <w:left w:val="nil"/>
              <w:bottom w:val="single" w:sz="4" w:space="0" w:color="auto"/>
              <w:right w:val="nil"/>
            </w:tcBorders>
            <w:shd w:val="clear" w:color="auto" w:fill="auto"/>
            <w:vAlign w:val="center"/>
            <w:hideMark/>
          </w:tcPr>
          <w:p w14:paraId="59362DB0" w14:textId="77777777" w:rsidR="00E17E76" w:rsidRDefault="00E17E76">
            <w:pPr>
              <w:jc w:val="right"/>
              <w:rPr>
                <w:rFonts w:ascii="Arial Narrow" w:hAnsi="Arial Narrow" w:cs="Calibri"/>
                <w:b/>
                <w:bCs/>
                <w:color w:val="000000"/>
                <w:sz w:val="18"/>
                <w:szCs w:val="18"/>
              </w:rPr>
            </w:pPr>
            <w:r>
              <w:rPr>
                <w:rFonts w:ascii="Arial Narrow" w:hAnsi="Arial Narrow" w:cs="Calibri"/>
                <w:b/>
                <w:bCs/>
                <w:color w:val="000000"/>
                <w:sz w:val="18"/>
                <w:szCs w:val="18"/>
              </w:rPr>
              <w:t>Licenza elementare</w:t>
            </w:r>
          </w:p>
        </w:tc>
        <w:tc>
          <w:tcPr>
            <w:tcW w:w="828" w:type="dxa"/>
            <w:tcBorders>
              <w:top w:val="single" w:sz="4" w:space="0" w:color="auto"/>
              <w:left w:val="nil"/>
              <w:bottom w:val="single" w:sz="4" w:space="0" w:color="auto"/>
              <w:right w:val="nil"/>
            </w:tcBorders>
            <w:shd w:val="clear" w:color="auto" w:fill="auto"/>
            <w:vAlign w:val="center"/>
            <w:hideMark/>
          </w:tcPr>
          <w:p w14:paraId="0E83B014" w14:textId="77777777" w:rsidR="00E17E76" w:rsidRDefault="00E17E76">
            <w:pPr>
              <w:jc w:val="right"/>
              <w:rPr>
                <w:rFonts w:ascii="Arial Narrow" w:hAnsi="Arial Narrow" w:cs="Calibri"/>
                <w:b/>
                <w:bCs/>
                <w:color w:val="000000"/>
                <w:sz w:val="18"/>
                <w:szCs w:val="18"/>
              </w:rPr>
            </w:pPr>
            <w:r>
              <w:rPr>
                <w:rFonts w:ascii="Arial Narrow" w:hAnsi="Arial Narrow" w:cs="Calibri"/>
                <w:b/>
                <w:bCs/>
                <w:color w:val="000000"/>
                <w:sz w:val="18"/>
                <w:szCs w:val="18"/>
              </w:rPr>
              <w:t>Licenza media</w:t>
            </w:r>
          </w:p>
        </w:tc>
        <w:tc>
          <w:tcPr>
            <w:tcW w:w="930" w:type="dxa"/>
            <w:tcBorders>
              <w:top w:val="single" w:sz="4" w:space="0" w:color="auto"/>
              <w:left w:val="nil"/>
              <w:bottom w:val="single" w:sz="4" w:space="0" w:color="auto"/>
              <w:right w:val="nil"/>
            </w:tcBorders>
            <w:shd w:val="clear" w:color="auto" w:fill="auto"/>
            <w:vAlign w:val="center"/>
            <w:hideMark/>
          </w:tcPr>
          <w:p w14:paraId="6D069B65" w14:textId="77777777" w:rsidR="00E17E76" w:rsidRDefault="00E17E76">
            <w:pPr>
              <w:jc w:val="right"/>
              <w:rPr>
                <w:rFonts w:ascii="Arial Narrow" w:hAnsi="Arial Narrow" w:cs="Calibri"/>
                <w:b/>
                <w:bCs/>
                <w:color w:val="000000"/>
                <w:sz w:val="18"/>
                <w:szCs w:val="18"/>
              </w:rPr>
            </w:pPr>
            <w:r>
              <w:rPr>
                <w:rFonts w:ascii="Arial Narrow" w:hAnsi="Arial Narrow" w:cs="Calibri"/>
                <w:b/>
                <w:bCs/>
                <w:color w:val="000000"/>
                <w:sz w:val="18"/>
                <w:szCs w:val="18"/>
              </w:rPr>
              <w:t>Secondaria II grado</w:t>
            </w:r>
          </w:p>
        </w:tc>
        <w:tc>
          <w:tcPr>
            <w:tcW w:w="830" w:type="dxa"/>
            <w:tcBorders>
              <w:top w:val="single" w:sz="4" w:space="0" w:color="auto"/>
              <w:left w:val="nil"/>
              <w:bottom w:val="single" w:sz="4" w:space="0" w:color="auto"/>
              <w:right w:val="nil"/>
            </w:tcBorders>
            <w:shd w:val="clear" w:color="auto" w:fill="auto"/>
            <w:vAlign w:val="center"/>
            <w:hideMark/>
          </w:tcPr>
          <w:p w14:paraId="3184715F" w14:textId="77777777" w:rsidR="00E17E76" w:rsidRDefault="00E17E76">
            <w:pPr>
              <w:jc w:val="right"/>
              <w:rPr>
                <w:rFonts w:ascii="Arial Narrow" w:hAnsi="Arial Narrow" w:cs="Calibri"/>
                <w:b/>
                <w:bCs/>
                <w:color w:val="000000"/>
                <w:sz w:val="18"/>
                <w:szCs w:val="18"/>
              </w:rPr>
            </w:pPr>
            <w:r>
              <w:rPr>
                <w:rFonts w:ascii="Arial Narrow" w:hAnsi="Arial Narrow" w:cs="Calibri"/>
                <w:b/>
                <w:bCs/>
                <w:color w:val="000000"/>
                <w:sz w:val="18"/>
                <w:szCs w:val="18"/>
              </w:rPr>
              <w:t>Terziario di I livello</w:t>
            </w:r>
          </w:p>
        </w:tc>
        <w:tc>
          <w:tcPr>
            <w:tcW w:w="888" w:type="dxa"/>
            <w:tcBorders>
              <w:top w:val="single" w:sz="4" w:space="0" w:color="auto"/>
              <w:left w:val="nil"/>
              <w:bottom w:val="single" w:sz="4" w:space="0" w:color="auto"/>
              <w:right w:val="nil"/>
            </w:tcBorders>
            <w:shd w:val="clear" w:color="auto" w:fill="auto"/>
            <w:vAlign w:val="center"/>
            <w:hideMark/>
          </w:tcPr>
          <w:p w14:paraId="40FE10C5" w14:textId="77777777" w:rsidR="00E17E76" w:rsidRDefault="00E17E76">
            <w:pPr>
              <w:jc w:val="right"/>
              <w:rPr>
                <w:rFonts w:ascii="Arial Narrow" w:hAnsi="Arial Narrow" w:cs="Calibri"/>
                <w:b/>
                <w:bCs/>
                <w:color w:val="000000"/>
                <w:sz w:val="18"/>
                <w:szCs w:val="18"/>
              </w:rPr>
            </w:pPr>
            <w:r>
              <w:rPr>
                <w:rFonts w:ascii="Arial Narrow" w:hAnsi="Arial Narrow" w:cs="Calibri"/>
                <w:b/>
                <w:bCs/>
                <w:color w:val="000000"/>
                <w:sz w:val="18"/>
                <w:szCs w:val="18"/>
              </w:rPr>
              <w:t>Terziario di II livello</w:t>
            </w:r>
          </w:p>
        </w:tc>
        <w:tc>
          <w:tcPr>
            <w:tcW w:w="831" w:type="dxa"/>
            <w:tcBorders>
              <w:top w:val="single" w:sz="4" w:space="0" w:color="auto"/>
              <w:left w:val="nil"/>
              <w:bottom w:val="single" w:sz="4" w:space="0" w:color="auto"/>
              <w:right w:val="nil"/>
            </w:tcBorders>
            <w:shd w:val="clear" w:color="auto" w:fill="auto"/>
            <w:vAlign w:val="center"/>
            <w:hideMark/>
          </w:tcPr>
          <w:p w14:paraId="6DD62570" w14:textId="77777777" w:rsidR="00E17E76" w:rsidRDefault="00E17E76">
            <w:pPr>
              <w:jc w:val="right"/>
              <w:rPr>
                <w:rFonts w:ascii="Arial Narrow" w:hAnsi="Arial Narrow" w:cs="Calibri"/>
                <w:b/>
                <w:bCs/>
                <w:color w:val="000000"/>
                <w:sz w:val="18"/>
                <w:szCs w:val="18"/>
              </w:rPr>
            </w:pPr>
            <w:r>
              <w:rPr>
                <w:rFonts w:ascii="Arial Narrow" w:hAnsi="Arial Narrow" w:cs="Calibri"/>
                <w:b/>
                <w:bCs/>
                <w:color w:val="000000"/>
                <w:sz w:val="18"/>
                <w:szCs w:val="18"/>
              </w:rPr>
              <w:t>Dottorato di ricerca</w:t>
            </w:r>
          </w:p>
        </w:tc>
        <w:tc>
          <w:tcPr>
            <w:tcW w:w="825" w:type="dxa"/>
            <w:tcBorders>
              <w:top w:val="single" w:sz="4" w:space="0" w:color="auto"/>
              <w:left w:val="nil"/>
              <w:bottom w:val="single" w:sz="4" w:space="0" w:color="auto"/>
              <w:right w:val="nil"/>
            </w:tcBorders>
            <w:shd w:val="clear" w:color="auto" w:fill="auto"/>
            <w:vAlign w:val="center"/>
            <w:hideMark/>
          </w:tcPr>
          <w:p w14:paraId="4B672BA7" w14:textId="77777777" w:rsidR="00E17E76" w:rsidRDefault="00E17E76">
            <w:pPr>
              <w:jc w:val="right"/>
              <w:rPr>
                <w:rFonts w:ascii="Arial Narrow" w:hAnsi="Arial Narrow" w:cs="Calibri"/>
                <w:b/>
                <w:bCs/>
                <w:color w:val="000000"/>
                <w:sz w:val="18"/>
                <w:szCs w:val="18"/>
              </w:rPr>
            </w:pPr>
            <w:r>
              <w:rPr>
                <w:rFonts w:ascii="Arial Narrow" w:hAnsi="Arial Narrow" w:cs="Calibri"/>
                <w:b/>
                <w:bCs/>
                <w:color w:val="000000"/>
                <w:sz w:val="18"/>
                <w:szCs w:val="18"/>
              </w:rPr>
              <w:t>Totale</w:t>
            </w:r>
          </w:p>
        </w:tc>
      </w:tr>
      <w:tr w:rsidR="00E17E76" w14:paraId="0185886C" w14:textId="77777777" w:rsidTr="00AD527A">
        <w:trPr>
          <w:trHeight w:val="300"/>
        </w:trPr>
        <w:tc>
          <w:tcPr>
            <w:tcW w:w="1452" w:type="dxa"/>
            <w:tcBorders>
              <w:top w:val="nil"/>
              <w:left w:val="nil"/>
              <w:bottom w:val="single" w:sz="4" w:space="0" w:color="auto"/>
              <w:right w:val="nil"/>
            </w:tcBorders>
            <w:shd w:val="clear" w:color="auto" w:fill="auto"/>
            <w:noWrap/>
            <w:vAlign w:val="center"/>
            <w:hideMark/>
          </w:tcPr>
          <w:p w14:paraId="0C7A9D8A" w14:textId="77777777" w:rsidR="00E17E76" w:rsidRDefault="00E17E76">
            <w:pPr>
              <w:rPr>
                <w:rFonts w:ascii="Arial Narrow" w:hAnsi="Arial Narrow" w:cs="Calibri"/>
                <w:color w:val="000000"/>
                <w:sz w:val="18"/>
                <w:szCs w:val="18"/>
              </w:rPr>
            </w:pPr>
            <w:r>
              <w:rPr>
                <w:rFonts w:ascii="Arial Narrow" w:hAnsi="Arial Narrow" w:cs="Calibri"/>
                <w:color w:val="000000"/>
                <w:sz w:val="18"/>
                <w:szCs w:val="18"/>
              </w:rPr>
              <w:t>Bergamo</w:t>
            </w:r>
          </w:p>
        </w:tc>
        <w:tc>
          <w:tcPr>
            <w:tcW w:w="870" w:type="dxa"/>
            <w:tcBorders>
              <w:top w:val="nil"/>
              <w:left w:val="nil"/>
              <w:bottom w:val="single" w:sz="4" w:space="0" w:color="auto"/>
              <w:right w:val="nil"/>
            </w:tcBorders>
            <w:shd w:val="clear" w:color="000000" w:fill="E7E6E6"/>
            <w:noWrap/>
            <w:vAlign w:val="center"/>
            <w:hideMark/>
          </w:tcPr>
          <w:p w14:paraId="56FA606B"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0,3</w:t>
            </w:r>
          </w:p>
        </w:tc>
        <w:tc>
          <w:tcPr>
            <w:tcW w:w="1254" w:type="dxa"/>
            <w:tcBorders>
              <w:top w:val="nil"/>
              <w:left w:val="nil"/>
              <w:bottom w:val="single" w:sz="4" w:space="0" w:color="auto"/>
              <w:right w:val="nil"/>
            </w:tcBorders>
            <w:shd w:val="clear" w:color="000000" w:fill="FFFFFF"/>
            <w:noWrap/>
            <w:vAlign w:val="center"/>
            <w:hideMark/>
          </w:tcPr>
          <w:p w14:paraId="5E51C5EE"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3,2</w:t>
            </w:r>
          </w:p>
        </w:tc>
        <w:tc>
          <w:tcPr>
            <w:tcW w:w="930" w:type="dxa"/>
            <w:tcBorders>
              <w:top w:val="nil"/>
              <w:left w:val="nil"/>
              <w:bottom w:val="single" w:sz="4" w:space="0" w:color="auto"/>
              <w:right w:val="nil"/>
            </w:tcBorders>
            <w:shd w:val="clear" w:color="000000" w:fill="E7E6E6"/>
            <w:noWrap/>
            <w:vAlign w:val="center"/>
            <w:hideMark/>
          </w:tcPr>
          <w:p w14:paraId="02232C3B"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16,5</w:t>
            </w:r>
          </w:p>
        </w:tc>
        <w:tc>
          <w:tcPr>
            <w:tcW w:w="828" w:type="dxa"/>
            <w:tcBorders>
              <w:top w:val="nil"/>
              <w:left w:val="nil"/>
              <w:bottom w:val="single" w:sz="4" w:space="0" w:color="auto"/>
              <w:right w:val="nil"/>
            </w:tcBorders>
            <w:shd w:val="clear" w:color="000000" w:fill="FFFFFF"/>
            <w:noWrap/>
            <w:vAlign w:val="center"/>
            <w:hideMark/>
          </w:tcPr>
          <w:p w14:paraId="1A649513"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33,5</w:t>
            </w:r>
          </w:p>
        </w:tc>
        <w:tc>
          <w:tcPr>
            <w:tcW w:w="930" w:type="dxa"/>
            <w:tcBorders>
              <w:top w:val="nil"/>
              <w:left w:val="nil"/>
              <w:bottom w:val="single" w:sz="4" w:space="0" w:color="auto"/>
              <w:right w:val="nil"/>
            </w:tcBorders>
            <w:shd w:val="clear" w:color="000000" w:fill="E7E6E6"/>
            <w:noWrap/>
            <w:vAlign w:val="center"/>
            <w:hideMark/>
          </w:tcPr>
          <w:p w14:paraId="1FB7B1E1"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34,5</w:t>
            </w:r>
          </w:p>
        </w:tc>
        <w:tc>
          <w:tcPr>
            <w:tcW w:w="830" w:type="dxa"/>
            <w:tcBorders>
              <w:top w:val="nil"/>
              <w:left w:val="nil"/>
              <w:bottom w:val="single" w:sz="4" w:space="0" w:color="auto"/>
              <w:right w:val="nil"/>
            </w:tcBorders>
            <w:shd w:val="clear" w:color="000000" w:fill="FFFFFF"/>
            <w:noWrap/>
            <w:vAlign w:val="center"/>
            <w:hideMark/>
          </w:tcPr>
          <w:p w14:paraId="652FC327"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3,6</w:t>
            </w:r>
          </w:p>
        </w:tc>
        <w:tc>
          <w:tcPr>
            <w:tcW w:w="888" w:type="dxa"/>
            <w:tcBorders>
              <w:top w:val="nil"/>
              <w:left w:val="nil"/>
              <w:bottom w:val="single" w:sz="4" w:space="0" w:color="auto"/>
              <w:right w:val="nil"/>
            </w:tcBorders>
            <w:shd w:val="clear" w:color="000000" w:fill="E7E6E6"/>
            <w:noWrap/>
            <w:vAlign w:val="center"/>
            <w:hideMark/>
          </w:tcPr>
          <w:p w14:paraId="745E94C5"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8,2</w:t>
            </w:r>
          </w:p>
        </w:tc>
        <w:tc>
          <w:tcPr>
            <w:tcW w:w="831" w:type="dxa"/>
            <w:tcBorders>
              <w:top w:val="nil"/>
              <w:left w:val="nil"/>
              <w:bottom w:val="single" w:sz="4" w:space="0" w:color="auto"/>
              <w:right w:val="nil"/>
            </w:tcBorders>
            <w:shd w:val="clear" w:color="000000" w:fill="FFFFFF"/>
            <w:noWrap/>
            <w:vAlign w:val="center"/>
            <w:hideMark/>
          </w:tcPr>
          <w:p w14:paraId="6B7E2F18"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0,2</w:t>
            </w:r>
          </w:p>
        </w:tc>
        <w:tc>
          <w:tcPr>
            <w:tcW w:w="825" w:type="dxa"/>
            <w:tcBorders>
              <w:top w:val="nil"/>
              <w:left w:val="nil"/>
              <w:bottom w:val="single" w:sz="4" w:space="0" w:color="auto"/>
              <w:right w:val="nil"/>
            </w:tcBorders>
            <w:shd w:val="clear" w:color="000000" w:fill="E7E6E6"/>
            <w:noWrap/>
            <w:vAlign w:val="center"/>
            <w:hideMark/>
          </w:tcPr>
          <w:p w14:paraId="62E18A5A"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100,0</w:t>
            </w:r>
          </w:p>
        </w:tc>
      </w:tr>
      <w:tr w:rsidR="00E17E76" w14:paraId="203C0100" w14:textId="77777777" w:rsidTr="00AD527A">
        <w:trPr>
          <w:trHeight w:val="300"/>
        </w:trPr>
        <w:tc>
          <w:tcPr>
            <w:tcW w:w="1452" w:type="dxa"/>
            <w:tcBorders>
              <w:top w:val="nil"/>
              <w:left w:val="nil"/>
              <w:bottom w:val="single" w:sz="4" w:space="0" w:color="auto"/>
              <w:right w:val="nil"/>
            </w:tcBorders>
            <w:shd w:val="clear" w:color="auto" w:fill="auto"/>
            <w:noWrap/>
            <w:vAlign w:val="center"/>
            <w:hideMark/>
          </w:tcPr>
          <w:p w14:paraId="7ACF5605" w14:textId="77777777" w:rsidR="00E17E76" w:rsidRDefault="00E17E76">
            <w:pPr>
              <w:rPr>
                <w:rFonts w:ascii="Arial Narrow" w:hAnsi="Arial Narrow" w:cs="Calibri"/>
                <w:color w:val="000000"/>
                <w:sz w:val="18"/>
                <w:szCs w:val="18"/>
              </w:rPr>
            </w:pPr>
            <w:r>
              <w:rPr>
                <w:rFonts w:ascii="Arial Narrow" w:hAnsi="Arial Narrow" w:cs="Calibri"/>
                <w:color w:val="000000"/>
                <w:sz w:val="18"/>
                <w:szCs w:val="18"/>
              </w:rPr>
              <w:t>Brescia</w:t>
            </w:r>
          </w:p>
        </w:tc>
        <w:tc>
          <w:tcPr>
            <w:tcW w:w="870" w:type="dxa"/>
            <w:tcBorders>
              <w:top w:val="nil"/>
              <w:left w:val="nil"/>
              <w:bottom w:val="single" w:sz="4" w:space="0" w:color="auto"/>
              <w:right w:val="nil"/>
            </w:tcBorders>
            <w:shd w:val="clear" w:color="000000" w:fill="E7E6E6"/>
            <w:noWrap/>
            <w:vAlign w:val="center"/>
            <w:hideMark/>
          </w:tcPr>
          <w:p w14:paraId="7F240642"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0,3</w:t>
            </w:r>
          </w:p>
        </w:tc>
        <w:tc>
          <w:tcPr>
            <w:tcW w:w="1254" w:type="dxa"/>
            <w:tcBorders>
              <w:top w:val="nil"/>
              <w:left w:val="nil"/>
              <w:bottom w:val="single" w:sz="4" w:space="0" w:color="auto"/>
              <w:right w:val="nil"/>
            </w:tcBorders>
            <w:shd w:val="clear" w:color="000000" w:fill="FFFFFF"/>
            <w:noWrap/>
            <w:vAlign w:val="center"/>
            <w:hideMark/>
          </w:tcPr>
          <w:p w14:paraId="241114E1"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3,2</w:t>
            </w:r>
          </w:p>
        </w:tc>
        <w:tc>
          <w:tcPr>
            <w:tcW w:w="930" w:type="dxa"/>
            <w:tcBorders>
              <w:top w:val="nil"/>
              <w:left w:val="nil"/>
              <w:bottom w:val="single" w:sz="4" w:space="0" w:color="auto"/>
              <w:right w:val="nil"/>
            </w:tcBorders>
            <w:shd w:val="clear" w:color="000000" w:fill="E7E6E6"/>
            <w:noWrap/>
            <w:vAlign w:val="center"/>
            <w:hideMark/>
          </w:tcPr>
          <w:p w14:paraId="3E5ABBCD"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17,2</w:t>
            </w:r>
          </w:p>
        </w:tc>
        <w:tc>
          <w:tcPr>
            <w:tcW w:w="828" w:type="dxa"/>
            <w:tcBorders>
              <w:top w:val="nil"/>
              <w:left w:val="nil"/>
              <w:bottom w:val="single" w:sz="4" w:space="0" w:color="auto"/>
              <w:right w:val="nil"/>
            </w:tcBorders>
            <w:shd w:val="clear" w:color="000000" w:fill="FFFFFF"/>
            <w:noWrap/>
            <w:vAlign w:val="center"/>
            <w:hideMark/>
          </w:tcPr>
          <w:p w14:paraId="39E38CED"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33,0</w:t>
            </w:r>
          </w:p>
        </w:tc>
        <w:tc>
          <w:tcPr>
            <w:tcW w:w="930" w:type="dxa"/>
            <w:tcBorders>
              <w:top w:val="nil"/>
              <w:left w:val="nil"/>
              <w:bottom w:val="single" w:sz="4" w:space="0" w:color="auto"/>
              <w:right w:val="nil"/>
            </w:tcBorders>
            <w:shd w:val="clear" w:color="000000" w:fill="E7E6E6"/>
            <w:noWrap/>
            <w:vAlign w:val="center"/>
            <w:hideMark/>
          </w:tcPr>
          <w:p w14:paraId="69A237B0"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34,5</w:t>
            </w:r>
          </w:p>
        </w:tc>
        <w:tc>
          <w:tcPr>
            <w:tcW w:w="830" w:type="dxa"/>
            <w:tcBorders>
              <w:top w:val="nil"/>
              <w:left w:val="nil"/>
              <w:bottom w:val="single" w:sz="4" w:space="0" w:color="auto"/>
              <w:right w:val="nil"/>
            </w:tcBorders>
            <w:shd w:val="clear" w:color="000000" w:fill="FFFFFF"/>
            <w:noWrap/>
            <w:vAlign w:val="center"/>
            <w:hideMark/>
          </w:tcPr>
          <w:p w14:paraId="0F3F41BE"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3,6</w:t>
            </w:r>
          </w:p>
        </w:tc>
        <w:tc>
          <w:tcPr>
            <w:tcW w:w="888" w:type="dxa"/>
            <w:tcBorders>
              <w:top w:val="nil"/>
              <w:left w:val="nil"/>
              <w:bottom w:val="single" w:sz="4" w:space="0" w:color="auto"/>
              <w:right w:val="nil"/>
            </w:tcBorders>
            <w:shd w:val="clear" w:color="000000" w:fill="E7E6E6"/>
            <w:noWrap/>
            <w:vAlign w:val="center"/>
            <w:hideMark/>
          </w:tcPr>
          <w:p w14:paraId="08C9D198"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8,1</w:t>
            </w:r>
          </w:p>
        </w:tc>
        <w:tc>
          <w:tcPr>
            <w:tcW w:w="831" w:type="dxa"/>
            <w:tcBorders>
              <w:top w:val="nil"/>
              <w:left w:val="nil"/>
              <w:bottom w:val="single" w:sz="4" w:space="0" w:color="auto"/>
              <w:right w:val="nil"/>
            </w:tcBorders>
            <w:shd w:val="clear" w:color="000000" w:fill="FFFFFF"/>
            <w:noWrap/>
            <w:vAlign w:val="center"/>
            <w:hideMark/>
          </w:tcPr>
          <w:p w14:paraId="417A7734"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0,3</w:t>
            </w:r>
          </w:p>
        </w:tc>
        <w:tc>
          <w:tcPr>
            <w:tcW w:w="825" w:type="dxa"/>
            <w:tcBorders>
              <w:top w:val="nil"/>
              <w:left w:val="nil"/>
              <w:bottom w:val="single" w:sz="4" w:space="0" w:color="auto"/>
              <w:right w:val="nil"/>
            </w:tcBorders>
            <w:shd w:val="clear" w:color="000000" w:fill="E7E6E6"/>
            <w:noWrap/>
            <w:vAlign w:val="center"/>
            <w:hideMark/>
          </w:tcPr>
          <w:p w14:paraId="123BEE92"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100,0</w:t>
            </w:r>
          </w:p>
        </w:tc>
      </w:tr>
      <w:tr w:rsidR="00E17E76" w14:paraId="3224CD24" w14:textId="77777777" w:rsidTr="00AD527A">
        <w:trPr>
          <w:trHeight w:val="300"/>
        </w:trPr>
        <w:tc>
          <w:tcPr>
            <w:tcW w:w="1452" w:type="dxa"/>
            <w:tcBorders>
              <w:top w:val="nil"/>
              <w:left w:val="nil"/>
              <w:bottom w:val="single" w:sz="4" w:space="0" w:color="auto"/>
              <w:right w:val="nil"/>
            </w:tcBorders>
            <w:shd w:val="clear" w:color="auto" w:fill="auto"/>
            <w:noWrap/>
            <w:vAlign w:val="center"/>
            <w:hideMark/>
          </w:tcPr>
          <w:p w14:paraId="38FF2C0D" w14:textId="77777777" w:rsidR="00E17E76" w:rsidRDefault="00E17E76">
            <w:pPr>
              <w:rPr>
                <w:rFonts w:ascii="Arial Narrow" w:hAnsi="Arial Narrow" w:cs="Calibri"/>
                <w:color w:val="000000"/>
                <w:sz w:val="18"/>
                <w:szCs w:val="18"/>
              </w:rPr>
            </w:pPr>
            <w:r>
              <w:rPr>
                <w:rFonts w:ascii="Arial Narrow" w:hAnsi="Arial Narrow" w:cs="Calibri"/>
                <w:color w:val="000000"/>
                <w:sz w:val="18"/>
                <w:szCs w:val="18"/>
              </w:rPr>
              <w:t>Como</w:t>
            </w:r>
          </w:p>
        </w:tc>
        <w:tc>
          <w:tcPr>
            <w:tcW w:w="870" w:type="dxa"/>
            <w:tcBorders>
              <w:top w:val="nil"/>
              <w:left w:val="nil"/>
              <w:bottom w:val="single" w:sz="4" w:space="0" w:color="auto"/>
              <w:right w:val="nil"/>
            </w:tcBorders>
            <w:shd w:val="clear" w:color="000000" w:fill="E7E6E6"/>
            <w:noWrap/>
            <w:vAlign w:val="center"/>
            <w:hideMark/>
          </w:tcPr>
          <w:p w14:paraId="3049BA67"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0,3</w:t>
            </w:r>
          </w:p>
        </w:tc>
        <w:tc>
          <w:tcPr>
            <w:tcW w:w="1254" w:type="dxa"/>
            <w:tcBorders>
              <w:top w:val="nil"/>
              <w:left w:val="nil"/>
              <w:bottom w:val="single" w:sz="4" w:space="0" w:color="auto"/>
              <w:right w:val="nil"/>
            </w:tcBorders>
            <w:shd w:val="clear" w:color="000000" w:fill="FFFFFF"/>
            <w:noWrap/>
            <w:vAlign w:val="center"/>
            <w:hideMark/>
          </w:tcPr>
          <w:p w14:paraId="1780C66E"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3,0</w:t>
            </w:r>
          </w:p>
        </w:tc>
        <w:tc>
          <w:tcPr>
            <w:tcW w:w="930" w:type="dxa"/>
            <w:tcBorders>
              <w:top w:val="nil"/>
              <w:left w:val="nil"/>
              <w:bottom w:val="single" w:sz="4" w:space="0" w:color="auto"/>
              <w:right w:val="nil"/>
            </w:tcBorders>
            <w:shd w:val="clear" w:color="000000" w:fill="E7E6E6"/>
            <w:noWrap/>
            <w:vAlign w:val="center"/>
            <w:hideMark/>
          </w:tcPr>
          <w:p w14:paraId="4249289A"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16,2</w:t>
            </w:r>
          </w:p>
        </w:tc>
        <w:tc>
          <w:tcPr>
            <w:tcW w:w="828" w:type="dxa"/>
            <w:tcBorders>
              <w:top w:val="nil"/>
              <w:left w:val="nil"/>
              <w:bottom w:val="single" w:sz="4" w:space="0" w:color="auto"/>
              <w:right w:val="nil"/>
            </w:tcBorders>
            <w:shd w:val="clear" w:color="000000" w:fill="FFFFFF"/>
            <w:noWrap/>
            <w:vAlign w:val="center"/>
            <w:hideMark/>
          </w:tcPr>
          <w:p w14:paraId="0BA77018"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29,2</w:t>
            </w:r>
          </w:p>
        </w:tc>
        <w:tc>
          <w:tcPr>
            <w:tcW w:w="930" w:type="dxa"/>
            <w:tcBorders>
              <w:top w:val="nil"/>
              <w:left w:val="nil"/>
              <w:bottom w:val="single" w:sz="4" w:space="0" w:color="auto"/>
              <w:right w:val="nil"/>
            </w:tcBorders>
            <w:shd w:val="clear" w:color="000000" w:fill="E7E6E6"/>
            <w:noWrap/>
            <w:vAlign w:val="center"/>
            <w:hideMark/>
          </w:tcPr>
          <w:p w14:paraId="3183FB85"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37,5</w:t>
            </w:r>
          </w:p>
        </w:tc>
        <w:tc>
          <w:tcPr>
            <w:tcW w:w="830" w:type="dxa"/>
            <w:tcBorders>
              <w:top w:val="nil"/>
              <w:left w:val="nil"/>
              <w:bottom w:val="single" w:sz="4" w:space="0" w:color="auto"/>
              <w:right w:val="nil"/>
            </w:tcBorders>
            <w:shd w:val="clear" w:color="000000" w:fill="FFFFFF"/>
            <w:noWrap/>
            <w:vAlign w:val="center"/>
            <w:hideMark/>
          </w:tcPr>
          <w:p w14:paraId="2F54FD00"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4,3</w:t>
            </w:r>
          </w:p>
        </w:tc>
        <w:tc>
          <w:tcPr>
            <w:tcW w:w="888" w:type="dxa"/>
            <w:tcBorders>
              <w:top w:val="nil"/>
              <w:left w:val="nil"/>
              <w:bottom w:val="single" w:sz="4" w:space="0" w:color="auto"/>
              <w:right w:val="nil"/>
            </w:tcBorders>
            <w:shd w:val="clear" w:color="000000" w:fill="E7E6E6"/>
            <w:noWrap/>
            <w:vAlign w:val="center"/>
            <w:hideMark/>
          </w:tcPr>
          <w:p w14:paraId="6A7AC11D"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9,2</w:t>
            </w:r>
          </w:p>
        </w:tc>
        <w:tc>
          <w:tcPr>
            <w:tcW w:w="831" w:type="dxa"/>
            <w:tcBorders>
              <w:top w:val="nil"/>
              <w:left w:val="nil"/>
              <w:bottom w:val="single" w:sz="4" w:space="0" w:color="auto"/>
              <w:right w:val="nil"/>
            </w:tcBorders>
            <w:shd w:val="clear" w:color="000000" w:fill="FFFFFF"/>
            <w:noWrap/>
            <w:vAlign w:val="center"/>
            <w:hideMark/>
          </w:tcPr>
          <w:p w14:paraId="024F66C2"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0,3</w:t>
            </w:r>
          </w:p>
        </w:tc>
        <w:tc>
          <w:tcPr>
            <w:tcW w:w="825" w:type="dxa"/>
            <w:tcBorders>
              <w:top w:val="nil"/>
              <w:left w:val="nil"/>
              <w:bottom w:val="single" w:sz="4" w:space="0" w:color="auto"/>
              <w:right w:val="nil"/>
            </w:tcBorders>
            <w:shd w:val="clear" w:color="000000" w:fill="E7E6E6"/>
            <w:noWrap/>
            <w:vAlign w:val="center"/>
            <w:hideMark/>
          </w:tcPr>
          <w:p w14:paraId="3B25BF33"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100,0</w:t>
            </w:r>
          </w:p>
        </w:tc>
      </w:tr>
      <w:tr w:rsidR="00E17E76" w14:paraId="09CEF95F" w14:textId="77777777" w:rsidTr="00AD527A">
        <w:trPr>
          <w:trHeight w:val="300"/>
        </w:trPr>
        <w:tc>
          <w:tcPr>
            <w:tcW w:w="1452" w:type="dxa"/>
            <w:tcBorders>
              <w:top w:val="nil"/>
              <w:left w:val="nil"/>
              <w:bottom w:val="single" w:sz="4" w:space="0" w:color="auto"/>
              <w:right w:val="nil"/>
            </w:tcBorders>
            <w:shd w:val="clear" w:color="auto" w:fill="auto"/>
            <w:noWrap/>
            <w:vAlign w:val="center"/>
            <w:hideMark/>
          </w:tcPr>
          <w:p w14:paraId="48DE9EBE" w14:textId="77777777" w:rsidR="00E17E76" w:rsidRDefault="00E17E76">
            <w:pPr>
              <w:rPr>
                <w:rFonts w:ascii="Arial Narrow" w:hAnsi="Arial Narrow" w:cs="Calibri"/>
                <w:color w:val="000000"/>
                <w:sz w:val="18"/>
                <w:szCs w:val="18"/>
              </w:rPr>
            </w:pPr>
            <w:r>
              <w:rPr>
                <w:rFonts w:ascii="Arial Narrow" w:hAnsi="Arial Narrow" w:cs="Calibri"/>
                <w:color w:val="000000"/>
                <w:sz w:val="18"/>
                <w:szCs w:val="18"/>
              </w:rPr>
              <w:t>Cremona</w:t>
            </w:r>
          </w:p>
        </w:tc>
        <w:tc>
          <w:tcPr>
            <w:tcW w:w="870" w:type="dxa"/>
            <w:tcBorders>
              <w:top w:val="nil"/>
              <w:left w:val="nil"/>
              <w:bottom w:val="single" w:sz="4" w:space="0" w:color="auto"/>
              <w:right w:val="nil"/>
            </w:tcBorders>
            <w:shd w:val="clear" w:color="000000" w:fill="E7E6E6"/>
            <w:noWrap/>
            <w:vAlign w:val="center"/>
            <w:hideMark/>
          </w:tcPr>
          <w:p w14:paraId="1F7CAF80"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0,4</w:t>
            </w:r>
          </w:p>
        </w:tc>
        <w:tc>
          <w:tcPr>
            <w:tcW w:w="1254" w:type="dxa"/>
            <w:tcBorders>
              <w:top w:val="nil"/>
              <w:left w:val="nil"/>
              <w:bottom w:val="single" w:sz="4" w:space="0" w:color="auto"/>
              <w:right w:val="nil"/>
            </w:tcBorders>
            <w:shd w:val="clear" w:color="000000" w:fill="FFFFFF"/>
            <w:noWrap/>
            <w:vAlign w:val="center"/>
            <w:hideMark/>
          </w:tcPr>
          <w:p w14:paraId="0D657820"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3,0</w:t>
            </w:r>
          </w:p>
        </w:tc>
        <w:tc>
          <w:tcPr>
            <w:tcW w:w="930" w:type="dxa"/>
            <w:tcBorders>
              <w:top w:val="nil"/>
              <w:left w:val="nil"/>
              <w:bottom w:val="single" w:sz="4" w:space="0" w:color="auto"/>
              <w:right w:val="nil"/>
            </w:tcBorders>
            <w:shd w:val="clear" w:color="000000" w:fill="E7E6E6"/>
            <w:noWrap/>
            <w:vAlign w:val="center"/>
            <w:hideMark/>
          </w:tcPr>
          <w:p w14:paraId="08BE2710"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17,2</w:t>
            </w:r>
          </w:p>
        </w:tc>
        <w:tc>
          <w:tcPr>
            <w:tcW w:w="828" w:type="dxa"/>
            <w:tcBorders>
              <w:top w:val="nil"/>
              <w:left w:val="nil"/>
              <w:bottom w:val="single" w:sz="4" w:space="0" w:color="auto"/>
              <w:right w:val="nil"/>
            </w:tcBorders>
            <w:shd w:val="clear" w:color="000000" w:fill="FFFFFF"/>
            <w:noWrap/>
            <w:vAlign w:val="center"/>
            <w:hideMark/>
          </w:tcPr>
          <w:p w14:paraId="01ED5693"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29,1</w:t>
            </w:r>
          </w:p>
        </w:tc>
        <w:tc>
          <w:tcPr>
            <w:tcW w:w="930" w:type="dxa"/>
            <w:tcBorders>
              <w:top w:val="nil"/>
              <w:left w:val="nil"/>
              <w:bottom w:val="single" w:sz="4" w:space="0" w:color="auto"/>
              <w:right w:val="nil"/>
            </w:tcBorders>
            <w:shd w:val="clear" w:color="000000" w:fill="E7E6E6"/>
            <w:noWrap/>
            <w:vAlign w:val="center"/>
            <w:hideMark/>
          </w:tcPr>
          <w:p w14:paraId="091EFD01"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37,5</w:t>
            </w:r>
          </w:p>
        </w:tc>
        <w:tc>
          <w:tcPr>
            <w:tcW w:w="830" w:type="dxa"/>
            <w:tcBorders>
              <w:top w:val="nil"/>
              <w:left w:val="nil"/>
              <w:bottom w:val="single" w:sz="4" w:space="0" w:color="auto"/>
              <w:right w:val="nil"/>
            </w:tcBorders>
            <w:shd w:val="clear" w:color="000000" w:fill="FFFFFF"/>
            <w:noWrap/>
            <w:vAlign w:val="center"/>
            <w:hideMark/>
          </w:tcPr>
          <w:p w14:paraId="04DCBA4E"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3,9</w:t>
            </w:r>
          </w:p>
        </w:tc>
        <w:tc>
          <w:tcPr>
            <w:tcW w:w="888" w:type="dxa"/>
            <w:tcBorders>
              <w:top w:val="nil"/>
              <w:left w:val="nil"/>
              <w:bottom w:val="single" w:sz="4" w:space="0" w:color="auto"/>
              <w:right w:val="nil"/>
            </w:tcBorders>
            <w:shd w:val="clear" w:color="000000" w:fill="E7E6E6"/>
            <w:noWrap/>
            <w:vAlign w:val="center"/>
            <w:hideMark/>
          </w:tcPr>
          <w:p w14:paraId="22E3E984"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8,7</w:t>
            </w:r>
          </w:p>
        </w:tc>
        <w:tc>
          <w:tcPr>
            <w:tcW w:w="831" w:type="dxa"/>
            <w:tcBorders>
              <w:top w:val="nil"/>
              <w:left w:val="nil"/>
              <w:bottom w:val="single" w:sz="4" w:space="0" w:color="auto"/>
              <w:right w:val="nil"/>
            </w:tcBorders>
            <w:shd w:val="clear" w:color="000000" w:fill="FFFFFF"/>
            <w:noWrap/>
            <w:vAlign w:val="center"/>
            <w:hideMark/>
          </w:tcPr>
          <w:p w14:paraId="1C823776"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0,2</w:t>
            </w:r>
          </w:p>
        </w:tc>
        <w:tc>
          <w:tcPr>
            <w:tcW w:w="825" w:type="dxa"/>
            <w:tcBorders>
              <w:top w:val="nil"/>
              <w:left w:val="nil"/>
              <w:bottom w:val="single" w:sz="4" w:space="0" w:color="auto"/>
              <w:right w:val="nil"/>
            </w:tcBorders>
            <w:shd w:val="clear" w:color="000000" w:fill="E7E6E6"/>
            <w:noWrap/>
            <w:vAlign w:val="center"/>
            <w:hideMark/>
          </w:tcPr>
          <w:p w14:paraId="4A9679E4"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100,0</w:t>
            </w:r>
          </w:p>
        </w:tc>
      </w:tr>
      <w:tr w:rsidR="00E17E76" w14:paraId="28CFDFE7" w14:textId="77777777" w:rsidTr="00AD527A">
        <w:trPr>
          <w:trHeight w:val="300"/>
        </w:trPr>
        <w:tc>
          <w:tcPr>
            <w:tcW w:w="1452" w:type="dxa"/>
            <w:tcBorders>
              <w:top w:val="nil"/>
              <w:left w:val="nil"/>
              <w:bottom w:val="single" w:sz="4" w:space="0" w:color="auto"/>
              <w:right w:val="nil"/>
            </w:tcBorders>
            <w:shd w:val="clear" w:color="auto" w:fill="auto"/>
            <w:noWrap/>
            <w:vAlign w:val="center"/>
            <w:hideMark/>
          </w:tcPr>
          <w:p w14:paraId="6441674F" w14:textId="77777777" w:rsidR="00E17E76" w:rsidRDefault="00E17E76">
            <w:pPr>
              <w:rPr>
                <w:rFonts w:ascii="Arial Narrow" w:hAnsi="Arial Narrow" w:cs="Calibri"/>
                <w:color w:val="000000"/>
                <w:sz w:val="18"/>
                <w:szCs w:val="18"/>
              </w:rPr>
            </w:pPr>
            <w:r>
              <w:rPr>
                <w:rFonts w:ascii="Arial Narrow" w:hAnsi="Arial Narrow" w:cs="Calibri"/>
                <w:color w:val="000000"/>
                <w:sz w:val="18"/>
                <w:szCs w:val="18"/>
              </w:rPr>
              <w:t>Lecco</w:t>
            </w:r>
          </w:p>
        </w:tc>
        <w:tc>
          <w:tcPr>
            <w:tcW w:w="870" w:type="dxa"/>
            <w:tcBorders>
              <w:top w:val="nil"/>
              <w:left w:val="nil"/>
              <w:bottom w:val="single" w:sz="4" w:space="0" w:color="auto"/>
              <w:right w:val="nil"/>
            </w:tcBorders>
            <w:shd w:val="clear" w:color="000000" w:fill="E7E6E6"/>
            <w:noWrap/>
            <w:vAlign w:val="center"/>
            <w:hideMark/>
          </w:tcPr>
          <w:p w14:paraId="3C252B93"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0,3</w:t>
            </w:r>
          </w:p>
        </w:tc>
        <w:tc>
          <w:tcPr>
            <w:tcW w:w="1254" w:type="dxa"/>
            <w:tcBorders>
              <w:top w:val="nil"/>
              <w:left w:val="nil"/>
              <w:bottom w:val="single" w:sz="4" w:space="0" w:color="auto"/>
              <w:right w:val="nil"/>
            </w:tcBorders>
            <w:shd w:val="clear" w:color="000000" w:fill="FFFFFF"/>
            <w:noWrap/>
            <w:vAlign w:val="center"/>
            <w:hideMark/>
          </w:tcPr>
          <w:p w14:paraId="79057320"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2,7</w:t>
            </w:r>
          </w:p>
        </w:tc>
        <w:tc>
          <w:tcPr>
            <w:tcW w:w="930" w:type="dxa"/>
            <w:tcBorders>
              <w:top w:val="nil"/>
              <w:left w:val="nil"/>
              <w:bottom w:val="single" w:sz="4" w:space="0" w:color="auto"/>
              <w:right w:val="nil"/>
            </w:tcBorders>
            <w:shd w:val="clear" w:color="000000" w:fill="E7E6E6"/>
            <w:noWrap/>
            <w:vAlign w:val="center"/>
            <w:hideMark/>
          </w:tcPr>
          <w:p w14:paraId="611E92D3"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16,2</w:t>
            </w:r>
          </w:p>
        </w:tc>
        <w:tc>
          <w:tcPr>
            <w:tcW w:w="828" w:type="dxa"/>
            <w:tcBorders>
              <w:top w:val="nil"/>
              <w:left w:val="nil"/>
              <w:bottom w:val="single" w:sz="4" w:space="0" w:color="auto"/>
              <w:right w:val="nil"/>
            </w:tcBorders>
            <w:shd w:val="clear" w:color="000000" w:fill="FFFFFF"/>
            <w:noWrap/>
            <w:vAlign w:val="center"/>
            <w:hideMark/>
          </w:tcPr>
          <w:p w14:paraId="6CF3A0C3"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29,9</w:t>
            </w:r>
          </w:p>
        </w:tc>
        <w:tc>
          <w:tcPr>
            <w:tcW w:w="930" w:type="dxa"/>
            <w:tcBorders>
              <w:top w:val="nil"/>
              <w:left w:val="nil"/>
              <w:bottom w:val="single" w:sz="4" w:space="0" w:color="auto"/>
              <w:right w:val="nil"/>
            </w:tcBorders>
            <w:shd w:val="clear" w:color="000000" w:fill="E7E6E6"/>
            <w:noWrap/>
            <w:vAlign w:val="center"/>
            <w:hideMark/>
          </w:tcPr>
          <w:p w14:paraId="596B3932"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37,0</w:t>
            </w:r>
          </w:p>
        </w:tc>
        <w:tc>
          <w:tcPr>
            <w:tcW w:w="830" w:type="dxa"/>
            <w:tcBorders>
              <w:top w:val="nil"/>
              <w:left w:val="nil"/>
              <w:bottom w:val="single" w:sz="4" w:space="0" w:color="auto"/>
              <w:right w:val="nil"/>
            </w:tcBorders>
            <w:shd w:val="clear" w:color="000000" w:fill="FFFFFF"/>
            <w:noWrap/>
            <w:vAlign w:val="center"/>
            <w:hideMark/>
          </w:tcPr>
          <w:p w14:paraId="017E23C9"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4,1</w:t>
            </w:r>
          </w:p>
        </w:tc>
        <w:tc>
          <w:tcPr>
            <w:tcW w:w="888" w:type="dxa"/>
            <w:tcBorders>
              <w:top w:val="nil"/>
              <w:left w:val="nil"/>
              <w:bottom w:val="single" w:sz="4" w:space="0" w:color="auto"/>
              <w:right w:val="nil"/>
            </w:tcBorders>
            <w:shd w:val="clear" w:color="000000" w:fill="E7E6E6"/>
            <w:noWrap/>
            <w:vAlign w:val="center"/>
            <w:hideMark/>
          </w:tcPr>
          <w:p w14:paraId="5F2F89B8"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9,5</w:t>
            </w:r>
          </w:p>
        </w:tc>
        <w:tc>
          <w:tcPr>
            <w:tcW w:w="831" w:type="dxa"/>
            <w:tcBorders>
              <w:top w:val="nil"/>
              <w:left w:val="nil"/>
              <w:bottom w:val="single" w:sz="4" w:space="0" w:color="auto"/>
              <w:right w:val="nil"/>
            </w:tcBorders>
            <w:shd w:val="clear" w:color="000000" w:fill="FFFFFF"/>
            <w:noWrap/>
            <w:vAlign w:val="center"/>
            <w:hideMark/>
          </w:tcPr>
          <w:p w14:paraId="3DC33E6C"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0,3</w:t>
            </w:r>
          </w:p>
        </w:tc>
        <w:tc>
          <w:tcPr>
            <w:tcW w:w="825" w:type="dxa"/>
            <w:tcBorders>
              <w:top w:val="nil"/>
              <w:left w:val="nil"/>
              <w:bottom w:val="single" w:sz="4" w:space="0" w:color="auto"/>
              <w:right w:val="nil"/>
            </w:tcBorders>
            <w:shd w:val="clear" w:color="000000" w:fill="E7E6E6"/>
            <w:noWrap/>
            <w:vAlign w:val="center"/>
            <w:hideMark/>
          </w:tcPr>
          <w:p w14:paraId="063E8DBB"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100,0</w:t>
            </w:r>
          </w:p>
        </w:tc>
      </w:tr>
      <w:tr w:rsidR="00E17E76" w14:paraId="1D6F4B25" w14:textId="77777777" w:rsidTr="00AD527A">
        <w:trPr>
          <w:trHeight w:val="300"/>
        </w:trPr>
        <w:tc>
          <w:tcPr>
            <w:tcW w:w="1452" w:type="dxa"/>
            <w:tcBorders>
              <w:top w:val="nil"/>
              <w:left w:val="nil"/>
              <w:bottom w:val="single" w:sz="4" w:space="0" w:color="auto"/>
              <w:right w:val="nil"/>
            </w:tcBorders>
            <w:shd w:val="clear" w:color="auto" w:fill="auto"/>
            <w:noWrap/>
            <w:vAlign w:val="center"/>
            <w:hideMark/>
          </w:tcPr>
          <w:p w14:paraId="49CD77C2" w14:textId="77777777" w:rsidR="00E17E76" w:rsidRDefault="00E17E76">
            <w:pPr>
              <w:rPr>
                <w:rFonts w:ascii="Arial Narrow" w:hAnsi="Arial Narrow" w:cs="Calibri"/>
                <w:color w:val="000000"/>
                <w:sz w:val="18"/>
                <w:szCs w:val="18"/>
              </w:rPr>
            </w:pPr>
            <w:r>
              <w:rPr>
                <w:rFonts w:ascii="Arial Narrow" w:hAnsi="Arial Narrow" w:cs="Calibri"/>
                <w:color w:val="000000"/>
                <w:sz w:val="18"/>
                <w:szCs w:val="18"/>
              </w:rPr>
              <w:t>Lodi</w:t>
            </w:r>
          </w:p>
        </w:tc>
        <w:tc>
          <w:tcPr>
            <w:tcW w:w="870" w:type="dxa"/>
            <w:tcBorders>
              <w:top w:val="nil"/>
              <w:left w:val="nil"/>
              <w:bottom w:val="single" w:sz="4" w:space="0" w:color="auto"/>
              <w:right w:val="nil"/>
            </w:tcBorders>
            <w:shd w:val="clear" w:color="000000" w:fill="E7E6E6"/>
            <w:noWrap/>
            <w:vAlign w:val="center"/>
            <w:hideMark/>
          </w:tcPr>
          <w:p w14:paraId="6A783B52"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0,3</w:t>
            </w:r>
          </w:p>
        </w:tc>
        <w:tc>
          <w:tcPr>
            <w:tcW w:w="1254" w:type="dxa"/>
            <w:tcBorders>
              <w:top w:val="nil"/>
              <w:left w:val="nil"/>
              <w:bottom w:val="single" w:sz="4" w:space="0" w:color="auto"/>
              <w:right w:val="nil"/>
            </w:tcBorders>
            <w:shd w:val="clear" w:color="000000" w:fill="FFFFFF"/>
            <w:noWrap/>
            <w:vAlign w:val="center"/>
            <w:hideMark/>
          </w:tcPr>
          <w:p w14:paraId="21889D92"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3,2</w:t>
            </w:r>
          </w:p>
        </w:tc>
        <w:tc>
          <w:tcPr>
            <w:tcW w:w="930" w:type="dxa"/>
            <w:tcBorders>
              <w:top w:val="nil"/>
              <w:left w:val="nil"/>
              <w:bottom w:val="single" w:sz="4" w:space="0" w:color="auto"/>
              <w:right w:val="nil"/>
            </w:tcBorders>
            <w:shd w:val="clear" w:color="000000" w:fill="E7E6E6"/>
            <w:noWrap/>
            <w:vAlign w:val="center"/>
            <w:hideMark/>
          </w:tcPr>
          <w:p w14:paraId="1111A948"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15,6</w:t>
            </w:r>
          </w:p>
        </w:tc>
        <w:tc>
          <w:tcPr>
            <w:tcW w:w="828" w:type="dxa"/>
            <w:tcBorders>
              <w:top w:val="nil"/>
              <w:left w:val="nil"/>
              <w:bottom w:val="single" w:sz="4" w:space="0" w:color="auto"/>
              <w:right w:val="nil"/>
            </w:tcBorders>
            <w:shd w:val="clear" w:color="000000" w:fill="FFFFFF"/>
            <w:noWrap/>
            <w:vAlign w:val="center"/>
            <w:hideMark/>
          </w:tcPr>
          <w:p w14:paraId="6D97EE51"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29,6</w:t>
            </w:r>
          </w:p>
        </w:tc>
        <w:tc>
          <w:tcPr>
            <w:tcW w:w="930" w:type="dxa"/>
            <w:tcBorders>
              <w:top w:val="nil"/>
              <w:left w:val="nil"/>
              <w:bottom w:val="single" w:sz="4" w:space="0" w:color="auto"/>
              <w:right w:val="nil"/>
            </w:tcBorders>
            <w:shd w:val="clear" w:color="000000" w:fill="E7E6E6"/>
            <w:noWrap/>
            <w:vAlign w:val="center"/>
            <w:hideMark/>
          </w:tcPr>
          <w:p w14:paraId="789E9E58"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38,9</w:t>
            </w:r>
          </w:p>
        </w:tc>
        <w:tc>
          <w:tcPr>
            <w:tcW w:w="830" w:type="dxa"/>
            <w:tcBorders>
              <w:top w:val="nil"/>
              <w:left w:val="nil"/>
              <w:bottom w:val="single" w:sz="4" w:space="0" w:color="auto"/>
              <w:right w:val="nil"/>
            </w:tcBorders>
            <w:shd w:val="clear" w:color="000000" w:fill="FFFFFF"/>
            <w:noWrap/>
            <w:vAlign w:val="center"/>
            <w:hideMark/>
          </w:tcPr>
          <w:p w14:paraId="782D9F29"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3,6</w:t>
            </w:r>
          </w:p>
        </w:tc>
        <w:tc>
          <w:tcPr>
            <w:tcW w:w="888" w:type="dxa"/>
            <w:tcBorders>
              <w:top w:val="nil"/>
              <w:left w:val="nil"/>
              <w:bottom w:val="single" w:sz="4" w:space="0" w:color="auto"/>
              <w:right w:val="nil"/>
            </w:tcBorders>
            <w:shd w:val="clear" w:color="000000" w:fill="E7E6E6"/>
            <w:noWrap/>
            <w:vAlign w:val="center"/>
            <w:hideMark/>
          </w:tcPr>
          <w:p w14:paraId="093FD837"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8,4</w:t>
            </w:r>
          </w:p>
        </w:tc>
        <w:tc>
          <w:tcPr>
            <w:tcW w:w="831" w:type="dxa"/>
            <w:tcBorders>
              <w:top w:val="nil"/>
              <w:left w:val="nil"/>
              <w:bottom w:val="single" w:sz="4" w:space="0" w:color="auto"/>
              <w:right w:val="nil"/>
            </w:tcBorders>
            <w:shd w:val="clear" w:color="000000" w:fill="FFFFFF"/>
            <w:noWrap/>
            <w:vAlign w:val="center"/>
            <w:hideMark/>
          </w:tcPr>
          <w:p w14:paraId="7156743E"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0,3</w:t>
            </w:r>
          </w:p>
        </w:tc>
        <w:tc>
          <w:tcPr>
            <w:tcW w:w="825" w:type="dxa"/>
            <w:tcBorders>
              <w:top w:val="nil"/>
              <w:left w:val="nil"/>
              <w:bottom w:val="single" w:sz="4" w:space="0" w:color="auto"/>
              <w:right w:val="nil"/>
            </w:tcBorders>
            <w:shd w:val="clear" w:color="000000" w:fill="E7E6E6"/>
            <w:noWrap/>
            <w:vAlign w:val="center"/>
            <w:hideMark/>
          </w:tcPr>
          <w:p w14:paraId="1CB66C8E"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100,0</w:t>
            </w:r>
          </w:p>
        </w:tc>
      </w:tr>
      <w:tr w:rsidR="00E17E76" w14:paraId="6F4719B0" w14:textId="77777777" w:rsidTr="00AD527A">
        <w:trPr>
          <w:trHeight w:val="300"/>
        </w:trPr>
        <w:tc>
          <w:tcPr>
            <w:tcW w:w="1452" w:type="dxa"/>
            <w:tcBorders>
              <w:top w:val="nil"/>
              <w:left w:val="nil"/>
              <w:bottom w:val="single" w:sz="4" w:space="0" w:color="auto"/>
              <w:right w:val="nil"/>
            </w:tcBorders>
            <w:shd w:val="clear" w:color="auto" w:fill="auto"/>
            <w:noWrap/>
            <w:vAlign w:val="center"/>
            <w:hideMark/>
          </w:tcPr>
          <w:p w14:paraId="51A28FD3" w14:textId="77777777" w:rsidR="00E17E76" w:rsidRDefault="00E17E76">
            <w:pPr>
              <w:rPr>
                <w:rFonts w:ascii="Arial Narrow" w:hAnsi="Arial Narrow" w:cs="Calibri"/>
                <w:color w:val="000000"/>
                <w:sz w:val="18"/>
                <w:szCs w:val="18"/>
              </w:rPr>
            </w:pPr>
            <w:r>
              <w:rPr>
                <w:rFonts w:ascii="Arial Narrow" w:hAnsi="Arial Narrow" w:cs="Calibri"/>
                <w:color w:val="000000"/>
                <w:sz w:val="18"/>
                <w:szCs w:val="18"/>
              </w:rPr>
              <w:t>Mantova</w:t>
            </w:r>
          </w:p>
        </w:tc>
        <w:tc>
          <w:tcPr>
            <w:tcW w:w="870" w:type="dxa"/>
            <w:tcBorders>
              <w:top w:val="nil"/>
              <w:left w:val="nil"/>
              <w:bottom w:val="single" w:sz="4" w:space="0" w:color="auto"/>
              <w:right w:val="nil"/>
            </w:tcBorders>
            <w:shd w:val="clear" w:color="000000" w:fill="E7E6E6"/>
            <w:noWrap/>
            <w:vAlign w:val="center"/>
            <w:hideMark/>
          </w:tcPr>
          <w:p w14:paraId="64747322"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0,4</w:t>
            </w:r>
          </w:p>
        </w:tc>
        <w:tc>
          <w:tcPr>
            <w:tcW w:w="1254" w:type="dxa"/>
            <w:tcBorders>
              <w:top w:val="nil"/>
              <w:left w:val="nil"/>
              <w:bottom w:val="single" w:sz="4" w:space="0" w:color="auto"/>
              <w:right w:val="nil"/>
            </w:tcBorders>
            <w:shd w:val="clear" w:color="000000" w:fill="FFFFFF"/>
            <w:noWrap/>
            <w:vAlign w:val="center"/>
            <w:hideMark/>
          </w:tcPr>
          <w:p w14:paraId="6271C541"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3,6</w:t>
            </w:r>
          </w:p>
        </w:tc>
        <w:tc>
          <w:tcPr>
            <w:tcW w:w="930" w:type="dxa"/>
            <w:tcBorders>
              <w:top w:val="nil"/>
              <w:left w:val="nil"/>
              <w:bottom w:val="single" w:sz="4" w:space="0" w:color="auto"/>
              <w:right w:val="nil"/>
            </w:tcBorders>
            <w:shd w:val="clear" w:color="000000" w:fill="E7E6E6"/>
            <w:noWrap/>
            <w:vAlign w:val="center"/>
            <w:hideMark/>
          </w:tcPr>
          <w:p w14:paraId="41A929A7"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17,4</w:t>
            </w:r>
          </w:p>
        </w:tc>
        <w:tc>
          <w:tcPr>
            <w:tcW w:w="828" w:type="dxa"/>
            <w:tcBorders>
              <w:top w:val="nil"/>
              <w:left w:val="nil"/>
              <w:bottom w:val="single" w:sz="4" w:space="0" w:color="auto"/>
              <w:right w:val="nil"/>
            </w:tcBorders>
            <w:shd w:val="clear" w:color="000000" w:fill="FFFFFF"/>
            <w:noWrap/>
            <w:vAlign w:val="center"/>
            <w:hideMark/>
          </w:tcPr>
          <w:p w14:paraId="11AFB9BF"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30,9</w:t>
            </w:r>
          </w:p>
        </w:tc>
        <w:tc>
          <w:tcPr>
            <w:tcW w:w="930" w:type="dxa"/>
            <w:tcBorders>
              <w:top w:val="nil"/>
              <w:left w:val="nil"/>
              <w:bottom w:val="single" w:sz="4" w:space="0" w:color="auto"/>
              <w:right w:val="nil"/>
            </w:tcBorders>
            <w:shd w:val="clear" w:color="000000" w:fill="E7E6E6"/>
            <w:noWrap/>
            <w:vAlign w:val="center"/>
            <w:hideMark/>
          </w:tcPr>
          <w:p w14:paraId="1D759234"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36,0</w:t>
            </w:r>
          </w:p>
        </w:tc>
        <w:tc>
          <w:tcPr>
            <w:tcW w:w="830" w:type="dxa"/>
            <w:tcBorders>
              <w:top w:val="nil"/>
              <w:left w:val="nil"/>
              <w:bottom w:val="single" w:sz="4" w:space="0" w:color="auto"/>
              <w:right w:val="nil"/>
            </w:tcBorders>
            <w:shd w:val="clear" w:color="000000" w:fill="FFFFFF"/>
            <w:noWrap/>
            <w:vAlign w:val="center"/>
            <w:hideMark/>
          </w:tcPr>
          <w:p w14:paraId="4276A91C"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3,4</w:t>
            </w:r>
          </w:p>
        </w:tc>
        <w:tc>
          <w:tcPr>
            <w:tcW w:w="888" w:type="dxa"/>
            <w:tcBorders>
              <w:top w:val="nil"/>
              <w:left w:val="nil"/>
              <w:bottom w:val="single" w:sz="4" w:space="0" w:color="auto"/>
              <w:right w:val="nil"/>
            </w:tcBorders>
            <w:shd w:val="clear" w:color="000000" w:fill="E7E6E6"/>
            <w:noWrap/>
            <w:vAlign w:val="center"/>
            <w:hideMark/>
          </w:tcPr>
          <w:p w14:paraId="5D42774E"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8,1</w:t>
            </w:r>
          </w:p>
        </w:tc>
        <w:tc>
          <w:tcPr>
            <w:tcW w:w="831" w:type="dxa"/>
            <w:tcBorders>
              <w:top w:val="nil"/>
              <w:left w:val="nil"/>
              <w:bottom w:val="single" w:sz="4" w:space="0" w:color="auto"/>
              <w:right w:val="nil"/>
            </w:tcBorders>
            <w:shd w:val="clear" w:color="000000" w:fill="FFFFFF"/>
            <w:noWrap/>
            <w:vAlign w:val="center"/>
            <w:hideMark/>
          </w:tcPr>
          <w:p w14:paraId="59E7C6E6"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0,2</w:t>
            </w:r>
          </w:p>
        </w:tc>
        <w:tc>
          <w:tcPr>
            <w:tcW w:w="825" w:type="dxa"/>
            <w:tcBorders>
              <w:top w:val="nil"/>
              <w:left w:val="nil"/>
              <w:bottom w:val="single" w:sz="4" w:space="0" w:color="auto"/>
              <w:right w:val="nil"/>
            </w:tcBorders>
            <w:shd w:val="clear" w:color="000000" w:fill="E7E6E6"/>
            <w:noWrap/>
            <w:vAlign w:val="center"/>
            <w:hideMark/>
          </w:tcPr>
          <w:p w14:paraId="2BC63E0C"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100,0</w:t>
            </w:r>
          </w:p>
        </w:tc>
      </w:tr>
      <w:tr w:rsidR="00E17E76" w14:paraId="01D366D6" w14:textId="77777777" w:rsidTr="00AD527A">
        <w:trPr>
          <w:trHeight w:val="300"/>
        </w:trPr>
        <w:tc>
          <w:tcPr>
            <w:tcW w:w="1452" w:type="dxa"/>
            <w:tcBorders>
              <w:top w:val="nil"/>
              <w:left w:val="nil"/>
              <w:bottom w:val="single" w:sz="4" w:space="0" w:color="auto"/>
              <w:right w:val="nil"/>
            </w:tcBorders>
            <w:shd w:val="clear" w:color="auto" w:fill="auto"/>
            <w:noWrap/>
            <w:vAlign w:val="center"/>
            <w:hideMark/>
          </w:tcPr>
          <w:p w14:paraId="15B17225" w14:textId="77777777" w:rsidR="00E17E76" w:rsidRDefault="00E17E76">
            <w:pPr>
              <w:rPr>
                <w:rFonts w:ascii="Arial Narrow" w:hAnsi="Arial Narrow" w:cs="Calibri"/>
                <w:color w:val="000000"/>
                <w:sz w:val="18"/>
                <w:szCs w:val="18"/>
              </w:rPr>
            </w:pPr>
            <w:r>
              <w:rPr>
                <w:rFonts w:ascii="Arial Narrow" w:hAnsi="Arial Narrow" w:cs="Calibri"/>
                <w:color w:val="000000"/>
                <w:sz w:val="18"/>
                <w:szCs w:val="18"/>
              </w:rPr>
              <w:t>Milano</w:t>
            </w:r>
          </w:p>
        </w:tc>
        <w:tc>
          <w:tcPr>
            <w:tcW w:w="870" w:type="dxa"/>
            <w:tcBorders>
              <w:top w:val="nil"/>
              <w:left w:val="nil"/>
              <w:bottom w:val="single" w:sz="4" w:space="0" w:color="auto"/>
              <w:right w:val="nil"/>
            </w:tcBorders>
            <w:shd w:val="clear" w:color="000000" w:fill="E7E6E6"/>
            <w:noWrap/>
            <w:vAlign w:val="center"/>
            <w:hideMark/>
          </w:tcPr>
          <w:p w14:paraId="5374BCFF"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0,4</w:t>
            </w:r>
          </w:p>
        </w:tc>
        <w:tc>
          <w:tcPr>
            <w:tcW w:w="1254" w:type="dxa"/>
            <w:tcBorders>
              <w:top w:val="nil"/>
              <w:left w:val="nil"/>
              <w:bottom w:val="single" w:sz="4" w:space="0" w:color="auto"/>
              <w:right w:val="nil"/>
            </w:tcBorders>
            <w:shd w:val="clear" w:color="000000" w:fill="FFFFFF"/>
            <w:noWrap/>
            <w:vAlign w:val="center"/>
            <w:hideMark/>
          </w:tcPr>
          <w:p w14:paraId="40836E62"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3,3</w:t>
            </w:r>
          </w:p>
        </w:tc>
        <w:tc>
          <w:tcPr>
            <w:tcW w:w="930" w:type="dxa"/>
            <w:tcBorders>
              <w:top w:val="nil"/>
              <w:left w:val="nil"/>
              <w:bottom w:val="single" w:sz="4" w:space="0" w:color="auto"/>
              <w:right w:val="nil"/>
            </w:tcBorders>
            <w:shd w:val="clear" w:color="000000" w:fill="E7E6E6"/>
            <w:noWrap/>
            <w:vAlign w:val="center"/>
            <w:hideMark/>
          </w:tcPr>
          <w:p w14:paraId="0D2E8716"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12,3</w:t>
            </w:r>
          </w:p>
        </w:tc>
        <w:tc>
          <w:tcPr>
            <w:tcW w:w="828" w:type="dxa"/>
            <w:tcBorders>
              <w:top w:val="nil"/>
              <w:left w:val="nil"/>
              <w:bottom w:val="single" w:sz="4" w:space="0" w:color="auto"/>
              <w:right w:val="nil"/>
            </w:tcBorders>
            <w:shd w:val="clear" w:color="000000" w:fill="FFFFFF"/>
            <w:noWrap/>
            <w:vAlign w:val="center"/>
            <w:hideMark/>
          </w:tcPr>
          <w:p w14:paraId="4D011688"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25,0</w:t>
            </w:r>
          </w:p>
        </w:tc>
        <w:tc>
          <w:tcPr>
            <w:tcW w:w="930" w:type="dxa"/>
            <w:tcBorders>
              <w:top w:val="nil"/>
              <w:left w:val="nil"/>
              <w:bottom w:val="single" w:sz="4" w:space="0" w:color="auto"/>
              <w:right w:val="nil"/>
            </w:tcBorders>
            <w:shd w:val="clear" w:color="000000" w:fill="E7E6E6"/>
            <w:noWrap/>
            <w:vAlign w:val="center"/>
            <w:hideMark/>
          </w:tcPr>
          <w:p w14:paraId="3DCA3A72"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38,0</w:t>
            </w:r>
          </w:p>
        </w:tc>
        <w:tc>
          <w:tcPr>
            <w:tcW w:w="830" w:type="dxa"/>
            <w:tcBorders>
              <w:top w:val="nil"/>
              <w:left w:val="nil"/>
              <w:bottom w:val="single" w:sz="4" w:space="0" w:color="auto"/>
              <w:right w:val="nil"/>
            </w:tcBorders>
            <w:shd w:val="clear" w:color="000000" w:fill="FFFFFF"/>
            <w:noWrap/>
            <w:vAlign w:val="center"/>
            <w:hideMark/>
          </w:tcPr>
          <w:p w14:paraId="1230F57E"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4,7</w:t>
            </w:r>
          </w:p>
        </w:tc>
        <w:tc>
          <w:tcPr>
            <w:tcW w:w="888" w:type="dxa"/>
            <w:tcBorders>
              <w:top w:val="nil"/>
              <w:left w:val="nil"/>
              <w:bottom w:val="single" w:sz="4" w:space="0" w:color="auto"/>
              <w:right w:val="nil"/>
            </w:tcBorders>
            <w:shd w:val="clear" w:color="000000" w:fill="E7E6E6"/>
            <w:noWrap/>
            <w:vAlign w:val="center"/>
            <w:hideMark/>
          </w:tcPr>
          <w:p w14:paraId="7B46A096"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15,7</w:t>
            </w:r>
          </w:p>
        </w:tc>
        <w:tc>
          <w:tcPr>
            <w:tcW w:w="831" w:type="dxa"/>
            <w:tcBorders>
              <w:top w:val="nil"/>
              <w:left w:val="nil"/>
              <w:bottom w:val="single" w:sz="4" w:space="0" w:color="auto"/>
              <w:right w:val="nil"/>
            </w:tcBorders>
            <w:shd w:val="clear" w:color="000000" w:fill="FFFFFF"/>
            <w:noWrap/>
            <w:vAlign w:val="center"/>
            <w:hideMark/>
          </w:tcPr>
          <w:p w14:paraId="5F8B9513"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0,7</w:t>
            </w:r>
          </w:p>
        </w:tc>
        <w:tc>
          <w:tcPr>
            <w:tcW w:w="825" w:type="dxa"/>
            <w:tcBorders>
              <w:top w:val="nil"/>
              <w:left w:val="nil"/>
              <w:bottom w:val="single" w:sz="4" w:space="0" w:color="auto"/>
              <w:right w:val="nil"/>
            </w:tcBorders>
            <w:shd w:val="clear" w:color="000000" w:fill="E7E6E6"/>
            <w:noWrap/>
            <w:vAlign w:val="center"/>
            <w:hideMark/>
          </w:tcPr>
          <w:p w14:paraId="08E2DA0A"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100,0</w:t>
            </w:r>
          </w:p>
        </w:tc>
      </w:tr>
      <w:tr w:rsidR="00E17E76" w14:paraId="40608DFD" w14:textId="77777777" w:rsidTr="00AD527A">
        <w:trPr>
          <w:trHeight w:val="300"/>
        </w:trPr>
        <w:tc>
          <w:tcPr>
            <w:tcW w:w="1452" w:type="dxa"/>
            <w:tcBorders>
              <w:top w:val="nil"/>
              <w:left w:val="nil"/>
              <w:bottom w:val="single" w:sz="4" w:space="0" w:color="auto"/>
              <w:right w:val="nil"/>
            </w:tcBorders>
            <w:shd w:val="clear" w:color="auto" w:fill="auto"/>
            <w:noWrap/>
            <w:vAlign w:val="center"/>
            <w:hideMark/>
          </w:tcPr>
          <w:p w14:paraId="261CD1DF" w14:textId="77777777" w:rsidR="00E17E76" w:rsidRDefault="00E17E76">
            <w:pPr>
              <w:rPr>
                <w:rFonts w:ascii="Arial Narrow" w:hAnsi="Arial Narrow" w:cs="Calibri"/>
                <w:color w:val="000000"/>
                <w:sz w:val="18"/>
                <w:szCs w:val="18"/>
              </w:rPr>
            </w:pPr>
            <w:r>
              <w:rPr>
                <w:rFonts w:ascii="Arial Narrow" w:hAnsi="Arial Narrow" w:cs="Calibri"/>
                <w:color w:val="000000"/>
                <w:sz w:val="18"/>
                <w:szCs w:val="18"/>
              </w:rPr>
              <w:t>Monza e della Brianza</w:t>
            </w:r>
          </w:p>
        </w:tc>
        <w:tc>
          <w:tcPr>
            <w:tcW w:w="870" w:type="dxa"/>
            <w:tcBorders>
              <w:top w:val="nil"/>
              <w:left w:val="nil"/>
              <w:bottom w:val="single" w:sz="4" w:space="0" w:color="auto"/>
              <w:right w:val="nil"/>
            </w:tcBorders>
            <w:shd w:val="clear" w:color="000000" w:fill="E7E6E6"/>
            <w:noWrap/>
            <w:vAlign w:val="center"/>
            <w:hideMark/>
          </w:tcPr>
          <w:p w14:paraId="3AAC1F59"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0,3</w:t>
            </w:r>
          </w:p>
        </w:tc>
        <w:tc>
          <w:tcPr>
            <w:tcW w:w="1254" w:type="dxa"/>
            <w:tcBorders>
              <w:top w:val="nil"/>
              <w:left w:val="nil"/>
              <w:bottom w:val="single" w:sz="4" w:space="0" w:color="auto"/>
              <w:right w:val="nil"/>
            </w:tcBorders>
            <w:shd w:val="clear" w:color="000000" w:fill="FFFFFF"/>
            <w:noWrap/>
            <w:vAlign w:val="center"/>
            <w:hideMark/>
          </w:tcPr>
          <w:p w14:paraId="783B60CF"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3,1</w:t>
            </w:r>
          </w:p>
        </w:tc>
        <w:tc>
          <w:tcPr>
            <w:tcW w:w="930" w:type="dxa"/>
            <w:tcBorders>
              <w:top w:val="nil"/>
              <w:left w:val="nil"/>
              <w:bottom w:val="single" w:sz="4" w:space="0" w:color="auto"/>
              <w:right w:val="nil"/>
            </w:tcBorders>
            <w:shd w:val="clear" w:color="000000" w:fill="E7E6E6"/>
            <w:noWrap/>
            <w:vAlign w:val="center"/>
            <w:hideMark/>
          </w:tcPr>
          <w:p w14:paraId="18FDF058"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14,7</w:t>
            </w:r>
          </w:p>
        </w:tc>
        <w:tc>
          <w:tcPr>
            <w:tcW w:w="828" w:type="dxa"/>
            <w:tcBorders>
              <w:top w:val="nil"/>
              <w:left w:val="nil"/>
              <w:bottom w:val="single" w:sz="4" w:space="0" w:color="auto"/>
              <w:right w:val="nil"/>
            </w:tcBorders>
            <w:shd w:val="clear" w:color="000000" w:fill="FFFFFF"/>
            <w:noWrap/>
            <w:vAlign w:val="center"/>
            <w:hideMark/>
          </w:tcPr>
          <w:p w14:paraId="60FA1F48"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27,4</w:t>
            </w:r>
          </w:p>
        </w:tc>
        <w:tc>
          <w:tcPr>
            <w:tcW w:w="930" w:type="dxa"/>
            <w:tcBorders>
              <w:top w:val="nil"/>
              <w:left w:val="nil"/>
              <w:bottom w:val="single" w:sz="4" w:space="0" w:color="auto"/>
              <w:right w:val="nil"/>
            </w:tcBorders>
            <w:shd w:val="clear" w:color="000000" w:fill="E7E6E6"/>
            <w:noWrap/>
            <w:vAlign w:val="center"/>
            <w:hideMark/>
          </w:tcPr>
          <w:p w14:paraId="768EF9A6"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39,3</w:t>
            </w:r>
          </w:p>
        </w:tc>
        <w:tc>
          <w:tcPr>
            <w:tcW w:w="830" w:type="dxa"/>
            <w:tcBorders>
              <w:top w:val="nil"/>
              <w:left w:val="nil"/>
              <w:bottom w:val="single" w:sz="4" w:space="0" w:color="auto"/>
              <w:right w:val="nil"/>
            </w:tcBorders>
            <w:shd w:val="clear" w:color="000000" w:fill="FFFFFF"/>
            <w:noWrap/>
            <w:vAlign w:val="center"/>
            <w:hideMark/>
          </w:tcPr>
          <w:p w14:paraId="660C561B"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4,2</w:t>
            </w:r>
          </w:p>
        </w:tc>
        <w:tc>
          <w:tcPr>
            <w:tcW w:w="888" w:type="dxa"/>
            <w:tcBorders>
              <w:top w:val="nil"/>
              <w:left w:val="nil"/>
              <w:bottom w:val="single" w:sz="4" w:space="0" w:color="auto"/>
              <w:right w:val="nil"/>
            </w:tcBorders>
            <w:shd w:val="clear" w:color="000000" w:fill="E7E6E6"/>
            <w:noWrap/>
            <w:vAlign w:val="center"/>
            <w:hideMark/>
          </w:tcPr>
          <w:p w14:paraId="02502CF1"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10,6</w:t>
            </w:r>
          </w:p>
        </w:tc>
        <w:tc>
          <w:tcPr>
            <w:tcW w:w="831" w:type="dxa"/>
            <w:tcBorders>
              <w:top w:val="nil"/>
              <w:left w:val="nil"/>
              <w:bottom w:val="single" w:sz="4" w:space="0" w:color="auto"/>
              <w:right w:val="nil"/>
            </w:tcBorders>
            <w:shd w:val="clear" w:color="000000" w:fill="FFFFFF"/>
            <w:noWrap/>
            <w:vAlign w:val="center"/>
            <w:hideMark/>
          </w:tcPr>
          <w:p w14:paraId="58D8D8F0"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0,3</w:t>
            </w:r>
          </w:p>
        </w:tc>
        <w:tc>
          <w:tcPr>
            <w:tcW w:w="825" w:type="dxa"/>
            <w:tcBorders>
              <w:top w:val="nil"/>
              <w:left w:val="nil"/>
              <w:bottom w:val="single" w:sz="4" w:space="0" w:color="auto"/>
              <w:right w:val="nil"/>
            </w:tcBorders>
            <w:shd w:val="clear" w:color="000000" w:fill="E7E6E6"/>
            <w:noWrap/>
            <w:vAlign w:val="center"/>
            <w:hideMark/>
          </w:tcPr>
          <w:p w14:paraId="120762A8"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100,0</w:t>
            </w:r>
          </w:p>
        </w:tc>
      </w:tr>
      <w:tr w:rsidR="00E17E76" w14:paraId="4B142A84" w14:textId="77777777" w:rsidTr="00AD527A">
        <w:trPr>
          <w:trHeight w:val="300"/>
        </w:trPr>
        <w:tc>
          <w:tcPr>
            <w:tcW w:w="1452" w:type="dxa"/>
            <w:tcBorders>
              <w:top w:val="nil"/>
              <w:left w:val="nil"/>
              <w:bottom w:val="single" w:sz="4" w:space="0" w:color="auto"/>
              <w:right w:val="nil"/>
            </w:tcBorders>
            <w:shd w:val="clear" w:color="auto" w:fill="auto"/>
            <w:noWrap/>
            <w:vAlign w:val="center"/>
            <w:hideMark/>
          </w:tcPr>
          <w:p w14:paraId="5333FD46" w14:textId="77777777" w:rsidR="00E17E76" w:rsidRDefault="00E17E76">
            <w:pPr>
              <w:rPr>
                <w:rFonts w:ascii="Arial Narrow" w:hAnsi="Arial Narrow" w:cs="Calibri"/>
                <w:color w:val="000000"/>
                <w:sz w:val="18"/>
                <w:szCs w:val="18"/>
              </w:rPr>
            </w:pPr>
            <w:r>
              <w:rPr>
                <w:rFonts w:ascii="Arial Narrow" w:hAnsi="Arial Narrow" w:cs="Calibri"/>
                <w:color w:val="000000"/>
                <w:sz w:val="18"/>
                <w:szCs w:val="18"/>
              </w:rPr>
              <w:t>Pavia</w:t>
            </w:r>
          </w:p>
        </w:tc>
        <w:tc>
          <w:tcPr>
            <w:tcW w:w="870" w:type="dxa"/>
            <w:tcBorders>
              <w:top w:val="nil"/>
              <w:left w:val="nil"/>
              <w:bottom w:val="single" w:sz="4" w:space="0" w:color="auto"/>
              <w:right w:val="nil"/>
            </w:tcBorders>
            <w:shd w:val="clear" w:color="000000" w:fill="E7E6E6"/>
            <w:noWrap/>
            <w:vAlign w:val="center"/>
            <w:hideMark/>
          </w:tcPr>
          <w:p w14:paraId="0C884285"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0,4</w:t>
            </w:r>
          </w:p>
        </w:tc>
        <w:tc>
          <w:tcPr>
            <w:tcW w:w="1254" w:type="dxa"/>
            <w:tcBorders>
              <w:top w:val="nil"/>
              <w:left w:val="nil"/>
              <w:bottom w:val="single" w:sz="4" w:space="0" w:color="auto"/>
              <w:right w:val="nil"/>
            </w:tcBorders>
            <w:shd w:val="clear" w:color="000000" w:fill="FFFFFF"/>
            <w:noWrap/>
            <w:vAlign w:val="center"/>
            <w:hideMark/>
          </w:tcPr>
          <w:p w14:paraId="626CA4DB"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3,0</w:t>
            </w:r>
          </w:p>
        </w:tc>
        <w:tc>
          <w:tcPr>
            <w:tcW w:w="930" w:type="dxa"/>
            <w:tcBorders>
              <w:top w:val="nil"/>
              <w:left w:val="nil"/>
              <w:bottom w:val="single" w:sz="4" w:space="0" w:color="auto"/>
              <w:right w:val="nil"/>
            </w:tcBorders>
            <w:shd w:val="clear" w:color="000000" w:fill="E7E6E6"/>
            <w:noWrap/>
            <w:vAlign w:val="center"/>
            <w:hideMark/>
          </w:tcPr>
          <w:p w14:paraId="7CFD5CC4"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15,9</w:t>
            </w:r>
          </w:p>
        </w:tc>
        <w:tc>
          <w:tcPr>
            <w:tcW w:w="828" w:type="dxa"/>
            <w:tcBorders>
              <w:top w:val="nil"/>
              <w:left w:val="nil"/>
              <w:bottom w:val="single" w:sz="4" w:space="0" w:color="auto"/>
              <w:right w:val="nil"/>
            </w:tcBorders>
            <w:shd w:val="clear" w:color="000000" w:fill="FFFFFF"/>
            <w:noWrap/>
            <w:vAlign w:val="center"/>
            <w:hideMark/>
          </w:tcPr>
          <w:p w14:paraId="1EDCCB08"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29,2</w:t>
            </w:r>
          </w:p>
        </w:tc>
        <w:tc>
          <w:tcPr>
            <w:tcW w:w="930" w:type="dxa"/>
            <w:tcBorders>
              <w:top w:val="nil"/>
              <w:left w:val="nil"/>
              <w:bottom w:val="single" w:sz="4" w:space="0" w:color="auto"/>
              <w:right w:val="nil"/>
            </w:tcBorders>
            <w:shd w:val="clear" w:color="000000" w:fill="E7E6E6"/>
            <w:noWrap/>
            <w:vAlign w:val="center"/>
            <w:hideMark/>
          </w:tcPr>
          <w:p w14:paraId="1765C741"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37,0</w:t>
            </w:r>
          </w:p>
        </w:tc>
        <w:tc>
          <w:tcPr>
            <w:tcW w:w="830" w:type="dxa"/>
            <w:tcBorders>
              <w:top w:val="nil"/>
              <w:left w:val="nil"/>
              <w:bottom w:val="single" w:sz="4" w:space="0" w:color="auto"/>
              <w:right w:val="nil"/>
            </w:tcBorders>
            <w:shd w:val="clear" w:color="000000" w:fill="FFFFFF"/>
            <w:noWrap/>
            <w:vAlign w:val="center"/>
            <w:hideMark/>
          </w:tcPr>
          <w:p w14:paraId="3699B7D2"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3,7</w:t>
            </w:r>
          </w:p>
        </w:tc>
        <w:tc>
          <w:tcPr>
            <w:tcW w:w="888" w:type="dxa"/>
            <w:tcBorders>
              <w:top w:val="nil"/>
              <w:left w:val="nil"/>
              <w:bottom w:val="single" w:sz="4" w:space="0" w:color="auto"/>
              <w:right w:val="nil"/>
            </w:tcBorders>
            <w:shd w:val="clear" w:color="000000" w:fill="E7E6E6"/>
            <w:noWrap/>
            <w:vAlign w:val="center"/>
            <w:hideMark/>
          </w:tcPr>
          <w:p w14:paraId="422DB766"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10,3</w:t>
            </w:r>
          </w:p>
        </w:tc>
        <w:tc>
          <w:tcPr>
            <w:tcW w:w="831" w:type="dxa"/>
            <w:tcBorders>
              <w:top w:val="nil"/>
              <w:left w:val="nil"/>
              <w:bottom w:val="single" w:sz="4" w:space="0" w:color="auto"/>
              <w:right w:val="nil"/>
            </w:tcBorders>
            <w:shd w:val="clear" w:color="000000" w:fill="FFFFFF"/>
            <w:noWrap/>
            <w:vAlign w:val="center"/>
            <w:hideMark/>
          </w:tcPr>
          <w:p w14:paraId="6EE1A229"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0,6</w:t>
            </w:r>
          </w:p>
        </w:tc>
        <w:tc>
          <w:tcPr>
            <w:tcW w:w="825" w:type="dxa"/>
            <w:tcBorders>
              <w:top w:val="nil"/>
              <w:left w:val="nil"/>
              <w:bottom w:val="single" w:sz="4" w:space="0" w:color="auto"/>
              <w:right w:val="nil"/>
            </w:tcBorders>
            <w:shd w:val="clear" w:color="000000" w:fill="E7E6E6"/>
            <w:noWrap/>
            <w:vAlign w:val="center"/>
            <w:hideMark/>
          </w:tcPr>
          <w:p w14:paraId="6117047D"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100,0</w:t>
            </w:r>
          </w:p>
        </w:tc>
      </w:tr>
      <w:tr w:rsidR="00E17E76" w14:paraId="1443F279" w14:textId="77777777" w:rsidTr="00AD527A">
        <w:trPr>
          <w:trHeight w:val="300"/>
        </w:trPr>
        <w:tc>
          <w:tcPr>
            <w:tcW w:w="1452" w:type="dxa"/>
            <w:tcBorders>
              <w:top w:val="nil"/>
              <w:left w:val="nil"/>
              <w:bottom w:val="single" w:sz="4" w:space="0" w:color="auto"/>
              <w:right w:val="nil"/>
            </w:tcBorders>
            <w:shd w:val="clear" w:color="auto" w:fill="auto"/>
            <w:noWrap/>
            <w:vAlign w:val="center"/>
            <w:hideMark/>
          </w:tcPr>
          <w:p w14:paraId="5FAFF480" w14:textId="77777777" w:rsidR="00E17E76" w:rsidRDefault="00E17E76">
            <w:pPr>
              <w:rPr>
                <w:rFonts w:ascii="Arial Narrow" w:hAnsi="Arial Narrow" w:cs="Calibri"/>
                <w:color w:val="000000"/>
                <w:sz w:val="18"/>
                <w:szCs w:val="18"/>
              </w:rPr>
            </w:pPr>
            <w:r>
              <w:rPr>
                <w:rFonts w:ascii="Arial Narrow" w:hAnsi="Arial Narrow" w:cs="Calibri"/>
                <w:color w:val="000000"/>
                <w:sz w:val="18"/>
                <w:szCs w:val="18"/>
              </w:rPr>
              <w:t>Sondrio</w:t>
            </w:r>
          </w:p>
        </w:tc>
        <w:tc>
          <w:tcPr>
            <w:tcW w:w="870" w:type="dxa"/>
            <w:tcBorders>
              <w:top w:val="nil"/>
              <w:left w:val="nil"/>
              <w:bottom w:val="single" w:sz="4" w:space="0" w:color="auto"/>
              <w:right w:val="nil"/>
            </w:tcBorders>
            <w:shd w:val="clear" w:color="000000" w:fill="E7E6E6"/>
            <w:noWrap/>
            <w:vAlign w:val="center"/>
            <w:hideMark/>
          </w:tcPr>
          <w:p w14:paraId="7C43B793"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0,2</w:t>
            </w:r>
          </w:p>
        </w:tc>
        <w:tc>
          <w:tcPr>
            <w:tcW w:w="1254" w:type="dxa"/>
            <w:tcBorders>
              <w:top w:val="nil"/>
              <w:left w:val="nil"/>
              <w:bottom w:val="single" w:sz="4" w:space="0" w:color="auto"/>
              <w:right w:val="nil"/>
            </w:tcBorders>
            <w:shd w:val="clear" w:color="000000" w:fill="FFFFFF"/>
            <w:noWrap/>
            <w:vAlign w:val="center"/>
            <w:hideMark/>
          </w:tcPr>
          <w:p w14:paraId="4CE683E1"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2,4</w:t>
            </w:r>
          </w:p>
        </w:tc>
        <w:tc>
          <w:tcPr>
            <w:tcW w:w="930" w:type="dxa"/>
            <w:tcBorders>
              <w:top w:val="nil"/>
              <w:left w:val="nil"/>
              <w:bottom w:val="single" w:sz="4" w:space="0" w:color="auto"/>
              <w:right w:val="nil"/>
            </w:tcBorders>
            <w:shd w:val="clear" w:color="000000" w:fill="E7E6E6"/>
            <w:noWrap/>
            <w:vAlign w:val="center"/>
            <w:hideMark/>
          </w:tcPr>
          <w:p w14:paraId="425E23C8"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16,6</w:t>
            </w:r>
          </w:p>
        </w:tc>
        <w:tc>
          <w:tcPr>
            <w:tcW w:w="828" w:type="dxa"/>
            <w:tcBorders>
              <w:top w:val="nil"/>
              <w:left w:val="nil"/>
              <w:bottom w:val="single" w:sz="4" w:space="0" w:color="auto"/>
              <w:right w:val="nil"/>
            </w:tcBorders>
            <w:shd w:val="clear" w:color="000000" w:fill="FFFFFF"/>
            <w:noWrap/>
            <w:vAlign w:val="center"/>
            <w:hideMark/>
          </w:tcPr>
          <w:p w14:paraId="308F8FB7"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28,9</w:t>
            </w:r>
          </w:p>
        </w:tc>
        <w:tc>
          <w:tcPr>
            <w:tcW w:w="930" w:type="dxa"/>
            <w:tcBorders>
              <w:top w:val="nil"/>
              <w:left w:val="nil"/>
              <w:bottom w:val="single" w:sz="4" w:space="0" w:color="auto"/>
              <w:right w:val="nil"/>
            </w:tcBorders>
            <w:shd w:val="clear" w:color="000000" w:fill="E7E6E6"/>
            <w:noWrap/>
            <w:vAlign w:val="center"/>
            <w:hideMark/>
          </w:tcPr>
          <w:p w14:paraId="0E893414"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41,1</w:t>
            </w:r>
          </w:p>
        </w:tc>
        <w:tc>
          <w:tcPr>
            <w:tcW w:w="830" w:type="dxa"/>
            <w:tcBorders>
              <w:top w:val="nil"/>
              <w:left w:val="nil"/>
              <w:bottom w:val="single" w:sz="4" w:space="0" w:color="auto"/>
              <w:right w:val="nil"/>
            </w:tcBorders>
            <w:shd w:val="clear" w:color="000000" w:fill="FFFFFF"/>
            <w:noWrap/>
            <w:vAlign w:val="center"/>
            <w:hideMark/>
          </w:tcPr>
          <w:p w14:paraId="409F9984"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3,5</w:t>
            </w:r>
          </w:p>
        </w:tc>
        <w:tc>
          <w:tcPr>
            <w:tcW w:w="888" w:type="dxa"/>
            <w:tcBorders>
              <w:top w:val="nil"/>
              <w:left w:val="nil"/>
              <w:bottom w:val="single" w:sz="4" w:space="0" w:color="auto"/>
              <w:right w:val="nil"/>
            </w:tcBorders>
            <w:shd w:val="clear" w:color="000000" w:fill="E7E6E6"/>
            <w:noWrap/>
            <w:vAlign w:val="center"/>
            <w:hideMark/>
          </w:tcPr>
          <w:p w14:paraId="45D123E9"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7,2</w:t>
            </w:r>
          </w:p>
        </w:tc>
        <w:tc>
          <w:tcPr>
            <w:tcW w:w="831" w:type="dxa"/>
            <w:tcBorders>
              <w:top w:val="nil"/>
              <w:left w:val="nil"/>
              <w:bottom w:val="single" w:sz="4" w:space="0" w:color="auto"/>
              <w:right w:val="nil"/>
            </w:tcBorders>
            <w:shd w:val="clear" w:color="000000" w:fill="FFFFFF"/>
            <w:noWrap/>
            <w:vAlign w:val="center"/>
            <w:hideMark/>
          </w:tcPr>
          <w:p w14:paraId="035B7C03"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0,2</w:t>
            </w:r>
          </w:p>
        </w:tc>
        <w:tc>
          <w:tcPr>
            <w:tcW w:w="825" w:type="dxa"/>
            <w:tcBorders>
              <w:top w:val="nil"/>
              <w:left w:val="nil"/>
              <w:bottom w:val="single" w:sz="4" w:space="0" w:color="auto"/>
              <w:right w:val="nil"/>
            </w:tcBorders>
            <w:shd w:val="clear" w:color="000000" w:fill="E7E6E6"/>
            <w:noWrap/>
            <w:vAlign w:val="center"/>
            <w:hideMark/>
          </w:tcPr>
          <w:p w14:paraId="67B134D0"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100,0</w:t>
            </w:r>
          </w:p>
        </w:tc>
      </w:tr>
      <w:tr w:rsidR="00E17E76" w14:paraId="65E3A1E0" w14:textId="77777777" w:rsidTr="00AD527A">
        <w:trPr>
          <w:trHeight w:val="300"/>
        </w:trPr>
        <w:tc>
          <w:tcPr>
            <w:tcW w:w="1452" w:type="dxa"/>
            <w:tcBorders>
              <w:top w:val="nil"/>
              <w:left w:val="nil"/>
              <w:bottom w:val="single" w:sz="4" w:space="0" w:color="auto"/>
              <w:right w:val="nil"/>
            </w:tcBorders>
            <w:shd w:val="clear" w:color="auto" w:fill="auto"/>
            <w:noWrap/>
            <w:vAlign w:val="center"/>
            <w:hideMark/>
          </w:tcPr>
          <w:p w14:paraId="0DB9B672" w14:textId="77777777" w:rsidR="00E17E76" w:rsidRDefault="00E17E76">
            <w:pPr>
              <w:rPr>
                <w:rFonts w:ascii="Arial Narrow" w:hAnsi="Arial Narrow" w:cs="Calibri"/>
                <w:color w:val="000000"/>
                <w:sz w:val="18"/>
                <w:szCs w:val="18"/>
              </w:rPr>
            </w:pPr>
            <w:r>
              <w:rPr>
                <w:rFonts w:ascii="Arial Narrow" w:hAnsi="Arial Narrow" w:cs="Calibri"/>
                <w:color w:val="000000"/>
                <w:sz w:val="18"/>
                <w:szCs w:val="18"/>
              </w:rPr>
              <w:t>Varese</w:t>
            </w:r>
          </w:p>
        </w:tc>
        <w:tc>
          <w:tcPr>
            <w:tcW w:w="870" w:type="dxa"/>
            <w:tcBorders>
              <w:top w:val="nil"/>
              <w:left w:val="nil"/>
              <w:bottom w:val="single" w:sz="4" w:space="0" w:color="auto"/>
              <w:right w:val="nil"/>
            </w:tcBorders>
            <w:shd w:val="clear" w:color="000000" w:fill="E7E6E6"/>
            <w:noWrap/>
            <w:vAlign w:val="center"/>
            <w:hideMark/>
          </w:tcPr>
          <w:p w14:paraId="2898E684"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0,4</w:t>
            </w:r>
          </w:p>
        </w:tc>
        <w:tc>
          <w:tcPr>
            <w:tcW w:w="1254" w:type="dxa"/>
            <w:tcBorders>
              <w:top w:val="nil"/>
              <w:left w:val="nil"/>
              <w:bottom w:val="single" w:sz="4" w:space="0" w:color="auto"/>
              <w:right w:val="nil"/>
            </w:tcBorders>
            <w:shd w:val="clear" w:color="000000" w:fill="FFFFFF"/>
            <w:noWrap/>
            <w:vAlign w:val="center"/>
            <w:hideMark/>
          </w:tcPr>
          <w:p w14:paraId="0CD02B26"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3,1</w:t>
            </w:r>
          </w:p>
        </w:tc>
        <w:tc>
          <w:tcPr>
            <w:tcW w:w="930" w:type="dxa"/>
            <w:tcBorders>
              <w:top w:val="nil"/>
              <w:left w:val="nil"/>
              <w:bottom w:val="single" w:sz="4" w:space="0" w:color="auto"/>
              <w:right w:val="nil"/>
            </w:tcBorders>
            <w:shd w:val="clear" w:color="000000" w:fill="E7E6E6"/>
            <w:noWrap/>
            <w:vAlign w:val="center"/>
            <w:hideMark/>
          </w:tcPr>
          <w:p w14:paraId="29141870"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16,1</w:t>
            </w:r>
          </w:p>
        </w:tc>
        <w:tc>
          <w:tcPr>
            <w:tcW w:w="828" w:type="dxa"/>
            <w:tcBorders>
              <w:top w:val="nil"/>
              <w:left w:val="nil"/>
              <w:bottom w:val="single" w:sz="4" w:space="0" w:color="auto"/>
              <w:right w:val="nil"/>
            </w:tcBorders>
            <w:shd w:val="clear" w:color="000000" w:fill="FFFFFF"/>
            <w:noWrap/>
            <w:vAlign w:val="center"/>
            <w:hideMark/>
          </w:tcPr>
          <w:p w14:paraId="02FA4D0B"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29,4</w:t>
            </w:r>
          </w:p>
        </w:tc>
        <w:tc>
          <w:tcPr>
            <w:tcW w:w="930" w:type="dxa"/>
            <w:tcBorders>
              <w:top w:val="nil"/>
              <w:left w:val="nil"/>
              <w:bottom w:val="single" w:sz="4" w:space="0" w:color="auto"/>
              <w:right w:val="nil"/>
            </w:tcBorders>
            <w:shd w:val="clear" w:color="000000" w:fill="E7E6E6"/>
            <w:noWrap/>
            <w:vAlign w:val="center"/>
            <w:hideMark/>
          </w:tcPr>
          <w:p w14:paraId="576A55FE"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37,1</w:t>
            </w:r>
          </w:p>
        </w:tc>
        <w:tc>
          <w:tcPr>
            <w:tcW w:w="830" w:type="dxa"/>
            <w:tcBorders>
              <w:top w:val="nil"/>
              <w:left w:val="nil"/>
              <w:bottom w:val="single" w:sz="4" w:space="0" w:color="auto"/>
              <w:right w:val="nil"/>
            </w:tcBorders>
            <w:shd w:val="clear" w:color="000000" w:fill="FFFFFF"/>
            <w:noWrap/>
            <w:vAlign w:val="center"/>
            <w:hideMark/>
          </w:tcPr>
          <w:p w14:paraId="2571D78E"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4,0</w:t>
            </w:r>
          </w:p>
        </w:tc>
        <w:tc>
          <w:tcPr>
            <w:tcW w:w="888" w:type="dxa"/>
            <w:tcBorders>
              <w:top w:val="nil"/>
              <w:left w:val="nil"/>
              <w:bottom w:val="single" w:sz="4" w:space="0" w:color="auto"/>
              <w:right w:val="nil"/>
            </w:tcBorders>
            <w:shd w:val="clear" w:color="000000" w:fill="E7E6E6"/>
            <w:noWrap/>
            <w:vAlign w:val="center"/>
            <w:hideMark/>
          </w:tcPr>
          <w:p w14:paraId="1B672ABF"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9,7</w:t>
            </w:r>
          </w:p>
        </w:tc>
        <w:tc>
          <w:tcPr>
            <w:tcW w:w="831" w:type="dxa"/>
            <w:tcBorders>
              <w:top w:val="nil"/>
              <w:left w:val="nil"/>
              <w:bottom w:val="single" w:sz="4" w:space="0" w:color="auto"/>
              <w:right w:val="nil"/>
            </w:tcBorders>
            <w:shd w:val="clear" w:color="000000" w:fill="FFFFFF"/>
            <w:noWrap/>
            <w:vAlign w:val="center"/>
            <w:hideMark/>
          </w:tcPr>
          <w:p w14:paraId="5FDF91CA"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0,3</w:t>
            </w:r>
          </w:p>
        </w:tc>
        <w:tc>
          <w:tcPr>
            <w:tcW w:w="825" w:type="dxa"/>
            <w:tcBorders>
              <w:top w:val="nil"/>
              <w:left w:val="nil"/>
              <w:bottom w:val="single" w:sz="4" w:space="0" w:color="auto"/>
              <w:right w:val="nil"/>
            </w:tcBorders>
            <w:shd w:val="clear" w:color="000000" w:fill="E7E6E6"/>
            <w:noWrap/>
            <w:vAlign w:val="center"/>
            <w:hideMark/>
          </w:tcPr>
          <w:p w14:paraId="1EE8D943" w14:textId="77777777" w:rsidR="00E17E76" w:rsidRDefault="00E17E76">
            <w:pPr>
              <w:jc w:val="right"/>
              <w:rPr>
                <w:rFonts w:ascii="Arial Narrow" w:hAnsi="Arial Narrow" w:cs="Calibri"/>
                <w:color w:val="000000"/>
                <w:sz w:val="18"/>
                <w:szCs w:val="18"/>
              </w:rPr>
            </w:pPr>
            <w:r>
              <w:rPr>
                <w:rFonts w:ascii="Arial Narrow" w:hAnsi="Arial Narrow" w:cs="Calibri"/>
                <w:color w:val="000000"/>
                <w:sz w:val="18"/>
                <w:szCs w:val="18"/>
              </w:rPr>
              <w:t>100,0</w:t>
            </w:r>
          </w:p>
        </w:tc>
      </w:tr>
      <w:tr w:rsidR="00E17E76" w14:paraId="78653A61" w14:textId="77777777" w:rsidTr="00AD527A">
        <w:trPr>
          <w:trHeight w:val="300"/>
        </w:trPr>
        <w:tc>
          <w:tcPr>
            <w:tcW w:w="1452" w:type="dxa"/>
            <w:tcBorders>
              <w:top w:val="single" w:sz="4" w:space="0" w:color="auto"/>
              <w:left w:val="nil"/>
              <w:bottom w:val="single" w:sz="4" w:space="0" w:color="auto"/>
              <w:right w:val="nil"/>
            </w:tcBorders>
            <w:shd w:val="clear" w:color="000000" w:fill="C9321F"/>
            <w:noWrap/>
            <w:vAlign w:val="center"/>
            <w:hideMark/>
          </w:tcPr>
          <w:p w14:paraId="68C5F39A" w14:textId="77777777" w:rsidR="00E17E76" w:rsidRDefault="00E17E76">
            <w:pPr>
              <w:rPr>
                <w:rFonts w:ascii="Arial Narrow" w:hAnsi="Arial Narrow" w:cs="Calibri"/>
                <w:b/>
                <w:bCs/>
                <w:color w:val="FFFFFF"/>
                <w:sz w:val="18"/>
                <w:szCs w:val="18"/>
              </w:rPr>
            </w:pPr>
            <w:r>
              <w:rPr>
                <w:rFonts w:ascii="Arial Narrow" w:hAnsi="Arial Narrow" w:cs="Calibri"/>
                <w:b/>
                <w:bCs/>
                <w:color w:val="FFFFFF"/>
                <w:sz w:val="18"/>
                <w:szCs w:val="18"/>
              </w:rPr>
              <w:t>LOMBARDIA</w:t>
            </w:r>
          </w:p>
        </w:tc>
        <w:tc>
          <w:tcPr>
            <w:tcW w:w="870" w:type="dxa"/>
            <w:tcBorders>
              <w:top w:val="single" w:sz="4" w:space="0" w:color="auto"/>
              <w:left w:val="nil"/>
              <w:bottom w:val="single" w:sz="4" w:space="0" w:color="auto"/>
              <w:right w:val="nil"/>
            </w:tcBorders>
            <w:shd w:val="clear" w:color="000000" w:fill="C9321F"/>
            <w:noWrap/>
            <w:vAlign w:val="center"/>
            <w:hideMark/>
          </w:tcPr>
          <w:p w14:paraId="0D1F4400" w14:textId="77777777" w:rsidR="00E17E76" w:rsidRDefault="00E17E76">
            <w:pPr>
              <w:jc w:val="right"/>
              <w:rPr>
                <w:rFonts w:ascii="Arial Narrow" w:hAnsi="Arial Narrow" w:cs="Calibri"/>
                <w:b/>
                <w:bCs/>
                <w:color w:val="FFFFFF"/>
                <w:sz w:val="18"/>
                <w:szCs w:val="18"/>
              </w:rPr>
            </w:pPr>
            <w:r>
              <w:rPr>
                <w:rFonts w:ascii="Arial Narrow" w:hAnsi="Arial Narrow" w:cs="Calibri"/>
                <w:b/>
                <w:bCs/>
                <w:color w:val="FFFFFF"/>
                <w:sz w:val="18"/>
                <w:szCs w:val="18"/>
              </w:rPr>
              <w:t>0,4</w:t>
            </w:r>
          </w:p>
        </w:tc>
        <w:tc>
          <w:tcPr>
            <w:tcW w:w="1254" w:type="dxa"/>
            <w:tcBorders>
              <w:top w:val="single" w:sz="4" w:space="0" w:color="auto"/>
              <w:left w:val="nil"/>
              <w:bottom w:val="single" w:sz="4" w:space="0" w:color="auto"/>
              <w:right w:val="nil"/>
            </w:tcBorders>
            <w:shd w:val="clear" w:color="000000" w:fill="C9321F"/>
            <w:noWrap/>
            <w:vAlign w:val="center"/>
            <w:hideMark/>
          </w:tcPr>
          <w:p w14:paraId="03805A71" w14:textId="77777777" w:rsidR="00E17E76" w:rsidRDefault="00E17E76">
            <w:pPr>
              <w:jc w:val="right"/>
              <w:rPr>
                <w:rFonts w:ascii="Arial Narrow" w:hAnsi="Arial Narrow" w:cs="Calibri"/>
                <w:b/>
                <w:bCs/>
                <w:color w:val="FFFFFF"/>
                <w:sz w:val="18"/>
                <w:szCs w:val="18"/>
              </w:rPr>
            </w:pPr>
            <w:r>
              <w:rPr>
                <w:rFonts w:ascii="Arial Narrow" w:hAnsi="Arial Narrow" w:cs="Calibri"/>
                <w:b/>
                <w:bCs/>
                <w:color w:val="FFFFFF"/>
                <w:sz w:val="18"/>
                <w:szCs w:val="18"/>
              </w:rPr>
              <w:t>3,2</w:t>
            </w:r>
          </w:p>
        </w:tc>
        <w:tc>
          <w:tcPr>
            <w:tcW w:w="930" w:type="dxa"/>
            <w:tcBorders>
              <w:top w:val="single" w:sz="4" w:space="0" w:color="auto"/>
              <w:left w:val="nil"/>
              <w:bottom w:val="single" w:sz="4" w:space="0" w:color="auto"/>
              <w:right w:val="nil"/>
            </w:tcBorders>
            <w:shd w:val="clear" w:color="000000" w:fill="C9321F"/>
            <w:noWrap/>
            <w:vAlign w:val="center"/>
            <w:hideMark/>
          </w:tcPr>
          <w:p w14:paraId="6E1A5B7E" w14:textId="77777777" w:rsidR="00E17E76" w:rsidRDefault="00E17E76">
            <w:pPr>
              <w:jc w:val="right"/>
              <w:rPr>
                <w:rFonts w:ascii="Arial Narrow" w:hAnsi="Arial Narrow" w:cs="Calibri"/>
                <w:b/>
                <w:bCs/>
                <w:color w:val="FFFFFF"/>
                <w:sz w:val="18"/>
                <w:szCs w:val="18"/>
              </w:rPr>
            </w:pPr>
            <w:r>
              <w:rPr>
                <w:rFonts w:ascii="Arial Narrow" w:hAnsi="Arial Narrow" w:cs="Calibri"/>
                <w:b/>
                <w:bCs/>
                <w:color w:val="FFFFFF"/>
                <w:sz w:val="18"/>
                <w:szCs w:val="18"/>
              </w:rPr>
              <w:t>15,0</w:t>
            </w:r>
          </w:p>
        </w:tc>
        <w:tc>
          <w:tcPr>
            <w:tcW w:w="828" w:type="dxa"/>
            <w:tcBorders>
              <w:top w:val="single" w:sz="4" w:space="0" w:color="auto"/>
              <w:left w:val="nil"/>
              <w:bottom w:val="single" w:sz="4" w:space="0" w:color="auto"/>
              <w:right w:val="nil"/>
            </w:tcBorders>
            <w:shd w:val="clear" w:color="000000" w:fill="C9321F"/>
            <w:noWrap/>
            <w:vAlign w:val="center"/>
            <w:hideMark/>
          </w:tcPr>
          <w:p w14:paraId="0434E4B1" w14:textId="77777777" w:rsidR="00E17E76" w:rsidRDefault="00E17E76">
            <w:pPr>
              <w:jc w:val="right"/>
              <w:rPr>
                <w:rFonts w:ascii="Arial Narrow" w:hAnsi="Arial Narrow" w:cs="Calibri"/>
                <w:b/>
                <w:bCs/>
                <w:color w:val="FFFFFF"/>
                <w:sz w:val="18"/>
                <w:szCs w:val="18"/>
              </w:rPr>
            </w:pPr>
            <w:r>
              <w:rPr>
                <w:rFonts w:ascii="Arial Narrow" w:hAnsi="Arial Narrow" w:cs="Calibri"/>
                <w:b/>
                <w:bCs/>
                <w:color w:val="FFFFFF"/>
                <w:sz w:val="18"/>
                <w:szCs w:val="18"/>
              </w:rPr>
              <w:t>28,8</w:t>
            </w:r>
          </w:p>
        </w:tc>
        <w:tc>
          <w:tcPr>
            <w:tcW w:w="930" w:type="dxa"/>
            <w:tcBorders>
              <w:top w:val="single" w:sz="4" w:space="0" w:color="auto"/>
              <w:left w:val="nil"/>
              <w:bottom w:val="single" w:sz="4" w:space="0" w:color="auto"/>
              <w:right w:val="nil"/>
            </w:tcBorders>
            <w:shd w:val="clear" w:color="000000" w:fill="C9321F"/>
            <w:noWrap/>
            <w:vAlign w:val="center"/>
            <w:hideMark/>
          </w:tcPr>
          <w:p w14:paraId="7C360DC6" w14:textId="77777777" w:rsidR="00E17E76" w:rsidRDefault="00E17E76">
            <w:pPr>
              <w:jc w:val="right"/>
              <w:rPr>
                <w:rFonts w:ascii="Arial Narrow" w:hAnsi="Arial Narrow" w:cs="Calibri"/>
                <w:b/>
                <w:bCs/>
                <w:color w:val="FFFFFF"/>
                <w:sz w:val="18"/>
                <w:szCs w:val="18"/>
              </w:rPr>
            </w:pPr>
            <w:r>
              <w:rPr>
                <w:rFonts w:ascii="Arial Narrow" w:hAnsi="Arial Narrow" w:cs="Calibri"/>
                <w:b/>
                <w:bCs/>
                <w:color w:val="FFFFFF"/>
                <w:sz w:val="18"/>
                <w:szCs w:val="18"/>
              </w:rPr>
              <w:t>37,0</w:t>
            </w:r>
          </w:p>
        </w:tc>
        <w:tc>
          <w:tcPr>
            <w:tcW w:w="830" w:type="dxa"/>
            <w:tcBorders>
              <w:top w:val="single" w:sz="4" w:space="0" w:color="auto"/>
              <w:left w:val="nil"/>
              <w:bottom w:val="single" w:sz="4" w:space="0" w:color="auto"/>
              <w:right w:val="nil"/>
            </w:tcBorders>
            <w:shd w:val="clear" w:color="000000" w:fill="C9321F"/>
            <w:noWrap/>
            <w:vAlign w:val="center"/>
            <w:hideMark/>
          </w:tcPr>
          <w:p w14:paraId="40BB5CF7" w14:textId="77777777" w:rsidR="00E17E76" w:rsidRDefault="00E17E76">
            <w:pPr>
              <w:jc w:val="right"/>
              <w:rPr>
                <w:rFonts w:ascii="Arial Narrow" w:hAnsi="Arial Narrow" w:cs="Calibri"/>
                <w:b/>
                <w:bCs/>
                <w:color w:val="FFFFFF"/>
                <w:sz w:val="18"/>
                <w:szCs w:val="18"/>
              </w:rPr>
            </w:pPr>
            <w:r>
              <w:rPr>
                <w:rFonts w:ascii="Arial Narrow" w:hAnsi="Arial Narrow" w:cs="Calibri"/>
                <w:b/>
                <w:bCs/>
                <w:color w:val="FFFFFF"/>
                <w:sz w:val="18"/>
                <w:szCs w:val="18"/>
              </w:rPr>
              <w:t>4,1</w:t>
            </w:r>
          </w:p>
        </w:tc>
        <w:tc>
          <w:tcPr>
            <w:tcW w:w="888" w:type="dxa"/>
            <w:tcBorders>
              <w:top w:val="single" w:sz="4" w:space="0" w:color="auto"/>
              <w:left w:val="nil"/>
              <w:bottom w:val="single" w:sz="4" w:space="0" w:color="auto"/>
              <w:right w:val="nil"/>
            </w:tcBorders>
            <w:shd w:val="clear" w:color="000000" w:fill="C9321F"/>
            <w:noWrap/>
            <w:vAlign w:val="center"/>
            <w:hideMark/>
          </w:tcPr>
          <w:p w14:paraId="6EEA4944" w14:textId="77777777" w:rsidR="00E17E76" w:rsidRDefault="00E17E76">
            <w:pPr>
              <w:jc w:val="right"/>
              <w:rPr>
                <w:rFonts w:ascii="Arial Narrow" w:hAnsi="Arial Narrow" w:cs="Calibri"/>
                <w:b/>
                <w:bCs/>
                <w:color w:val="FFFFFF"/>
                <w:sz w:val="18"/>
                <w:szCs w:val="18"/>
              </w:rPr>
            </w:pPr>
            <w:r>
              <w:rPr>
                <w:rFonts w:ascii="Arial Narrow" w:hAnsi="Arial Narrow" w:cs="Calibri"/>
                <w:b/>
                <w:bCs/>
                <w:color w:val="FFFFFF"/>
                <w:sz w:val="18"/>
                <w:szCs w:val="18"/>
              </w:rPr>
              <w:t>11,2</w:t>
            </w:r>
          </w:p>
        </w:tc>
        <w:tc>
          <w:tcPr>
            <w:tcW w:w="831" w:type="dxa"/>
            <w:tcBorders>
              <w:top w:val="single" w:sz="4" w:space="0" w:color="auto"/>
              <w:left w:val="nil"/>
              <w:bottom w:val="single" w:sz="4" w:space="0" w:color="auto"/>
              <w:right w:val="nil"/>
            </w:tcBorders>
            <w:shd w:val="clear" w:color="000000" w:fill="C9321F"/>
            <w:noWrap/>
            <w:vAlign w:val="center"/>
            <w:hideMark/>
          </w:tcPr>
          <w:p w14:paraId="2D09B83B" w14:textId="77777777" w:rsidR="00E17E76" w:rsidRDefault="00E17E76">
            <w:pPr>
              <w:jc w:val="right"/>
              <w:rPr>
                <w:rFonts w:ascii="Arial Narrow" w:hAnsi="Arial Narrow" w:cs="Calibri"/>
                <w:b/>
                <w:bCs/>
                <w:color w:val="FFFFFF"/>
                <w:sz w:val="18"/>
                <w:szCs w:val="18"/>
              </w:rPr>
            </w:pPr>
            <w:r>
              <w:rPr>
                <w:rFonts w:ascii="Arial Narrow" w:hAnsi="Arial Narrow" w:cs="Calibri"/>
                <w:b/>
                <w:bCs/>
                <w:color w:val="FFFFFF"/>
                <w:sz w:val="18"/>
                <w:szCs w:val="18"/>
              </w:rPr>
              <w:t>0,4</w:t>
            </w:r>
          </w:p>
        </w:tc>
        <w:tc>
          <w:tcPr>
            <w:tcW w:w="825" w:type="dxa"/>
            <w:tcBorders>
              <w:top w:val="single" w:sz="4" w:space="0" w:color="auto"/>
              <w:left w:val="nil"/>
              <w:bottom w:val="single" w:sz="4" w:space="0" w:color="auto"/>
              <w:right w:val="nil"/>
            </w:tcBorders>
            <w:shd w:val="clear" w:color="000000" w:fill="C9321F"/>
            <w:noWrap/>
            <w:vAlign w:val="center"/>
            <w:hideMark/>
          </w:tcPr>
          <w:p w14:paraId="68ED7317" w14:textId="77777777" w:rsidR="00E17E76" w:rsidRDefault="00E17E76">
            <w:pPr>
              <w:jc w:val="right"/>
              <w:rPr>
                <w:rFonts w:ascii="Arial Narrow" w:hAnsi="Arial Narrow" w:cs="Calibri"/>
                <w:b/>
                <w:bCs/>
                <w:color w:val="FFFFFF"/>
                <w:sz w:val="18"/>
                <w:szCs w:val="18"/>
              </w:rPr>
            </w:pPr>
            <w:r>
              <w:rPr>
                <w:rFonts w:ascii="Arial Narrow" w:hAnsi="Arial Narrow" w:cs="Calibri"/>
                <w:b/>
                <w:bCs/>
                <w:color w:val="FFFFFF"/>
                <w:sz w:val="18"/>
                <w:szCs w:val="18"/>
              </w:rPr>
              <w:t>100,0</w:t>
            </w:r>
          </w:p>
        </w:tc>
      </w:tr>
      <w:tr w:rsidR="00E17E76" w14:paraId="3697DCFC" w14:textId="77777777" w:rsidTr="00AD527A">
        <w:trPr>
          <w:trHeight w:val="300"/>
        </w:trPr>
        <w:tc>
          <w:tcPr>
            <w:tcW w:w="1452" w:type="dxa"/>
            <w:tcBorders>
              <w:top w:val="single" w:sz="4" w:space="0" w:color="auto"/>
              <w:left w:val="nil"/>
              <w:bottom w:val="single" w:sz="4" w:space="0" w:color="auto"/>
              <w:right w:val="nil"/>
            </w:tcBorders>
            <w:shd w:val="clear" w:color="000000" w:fill="C9321F"/>
            <w:noWrap/>
            <w:vAlign w:val="center"/>
            <w:hideMark/>
          </w:tcPr>
          <w:p w14:paraId="5E7D9332" w14:textId="77777777" w:rsidR="00E17E76" w:rsidRDefault="00E17E76">
            <w:pPr>
              <w:rPr>
                <w:rFonts w:ascii="Arial Narrow" w:hAnsi="Arial Narrow" w:cs="Calibri"/>
                <w:b/>
                <w:bCs/>
                <w:color w:val="FFFFFF"/>
                <w:sz w:val="18"/>
                <w:szCs w:val="18"/>
              </w:rPr>
            </w:pPr>
            <w:r>
              <w:rPr>
                <w:rFonts w:ascii="Arial Narrow" w:hAnsi="Arial Narrow" w:cs="Calibri"/>
                <w:b/>
                <w:bCs/>
                <w:color w:val="FFFFFF"/>
                <w:sz w:val="18"/>
                <w:szCs w:val="18"/>
              </w:rPr>
              <w:t>ITALIA</w:t>
            </w:r>
          </w:p>
        </w:tc>
        <w:tc>
          <w:tcPr>
            <w:tcW w:w="870" w:type="dxa"/>
            <w:tcBorders>
              <w:top w:val="single" w:sz="4" w:space="0" w:color="auto"/>
              <w:left w:val="nil"/>
              <w:bottom w:val="single" w:sz="4" w:space="0" w:color="auto"/>
              <w:right w:val="nil"/>
            </w:tcBorders>
            <w:shd w:val="clear" w:color="000000" w:fill="C9321F"/>
            <w:noWrap/>
            <w:vAlign w:val="center"/>
            <w:hideMark/>
          </w:tcPr>
          <w:p w14:paraId="1284DE07" w14:textId="77777777" w:rsidR="00E17E76" w:rsidRDefault="00E17E76">
            <w:pPr>
              <w:jc w:val="right"/>
              <w:rPr>
                <w:rFonts w:ascii="Arial Narrow" w:hAnsi="Arial Narrow" w:cs="Calibri"/>
                <w:b/>
                <w:bCs/>
                <w:color w:val="FFFFFF"/>
                <w:sz w:val="18"/>
                <w:szCs w:val="18"/>
              </w:rPr>
            </w:pPr>
            <w:r>
              <w:rPr>
                <w:rFonts w:ascii="Arial Narrow" w:hAnsi="Arial Narrow" w:cs="Calibri"/>
                <w:b/>
                <w:bCs/>
                <w:color w:val="FFFFFF"/>
                <w:sz w:val="18"/>
                <w:szCs w:val="18"/>
              </w:rPr>
              <w:t>0,6</w:t>
            </w:r>
          </w:p>
        </w:tc>
        <w:tc>
          <w:tcPr>
            <w:tcW w:w="1254" w:type="dxa"/>
            <w:tcBorders>
              <w:top w:val="single" w:sz="4" w:space="0" w:color="auto"/>
              <w:left w:val="nil"/>
              <w:bottom w:val="single" w:sz="4" w:space="0" w:color="auto"/>
              <w:right w:val="nil"/>
            </w:tcBorders>
            <w:shd w:val="clear" w:color="000000" w:fill="C9321F"/>
            <w:noWrap/>
            <w:vAlign w:val="center"/>
            <w:hideMark/>
          </w:tcPr>
          <w:p w14:paraId="0E46657F" w14:textId="77777777" w:rsidR="00E17E76" w:rsidRDefault="00E17E76">
            <w:pPr>
              <w:jc w:val="right"/>
              <w:rPr>
                <w:rFonts w:ascii="Arial Narrow" w:hAnsi="Arial Narrow" w:cs="Calibri"/>
                <w:b/>
                <w:bCs/>
                <w:color w:val="FFFFFF"/>
                <w:sz w:val="18"/>
                <w:szCs w:val="18"/>
              </w:rPr>
            </w:pPr>
            <w:r>
              <w:rPr>
                <w:rFonts w:ascii="Arial Narrow" w:hAnsi="Arial Narrow" w:cs="Calibri"/>
                <w:b/>
                <w:bCs/>
                <w:color w:val="FFFFFF"/>
                <w:sz w:val="18"/>
                <w:szCs w:val="18"/>
              </w:rPr>
              <w:t>3,8</w:t>
            </w:r>
          </w:p>
        </w:tc>
        <w:tc>
          <w:tcPr>
            <w:tcW w:w="930" w:type="dxa"/>
            <w:tcBorders>
              <w:top w:val="single" w:sz="4" w:space="0" w:color="auto"/>
              <w:left w:val="nil"/>
              <w:bottom w:val="single" w:sz="4" w:space="0" w:color="auto"/>
              <w:right w:val="nil"/>
            </w:tcBorders>
            <w:shd w:val="clear" w:color="000000" w:fill="C9321F"/>
            <w:noWrap/>
            <w:vAlign w:val="center"/>
            <w:hideMark/>
          </w:tcPr>
          <w:p w14:paraId="3DB08065" w14:textId="77777777" w:rsidR="00E17E76" w:rsidRDefault="00E17E76">
            <w:pPr>
              <w:jc w:val="right"/>
              <w:rPr>
                <w:rFonts w:ascii="Arial Narrow" w:hAnsi="Arial Narrow" w:cs="Calibri"/>
                <w:b/>
                <w:bCs/>
                <w:color w:val="FFFFFF"/>
                <w:sz w:val="18"/>
                <w:szCs w:val="18"/>
              </w:rPr>
            </w:pPr>
            <w:r>
              <w:rPr>
                <w:rFonts w:ascii="Arial Narrow" w:hAnsi="Arial Narrow" w:cs="Calibri"/>
                <w:b/>
                <w:bCs/>
                <w:color w:val="FFFFFF"/>
                <w:sz w:val="18"/>
                <w:szCs w:val="18"/>
              </w:rPr>
              <w:t>15,5</w:t>
            </w:r>
          </w:p>
        </w:tc>
        <w:tc>
          <w:tcPr>
            <w:tcW w:w="828" w:type="dxa"/>
            <w:tcBorders>
              <w:top w:val="single" w:sz="4" w:space="0" w:color="auto"/>
              <w:left w:val="nil"/>
              <w:bottom w:val="single" w:sz="4" w:space="0" w:color="auto"/>
              <w:right w:val="nil"/>
            </w:tcBorders>
            <w:shd w:val="clear" w:color="000000" w:fill="C9321F"/>
            <w:noWrap/>
            <w:vAlign w:val="center"/>
            <w:hideMark/>
          </w:tcPr>
          <w:p w14:paraId="373A7291" w14:textId="77777777" w:rsidR="00E17E76" w:rsidRDefault="00E17E76">
            <w:pPr>
              <w:jc w:val="right"/>
              <w:rPr>
                <w:rFonts w:ascii="Arial Narrow" w:hAnsi="Arial Narrow" w:cs="Calibri"/>
                <w:b/>
                <w:bCs/>
                <w:color w:val="FFFFFF"/>
                <w:sz w:val="18"/>
                <w:szCs w:val="18"/>
              </w:rPr>
            </w:pPr>
            <w:r>
              <w:rPr>
                <w:rFonts w:ascii="Arial Narrow" w:hAnsi="Arial Narrow" w:cs="Calibri"/>
                <w:b/>
                <w:bCs/>
                <w:color w:val="FFFFFF"/>
                <w:sz w:val="18"/>
                <w:szCs w:val="18"/>
              </w:rPr>
              <w:t>29,3</w:t>
            </w:r>
          </w:p>
        </w:tc>
        <w:tc>
          <w:tcPr>
            <w:tcW w:w="930" w:type="dxa"/>
            <w:tcBorders>
              <w:top w:val="single" w:sz="4" w:space="0" w:color="auto"/>
              <w:left w:val="nil"/>
              <w:bottom w:val="single" w:sz="4" w:space="0" w:color="auto"/>
              <w:right w:val="nil"/>
            </w:tcBorders>
            <w:shd w:val="clear" w:color="000000" w:fill="C9321F"/>
            <w:noWrap/>
            <w:vAlign w:val="center"/>
            <w:hideMark/>
          </w:tcPr>
          <w:p w14:paraId="5849F047" w14:textId="77777777" w:rsidR="00E17E76" w:rsidRDefault="00E17E76">
            <w:pPr>
              <w:jc w:val="right"/>
              <w:rPr>
                <w:rFonts w:ascii="Arial Narrow" w:hAnsi="Arial Narrow" w:cs="Calibri"/>
                <w:b/>
                <w:bCs/>
                <w:color w:val="FFFFFF"/>
                <w:sz w:val="18"/>
                <w:szCs w:val="18"/>
              </w:rPr>
            </w:pPr>
            <w:r>
              <w:rPr>
                <w:rFonts w:ascii="Arial Narrow" w:hAnsi="Arial Narrow" w:cs="Calibri"/>
                <w:b/>
                <w:bCs/>
                <w:color w:val="FFFFFF"/>
                <w:sz w:val="18"/>
                <w:szCs w:val="18"/>
              </w:rPr>
              <w:t>36,0</w:t>
            </w:r>
          </w:p>
        </w:tc>
        <w:tc>
          <w:tcPr>
            <w:tcW w:w="830" w:type="dxa"/>
            <w:tcBorders>
              <w:top w:val="single" w:sz="4" w:space="0" w:color="auto"/>
              <w:left w:val="nil"/>
              <w:bottom w:val="single" w:sz="4" w:space="0" w:color="auto"/>
              <w:right w:val="nil"/>
            </w:tcBorders>
            <w:shd w:val="clear" w:color="000000" w:fill="C9321F"/>
            <w:noWrap/>
            <w:vAlign w:val="center"/>
            <w:hideMark/>
          </w:tcPr>
          <w:p w14:paraId="2793B833" w14:textId="77777777" w:rsidR="00E17E76" w:rsidRDefault="00E17E76">
            <w:pPr>
              <w:jc w:val="right"/>
              <w:rPr>
                <w:rFonts w:ascii="Arial Narrow" w:hAnsi="Arial Narrow" w:cs="Calibri"/>
                <w:b/>
                <w:bCs/>
                <w:color w:val="FFFFFF"/>
                <w:sz w:val="18"/>
                <w:szCs w:val="18"/>
              </w:rPr>
            </w:pPr>
            <w:r>
              <w:rPr>
                <w:rFonts w:ascii="Arial Narrow" w:hAnsi="Arial Narrow" w:cs="Calibri"/>
                <w:b/>
                <w:bCs/>
                <w:color w:val="FFFFFF"/>
                <w:sz w:val="18"/>
                <w:szCs w:val="18"/>
              </w:rPr>
              <w:t>3,8</w:t>
            </w:r>
          </w:p>
        </w:tc>
        <w:tc>
          <w:tcPr>
            <w:tcW w:w="888" w:type="dxa"/>
            <w:tcBorders>
              <w:top w:val="single" w:sz="4" w:space="0" w:color="auto"/>
              <w:left w:val="nil"/>
              <w:bottom w:val="single" w:sz="4" w:space="0" w:color="auto"/>
              <w:right w:val="nil"/>
            </w:tcBorders>
            <w:shd w:val="clear" w:color="000000" w:fill="C9321F"/>
            <w:noWrap/>
            <w:vAlign w:val="center"/>
            <w:hideMark/>
          </w:tcPr>
          <w:p w14:paraId="690E3F49" w14:textId="77777777" w:rsidR="00E17E76" w:rsidRDefault="00E17E76">
            <w:pPr>
              <w:jc w:val="right"/>
              <w:rPr>
                <w:rFonts w:ascii="Arial Narrow" w:hAnsi="Arial Narrow" w:cs="Calibri"/>
                <w:b/>
                <w:bCs/>
                <w:color w:val="FFFFFF"/>
                <w:sz w:val="18"/>
                <w:szCs w:val="18"/>
              </w:rPr>
            </w:pPr>
            <w:r>
              <w:rPr>
                <w:rFonts w:ascii="Arial Narrow" w:hAnsi="Arial Narrow" w:cs="Calibri"/>
                <w:b/>
                <w:bCs/>
                <w:color w:val="FFFFFF"/>
                <w:sz w:val="18"/>
                <w:szCs w:val="18"/>
              </w:rPr>
              <w:t>10,7</w:t>
            </w:r>
          </w:p>
        </w:tc>
        <w:tc>
          <w:tcPr>
            <w:tcW w:w="831" w:type="dxa"/>
            <w:tcBorders>
              <w:top w:val="single" w:sz="4" w:space="0" w:color="auto"/>
              <w:left w:val="nil"/>
              <w:bottom w:val="single" w:sz="4" w:space="0" w:color="auto"/>
              <w:right w:val="nil"/>
            </w:tcBorders>
            <w:shd w:val="clear" w:color="000000" w:fill="C9321F"/>
            <w:noWrap/>
            <w:vAlign w:val="center"/>
            <w:hideMark/>
          </w:tcPr>
          <w:p w14:paraId="629ECDA7" w14:textId="77777777" w:rsidR="00E17E76" w:rsidRDefault="00E17E76">
            <w:pPr>
              <w:jc w:val="right"/>
              <w:rPr>
                <w:rFonts w:ascii="Arial Narrow" w:hAnsi="Arial Narrow" w:cs="Calibri"/>
                <w:b/>
                <w:bCs/>
                <w:color w:val="FFFFFF"/>
                <w:sz w:val="18"/>
                <w:szCs w:val="18"/>
              </w:rPr>
            </w:pPr>
            <w:r>
              <w:rPr>
                <w:rFonts w:ascii="Arial Narrow" w:hAnsi="Arial Narrow" w:cs="Calibri"/>
                <w:b/>
                <w:bCs/>
                <w:color w:val="FFFFFF"/>
                <w:sz w:val="18"/>
                <w:szCs w:val="18"/>
              </w:rPr>
              <w:t>0,4</w:t>
            </w:r>
          </w:p>
        </w:tc>
        <w:tc>
          <w:tcPr>
            <w:tcW w:w="825" w:type="dxa"/>
            <w:tcBorders>
              <w:top w:val="single" w:sz="4" w:space="0" w:color="auto"/>
              <w:left w:val="nil"/>
              <w:bottom w:val="single" w:sz="4" w:space="0" w:color="auto"/>
              <w:right w:val="nil"/>
            </w:tcBorders>
            <w:shd w:val="clear" w:color="000000" w:fill="C9321F"/>
            <w:noWrap/>
            <w:vAlign w:val="center"/>
            <w:hideMark/>
          </w:tcPr>
          <w:p w14:paraId="01445C5C" w14:textId="77777777" w:rsidR="00E17E76" w:rsidRDefault="00E17E76">
            <w:pPr>
              <w:jc w:val="right"/>
              <w:rPr>
                <w:rFonts w:ascii="Arial Narrow" w:hAnsi="Arial Narrow" w:cs="Calibri"/>
                <w:b/>
                <w:bCs/>
                <w:color w:val="FFFFFF"/>
                <w:sz w:val="18"/>
                <w:szCs w:val="18"/>
              </w:rPr>
            </w:pPr>
            <w:r>
              <w:rPr>
                <w:rFonts w:ascii="Arial Narrow" w:hAnsi="Arial Narrow" w:cs="Calibri"/>
                <w:b/>
                <w:bCs/>
                <w:color w:val="FFFFFF"/>
                <w:sz w:val="18"/>
                <w:szCs w:val="18"/>
              </w:rPr>
              <w:t>100,0</w:t>
            </w:r>
          </w:p>
        </w:tc>
      </w:tr>
    </w:tbl>
    <w:p w14:paraId="09AB9B10" w14:textId="77777777" w:rsidR="006A78AD" w:rsidRDefault="006A78AD" w:rsidP="00BA4082">
      <w:pPr>
        <w:spacing w:before="120" w:after="120"/>
        <w:jc w:val="both"/>
        <w:rPr>
          <w:rFonts w:ascii="Trebuchet MS" w:hAnsi="Trebuchet MS" w:cs="Arial"/>
          <w:color w:val="5F5F5F"/>
          <w:sz w:val="20"/>
          <w:szCs w:val="20"/>
        </w:rPr>
      </w:pPr>
    </w:p>
    <w:p w14:paraId="19F1512F" w14:textId="55506E7D" w:rsidR="00AD527A" w:rsidRDefault="00AD527A" w:rsidP="00BA4082">
      <w:pPr>
        <w:spacing w:before="120" w:after="120"/>
        <w:jc w:val="both"/>
        <w:rPr>
          <w:rFonts w:ascii="Trebuchet MS" w:hAnsi="Trebuchet MS" w:cs="Arial"/>
          <w:color w:val="5F5F5F"/>
          <w:sz w:val="20"/>
          <w:szCs w:val="20"/>
        </w:rPr>
      </w:pPr>
      <w:r>
        <w:rPr>
          <w:rFonts w:ascii="Trebuchet MS" w:hAnsi="Trebuchet MS" w:cs="Arial"/>
          <w:color w:val="5F5F5F"/>
          <w:sz w:val="20"/>
          <w:szCs w:val="20"/>
        </w:rPr>
        <w:t xml:space="preserve">Nonostante l’analfabetismo o l’assenza di un titolo d’istruzione siano in regione meno diffusi rispetto al contesto medio nazionale </w:t>
      </w:r>
      <w:r w:rsidRPr="00DB0AEE">
        <w:rPr>
          <w:rFonts w:ascii="Trebuchet MS" w:hAnsi="Trebuchet MS" w:cs="Arial"/>
          <w:color w:val="5F5F5F"/>
          <w:sz w:val="20"/>
          <w:szCs w:val="20"/>
        </w:rPr>
        <w:t>(3,6%</w:t>
      </w:r>
      <w:r>
        <w:rPr>
          <w:rFonts w:ascii="Trebuchet MS" w:hAnsi="Trebuchet MS" w:cs="Arial"/>
          <w:color w:val="5F5F5F"/>
          <w:sz w:val="20"/>
          <w:szCs w:val="20"/>
        </w:rPr>
        <w:t xml:space="preserve"> a fronte del </w:t>
      </w:r>
      <w:r w:rsidRPr="00DB2974">
        <w:rPr>
          <w:rFonts w:ascii="Trebuchet MS" w:hAnsi="Trebuchet MS" w:cs="Arial"/>
          <w:color w:val="5F5F5F"/>
          <w:sz w:val="20"/>
          <w:szCs w:val="20"/>
        </w:rPr>
        <w:t>4,4%</w:t>
      </w:r>
      <w:r>
        <w:rPr>
          <w:rFonts w:ascii="Trebuchet MS" w:hAnsi="Trebuchet MS" w:cs="Arial"/>
          <w:color w:val="5F5F5F"/>
          <w:sz w:val="20"/>
          <w:szCs w:val="20"/>
        </w:rPr>
        <w:t>), emer</w:t>
      </w:r>
      <w:r w:rsidR="00275285">
        <w:rPr>
          <w:rFonts w:ascii="Trebuchet MS" w:hAnsi="Trebuchet MS" w:cs="Arial"/>
          <w:color w:val="5F5F5F"/>
          <w:sz w:val="20"/>
          <w:szCs w:val="20"/>
        </w:rPr>
        <w:t>gono alcuni importanti divari. Nella provincia di</w:t>
      </w:r>
      <w:r>
        <w:rPr>
          <w:rFonts w:ascii="Trebuchet MS" w:hAnsi="Trebuchet MS" w:cs="Arial"/>
          <w:color w:val="5F5F5F"/>
          <w:sz w:val="20"/>
          <w:szCs w:val="20"/>
        </w:rPr>
        <w:t xml:space="preserve"> Mantova </w:t>
      </w:r>
      <w:r w:rsidRPr="00627BD6">
        <w:rPr>
          <w:rFonts w:ascii="Trebuchet MS" w:hAnsi="Trebuchet MS" w:cs="Arial"/>
          <w:color w:val="5F5F5F"/>
          <w:sz w:val="20"/>
          <w:szCs w:val="20"/>
        </w:rPr>
        <w:t xml:space="preserve">si </w:t>
      </w:r>
      <w:r>
        <w:rPr>
          <w:rFonts w:ascii="Trebuchet MS" w:hAnsi="Trebuchet MS" w:cs="Arial"/>
          <w:color w:val="5F5F5F"/>
          <w:sz w:val="20"/>
          <w:szCs w:val="20"/>
        </w:rPr>
        <w:t>rileva</w:t>
      </w:r>
      <w:r w:rsidRPr="00627BD6">
        <w:rPr>
          <w:rFonts w:ascii="Trebuchet MS" w:hAnsi="Trebuchet MS" w:cs="Arial"/>
          <w:color w:val="5F5F5F"/>
          <w:sz w:val="20"/>
          <w:szCs w:val="20"/>
        </w:rPr>
        <w:t xml:space="preserve"> la quota più consistente di </w:t>
      </w:r>
      <w:r>
        <w:rPr>
          <w:rFonts w:ascii="Trebuchet MS" w:hAnsi="Trebuchet MS" w:cs="Arial"/>
          <w:color w:val="5F5F5F"/>
          <w:sz w:val="20"/>
          <w:szCs w:val="20"/>
        </w:rPr>
        <w:t xml:space="preserve">popolazione </w:t>
      </w:r>
      <w:r w:rsidRPr="00627BD6">
        <w:rPr>
          <w:rFonts w:ascii="Trebuchet MS" w:hAnsi="Trebuchet MS" w:cs="Arial"/>
          <w:color w:val="5F5F5F"/>
          <w:sz w:val="20"/>
          <w:szCs w:val="20"/>
        </w:rPr>
        <w:t>senza alcun titolo di studio</w:t>
      </w:r>
      <w:r>
        <w:rPr>
          <w:rFonts w:ascii="Trebuchet MS" w:hAnsi="Trebuchet MS" w:cs="Arial"/>
          <w:color w:val="5F5F5F"/>
          <w:sz w:val="20"/>
          <w:szCs w:val="20"/>
        </w:rPr>
        <w:t xml:space="preserve"> (4,0%). </w:t>
      </w:r>
      <w:r w:rsidRPr="00A66A1B">
        <w:rPr>
          <w:rFonts w:ascii="Trebuchet MS" w:hAnsi="Trebuchet MS" w:cs="Arial"/>
          <w:color w:val="5F5F5F"/>
          <w:sz w:val="20"/>
          <w:szCs w:val="20"/>
        </w:rPr>
        <w:t>In particolare, quattro pe</w:t>
      </w:r>
      <w:r w:rsidR="00005AAE">
        <w:rPr>
          <w:rFonts w:ascii="Trebuchet MS" w:hAnsi="Trebuchet MS" w:cs="Arial"/>
          <w:color w:val="5F5F5F"/>
          <w:sz w:val="20"/>
          <w:szCs w:val="20"/>
        </w:rPr>
        <w:t>rsone su mille sono analfabete nelle province di</w:t>
      </w:r>
      <w:r w:rsidRPr="00A66A1B">
        <w:rPr>
          <w:rFonts w:ascii="Trebuchet MS" w:hAnsi="Trebuchet MS" w:cs="Arial"/>
          <w:color w:val="5F5F5F"/>
          <w:sz w:val="20"/>
          <w:szCs w:val="20"/>
        </w:rPr>
        <w:t xml:space="preserve"> Mantova, Milano, Pavia, Varese e Cremona mentre la percentuale più bassa si registra a Sondrio (due analfabeti ogni mille abitanti). </w:t>
      </w:r>
      <w:r w:rsidR="00005AAE">
        <w:rPr>
          <w:rFonts w:ascii="Trebuchet MS" w:hAnsi="Trebuchet MS" w:cs="Arial"/>
          <w:color w:val="5F5F5F"/>
          <w:sz w:val="20"/>
          <w:szCs w:val="20"/>
        </w:rPr>
        <w:t xml:space="preserve">La provincia di </w:t>
      </w:r>
      <w:r w:rsidRPr="00A66A1B">
        <w:rPr>
          <w:rFonts w:ascii="Trebuchet MS" w:hAnsi="Trebuchet MS" w:cs="Arial"/>
          <w:color w:val="5F5F5F"/>
          <w:sz w:val="20"/>
          <w:szCs w:val="20"/>
        </w:rPr>
        <w:t>Milano si distingue per</w:t>
      </w:r>
      <w:r>
        <w:rPr>
          <w:rFonts w:ascii="Trebuchet MS" w:hAnsi="Trebuchet MS" w:cs="Arial"/>
          <w:color w:val="5F5F5F"/>
          <w:sz w:val="20"/>
          <w:szCs w:val="20"/>
        </w:rPr>
        <w:t xml:space="preserve"> la percentuale minore di persone con la licenza di scuola elementare </w:t>
      </w:r>
      <w:r w:rsidRPr="00A84C95">
        <w:rPr>
          <w:rFonts w:ascii="Trebuchet MS" w:hAnsi="Trebuchet MS" w:cs="Arial"/>
          <w:color w:val="5F5F5F"/>
          <w:sz w:val="20"/>
          <w:szCs w:val="20"/>
        </w:rPr>
        <w:t>(12,3%),</w:t>
      </w:r>
      <w:r>
        <w:rPr>
          <w:rFonts w:ascii="Trebuchet MS" w:hAnsi="Trebuchet MS" w:cs="Arial"/>
          <w:color w:val="5F5F5F"/>
          <w:sz w:val="20"/>
          <w:szCs w:val="20"/>
        </w:rPr>
        <w:t xml:space="preserve"> </w:t>
      </w:r>
      <w:r w:rsidR="00005AAE">
        <w:rPr>
          <w:rFonts w:ascii="Trebuchet MS" w:hAnsi="Trebuchet MS" w:cs="Arial"/>
          <w:color w:val="5F5F5F"/>
          <w:sz w:val="20"/>
          <w:szCs w:val="20"/>
        </w:rPr>
        <w:t xml:space="preserve">quella di </w:t>
      </w:r>
      <w:r w:rsidRPr="00A66A1B">
        <w:rPr>
          <w:rFonts w:ascii="Trebuchet MS" w:hAnsi="Trebuchet MS" w:cs="Arial"/>
          <w:color w:val="5F5F5F"/>
          <w:sz w:val="20"/>
          <w:szCs w:val="20"/>
        </w:rPr>
        <w:t xml:space="preserve">Sondrio per la percentuale più elevata di </w:t>
      </w:r>
      <w:r w:rsidR="00762F15">
        <w:rPr>
          <w:rFonts w:ascii="Trebuchet MS" w:hAnsi="Trebuchet MS" w:cs="Arial"/>
          <w:color w:val="5F5F5F"/>
          <w:sz w:val="20"/>
          <w:szCs w:val="20"/>
        </w:rPr>
        <w:t>individui</w:t>
      </w:r>
      <w:r w:rsidRPr="00A66A1B">
        <w:rPr>
          <w:rFonts w:ascii="Trebuchet MS" w:hAnsi="Trebuchet MS" w:cs="Arial"/>
          <w:color w:val="5F5F5F"/>
          <w:sz w:val="20"/>
          <w:szCs w:val="20"/>
        </w:rPr>
        <w:t xml:space="preserve"> in possesso del diploma di scuola secondaria </w:t>
      </w:r>
      <w:r w:rsidR="00005AAE">
        <w:rPr>
          <w:rFonts w:ascii="Trebuchet MS" w:hAnsi="Trebuchet MS" w:cs="Arial"/>
          <w:color w:val="5F5F5F"/>
          <w:sz w:val="20"/>
          <w:szCs w:val="20"/>
        </w:rPr>
        <w:t xml:space="preserve">di </w:t>
      </w:r>
      <w:r w:rsidRPr="00A66A1B">
        <w:rPr>
          <w:rFonts w:ascii="Trebuchet MS" w:hAnsi="Trebuchet MS" w:cs="Arial"/>
          <w:color w:val="5F5F5F"/>
          <w:sz w:val="20"/>
          <w:szCs w:val="20"/>
        </w:rPr>
        <w:t>secondo grado (41,1%).</w:t>
      </w:r>
    </w:p>
    <w:p w14:paraId="59C43E5B" w14:textId="77777777" w:rsidR="00AD527A" w:rsidRDefault="00AD527A" w:rsidP="00AD527A">
      <w:pPr>
        <w:spacing w:after="120"/>
        <w:jc w:val="both"/>
        <w:rPr>
          <w:rFonts w:ascii="Trebuchet MS" w:hAnsi="Trebuchet MS" w:cs="Arial"/>
          <w:color w:val="5F5F5F"/>
          <w:sz w:val="20"/>
          <w:szCs w:val="20"/>
        </w:rPr>
      </w:pPr>
      <w:r>
        <w:rPr>
          <w:rFonts w:ascii="Trebuchet MS" w:hAnsi="Trebuchet MS" w:cs="Arial"/>
          <w:color w:val="5F5F5F"/>
          <w:sz w:val="20"/>
          <w:szCs w:val="20"/>
        </w:rPr>
        <w:t>L</w:t>
      </w:r>
      <w:r w:rsidRPr="00394AD1">
        <w:rPr>
          <w:rFonts w:ascii="Trebuchet MS" w:hAnsi="Trebuchet MS" w:cs="Arial"/>
          <w:color w:val="5F5F5F"/>
          <w:sz w:val="20"/>
          <w:szCs w:val="20"/>
        </w:rPr>
        <w:t>a quota di residenti</w:t>
      </w:r>
      <w:r>
        <w:rPr>
          <w:rFonts w:ascii="Trebuchet MS" w:hAnsi="Trebuchet MS" w:cs="Arial"/>
          <w:color w:val="5F5F5F"/>
          <w:sz w:val="20"/>
          <w:szCs w:val="20"/>
        </w:rPr>
        <w:t xml:space="preserve"> con la sola licenza media è più contenuta nella provincia di Milano </w:t>
      </w:r>
      <w:r w:rsidRPr="0067723A">
        <w:rPr>
          <w:rFonts w:ascii="Trebuchet MS" w:hAnsi="Trebuchet MS" w:cs="Arial"/>
          <w:color w:val="5F5F5F"/>
          <w:sz w:val="20"/>
          <w:szCs w:val="20"/>
        </w:rPr>
        <w:t>(25</w:t>
      </w:r>
      <w:r>
        <w:rPr>
          <w:rFonts w:ascii="Trebuchet MS" w:hAnsi="Trebuchet MS" w:cs="Arial"/>
          <w:color w:val="5F5F5F"/>
          <w:sz w:val="20"/>
          <w:szCs w:val="20"/>
        </w:rPr>
        <w:t>,0</w:t>
      </w:r>
      <w:r w:rsidRPr="0067723A">
        <w:rPr>
          <w:rFonts w:ascii="Trebuchet MS" w:hAnsi="Trebuchet MS" w:cs="Arial"/>
          <w:color w:val="5F5F5F"/>
          <w:sz w:val="20"/>
          <w:szCs w:val="20"/>
        </w:rPr>
        <w:t>%),</w:t>
      </w:r>
      <w:r>
        <w:rPr>
          <w:rFonts w:ascii="Trebuchet MS" w:hAnsi="Trebuchet MS" w:cs="Arial"/>
          <w:color w:val="5F5F5F"/>
          <w:sz w:val="20"/>
          <w:szCs w:val="20"/>
        </w:rPr>
        <w:t xml:space="preserve"> sale al </w:t>
      </w:r>
      <w:r w:rsidRPr="0067723A">
        <w:rPr>
          <w:rFonts w:ascii="Trebuchet MS" w:hAnsi="Trebuchet MS" w:cs="Arial"/>
          <w:color w:val="5F5F5F"/>
          <w:sz w:val="20"/>
          <w:szCs w:val="20"/>
        </w:rPr>
        <w:t>27,4%</w:t>
      </w:r>
      <w:r>
        <w:rPr>
          <w:rFonts w:ascii="Trebuchet MS" w:hAnsi="Trebuchet MS" w:cs="Arial"/>
          <w:color w:val="5F5F5F"/>
          <w:sz w:val="20"/>
          <w:szCs w:val="20"/>
        </w:rPr>
        <w:t xml:space="preserve"> a Monza e Brianza, e raggiunge il </w:t>
      </w:r>
      <w:r w:rsidRPr="0067723A">
        <w:rPr>
          <w:rFonts w:ascii="Trebuchet MS" w:hAnsi="Trebuchet MS" w:cs="Arial"/>
          <w:color w:val="5F5F5F"/>
          <w:sz w:val="20"/>
          <w:szCs w:val="20"/>
        </w:rPr>
        <w:t>33,5%</w:t>
      </w:r>
      <w:r>
        <w:rPr>
          <w:rFonts w:ascii="Trebuchet MS" w:hAnsi="Trebuchet MS" w:cs="Arial"/>
          <w:color w:val="5F5F5F"/>
          <w:sz w:val="20"/>
          <w:szCs w:val="20"/>
        </w:rPr>
        <w:t xml:space="preserve"> a Bergamo, interessando più di un terzo della popolazione della provincia. </w:t>
      </w:r>
    </w:p>
    <w:p w14:paraId="7ECAD6D3" w14:textId="2B4D0A28" w:rsidR="004162C3" w:rsidRDefault="00005AAE" w:rsidP="00AD527A">
      <w:pPr>
        <w:spacing w:after="120"/>
        <w:jc w:val="both"/>
        <w:rPr>
          <w:rFonts w:ascii="Trebuchet MS" w:hAnsi="Trebuchet MS" w:cs="Arial"/>
          <w:color w:val="5F5F5F"/>
          <w:sz w:val="20"/>
          <w:szCs w:val="20"/>
        </w:rPr>
      </w:pPr>
      <w:r>
        <w:rPr>
          <w:rFonts w:ascii="Trebuchet MS" w:hAnsi="Trebuchet MS" w:cs="Arial"/>
          <w:color w:val="5F5F5F"/>
          <w:sz w:val="20"/>
          <w:szCs w:val="20"/>
        </w:rPr>
        <w:lastRenderedPageBreak/>
        <w:t>Nella provincia di</w:t>
      </w:r>
      <w:r w:rsidR="00AD527A">
        <w:rPr>
          <w:rFonts w:ascii="Trebuchet MS" w:hAnsi="Trebuchet MS" w:cs="Arial"/>
          <w:color w:val="5F5F5F"/>
          <w:sz w:val="20"/>
          <w:szCs w:val="20"/>
        </w:rPr>
        <w:t xml:space="preserve"> Milan</w:t>
      </w:r>
      <w:r w:rsidR="00AD527A" w:rsidRPr="005020F4">
        <w:rPr>
          <w:rFonts w:ascii="Trebuchet MS" w:hAnsi="Trebuchet MS" w:cs="Arial"/>
          <w:color w:val="5F5F5F"/>
          <w:sz w:val="20"/>
          <w:szCs w:val="20"/>
        </w:rPr>
        <w:t>o,</w:t>
      </w:r>
      <w:r w:rsidR="00AD527A">
        <w:rPr>
          <w:rFonts w:ascii="Trebuchet MS" w:hAnsi="Trebuchet MS" w:cs="Arial"/>
          <w:color w:val="5F5F5F"/>
          <w:sz w:val="20"/>
          <w:szCs w:val="20"/>
        </w:rPr>
        <w:t xml:space="preserve"> all’incidenza più contenuta dell’istruzione di base, si affianca quella più rilevante per i titoli di studio più alti: oltre alla percentuale – già evidenziata </w:t>
      </w:r>
      <w:r w:rsidR="00AD527A" w:rsidRPr="00990DF0">
        <w:rPr>
          <w:rFonts w:ascii="Trebuchet MS" w:hAnsi="Trebuchet MS" w:cs="Arial"/>
          <w:color w:val="5F5F5F"/>
          <w:sz w:val="20"/>
          <w:szCs w:val="20"/>
        </w:rPr>
        <w:t>- relativa ai dottorati di ricerca, i laureati sono il 20,4%, mentre le maggiori criticità si registrano a Sondrio (10,7%</w:t>
      </w:r>
      <w:r w:rsidR="00AD527A">
        <w:rPr>
          <w:rFonts w:ascii="Trebuchet MS" w:hAnsi="Trebuchet MS" w:cs="Arial"/>
          <w:color w:val="5F5F5F"/>
          <w:sz w:val="20"/>
          <w:szCs w:val="20"/>
        </w:rPr>
        <w:t xml:space="preserve"> di laureati</w:t>
      </w:r>
      <w:r w:rsidR="004162C3">
        <w:rPr>
          <w:rFonts w:ascii="Trebuchet MS" w:hAnsi="Trebuchet MS" w:cs="Arial"/>
          <w:color w:val="5F5F5F"/>
          <w:sz w:val="20"/>
          <w:szCs w:val="20"/>
        </w:rPr>
        <w:t>).</w:t>
      </w:r>
    </w:p>
    <w:p w14:paraId="194E36D0" w14:textId="77777777" w:rsidR="008C7BC5" w:rsidRPr="00437001" w:rsidRDefault="008C7BC5" w:rsidP="004162C3">
      <w:pPr>
        <w:spacing w:after="120"/>
        <w:jc w:val="both"/>
        <w:rPr>
          <w:rFonts w:ascii="Trebuchet MS" w:hAnsi="Trebuchet MS" w:cs="Arial"/>
          <w:color w:val="5F5F5F"/>
          <w:sz w:val="16"/>
          <w:szCs w:val="16"/>
        </w:rPr>
      </w:pPr>
    </w:p>
    <w:tbl>
      <w:tblPr>
        <w:tblStyle w:val="Grigliatabella"/>
        <w:tblW w:w="0" w:type="auto"/>
        <w:tblBorders>
          <w:top w:val="none" w:sz="0" w:space="0" w:color="auto"/>
        </w:tblBorders>
        <w:tblLook w:val="04A0" w:firstRow="1" w:lastRow="0" w:firstColumn="1" w:lastColumn="0" w:noHBand="0" w:noVBand="1"/>
      </w:tblPr>
      <w:tblGrid>
        <w:gridCol w:w="4819"/>
        <w:gridCol w:w="4819"/>
      </w:tblGrid>
      <w:tr w:rsidR="004162C3" w14:paraId="6120190C" w14:textId="77777777" w:rsidTr="0085034C">
        <w:tc>
          <w:tcPr>
            <w:tcW w:w="4880" w:type="dxa"/>
            <w:tcBorders>
              <w:top w:val="nil"/>
              <w:left w:val="nil"/>
              <w:bottom w:val="single" w:sz="4" w:space="0" w:color="D9D9D9" w:themeColor="background1" w:themeShade="D9"/>
              <w:right w:val="nil"/>
            </w:tcBorders>
          </w:tcPr>
          <w:p w14:paraId="0E2BB0EF" w14:textId="77777777" w:rsidR="004162C3" w:rsidRPr="00047761" w:rsidRDefault="004162C3" w:rsidP="00AD527A">
            <w:pPr>
              <w:spacing w:after="120"/>
              <w:ind w:left="-105"/>
              <w:jc w:val="both"/>
              <w:rPr>
                <w:rFonts w:ascii="Trebuchet MS" w:hAnsi="Trebuchet MS" w:cs="Arial"/>
                <w:color w:val="595959" w:themeColor="text1" w:themeTint="A6"/>
                <w:sz w:val="20"/>
                <w:szCs w:val="20"/>
              </w:rPr>
            </w:pPr>
            <w:r w:rsidRPr="00047761">
              <w:rPr>
                <w:rFonts w:ascii="Arial Narrow" w:hAnsi="Arial Narrow"/>
                <w:b/>
                <w:bCs/>
                <w:color w:val="595959" w:themeColor="text1" w:themeTint="A6"/>
                <w:sz w:val="22"/>
                <w:szCs w:val="22"/>
              </w:rPr>
              <w:t>FIGURA 4.</w:t>
            </w:r>
            <w:r w:rsidRPr="00047761">
              <w:rPr>
                <w:rFonts w:ascii="Arial Narrow" w:hAnsi="Arial Narrow"/>
                <w:color w:val="595959" w:themeColor="text1" w:themeTint="A6"/>
                <w:sz w:val="22"/>
                <w:szCs w:val="22"/>
              </w:rPr>
              <w:t xml:space="preserve"> POPOLAZIONE DI 9 ANNI E PIU’ PER GRADO DI ISTRUZIONE E GENERE. </w:t>
            </w:r>
            <w:r w:rsidRPr="00047761">
              <w:rPr>
                <w:rFonts w:ascii="Arial Narrow" w:hAnsi="Arial Narrow"/>
                <w:color w:val="595959" w:themeColor="text1" w:themeTint="A6"/>
                <w:sz w:val="20"/>
                <w:szCs w:val="20"/>
              </w:rPr>
              <w:t>Censimento 2020</w:t>
            </w:r>
            <w:r w:rsidRPr="00047761">
              <w:rPr>
                <w:rFonts w:ascii="Arial Narrow" w:hAnsi="Arial Narrow"/>
                <w:color w:val="595959" w:themeColor="text1" w:themeTint="A6"/>
                <w:sz w:val="19"/>
                <w:szCs w:val="19"/>
              </w:rPr>
              <w:t>. Valori percentuali (per 100 persone con lo stesso titolo)</w:t>
            </w:r>
          </w:p>
        </w:tc>
        <w:tc>
          <w:tcPr>
            <w:tcW w:w="4758" w:type="dxa"/>
            <w:tcBorders>
              <w:top w:val="nil"/>
              <w:left w:val="nil"/>
              <w:bottom w:val="single" w:sz="4" w:space="0" w:color="D9D9D9" w:themeColor="background1" w:themeShade="D9"/>
              <w:right w:val="nil"/>
            </w:tcBorders>
          </w:tcPr>
          <w:p w14:paraId="3D2F781F" w14:textId="77777777" w:rsidR="004162C3" w:rsidRPr="00047761" w:rsidRDefault="004162C3" w:rsidP="00AD527A">
            <w:pPr>
              <w:spacing w:after="120"/>
              <w:jc w:val="both"/>
              <w:rPr>
                <w:rFonts w:ascii="Trebuchet MS" w:hAnsi="Trebuchet MS" w:cs="Arial"/>
                <w:color w:val="595959" w:themeColor="text1" w:themeTint="A6"/>
                <w:sz w:val="20"/>
                <w:szCs w:val="20"/>
              </w:rPr>
            </w:pPr>
            <w:r w:rsidRPr="00047761">
              <w:rPr>
                <w:rFonts w:ascii="Arial Narrow" w:hAnsi="Arial Narrow"/>
                <w:b/>
                <w:bCs/>
                <w:color w:val="595959" w:themeColor="text1" w:themeTint="A6"/>
                <w:sz w:val="22"/>
                <w:szCs w:val="22"/>
              </w:rPr>
              <w:t xml:space="preserve">FIGURA 5. </w:t>
            </w:r>
            <w:r w:rsidRPr="00047761">
              <w:rPr>
                <w:rFonts w:ascii="Arial Narrow" w:hAnsi="Arial Narrow"/>
                <w:color w:val="595959" w:themeColor="text1" w:themeTint="A6"/>
                <w:sz w:val="22"/>
                <w:szCs w:val="22"/>
              </w:rPr>
              <w:t xml:space="preserve">POPOLAZIONE DI 9 ANNI E PIU’ PER GRADO DI ISTRUZIONE E CITTADINANZA. </w:t>
            </w:r>
            <w:r w:rsidRPr="00047761">
              <w:rPr>
                <w:rFonts w:ascii="Arial Narrow" w:hAnsi="Arial Narrow"/>
                <w:color w:val="595959" w:themeColor="text1" w:themeTint="A6"/>
                <w:sz w:val="20"/>
                <w:szCs w:val="20"/>
              </w:rPr>
              <w:t>Censimento</w:t>
            </w:r>
            <w:r>
              <w:rPr>
                <w:rFonts w:ascii="Arial Narrow" w:hAnsi="Arial Narrow"/>
                <w:color w:val="595959" w:themeColor="text1" w:themeTint="A6"/>
                <w:sz w:val="20"/>
                <w:szCs w:val="20"/>
              </w:rPr>
              <w:t xml:space="preserve"> 2020. Valori percentuali</w:t>
            </w:r>
            <w:r w:rsidRPr="00047761">
              <w:rPr>
                <w:rFonts w:ascii="Arial Narrow" w:hAnsi="Arial Narrow"/>
                <w:color w:val="595959" w:themeColor="text1" w:themeTint="A6"/>
                <w:sz w:val="20"/>
                <w:szCs w:val="20"/>
              </w:rPr>
              <w:t>.</w:t>
            </w:r>
          </w:p>
        </w:tc>
      </w:tr>
      <w:tr w:rsidR="004162C3" w14:paraId="66082461" w14:textId="77777777" w:rsidTr="0085034C">
        <w:tblPrEx>
          <w:tblCellMar>
            <w:left w:w="70" w:type="dxa"/>
            <w:right w:w="70" w:type="dxa"/>
          </w:tblCellMar>
        </w:tblPrEx>
        <w:trPr>
          <w:trHeight w:val="3621"/>
        </w:trPr>
        <w:tc>
          <w:tcPr>
            <w:tcW w:w="48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76DCEC2" w14:textId="263D7F7B" w:rsidR="004162C3" w:rsidRDefault="0085034C" w:rsidP="00C62A02">
            <w:pPr>
              <w:spacing w:after="120"/>
              <w:jc w:val="both"/>
              <w:rPr>
                <w:rFonts w:ascii="Trebuchet MS" w:hAnsi="Trebuchet MS" w:cs="Arial"/>
                <w:color w:val="5F5F5F"/>
                <w:sz w:val="20"/>
                <w:szCs w:val="20"/>
              </w:rPr>
            </w:pPr>
            <w:r>
              <w:rPr>
                <w:noProof/>
              </w:rPr>
              <w:drawing>
                <wp:inline distT="0" distB="0" distL="0" distR="0" wp14:anchorId="20505340" wp14:editId="17686CA3">
                  <wp:extent cx="3006000" cy="2210400"/>
                  <wp:effectExtent l="0" t="0" r="4445" b="0"/>
                  <wp:docPr id="9" name="Grafico 9">
                    <a:extLst xmlns:a="http://schemas.openxmlformats.org/drawingml/2006/main">
                      <a:ext uri="{FF2B5EF4-FFF2-40B4-BE49-F238E27FC236}">
                        <a16:creationId xmlns:a16="http://schemas.microsoft.com/office/drawing/2014/main" id="{00000000-0008-0000-0F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75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AA1A372" w14:textId="14B51317" w:rsidR="004162C3" w:rsidRDefault="0085034C" w:rsidP="00C62A02">
            <w:pPr>
              <w:spacing w:after="120"/>
              <w:jc w:val="both"/>
              <w:rPr>
                <w:rFonts w:ascii="Trebuchet MS" w:hAnsi="Trebuchet MS" w:cs="Arial"/>
                <w:color w:val="5F5F5F"/>
                <w:sz w:val="20"/>
                <w:szCs w:val="20"/>
              </w:rPr>
            </w:pPr>
            <w:r>
              <w:rPr>
                <w:noProof/>
              </w:rPr>
              <w:drawing>
                <wp:inline distT="0" distB="0" distL="0" distR="0" wp14:anchorId="01AA0651" wp14:editId="1C1C690E">
                  <wp:extent cx="3006000" cy="2210400"/>
                  <wp:effectExtent l="0" t="0" r="4445" b="0"/>
                  <wp:docPr id="15" name="Grafico 15">
                    <a:extLst xmlns:a="http://schemas.openxmlformats.org/drawingml/2006/main">
                      <a:ext uri="{FF2B5EF4-FFF2-40B4-BE49-F238E27FC236}">
                        <a16:creationId xmlns:a16="http://schemas.microsoft.com/office/drawing/2014/main" id="{00000000-0008-0000-1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12236244" w14:textId="77777777" w:rsidR="007A5978" w:rsidRDefault="007A5978" w:rsidP="004162C3">
      <w:pPr>
        <w:spacing w:after="120"/>
        <w:jc w:val="both"/>
        <w:rPr>
          <w:rFonts w:ascii="Trebuchet MS" w:hAnsi="Trebuchet MS" w:cs="Arial"/>
          <w:color w:val="5F5F5F"/>
          <w:sz w:val="20"/>
          <w:szCs w:val="20"/>
        </w:rPr>
      </w:pPr>
    </w:p>
    <w:p w14:paraId="61688084" w14:textId="4EE2B350" w:rsidR="004162C3" w:rsidRDefault="004162C3" w:rsidP="004162C3">
      <w:pPr>
        <w:spacing w:after="120"/>
        <w:jc w:val="both"/>
        <w:rPr>
          <w:rFonts w:ascii="Trebuchet MS" w:hAnsi="Trebuchet MS" w:cs="Arial"/>
          <w:color w:val="5F5F5F"/>
          <w:sz w:val="20"/>
          <w:szCs w:val="20"/>
        </w:rPr>
      </w:pPr>
      <w:r w:rsidRPr="003B71FA">
        <w:rPr>
          <w:rFonts w:ascii="Trebuchet MS" w:hAnsi="Trebuchet MS" w:cs="Arial"/>
          <w:color w:val="5F5F5F"/>
          <w:sz w:val="20"/>
          <w:szCs w:val="20"/>
        </w:rPr>
        <w:t xml:space="preserve">I risultati del Censimento </w:t>
      </w:r>
      <w:r>
        <w:rPr>
          <w:rFonts w:ascii="Trebuchet MS" w:hAnsi="Trebuchet MS" w:cs="Arial"/>
          <w:color w:val="5F5F5F"/>
          <w:sz w:val="20"/>
          <w:szCs w:val="20"/>
        </w:rPr>
        <w:t>consentono</w:t>
      </w:r>
      <w:r w:rsidRPr="003B71FA">
        <w:rPr>
          <w:rFonts w:ascii="Trebuchet MS" w:hAnsi="Trebuchet MS" w:cs="Arial"/>
          <w:color w:val="5F5F5F"/>
          <w:sz w:val="20"/>
          <w:szCs w:val="20"/>
        </w:rPr>
        <w:t xml:space="preserve"> di cogliere le differenze territoriali</w:t>
      </w:r>
      <w:r>
        <w:rPr>
          <w:rFonts w:ascii="Trebuchet MS" w:hAnsi="Trebuchet MS" w:cs="Arial"/>
          <w:color w:val="5F5F5F"/>
          <w:sz w:val="20"/>
          <w:szCs w:val="20"/>
        </w:rPr>
        <w:t xml:space="preserve"> del grado di istruzione</w:t>
      </w:r>
      <w:r w:rsidRPr="003B71FA">
        <w:rPr>
          <w:rFonts w:ascii="Trebuchet MS" w:hAnsi="Trebuchet MS" w:cs="Arial"/>
          <w:color w:val="5F5F5F"/>
          <w:sz w:val="20"/>
          <w:szCs w:val="20"/>
        </w:rPr>
        <w:t xml:space="preserve"> </w:t>
      </w:r>
      <w:r>
        <w:rPr>
          <w:rFonts w:ascii="Trebuchet MS" w:hAnsi="Trebuchet MS" w:cs="Arial"/>
          <w:color w:val="5F5F5F"/>
          <w:sz w:val="20"/>
          <w:szCs w:val="20"/>
        </w:rPr>
        <w:t xml:space="preserve">rispetto </w:t>
      </w:r>
      <w:r w:rsidRPr="00327505">
        <w:rPr>
          <w:rFonts w:ascii="Trebuchet MS" w:hAnsi="Trebuchet MS" w:cs="Arial"/>
          <w:color w:val="5F5F5F"/>
          <w:sz w:val="20"/>
          <w:szCs w:val="20"/>
        </w:rPr>
        <w:t>ad alcune caratteristiche della popolazione residente</w:t>
      </w:r>
      <w:r>
        <w:rPr>
          <w:rFonts w:ascii="Trebuchet MS" w:hAnsi="Trebuchet MS" w:cs="Arial"/>
          <w:color w:val="5F5F5F"/>
          <w:sz w:val="20"/>
          <w:szCs w:val="20"/>
        </w:rPr>
        <w:t>, come il sesso e la cittadinanza</w:t>
      </w:r>
      <w:r w:rsidRPr="00327505">
        <w:rPr>
          <w:rFonts w:ascii="Trebuchet MS" w:hAnsi="Trebuchet MS" w:cs="Arial"/>
          <w:color w:val="5F5F5F"/>
          <w:sz w:val="20"/>
          <w:szCs w:val="20"/>
        </w:rPr>
        <w:t xml:space="preserve"> (italiana</w:t>
      </w:r>
      <w:r>
        <w:rPr>
          <w:rFonts w:ascii="Trebuchet MS" w:hAnsi="Trebuchet MS" w:cs="Arial"/>
          <w:color w:val="5F5F5F"/>
          <w:sz w:val="20"/>
          <w:szCs w:val="20"/>
        </w:rPr>
        <w:t xml:space="preserve"> o </w:t>
      </w:r>
      <w:r w:rsidRPr="00327505">
        <w:rPr>
          <w:rFonts w:ascii="Trebuchet MS" w:hAnsi="Trebuchet MS" w:cs="Arial"/>
          <w:color w:val="5F5F5F"/>
          <w:sz w:val="20"/>
          <w:szCs w:val="20"/>
        </w:rPr>
        <w:t>straniera)</w:t>
      </w:r>
      <w:r w:rsidR="000A26A6">
        <w:rPr>
          <w:rFonts w:ascii="Trebuchet MS" w:hAnsi="Trebuchet MS" w:cs="Arial"/>
          <w:color w:val="5F5F5F"/>
          <w:sz w:val="20"/>
          <w:szCs w:val="20"/>
        </w:rPr>
        <w:t xml:space="preserve"> (Figure 4 e 5)</w:t>
      </w:r>
      <w:r w:rsidRPr="00327505">
        <w:rPr>
          <w:rFonts w:ascii="Trebuchet MS" w:hAnsi="Trebuchet MS" w:cs="Arial"/>
          <w:color w:val="5F5F5F"/>
          <w:sz w:val="20"/>
          <w:szCs w:val="20"/>
        </w:rPr>
        <w:t>.</w:t>
      </w:r>
    </w:p>
    <w:p w14:paraId="02B06E80" w14:textId="77777777" w:rsidR="008B0E5C" w:rsidRDefault="008B0E5C" w:rsidP="008B0E5C">
      <w:pPr>
        <w:spacing w:after="120"/>
        <w:jc w:val="both"/>
        <w:rPr>
          <w:rFonts w:ascii="Trebuchet MS" w:hAnsi="Trebuchet MS" w:cs="Arial"/>
          <w:color w:val="5F5F5F"/>
          <w:sz w:val="20"/>
          <w:szCs w:val="20"/>
        </w:rPr>
      </w:pPr>
      <w:r w:rsidRPr="008B010A">
        <w:rPr>
          <w:rFonts w:ascii="Trebuchet MS" w:hAnsi="Trebuchet MS" w:cs="Arial"/>
          <w:color w:val="5F5F5F"/>
          <w:sz w:val="20"/>
          <w:szCs w:val="20"/>
        </w:rPr>
        <w:t>Raggiungono un titolo terziario</w:t>
      </w:r>
      <w:r>
        <w:rPr>
          <w:rFonts w:ascii="Trebuchet MS" w:hAnsi="Trebuchet MS" w:cs="Arial"/>
          <w:color w:val="5F5F5F"/>
          <w:sz w:val="20"/>
          <w:szCs w:val="20"/>
        </w:rPr>
        <w:t xml:space="preserve"> (I, II livello o dottorato)</w:t>
      </w:r>
      <w:r w:rsidRPr="008B010A">
        <w:rPr>
          <w:rFonts w:ascii="Trebuchet MS" w:hAnsi="Trebuchet MS" w:cs="Arial"/>
          <w:color w:val="5F5F5F"/>
          <w:sz w:val="20"/>
          <w:szCs w:val="20"/>
        </w:rPr>
        <w:t xml:space="preserve"> più donne che uomini</w:t>
      </w:r>
      <w:r>
        <w:rPr>
          <w:rFonts w:ascii="Trebuchet MS" w:hAnsi="Trebuchet MS" w:cs="Arial"/>
          <w:color w:val="5F5F5F"/>
          <w:sz w:val="20"/>
          <w:szCs w:val="20"/>
        </w:rPr>
        <w:t>: su 100 persone residenti in regione</w:t>
      </w:r>
      <w:r w:rsidRPr="003B71FA">
        <w:rPr>
          <w:rFonts w:ascii="Trebuchet MS" w:hAnsi="Trebuchet MS" w:cs="Arial"/>
          <w:color w:val="5F5F5F"/>
          <w:sz w:val="20"/>
          <w:szCs w:val="20"/>
        </w:rPr>
        <w:t xml:space="preserve"> con titolo </w:t>
      </w:r>
      <w:r>
        <w:rPr>
          <w:rFonts w:ascii="Trebuchet MS" w:hAnsi="Trebuchet MS" w:cs="Arial"/>
          <w:color w:val="5F5F5F"/>
          <w:sz w:val="20"/>
          <w:szCs w:val="20"/>
        </w:rPr>
        <w:t>universitario,</w:t>
      </w:r>
      <w:r w:rsidRPr="003B71FA">
        <w:rPr>
          <w:rFonts w:ascii="Trebuchet MS" w:hAnsi="Trebuchet MS" w:cs="Arial"/>
          <w:color w:val="5F5F5F"/>
          <w:sz w:val="20"/>
          <w:szCs w:val="20"/>
        </w:rPr>
        <w:t xml:space="preserve"> </w:t>
      </w:r>
      <w:r w:rsidRPr="00050BB1">
        <w:rPr>
          <w:rFonts w:ascii="Trebuchet MS" w:hAnsi="Trebuchet MS" w:cs="Arial"/>
          <w:color w:val="5F5F5F"/>
          <w:sz w:val="20"/>
          <w:szCs w:val="20"/>
        </w:rPr>
        <w:t>54,7 sono</w:t>
      </w:r>
      <w:r>
        <w:rPr>
          <w:rFonts w:ascii="Trebuchet MS" w:hAnsi="Trebuchet MS" w:cs="Arial"/>
          <w:color w:val="5F5F5F"/>
          <w:sz w:val="20"/>
          <w:szCs w:val="20"/>
        </w:rPr>
        <w:t xml:space="preserve"> donne </w:t>
      </w:r>
      <w:r w:rsidRPr="002C6E56">
        <w:rPr>
          <w:rFonts w:ascii="Trebuchet MS" w:hAnsi="Trebuchet MS" w:cs="Arial"/>
          <w:color w:val="5F5F5F"/>
          <w:sz w:val="20"/>
          <w:szCs w:val="20"/>
        </w:rPr>
        <w:t xml:space="preserve">e rappresentano </w:t>
      </w:r>
      <w:r w:rsidRPr="00CA0591">
        <w:rPr>
          <w:rFonts w:ascii="Trebuchet MS" w:hAnsi="Trebuchet MS" w:cs="Arial"/>
          <w:color w:val="5F5F5F"/>
          <w:sz w:val="20"/>
          <w:szCs w:val="20"/>
        </w:rPr>
        <w:t>il 16,8% della popolazione femminile di 9 anni e oltre (rispetto al 14,5% degli uomini). La componente</w:t>
      </w:r>
      <w:r w:rsidRPr="00156BB9">
        <w:rPr>
          <w:rFonts w:ascii="Trebuchet MS" w:hAnsi="Trebuchet MS" w:cs="Arial"/>
          <w:color w:val="5F5F5F"/>
          <w:sz w:val="20"/>
          <w:szCs w:val="20"/>
        </w:rPr>
        <w:t xml:space="preserve"> femminile </w:t>
      </w:r>
      <w:r>
        <w:rPr>
          <w:rFonts w:ascii="Trebuchet MS" w:hAnsi="Trebuchet MS" w:cs="Arial"/>
          <w:color w:val="5F5F5F"/>
          <w:sz w:val="20"/>
          <w:szCs w:val="20"/>
        </w:rPr>
        <w:t xml:space="preserve">sale </w:t>
      </w:r>
      <w:r w:rsidRPr="00CA0591">
        <w:rPr>
          <w:rFonts w:ascii="Trebuchet MS" w:hAnsi="Trebuchet MS" w:cs="Arial"/>
          <w:color w:val="5F5F5F"/>
          <w:sz w:val="20"/>
          <w:szCs w:val="20"/>
        </w:rPr>
        <w:t>al 59%</w:t>
      </w:r>
      <w:r>
        <w:rPr>
          <w:rFonts w:ascii="Trebuchet MS" w:hAnsi="Trebuchet MS" w:cs="Arial"/>
          <w:color w:val="5F5F5F"/>
          <w:sz w:val="20"/>
          <w:szCs w:val="20"/>
        </w:rPr>
        <w:t xml:space="preserve"> </w:t>
      </w:r>
      <w:r w:rsidRPr="00156BB9">
        <w:rPr>
          <w:rFonts w:ascii="Trebuchet MS" w:hAnsi="Trebuchet MS" w:cs="Arial"/>
          <w:color w:val="5F5F5F"/>
          <w:sz w:val="20"/>
          <w:szCs w:val="20"/>
        </w:rPr>
        <w:t>per l</w:t>
      </w:r>
      <w:r>
        <w:rPr>
          <w:rFonts w:ascii="Trebuchet MS" w:hAnsi="Trebuchet MS" w:cs="Arial"/>
          <w:color w:val="5F5F5F"/>
          <w:sz w:val="20"/>
          <w:szCs w:val="20"/>
        </w:rPr>
        <w:t>a</w:t>
      </w:r>
      <w:r w:rsidRPr="00156BB9">
        <w:rPr>
          <w:rFonts w:ascii="Trebuchet MS" w:hAnsi="Trebuchet MS" w:cs="Arial"/>
          <w:color w:val="5F5F5F"/>
          <w:sz w:val="20"/>
          <w:szCs w:val="20"/>
        </w:rPr>
        <w:t xml:space="preserve"> licenz</w:t>
      </w:r>
      <w:r>
        <w:rPr>
          <w:rFonts w:ascii="Trebuchet MS" w:hAnsi="Trebuchet MS" w:cs="Arial"/>
          <w:color w:val="5F5F5F"/>
          <w:sz w:val="20"/>
          <w:szCs w:val="20"/>
        </w:rPr>
        <w:t xml:space="preserve">a elementare, </w:t>
      </w:r>
      <w:r w:rsidRPr="002027FF">
        <w:rPr>
          <w:rFonts w:ascii="Trebuchet MS" w:hAnsi="Trebuchet MS" w:cs="Arial"/>
          <w:color w:val="5F5F5F"/>
          <w:sz w:val="20"/>
          <w:szCs w:val="20"/>
        </w:rPr>
        <w:t>ma non raggiunge il 54%</w:t>
      </w:r>
      <w:r w:rsidRPr="00156BB9">
        <w:rPr>
          <w:rFonts w:ascii="Trebuchet MS" w:hAnsi="Trebuchet MS" w:cs="Arial"/>
          <w:color w:val="5F5F5F"/>
          <w:sz w:val="20"/>
          <w:szCs w:val="20"/>
        </w:rPr>
        <w:t xml:space="preserve"> tra </w:t>
      </w:r>
      <w:r>
        <w:rPr>
          <w:rFonts w:ascii="Trebuchet MS" w:hAnsi="Trebuchet MS" w:cs="Arial"/>
          <w:color w:val="5F5F5F"/>
          <w:sz w:val="20"/>
          <w:szCs w:val="20"/>
        </w:rPr>
        <w:t>gli analfabeti o alfabeti</w:t>
      </w:r>
      <w:r w:rsidRPr="00156BB9">
        <w:rPr>
          <w:rFonts w:ascii="Trebuchet MS" w:hAnsi="Trebuchet MS" w:cs="Arial"/>
          <w:color w:val="5F5F5F"/>
          <w:sz w:val="20"/>
          <w:szCs w:val="20"/>
        </w:rPr>
        <w:t xml:space="preserve"> che </w:t>
      </w:r>
      <w:r w:rsidRPr="00432FA9">
        <w:rPr>
          <w:rFonts w:ascii="Trebuchet MS" w:hAnsi="Trebuchet MS" w:cs="Arial"/>
          <w:color w:val="5F5F5F"/>
          <w:sz w:val="20"/>
          <w:szCs w:val="20"/>
        </w:rPr>
        <w:t xml:space="preserve">non </w:t>
      </w:r>
      <w:r w:rsidRPr="00156BB9">
        <w:rPr>
          <w:rFonts w:ascii="Trebuchet MS" w:hAnsi="Trebuchet MS" w:cs="Arial"/>
          <w:color w:val="5F5F5F"/>
          <w:sz w:val="20"/>
          <w:szCs w:val="20"/>
        </w:rPr>
        <w:t xml:space="preserve">hanno </w:t>
      </w:r>
      <w:r>
        <w:rPr>
          <w:rFonts w:ascii="Trebuchet MS" w:hAnsi="Trebuchet MS" w:cs="Arial"/>
          <w:color w:val="5F5F5F"/>
          <w:sz w:val="20"/>
          <w:szCs w:val="20"/>
        </w:rPr>
        <w:t xml:space="preserve">conseguito </w:t>
      </w:r>
      <w:r w:rsidRPr="00156BB9">
        <w:rPr>
          <w:rFonts w:ascii="Trebuchet MS" w:hAnsi="Trebuchet MS" w:cs="Arial"/>
          <w:color w:val="5F5F5F"/>
          <w:sz w:val="20"/>
          <w:szCs w:val="20"/>
        </w:rPr>
        <w:t>alcun titolo di studio</w:t>
      </w:r>
      <w:r>
        <w:rPr>
          <w:rFonts w:ascii="Trebuchet MS" w:hAnsi="Trebuchet MS" w:cs="Arial"/>
          <w:color w:val="5F5F5F"/>
          <w:sz w:val="20"/>
          <w:szCs w:val="20"/>
        </w:rPr>
        <w:t xml:space="preserve">, laddove le donne senza istruzione </w:t>
      </w:r>
      <w:r w:rsidRPr="002027FF">
        <w:rPr>
          <w:rFonts w:ascii="Trebuchet MS" w:hAnsi="Trebuchet MS" w:cs="Arial"/>
          <w:color w:val="5F5F5F"/>
          <w:sz w:val="20"/>
          <w:szCs w:val="20"/>
        </w:rPr>
        <w:t>sono il 3,7% (a</w:t>
      </w:r>
      <w:r>
        <w:rPr>
          <w:rFonts w:ascii="Trebuchet MS" w:hAnsi="Trebuchet MS" w:cs="Arial"/>
          <w:color w:val="5F5F5F"/>
          <w:sz w:val="20"/>
          <w:szCs w:val="20"/>
        </w:rPr>
        <w:t xml:space="preserve"> fronte del </w:t>
      </w:r>
      <w:r w:rsidRPr="00B20449">
        <w:rPr>
          <w:rFonts w:ascii="Trebuchet MS" w:hAnsi="Trebuchet MS" w:cs="Arial"/>
          <w:color w:val="5F5F5F"/>
          <w:sz w:val="20"/>
          <w:szCs w:val="20"/>
        </w:rPr>
        <w:t>3,4%</w:t>
      </w:r>
      <w:r>
        <w:rPr>
          <w:rFonts w:ascii="Trebuchet MS" w:hAnsi="Trebuchet MS" w:cs="Arial"/>
          <w:color w:val="5F5F5F"/>
          <w:sz w:val="20"/>
          <w:szCs w:val="20"/>
        </w:rPr>
        <w:t xml:space="preserve"> degli uomini). Il divario di genere</w:t>
      </w:r>
      <w:r w:rsidRPr="00156BB9">
        <w:rPr>
          <w:rFonts w:ascii="Trebuchet MS" w:hAnsi="Trebuchet MS" w:cs="Arial"/>
          <w:color w:val="5F5F5F"/>
          <w:sz w:val="20"/>
          <w:szCs w:val="20"/>
        </w:rPr>
        <w:t xml:space="preserve"> </w:t>
      </w:r>
      <w:r>
        <w:rPr>
          <w:rFonts w:ascii="Trebuchet MS" w:hAnsi="Trebuchet MS" w:cs="Arial"/>
          <w:color w:val="5F5F5F"/>
          <w:sz w:val="20"/>
          <w:szCs w:val="20"/>
        </w:rPr>
        <w:t>tende a scomparire</w:t>
      </w:r>
      <w:r w:rsidRPr="00156BB9">
        <w:rPr>
          <w:rFonts w:ascii="Trebuchet MS" w:hAnsi="Trebuchet MS" w:cs="Arial"/>
          <w:color w:val="5F5F5F"/>
          <w:sz w:val="20"/>
          <w:szCs w:val="20"/>
        </w:rPr>
        <w:t xml:space="preserve"> in corrispondenza de</w:t>
      </w:r>
      <w:r>
        <w:rPr>
          <w:rFonts w:ascii="Trebuchet MS" w:hAnsi="Trebuchet MS" w:cs="Arial"/>
          <w:color w:val="5F5F5F"/>
          <w:sz w:val="20"/>
          <w:szCs w:val="20"/>
        </w:rPr>
        <w:t>l</w:t>
      </w:r>
      <w:r w:rsidRPr="00156BB9">
        <w:rPr>
          <w:rFonts w:ascii="Trebuchet MS" w:hAnsi="Trebuchet MS" w:cs="Arial"/>
          <w:color w:val="5F5F5F"/>
          <w:sz w:val="20"/>
          <w:szCs w:val="20"/>
        </w:rPr>
        <w:t xml:space="preserve"> diplom</w:t>
      </w:r>
      <w:r>
        <w:rPr>
          <w:rFonts w:ascii="Trebuchet MS" w:hAnsi="Trebuchet MS" w:cs="Arial"/>
          <w:color w:val="5F5F5F"/>
          <w:sz w:val="20"/>
          <w:szCs w:val="20"/>
        </w:rPr>
        <w:t>a</w:t>
      </w:r>
      <w:r w:rsidRPr="00156BB9">
        <w:rPr>
          <w:rFonts w:ascii="Trebuchet MS" w:hAnsi="Trebuchet MS" w:cs="Arial"/>
          <w:color w:val="5F5F5F"/>
          <w:sz w:val="20"/>
          <w:szCs w:val="20"/>
        </w:rPr>
        <w:t xml:space="preserve"> di scuola secondaria di secondo grado o di qualifica </w:t>
      </w:r>
      <w:r w:rsidRPr="00BF2338">
        <w:rPr>
          <w:rFonts w:ascii="Trebuchet MS" w:hAnsi="Trebuchet MS" w:cs="Arial"/>
          <w:color w:val="5F5F5F"/>
          <w:sz w:val="20"/>
          <w:szCs w:val="20"/>
        </w:rPr>
        <w:t>professionale (50% per uomini e donne), mentre per la licenza di scuola media prevale la componente maschile (53,8%) (31,7% della popolazione maschile contro 26,0% della femminile).</w:t>
      </w:r>
    </w:p>
    <w:p w14:paraId="6A7FB0EC" w14:textId="04306522" w:rsidR="0030355B" w:rsidRDefault="008B0E5C" w:rsidP="008B0E5C">
      <w:pPr>
        <w:spacing w:after="120"/>
        <w:jc w:val="both"/>
        <w:rPr>
          <w:rFonts w:ascii="Trebuchet MS" w:hAnsi="Trebuchet MS" w:cs="Arial"/>
          <w:color w:val="5F5F5F"/>
          <w:sz w:val="20"/>
          <w:szCs w:val="20"/>
        </w:rPr>
      </w:pPr>
      <w:r>
        <w:rPr>
          <w:rFonts w:ascii="Trebuchet MS" w:hAnsi="Trebuchet MS" w:cs="Arial"/>
          <w:color w:val="5F5F5F"/>
          <w:sz w:val="20"/>
          <w:szCs w:val="20"/>
        </w:rPr>
        <w:t>L</w:t>
      </w:r>
      <w:r w:rsidRPr="003B2A0B">
        <w:rPr>
          <w:rFonts w:ascii="Trebuchet MS" w:hAnsi="Trebuchet MS" w:cs="Arial"/>
          <w:color w:val="5F5F5F"/>
          <w:sz w:val="20"/>
          <w:szCs w:val="20"/>
        </w:rPr>
        <w:t xml:space="preserve">a disuguaglianza </w:t>
      </w:r>
      <w:r>
        <w:rPr>
          <w:rFonts w:ascii="Trebuchet MS" w:hAnsi="Trebuchet MS" w:cs="Arial"/>
          <w:color w:val="5F5F5F"/>
          <w:sz w:val="20"/>
          <w:szCs w:val="20"/>
        </w:rPr>
        <w:t>di genere, nel complesso meno marcata che a livello nazionale,</w:t>
      </w:r>
      <w:r w:rsidRPr="003B2A0B">
        <w:rPr>
          <w:rFonts w:ascii="Trebuchet MS" w:hAnsi="Trebuchet MS" w:cs="Arial"/>
          <w:color w:val="5F5F5F"/>
          <w:sz w:val="20"/>
          <w:szCs w:val="20"/>
        </w:rPr>
        <w:t xml:space="preserve"> si </w:t>
      </w:r>
      <w:r>
        <w:rPr>
          <w:rFonts w:ascii="Trebuchet MS" w:hAnsi="Trebuchet MS" w:cs="Arial"/>
          <w:color w:val="5F5F5F"/>
          <w:sz w:val="20"/>
          <w:szCs w:val="20"/>
        </w:rPr>
        <w:t>distribuisce</w:t>
      </w:r>
      <w:r w:rsidRPr="003B2A0B">
        <w:rPr>
          <w:rFonts w:ascii="Trebuchet MS" w:hAnsi="Trebuchet MS" w:cs="Arial"/>
          <w:color w:val="5F5F5F"/>
          <w:sz w:val="20"/>
          <w:szCs w:val="20"/>
        </w:rPr>
        <w:t xml:space="preserve"> in maniera diversa </w:t>
      </w:r>
      <w:r>
        <w:rPr>
          <w:rFonts w:ascii="Trebuchet MS" w:hAnsi="Trebuchet MS" w:cs="Arial"/>
          <w:color w:val="5F5F5F"/>
          <w:sz w:val="20"/>
          <w:szCs w:val="20"/>
        </w:rPr>
        <w:t>sul territorio, in funzione anche della diversa struttura per età di uomini e donne nei vari gradi di istruzione. Il gap nel titolo terziario di I e II livello a favore delle donne (9,6 punti percentuali a livello regionale) è massimo nella provincia di Sondrio (15,3 punti percentuali) e minimo nella provincia di Milano (7,2 punti percentuali).</w:t>
      </w:r>
    </w:p>
    <w:p w14:paraId="3FB34386" w14:textId="77777777" w:rsidR="0030355B" w:rsidRPr="008B0E5C" w:rsidRDefault="0030355B" w:rsidP="0030355B">
      <w:pPr>
        <w:spacing w:after="120"/>
        <w:jc w:val="both"/>
        <w:rPr>
          <w:rFonts w:ascii="Trebuchet MS" w:hAnsi="Trebuchet MS" w:cs="Arial"/>
          <w:color w:val="5F5F5F"/>
          <w:sz w:val="20"/>
          <w:szCs w:val="20"/>
        </w:rPr>
      </w:pPr>
      <w:r>
        <w:rPr>
          <w:rFonts w:ascii="Trebuchet MS" w:hAnsi="Trebuchet MS" w:cs="Arial"/>
          <w:color w:val="5F5F5F"/>
          <w:sz w:val="20"/>
          <w:szCs w:val="20"/>
        </w:rPr>
        <w:t>La distribuzione</w:t>
      </w:r>
      <w:r w:rsidRPr="00F77962">
        <w:rPr>
          <w:rFonts w:ascii="Trebuchet MS" w:hAnsi="Trebuchet MS" w:cs="Arial"/>
          <w:color w:val="5F5F5F"/>
          <w:sz w:val="20"/>
          <w:szCs w:val="20"/>
        </w:rPr>
        <w:t xml:space="preserve"> del titolo di studio </w:t>
      </w:r>
      <w:r>
        <w:rPr>
          <w:rFonts w:ascii="Trebuchet MS" w:hAnsi="Trebuchet MS" w:cs="Arial"/>
          <w:color w:val="5F5F5F"/>
          <w:sz w:val="20"/>
          <w:szCs w:val="20"/>
        </w:rPr>
        <w:t xml:space="preserve">tra italiani e stranieri dipende non </w:t>
      </w:r>
      <w:r w:rsidRPr="00720A7D">
        <w:rPr>
          <w:rFonts w:ascii="Trebuchet MS" w:hAnsi="Trebuchet MS" w:cs="Arial"/>
          <w:color w:val="5F5F5F"/>
          <w:sz w:val="20"/>
          <w:szCs w:val="20"/>
        </w:rPr>
        <w:t>solo dal</w:t>
      </w:r>
      <w:r>
        <w:rPr>
          <w:rFonts w:ascii="Trebuchet MS" w:hAnsi="Trebuchet MS" w:cs="Arial"/>
          <w:color w:val="5F5F5F"/>
          <w:sz w:val="20"/>
          <w:szCs w:val="20"/>
        </w:rPr>
        <w:t xml:space="preserve"> diverso</w:t>
      </w:r>
      <w:r w:rsidRPr="00720A7D">
        <w:rPr>
          <w:rFonts w:ascii="Trebuchet MS" w:hAnsi="Trebuchet MS" w:cs="Arial"/>
          <w:color w:val="5F5F5F"/>
          <w:sz w:val="20"/>
          <w:szCs w:val="20"/>
        </w:rPr>
        <w:t xml:space="preserve"> background </w:t>
      </w:r>
      <w:r>
        <w:rPr>
          <w:rFonts w:ascii="Trebuchet MS" w:hAnsi="Trebuchet MS" w:cs="Arial"/>
          <w:color w:val="5F5F5F"/>
          <w:sz w:val="20"/>
          <w:szCs w:val="20"/>
        </w:rPr>
        <w:t>socio-</w:t>
      </w:r>
      <w:r w:rsidRPr="008B0E5C">
        <w:rPr>
          <w:rFonts w:ascii="Trebuchet MS" w:hAnsi="Trebuchet MS" w:cs="Arial"/>
          <w:color w:val="5F5F5F"/>
          <w:sz w:val="20"/>
          <w:szCs w:val="20"/>
        </w:rPr>
        <w:t xml:space="preserve">economico, ma anche dalla struttura per età e genere che </w:t>
      </w:r>
      <w:proofErr w:type="spellStart"/>
      <w:r w:rsidRPr="008B0E5C">
        <w:rPr>
          <w:rFonts w:ascii="Trebuchet MS" w:hAnsi="Trebuchet MS" w:cs="Arial"/>
          <w:color w:val="5F5F5F"/>
          <w:sz w:val="20"/>
          <w:szCs w:val="20"/>
        </w:rPr>
        <w:t>contraddisitingue</w:t>
      </w:r>
      <w:proofErr w:type="spellEnd"/>
      <w:r w:rsidRPr="008B0E5C">
        <w:rPr>
          <w:rFonts w:ascii="Trebuchet MS" w:hAnsi="Trebuchet MS" w:cs="Arial"/>
          <w:color w:val="5F5F5F"/>
          <w:sz w:val="20"/>
          <w:szCs w:val="20"/>
        </w:rPr>
        <w:t xml:space="preserve"> le diverse cittadinanze. </w:t>
      </w:r>
    </w:p>
    <w:p w14:paraId="604474BF" w14:textId="2C23E1D0" w:rsidR="008B0E5C" w:rsidRPr="00F6455A" w:rsidRDefault="008B0E5C" w:rsidP="008B0E5C">
      <w:pPr>
        <w:spacing w:after="120"/>
        <w:jc w:val="both"/>
        <w:rPr>
          <w:rFonts w:ascii="Trebuchet MS" w:hAnsi="Trebuchet MS" w:cs="Arial"/>
          <w:color w:val="5F5F5F"/>
          <w:sz w:val="20"/>
          <w:szCs w:val="20"/>
        </w:rPr>
      </w:pPr>
      <w:r w:rsidRPr="008B0E5C">
        <w:rPr>
          <w:rFonts w:ascii="Trebuchet MS" w:hAnsi="Trebuchet MS" w:cs="Arial"/>
          <w:color w:val="5F5F5F"/>
          <w:sz w:val="20"/>
          <w:szCs w:val="20"/>
        </w:rPr>
        <w:t xml:space="preserve">Tra gli stranieri prevalgono coloro che sono in possesso del diploma di scuola secondaria di II grado (36,5%) titolo che presenta il gap di cittadinanza più contenuto (37,1% sono gli italiani). In corrispondenza della licenza media il gap di cittadinanza è di 3,8 punti percentuali: ne sono in possesso il 28,3 degli italiani contro il 32,1% </w:t>
      </w:r>
      <w:r w:rsidR="00A765A1">
        <w:rPr>
          <w:rFonts w:ascii="Trebuchet MS" w:hAnsi="Trebuchet MS" w:cs="Arial"/>
          <w:color w:val="5F5F5F"/>
          <w:sz w:val="20"/>
          <w:szCs w:val="20"/>
        </w:rPr>
        <w:t>degli stranieri. Si contano 13</w:t>
      </w:r>
      <w:r w:rsidRPr="008B0E5C">
        <w:rPr>
          <w:rFonts w:ascii="Trebuchet MS" w:hAnsi="Trebuchet MS" w:cs="Arial"/>
          <w:color w:val="5F5F5F"/>
          <w:sz w:val="20"/>
          <w:szCs w:val="20"/>
        </w:rPr>
        <w:t xml:space="preserve"> stranieri su 100 con titolo univers</w:t>
      </w:r>
      <w:r w:rsidR="00A765A1">
        <w:rPr>
          <w:rFonts w:ascii="Trebuchet MS" w:hAnsi="Trebuchet MS" w:cs="Arial"/>
          <w:color w:val="5F5F5F"/>
          <w:sz w:val="20"/>
          <w:szCs w:val="20"/>
        </w:rPr>
        <w:t>itario (16,0% gli italiani), mentre meno del</w:t>
      </w:r>
      <w:r w:rsidRPr="008B0E5C">
        <w:rPr>
          <w:rFonts w:ascii="Trebuchet MS" w:hAnsi="Trebuchet MS" w:cs="Arial"/>
          <w:color w:val="5F5F5F"/>
          <w:sz w:val="20"/>
          <w:szCs w:val="20"/>
        </w:rPr>
        <w:t xml:space="preserve"> 10% ha la licenza elementare, con una disparità più ampia rispetto alla popolazione </w:t>
      </w:r>
      <w:proofErr w:type="spellStart"/>
      <w:r w:rsidRPr="008B0E5C">
        <w:rPr>
          <w:rFonts w:ascii="Trebuchet MS" w:hAnsi="Trebuchet MS" w:cs="Arial"/>
          <w:color w:val="5F5F5F"/>
          <w:sz w:val="20"/>
          <w:szCs w:val="20"/>
        </w:rPr>
        <w:t>italianza</w:t>
      </w:r>
      <w:proofErr w:type="spellEnd"/>
      <w:r w:rsidRPr="008B0E5C">
        <w:rPr>
          <w:rFonts w:ascii="Trebuchet MS" w:hAnsi="Trebuchet MS" w:cs="Arial"/>
          <w:color w:val="5F5F5F"/>
          <w:sz w:val="20"/>
          <w:szCs w:val="20"/>
        </w:rPr>
        <w:t xml:space="preserve"> (15,6%).</w:t>
      </w:r>
    </w:p>
    <w:p w14:paraId="2FFB6F83" w14:textId="4FDDD3D6" w:rsidR="000812BA" w:rsidRDefault="008B0E5C" w:rsidP="008B0E5C">
      <w:pPr>
        <w:spacing w:after="120"/>
        <w:jc w:val="both"/>
        <w:rPr>
          <w:rFonts w:ascii="Trebuchet MS" w:hAnsi="Trebuchet MS" w:cs="Arial"/>
          <w:color w:val="5F5F5F"/>
          <w:sz w:val="20"/>
          <w:szCs w:val="20"/>
        </w:rPr>
      </w:pPr>
      <w:r w:rsidRPr="00F6455A">
        <w:rPr>
          <w:rFonts w:ascii="Trebuchet MS" w:hAnsi="Trebuchet MS" w:cs="Arial"/>
          <w:color w:val="5F5F5F"/>
          <w:sz w:val="20"/>
          <w:szCs w:val="20"/>
        </w:rPr>
        <w:t>Lo squilibrio più consistente in termini relativi si registra per gli analfabeti o alfabeti privi di titolo di studio: gli stranieri presentano un’incidenza più che doppia rispetto a quella degli italiani (8,1% contro</w:t>
      </w:r>
      <w:r w:rsidRPr="00FE5D1A">
        <w:rPr>
          <w:rFonts w:ascii="Trebuchet MS" w:hAnsi="Trebuchet MS" w:cs="Arial"/>
          <w:color w:val="5F5F5F"/>
          <w:sz w:val="20"/>
          <w:szCs w:val="20"/>
        </w:rPr>
        <w:t xml:space="preserve"> 3</w:t>
      </w:r>
      <w:r>
        <w:rPr>
          <w:rFonts w:ascii="Trebuchet MS" w:hAnsi="Trebuchet MS" w:cs="Arial"/>
          <w:color w:val="5F5F5F"/>
          <w:sz w:val="20"/>
          <w:szCs w:val="20"/>
        </w:rPr>
        <w:t>,0</w:t>
      </w:r>
      <w:r w:rsidRPr="00FE5D1A">
        <w:rPr>
          <w:rFonts w:ascii="Trebuchet MS" w:hAnsi="Trebuchet MS" w:cs="Arial"/>
          <w:color w:val="5F5F5F"/>
          <w:sz w:val="20"/>
          <w:szCs w:val="20"/>
        </w:rPr>
        <w:t>%</w:t>
      </w:r>
      <w:r w:rsidR="0030355B">
        <w:rPr>
          <w:rFonts w:ascii="Trebuchet MS" w:hAnsi="Trebuchet MS" w:cs="Arial"/>
          <w:color w:val="5F5F5F"/>
          <w:sz w:val="20"/>
          <w:szCs w:val="20"/>
        </w:rPr>
        <w:t>).</w:t>
      </w:r>
      <w:r w:rsidR="000812BA">
        <w:rPr>
          <w:rFonts w:ascii="Trebuchet MS" w:hAnsi="Trebuchet MS" w:cs="Arial"/>
          <w:color w:val="5F5F5F"/>
          <w:sz w:val="20"/>
          <w:szCs w:val="20"/>
        </w:rPr>
        <w:br w:type="page"/>
      </w:r>
    </w:p>
    <w:p w14:paraId="073FEBEB" w14:textId="77777777" w:rsidR="001A476C" w:rsidRDefault="001A476C" w:rsidP="00047761">
      <w:pPr>
        <w:spacing w:after="120"/>
        <w:jc w:val="both"/>
        <w:rPr>
          <w:rFonts w:ascii="Trebuchet MS" w:hAnsi="Trebuchet MS" w:cs="Arial"/>
          <w:color w:val="5F5F5F"/>
          <w:sz w:val="20"/>
          <w:szCs w:val="20"/>
        </w:rPr>
      </w:pPr>
    </w:p>
    <w:p w14:paraId="05B29327" w14:textId="39865D3D" w:rsidR="004C1C69" w:rsidRPr="004162C3" w:rsidRDefault="008C7BC5" w:rsidP="00047761">
      <w:pPr>
        <w:spacing w:after="120"/>
        <w:jc w:val="both"/>
        <w:rPr>
          <w:rFonts w:ascii="Trebuchet MS" w:hAnsi="Trebuchet MS" w:cs="Arial"/>
          <w:b/>
          <w:iCs/>
          <w:color w:val="5F5F5F"/>
          <w:kern w:val="28"/>
          <w:sz w:val="22"/>
          <w:szCs w:val="22"/>
        </w:rPr>
      </w:pPr>
      <w:r>
        <w:rPr>
          <w:rFonts w:ascii="Trebuchet MS" w:hAnsi="Trebuchet MS" w:cs="Arial"/>
          <w:b/>
          <w:iCs/>
          <w:color w:val="5F5F5F"/>
          <w:kern w:val="28"/>
          <w:sz w:val="22"/>
          <w:szCs w:val="22"/>
        </w:rPr>
        <w:t>S</w:t>
      </w:r>
      <w:r w:rsidR="004C1C69" w:rsidRPr="004162C3">
        <w:rPr>
          <w:rFonts w:ascii="Trebuchet MS" w:hAnsi="Trebuchet MS" w:cs="Arial"/>
          <w:b/>
          <w:iCs/>
          <w:color w:val="5F5F5F"/>
          <w:kern w:val="28"/>
          <w:sz w:val="22"/>
          <w:szCs w:val="22"/>
        </w:rPr>
        <w:t>postamenti per motivi di studio o lavoro</w:t>
      </w:r>
      <w:r w:rsidR="008C0254" w:rsidRPr="004162C3">
        <w:rPr>
          <w:rFonts w:ascii="Trebuchet MS" w:hAnsi="Trebuchet MS" w:cs="Arial"/>
          <w:b/>
          <w:iCs/>
          <w:color w:val="5F5F5F"/>
          <w:kern w:val="28"/>
          <w:sz w:val="22"/>
          <w:szCs w:val="22"/>
        </w:rPr>
        <w:t xml:space="preserve"> </w:t>
      </w:r>
    </w:p>
    <w:p w14:paraId="2EC3E562" w14:textId="3701D24A" w:rsidR="004C1C69" w:rsidRDefault="008B0E5C" w:rsidP="00CC4F56">
      <w:pPr>
        <w:spacing w:after="120"/>
        <w:jc w:val="both"/>
        <w:rPr>
          <w:rFonts w:ascii="Trebuchet MS" w:hAnsi="Trebuchet MS" w:cs="Arial"/>
          <w:color w:val="5F5F5F"/>
          <w:sz w:val="20"/>
          <w:szCs w:val="20"/>
        </w:rPr>
      </w:pPr>
      <w:r>
        <w:rPr>
          <w:rFonts w:ascii="Trebuchet MS" w:hAnsi="Trebuchet MS" w:cs="Arial"/>
          <w:color w:val="5F5F5F"/>
          <w:sz w:val="20"/>
          <w:szCs w:val="20"/>
        </w:rPr>
        <w:t xml:space="preserve">Al 31 </w:t>
      </w:r>
      <w:r w:rsidRPr="00F34C96">
        <w:rPr>
          <w:rFonts w:ascii="Trebuchet MS" w:hAnsi="Trebuchet MS" w:cs="Arial"/>
          <w:color w:val="5F5F5F"/>
          <w:sz w:val="20"/>
          <w:szCs w:val="20"/>
        </w:rPr>
        <w:t>dicembre 2019</w:t>
      </w:r>
      <w:r w:rsidRPr="00FA33BD">
        <w:rPr>
          <w:rFonts w:ascii="Trebuchet MS" w:hAnsi="Trebuchet MS" w:cs="Arial"/>
          <w:color w:val="5F5F5F"/>
          <w:sz w:val="20"/>
          <w:szCs w:val="20"/>
        </w:rPr>
        <w:t xml:space="preserve"> </w:t>
      </w:r>
      <w:r w:rsidRPr="007C5CE0">
        <w:rPr>
          <w:rFonts w:ascii="Trebuchet MS" w:hAnsi="Trebuchet MS" w:cs="Arial"/>
          <w:color w:val="5F5F5F"/>
          <w:sz w:val="20"/>
          <w:szCs w:val="20"/>
        </w:rPr>
        <w:t>sono 5.611.802 le persone che effettuano spostamenti quotidiani per recarsi al luogo di studio o di lavoro, ossia il 56</w:t>
      </w:r>
      <w:r w:rsidR="00C451A6">
        <w:rPr>
          <w:rFonts w:ascii="Trebuchet MS" w:hAnsi="Trebuchet MS" w:cs="Arial"/>
          <w:color w:val="5F5F5F"/>
          <w:sz w:val="20"/>
          <w:szCs w:val="20"/>
        </w:rPr>
        <w:t>,0</w:t>
      </w:r>
      <w:r w:rsidRPr="007C5CE0">
        <w:rPr>
          <w:rFonts w:ascii="Trebuchet MS" w:hAnsi="Trebuchet MS" w:cs="Arial"/>
          <w:color w:val="5F5F5F"/>
          <w:sz w:val="20"/>
          <w:szCs w:val="20"/>
        </w:rPr>
        <w:t>% della popolazione residente. La quota è più elevata nella provincia di Monza e della Brianza (57,9%), seguita da Bergamo (57,3%) e Lodi (57</w:t>
      </w:r>
      <w:r>
        <w:rPr>
          <w:rFonts w:ascii="Trebuchet MS" w:hAnsi="Trebuchet MS" w:cs="Arial"/>
          <w:color w:val="5F5F5F"/>
          <w:sz w:val="20"/>
          <w:szCs w:val="20"/>
        </w:rPr>
        <w:t>,1%</w:t>
      </w:r>
      <w:r w:rsidR="004C1C69" w:rsidRPr="00FA33BD">
        <w:rPr>
          <w:rFonts w:ascii="Trebuchet MS" w:hAnsi="Trebuchet MS" w:cs="Arial"/>
          <w:color w:val="5F5F5F"/>
          <w:sz w:val="20"/>
          <w:szCs w:val="20"/>
        </w:rPr>
        <w:t>)</w:t>
      </w:r>
      <w:r w:rsidR="00C032EB">
        <w:rPr>
          <w:rFonts w:ascii="Trebuchet MS" w:hAnsi="Trebuchet MS" w:cs="Arial"/>
          <w:color w:val="5F5F5F"/>
          <w:sz w:val="20"/>
          <w:szCs w:val="20"/>
        </w:rPr>
        <w:t xml:space="preserve"> (Figura 6)</w:t>
      </w:r>
      <w:r w:rsidR="004C1C69">
        <w:rPr>
          <w:rFonts w:ascii="Trebuchet MS" w:hAnsi="Trebuchet MS" w:cs="Arial"/>
          <w:color w:val="5F5F5F"/>
          <w:sz w:val="20"/>
          <w:szCs w:val="20"/>
        </w:rPr>
        <w:t>.</w:t>
      </w:r>
      <w:r w:rsidR="004C1C69" w:rsidRPr="00FA33BD">
        <w:rPr>
          <w:rFonts w:ascii="Trebuchet MS" w:hAnsi="Trebuchet MS" w:cs="Arial"/>
          <w:color w:val="5F5F5F"/>
          <w:sz w:val="20"/>
          <w:szCs w:val="20"/>
        </w:rPr>
        <w:t xml:space="preserve"> </w:t>
      </w:r>
    </w:p>
    <w:p w14:paraId="2C43AC81" w14:textId="21EF1DC8" w:rsidR="004C1C69" w:rsidRDefault="004C1C69" w:rsidP="00156220">
      <w:pPr>
        <w:keepNext/>
        <w:spacing w:before="240" w:after="120"/>
        <w:jc w:val="both"/>
        <w:rPr>
          <w:rFonts w:ascii="Arial Narrow" w:hAnsi="Arial Narrow"/>
          <w:color w:val="404040" w:themeColor="text1" w:themeTint="BF"/>
          <w:sz w:val="22"/>
          <w:szCs w:val="22"/>
        </w:rPr>
      </w:pPr>
      <w:r>
        <w:rPr>
          <w:rFonts w:ascii="Arial Narrow" w:hAnsi="Arial Narrow"/>
          <w:b/>
          <w:bCs/>
          <w:color w:val="404040" w:themeColor="text1" w:themeTint="BF"/>
          <w:sz w:val="22"/>
          <w:szCs w:val="22"/>
        </w:rPr>
        <w:t xml:space="preserve">FIGURA </w:t>
      </w:r>
      <w:r w:rsidR="000E7CDD">
        <w:rPr>
          <w:rFonts w:ascii="Arial Narrow" w:hAnsi="Arial Narrow"/>
          <w:b/>
          <w:bCs/>
          <w:color w:val="404040" w:themeColor="text1" w:themeTint="BF"/>
          <w:sz w:val="22"/>
          <w:szCs w:val="22"/>
        </w:rPr>
        <w:t>6</w:t>
      </w:r>
      <w:r w:rsidRPr="00B162C7">
        <w:rPr>
          <w:rFonts w:ascii="Arial Narrow" w:hAnsi="Arial Narrow"/>
          <w:b/>
          <w:bCs/>
          <w:color w:val="404040" w:themeColor="text1" w:themeTint="BF"/>
          <w:sz w:val="22"/>
          <w:szCs w:val="22"/>
        </w:rPr>
        <w:t>.</w:t>
      </w:r>
      <w:r w:rsidRPr="00B162C7">
        <w:rPr>
          <w:rFonts w:ascii="Arial" w:hAnsi="Arial" w:cs="Arial"/>
          <w:b/>
          <w:bCs/>
          <w:color w:val="404040" w:themeColor="text1" w:themeTint="BF"/>
          <w:sz w:val="20"/>
          <w:szCs w:val="20"/>
        </w:rPr>
        <w:t xml:space="preserve"> </w:t>
      </w:r>
      <w:r w:rsidRPr="00B162C7">
        <w:rPr>
          <w:rFonts w:ascii="Arial Narrow" w:hAnsi="Arial Narrow"/>
          <w:color w:val="404040" w:themeColor="text1" w:themeTint="BF"/>
          <w:sz w:val="22"/>
          <w:szCs w:val="22"/>
        </w:rPr>
        <w:t xml:space="preserve">POPOLAZIONE RESIDENTE </w:t>
      </w:r>
      <w:r w:rsidRPr="00FA33BD">
        <w:rPr>
          <w:rFonts w:ascii="Arial Narrow" w:hAnsi="Arial Narrow"/>
          <w:color w:val="404040" w:themeColor="text1" w:themeTint="BF"/>
          <w:sz w:val="22"/>
          <w:szCs w:val="22"/>
        </w:rPr>
        <w:t>CHE SI SPOSTA GIO</w:t>
      </w:r>
      <w:r>
        <w:rPr>
          <w:rFonts w:ascii="Arial Narrow" w:hAnsi="Arial Narrow"/>
          <w:color w:val="404040" w:themeColor="text1" w:themeTint="BF"/>
          <w:sz w:val="22"/>
          <w:szCs w:val="22"/>
        </w:rPr>
        <w:t>RNALMENTE PER PROVINCIA. Anno 2019</w:t>
      </w:r>
      <w:r w:rsidRPr="00FA33BD">
        <w:rPr>
          <w:rFonts w:ascii="Arial Narrow" w:hAnsi="Arial Narrow"/>
          <w:color w:val="404040" w:themeColor="text1" w:themeTint="BF"/>
          <w:sz w:val="22"/>
          <w:szCs w:val="22"/>
        </w:rPr>
        <w:t>, incidenza percentuale sul totale della popolazione residente.</w:t>
      </w:r>
    </w:p>
    <w:p w14:paraId="3B3DAAC7" w14:textId="497E76E9" w:rsidR="004C1C69" w:rsidRDefault="00596C94" w:rsidP="00C77D93">
      <w:pPr>
        <w:spacing w:after="240"/>
        <w:jc w:val="both"/>
        <w:rPr>
          <w:rFonts w:ascii="Arial Narrow" w:hAnsi="Arial Narrow"/>
          <w:color w:val="404040" w:themeColor="text1" w:themeTint="BF"/>
          <w:sz w:val="22"/>
          <w:szCs w:val="22"/>
        </w:rPr>
      </w:pPr>
      <w:r>
        <w:rPr>
          <w:noProof/>
        </w:rPr>
        <w:drawing>
          <wp:inline distT="0" distB="0" distL="0" distR="0" wp14:anchorId="13A497C6" wp14:editId="20039FD4">
            <wp:extent cx="6084000" cy="2088000"/>
            <wp:effectExtent l="0" t="0" r="12065" b="7620"/>
            <wp:docPr id="7" name="Grafico 7">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35CA9A6" w14:textId="5E3EB488" w:rsidR="000812BA" w:rsidRDefault="008B0E5C" w:rsidP="00B94469">
      <w:pPr>
        <w:spacing w:after="120"/>
        <w:jc w:val="both"/>
        <w:rPr>
          <w:rFonts w:ascii="Trebuchet MS" w:hAnsi="Trebuchet MS" w:cs="Arial"/>
          <w:color w:val="5F5F5F"/>
          <w:sz w:val="20"/>
          <w:szCs w:val="20"/>
        </w:rPr>
      </w:pPr>
      <w:r w:rsidRPr="007C5CE0">
        <w:rPr>
          <w:rFonts w:ascii="Trebuchet MS" w:hAnsi="Trebuchet MS" w:cs="Arial"/>
          <w:color w:val="5F5F5F"/>
          <w:sz w:val="20"/>
          <w:szCs w:val="20"/>
        </w:rPr>
        <w:t xml:space="preserve">Nel </w:t>
      </w:r>
      <w:r w:rsidR="00890B8F">
        <w:rPr>
          <w:rFonts w:ascii="Trebuchet MS" w:hAnsi="Trebuchet MS" w:cs="Arial"/>
          <w:color w:val="5F5F5F"/>
          <w:sz w:val="20"/>
          <w:szCs w:val="20"/>
        </w:rPr>
        <w:t>57,1%</w:t>
      </w:r>
      <w:r w:rsidRPr="007C5CE0">
        <w:rPr>
          <w:rFonts w:ascii="Trebuchet MS" w:hAnsi="Trebuchet MS" w:cs="Arial"/>
          <w:color w:val="5F5F5F"/>
          <w:sz w:val="20"/>
          <w:szCs w:val="20"/>
        </w:rPr>
        <w:t xml:space="preserve"> dei casi lo spostamento avviene </w:t>
      </w:r>
      <w:r w:rsidR="00890B8F">
        <w:rPr>
          <w:rFonts w:ascii="Trebuchet MS" w:hAnsi="Trebuchet MS" w:cs="Arial"/>
          <w:color w:val="5F5F5F"/>
          <w:sz w:val="20"/>
          <w:szCs w:val="20"/>
        </w:rPr>
        <w:t>fuori dal</w:t>
      </w:r>
      <w:r w:rsidRPr="007C5CE0">
        <w:rPr>
          <w:rFonts w:ascii="Trebuchet MS" w:hAnsi="Trebuchet MS" w:cs="Arial"/>
          <w:color w:val="5F5F5F"/>
          <w:sz w:val="20"/>
          <w:szCs w:val="20"/>
        </w:rPr>
        <w:t xml:space="preserve"> comune di dimora abituale </w:t>
      </w:r>
      <w:r w:rsidR="00890B8F">
        <w:rPr>
          <w:rFonts w:ascii="Trebuchet MS" w:hAnsi="Trebuchet MS" w:cs="Arial"/>
          <w:color w:val="5F5F5F"/>
          <w:sz w:val="20"/>
          <w:szCs w:val="20"/>
        </w:rPr>
        <w:t>(</w:t>
      </w:r>
      <w:r w:rsidR="00890B8F" w:rsidRPr="007C5CE0">
        <w:rPr>
          <w:rFonts w:ascii="Trebuchet MS" w:hAnsi="Trebuchet MS" w:cs="Arial"/>
          <w:color w:val="5F5F5F"/>
          <w:sz w:val="20"/>
          <w:szCs w:val="20"/>
        </w:rPr>
        <w:t>3.202.141 residenti)</w:t>
      </w:r>
      <w:r w:rsidRPr="007C5CE0">
        <w:rPr>
          <w:rFonts w:ascii="Trebuchet MS" w:hAnsi="Trebuchet MS" w:cs="Arial"/>
          <w:color w:val="5F5F5F"/>
          <w:sz w:val="20"/>
          <w:szCs w:val="20"/>
        </w:rPr>
        <w:t xml:space="preserve">, nel restante </w:t>
      </w:r>
      <w:r w:rsidR="00890B8F">
        <w:rPr>
          <w:rFonts w:ascii="Trebuchet MS" w:hAnsi="Trebuchet MS" w:cs="Arial"/>
          <w:color w:val="5F5F5F"/>
          <w:sz w:val="20"/>
          <w:szCs w:val="20"/>
        </w:rPr>
        <w:t>42,9</w:t>
      </w:r>
      <w:r w:rsidRPr="007C5CE0">
        <w:rPr>
          <w:rFonts w:ascii="Trebuchet MS" w:hAnsi="Trebuchet MS" w:cs="Arial"/>
          <w:color w:val="5F5F5F"/>
          <w:sz w:val="20"/>
          <w:szCs w:val="20"/>
        </w:rPr>
        <w:t xml:space="preserve">% </w:t>
      </w:r>
      <w:r w:rsidR="007C3785">
        <w:rPr>
          <w:rFonts w:ascii="Trebuchet MS" w:hAnsi="Trebuchet MS" w:cs="Arial"/>
          <w:color w:val="5F5F5F"/>
          <w:sz w:val="20"/>
          <w:szCs w:val="20"/>
        </w:rPr>
        <w:t xml:space="preserve">all’interno dello stesso comune </w:t>
      </w:r>
      <w:r w:rsidR="007C3785" w:rsidRPr="007C5CE0">
        <w:rPr>
          <w:rFonts w:ascii="Trebuchet MS" w:hAnsi="Trebuchet MS" w:cs="Arial"/>
          <w:color w:val="5F5F5F"/>
          <w:sz w:val="20"/>
          <w:szCs w:val="20"/>
        </w:rPr>
        <w:t>(2.409.661 residenti)</w:t>
      </w:r>
      <w:r w:rsidRPr="007C5CE0">
        <w:rPr>
          <w:rFonts w:ascii="Trebuchet MS" w:hAnsi="Trebuchet MS" w:cs="Arial"/>
          <w:color w:val="5F5F5F"/>
          <w:sz w:val="20"/>
          <w:szCs w:val="20"/>
        </w:rPr>
        <w:t>. La geografia degli spostamenti è piuttosto differenziata in conseguenza delle diverse caratteristiche dei territori provinciali. Gli spostamenti intra-comunali raggiungono i valori massimi nelle province di Milano (53,8%) e Mantova (47,4%) mentre Monza e Brianza (68</w:t>
      </w:r>
      <w:r w:rsidR="00C35A2A">
        <w:rPr>
          <w:rFonts w:ascii="Trebuchet MS" w:hAnsi="Trebuchet MS" w:cs="Arial"/>
          <w:color w:val="5F5F5F"/>
          <w:sz w:val="20"/>
          <w:szCs w:val="20"/>
        </w:rPr>
        <w:t>,0</w:t>
      </w:r>
      <w:r w:rsidRPr="007C5CE0">
        <w:rPr>
          <w:rFonts w:ascii="Trebuchet MS" w:hAnsi="Trebuchet MS" w:cs="Arial"/>
          <w:color w:val="5F5F5F"/>
          <w:sz w:val="20"/>
          <w:szCs w:val="20"/>
        </w:rPr>
        <w:t xml:space="preserve">%), Lecco (67,4%), Como (67,3%) e Lodi (67,1%) presentano una maggiore incidenza di spostamenti fuori dal comune (Prospetto </w:t>
      </w:r>
      <w:r w:rsidR="00A97D23">
        <w:rPr>
          <w:rFonts w:ascii="Trebuchet MS" w:hAnsi="Trebuchet MS" w:cs="Arial"/>
          <w:color w:val="5F5F5F"/>
          <w:sz w:val="20"/>
          <w:szCs w:val="20"/>
        </w:rPr>
        <w:t>11)</w:t>
      </w:r>
      <w:r w:rsidR="004C1C69" w:rsidRPr="00E43B09">
        <w:rPr>
          <w:rFonts w:ascii="Trebuchet MS" w:hAnsi="Trebuchet MS" w:cs="Arial"/>
          <w:color w:val="5F5F5F"/>
          <w:sz w:val="20"/>
          <w:szCs w:val="20"/>
        </w:rPr>
        <w:t>.</w:t>
      </w:r>
      <w:r w:rsidR="007C3785">
        <w:rPr>
          <w:rFonts w:ascii="Trebuchet MS" w:hAnsi="Trebuchet MS" w:cs="Arial"/>
          <w:color w:val="5F5F5F"/>
          <w:sz w:val="20"/>
          <w:szCs w:val="20"/>
        </w:rPr>
        <w:t xml:space="preserve"> </w:t>
      </w:r>
    </w:p>
    <w:p w14:paraId="7FCA7358" w14:textId="77777777" w:rsidR="00E62B8D" w:rsidRDefault="00E62B8D" w:rsidP="00B94469">
      <w:pPr>
        <w:spacing w:after="120"/>
        <w:jc w:val="both"/>
        <w:rPr>
          <w:rFonts w:ascii="Trebuchet MS" w:hAnsi="Trebuchet MS" w:cs="Arial"/>
          <w:color w:val="5F5F5F"/>
          <w:sz w:val="20"/>
          <w:szCs w:val="20"/>
        </w:rPr>
      </w:pPr>
    </w:p>
    <w:p w14:paraId="2ED8E218" w14:textId="32C08433" w:rsidR="004C1C69" w:rsidRDefault="004C1C69" w:rsidP="00047761">
      <w:pPr>
        <w:spacing w:after="120"/>
        <w:jc w:val="both"/>
        <w:rPr>
          <w:rFonts w:ascii="Arial Narrow" w:hAnsi="Arial Narrow" w:cs="Arial Narrow"/>
          <w:color w:val="595959" w:themeColor="text1" w:themeTint="A6"/>
          <w:sz w:val="22"/>
          <w:szCs w:val="22"/>
        </w:rPr>
      </w:pPr>
      <w:r>
        <w:rPr>
          <w:rFonts w:ascii="Arial Narrow" w:hAnsi="Arial Narrow" w:cs="Arial Narrow"/>
          <w:b/>
          <w:bCs/>
          <w:color w:val="595959" w:themeColor="text1" w:themeTint="A6"/>
          <w:sz w:val="22"/>
          <w:szCs w:val="22"/>
        </w:rPr>
        <w:t xml:space="preserve">PROSPETTO </w:t>
      </w:r>
      <w:r w:rsidR="00D74732">
        <w:rPr>
          <w:rFonts w:ascii="Arial Narrow" w:hAnsi="Arial Narrow" w:cs="Arial Narrow"/>
          <w:b/>
          <w:bCs/>
          <w:color w:val="595959" w:themeColor="text1" w:themeTint="A6"/>
          <w:sz w:val="22"/>
          <w:szCs w:val="22"/>
        </w:rPr>
        <w:t>11</w:t>
      </w:r>
      <w:r w:rsidRPr="00710C34">
        <w:rPr>
          <w:rFonts w:ascii="Arial Narrow" w:hAnsi="Arial Narrow" w:cs="Arial Narrow"/>
          <w:b/>
          <w:bCs/>
          <w:color w:val="595959" w:themeColor="text1" w:themeTint="A6"/>
          <w:sz w:val="22"/>
          <w:szCs w:val="22"/>
        </w:rPr>
        <w:t xml:space="preserve">. </w:t>
      </w:r>
      <w:r w:rsidRPr="00F62144">
        <w:rPr>
          <w:rFonts w:ascii="Arial Narrow" w:hAnsi="Arial Narrow" w:cs="Arial Narrow"/>
          <w:color w:val="595959" w:themeColor="text1" w:themeTint="A6"/>
          <w:sz w:val="22"/>
          <w:szCs w:val="22"/>
        </w:rPr>
        <w:t xml:space="preserve">POPOLAZIONE RESIDENTE CHE SI SPOSTA GIORNALMENTE PER </w:t>
      </w:r>
      <w:r>
        <w:rPr>
          <w:rFonts w:ascii="Arial Narrow" w:hAnsi="Arial Narrow" w:cs="Arial Narrow"/>
          <w:color w:val="595959" w:themeColor="text1" w:themeTint="A6"/>
          <w:sz w:val="22"/>
          <w:szCs w:val="22"/>
        </w:rPr>
        <w:t>LUOGO DI DESTINAZIONE.</w:t>
      </w:r>
      <w:r w:rsidRPr="00546CBB">
        <w:t xml:space="preserve"> </w:t>
      </w:r>
      <w:r w:rsidR="007048B1">
        <w:rPr>
          <w:rFonts w:ascii="Arial Narrow" w:hAnsi="Arial Narrow" w:cs="Arial Narrow"/>
          <w:color w:val="595959" w:themeColor="text1" w:themeTint="A6"/>
          <w:sz w:val="22"/>
          <w:szCs w:val="22"/>
        </w:rPr>
        <w:t>Censimento</w:t>
      </w:r>
      <w:r w:rsidR="007048B1" w:rsidRPr="00546CBB">
        <w:rPr>
          <w:rFonts w:ascii="Arial Narrow" w:hAnsi="Arial Narrow" w:cs="Arial Narrow"/>
          <w:color w:val="595959" w:themeColor="text1" w:themeTint="A6"/>
          <w:sz w:val="22"/>
          <w:szCs w:val="22"/>
        </w:rPr>
        <w:t xml:space="preserve"> </w:t>
      </w:r>
      <w:r w:rsidRPr="00546CBB">
        <w:rPr>
          <w:rFonts w:ascii="Arial Narrow" w:hAnsi="Arial Narrow" w:cs="Arial Narrow"/>
          <w:color w:val="595959" w:themeColor="text1" w:themeTint="A6"/>
          <w:sz w:val="22"/>
          <w:szCs w:val="22"/>
        </w:rPr>
        <w:t>20</w:t>
      </w:r>
      <w:r w:rsidR="002B1B23">
        <w:rPr>
          <w:rFonts w:ascii="Arial Narrow" w:hAnsi="Arial Narrow" w:cs="Arial Narrow"/>
          <w:color w:val="595959" w:themeColor="text1" w:themeTint="A6"/>
          <w:sz w:val="22"/>
          <w:szCs w:val="22"/>
        </w:rPr>
        <w:t>19</w:t>
      </w:r>
      <w:r w:rsidRPr="00546CBB">
        <w:rPr>
          <w:rFonts w:ascii="Arial Narrow" w:hAnsi="Arial Narrow" w:cs="Arial Narrow"/>
          <w:color w:val="595959" w:themeColor="text1" w:themeTint="A6"/>
          <w:sz w:val="22"/>
          <w:szCs w:val="22"/>
        </w:rPr>
        <w:t>, valori assoluti e percentua</w:t>
      </w:r>
      <w:r>
        <w:rPr>
          <w:rFonts w:ascii="Arial Narrow" w:hAnsi="Arial Narrow" w:cs="Arial Narrow"/>
          <w:color w:val="595959" w:themeColor="text1" w:themeTint="A6"/>
          <w:sz w:val="22"/>
          <w:szCs w:val="22"/>
        </w:rPr>
        <w:t>li</w:t>
      </w:r>
    </w:p>
    <w:tbl>
      <w:tblPr>
        <w:tblW w:w="9620" w:type="dxa"/>
        <w:tblCellMar>
          <w:left w:w="70" w:type="dxa"/>
          <w:right w:w="70" w:type="dxa"/>
        </w:tblCellMar>
        <w:tblLook w:val="04A0" w:firstRow="1" w:lastRow="0" w:firstColumn="1" w:lastColumn="0" w:noHBand="0" w:noVBand="1"/>
      </w:tblPr>
      <w:tblGrid>
        <w:gridCol w:w="1890"/>
        <w:gridCol w:w="1404"/>
        <w:gridCol w:w="1177"/>
        <w:gridCol w:w="1404"/>
        <w:gridCol w:w="1177"/>
        <w:gridCol w:w="1376"/>
        <w:gridCol w:w="1192"/>
      </w:tblGrid>
      <w:tr w:rsidR="0085034C" w14:paraId="2081832F" w14:textId="77777777" w:rsidTr="0085034C">
        <w:trPr>
          <w:trHeight w:val="330"/>
        </w:trPr>
        <w:tc>
          <w:tcPr>
            <w:tcW w:w="1890" w:type="dxa"/>
            <w:vMerge w:val="restart"/>
            <w:tcBorders>
              <w:top w:val="single" w:sz="4" w:space="0" w:color="auto"/>
              <w:left w:val="nil"/>
              <w:bottom w:val="single" w:sz="4" w:space="0" w:color="000000"/>
              <w:right w:val="nil"/>
            </w:tcBorders>
            <w:shd w:val="clear" w:color="auto" w:fill="auto"/>
            <w:vAlign w:val="center"/>
            <w:hideMark/>
          </w:tcPr>
          <w:p w14:paraId="6E028114" w14:textId="77777777" w:rsidR="0085034C" w:rsidRDefault="0085034C">
            <w:pPr>
              <w:rPr>
                <w:rFonts w:ascii="Arial Narrow" w:hAnsi="Arial Narrow" w:cs="Calibri"/>
                <w:b/>
                <w:bCs/>
                <w:sz w:val="22"/>
                <w:szCs w:val="22"/>
              </w:rPr>
            </w:pPr>
            <w:r>
              <w:rPr>
                <w:rFonts w:ascii="Arial Narrow" w:hAnsi="Arial Narrow" w:cs="Calibri"/>
                <w:b/>
                <w:bCs/>
                <w:sz w:val="22"/>
                <w:szCs w:val="22"/>
              </w:rPr>
              <w:t>PROVINCE</w:t>
            </w:r>
          </w:p>
        </w:tc>
        <w:tc>
          <w:tcPr>
            <w:tcW w:w="5162" w:type="dxa"/>
            <w:gridSpan w:val="4"/>
            <w:tcBorders>
              <w:top w:val="single" w:sz="4" w:space="0" w:color="262626"/>
              <w:left w:val="nil"/>
              <w:bottom w:val="single" w:sz="4" w:space="0" w:color="262626"/>
              <w:right w:val="nil"/>
            </w:tcBorders>
            <w:shd w:val="clear" w:color="auto" w:fill="auto"/>
            <w:noWrap/>
            <w:vAlign w:val="center"/>
            <w:hideMark/>
          </w:tcPr>
          <w:p w14:paraId="711EC670" w14:textId="77777777" w:rsidR="0085034C" w:rsidRDefault="0085034C">
            <w:pPr>
              <w:jc w:val="center"/>
              <w:rPr>
                <w:rFonts w:ascii="Arial Narrow" w:hAnsi="Arial Narrow" w:cs="Calibri"/>
                <w:b/>
                <w:bCs/>
                <w:color w:val="000000"/>
                <w:sz w:val="18"/>
                <w:szCs w:val="18"/>
              </w:rPr>
            </w:pPr>
            <w:r>
              <w:rPr>
                <w:rFonts w:ascii="Arial Narrow" w:hAnsi="Arial Narrow" w:cs="Calibri"/>
                <w:b/>
                <w:bCs/>
                <w:color w:val="000000"/>
                <w:sz w:val="18"/>
                <w:szCs w:val="18"/>
              </w:rPr>
              <w:t>LUOGO DI DESTINAZIONE</w:t>
            </w:r>
          </w:p>
        </w:tc>
        <w:tc>
          <w:tcPr>
            <w:tcW w:w="2568" w:type="dxa"/>
            <w:gridSpan w:val="2"/>
            <w:vMerge w:val="restart"/>
            <w:tcBorders>
              <w:top w:val="single" w:sz="4" w:space="0" w:color="262626"/>
              <w:left w:val="nil"/>
              <w:bottom w:val="single" w:sz="4" w:space="0" w:color="262626"/>
              <w:right w:val="nil"/>
            </w:tcBorders>
            <w:shd w:val="clear" w:color="auto" w:fill="auto"/>
            <w:noWrap/>
            <w:vAlign w:val="center"/>
            <w:hideMark/>
          </w:tcPr>
          <w:p w14:paraId="44AF9F5D" w14:textId="77777777" w:rsidR="0085034C" w:rsidRDefault="0085034C">
            <w:pPr>
              <w:jc w:val="center"/>
              <w:rPr>
                <w:rFonts w:ascii="Arial Narrow" w:hAnsi="Arial Narrow" w:cs="Calibri"/>
                <w:b/>
                <w:bCs/>
                <w:color w:val="000000"/>
                <w:sz w:val="18"/>
                <w:szCs w:val="18"/>
              </w:rPr>
            </w:pPr>
            <w:r>
              <w:rPr>
                <w:rFonts w:ascii="Arial Narrow" w:hAnsi="Arial Narrow" w:cs="Calibri"/>
                <w:b/>
                <w:bCs/>
                <w:color w:val="000000"/>
                <w:sz w:val="18"/>
                <w:szCs w:val="18"/>
              </w:rPr>
              <w:t>Totale</w:t>
            </w:r>
          </w:p>
        </w:tc>
      </w:tr>
      <w:tr w:rsidR="0085034C" w14:paraId="2AFBB6FF" w14:textId="77777777" w:rsidTr="0085034C">
        <w:trPr>
          <w:trHeight w:val="330"/>
        </w:trPr>
        <w:tc>
          <w:tcPr>
            <w:tcW w:w="1890" w:type="dxa"/>
            <w:vMerge/>
            <w:tcBorders>
              <w:top w:val="single" w:sz="4" w:space="0" w:color="auto"/>
              <w:left w:val="nil"/>
              <w:bottom w:val="single" w:sz="4" w:space="0" w:color="000000"/>
              <w:right w:val="nil"/>
            </w:tcBorders>
            <w:vAlign w:val="center"/>
            <w:hideMark/>
          </w:tcPr>
          <w:p w14:paraId="23927818" w14:textId="77777777" w:rsidR="0085034C" w:rsidRDefault="0085034C">
            <w:pPr>
              <w:rPr>
                <w:rFonts w:ascii="Arial Narrow" w:hAnsi="Arial Narrow" w:cs="Calibri"/>
                <w:b/>
                <w:bCs/>
                <w:sz w:val="22"/>
                <w:szCs w:val="22"/>
              </w:rPr>
            </w:pPr>
          </w:p>
        </w:tc>
        <w:tc>
          <w:tcPr>
            <w:tcW w:w="2581" w:type="dxa"/>
            <w:gridSpan w:val="2"/>
            <w:tcBorders>
              <w:top w:val="single" w:sz="4" w:space="0" w:color="262626"/>
              <w:left w:val="nil"/>
              <w:bottom w:val="single" w:sz="4" w:space="0" w:color="262626"/>
              <w:right w:val="nil"/>
            </w:tcBorders>
            <w:shd w:val="clear" w:color="auto" w:fill="auto"/>
            <w:vAlign w:val="center"/>
            <w:hideMark/>
          </w:tcPr>
          <w:p w14:paraId="4515F846" w14:textId="77777777" w:rsidR="0085034C" w:rsidRDefault="0085034C">
            <w:pPr>
              <w:jc w:val="center"/>
              <w:rPr>
                <w:rFonts w:ascii="Arial Narrow" w:hAnsi="Arial Narrow" w:cs="Calibri"/>
                <w:b/>
                <w:bCs/>
                <w:color w:val="000000"/>
                <w:sz w:val="18"/>
                <w:szCs w:val="18"/>
              </w:rPr>
            </w:pPr>
            <w:r>
              <w:rPr>
                <w:rFonts w:ascii="Arial Narrow" w:hAnsi="Arial Narrow" w:cs="Calibri"/>
                <w:b/>
                <w:bCs/>
                <w:color w:val="000000"/>
                <w:sz w:val="18"/>
                <w:szCs w:val="18"/>
              </w:rPr>
              <w:t>Stesso comune</w:t>
            </w:r>
          </w:p>
        </w:tc>
        <w:tc>
          <w:tcPr>
            <w:tcW w:w="2581" w:type="dxa"/>
            <w:gridSpan w:val="2"/>
            <w:tcBorders>
              <w:top w:val="single" w:sz="4" w:space="0" w:color="262626"/>
              <w:left w:val="nil"/>
              <w:bottom w:val="single" w:sz="4" w:space="0" w:color="262626"/>
              <w:right w:val="nil"/>
            </w:tcBorders>
            <w:shd w:val="clear" w:color="auto" w:fill="auto"/>
            <w:vAlign w:val="center"/>
            <w:hideMark/>
          </w:tcPr>
          <w:p w14:paraId="76E2812C" w14:textId="77777777" w:rsidR="0085034C" w:rsidRDefault="0085034C">
            <w:pPr>
              <w:jc w:val="center"/>
              <w:rPr>
                <w:rFonts w:ascii="Arial Narrow" w:hAnsi="Arial Narrow" w:cs="Calibri"/>
                <w:b/>
                <w:bCs/>
                <w:color w:val="000000"/>
                <w:sz w:val="18"/>
                <w:szCs w:val="18"/>
              </w:rPr>
            </w:pPr>
            <w:r>
              <w:rPr>
                <w:rFonts w:ascii="Arial Narrow" w:hAnsi="Arial Narrow" w:cs="Calibri"/>
                <w:b/>
                <w:bCs/>
                <w:color w:val="000000"/>
                <w:sz w:val="18"/>
                <w:szCs w:val="18"/>
              </w:rPr>
              <w:t>Altro comune</w:t>
            </w:r>
          </w:p>
        </w:tc>
        <w:tc>
          <w:tcPr>
            <w:tcW w:w="2568" w:type="dxa"/>
            <w:gridSpan w:val="2"/>
            <w:vMerge/>
            <w:tcBorders>
              <w:top w:val="single" w:sz="4" w:space="0" w:color="262626"/>
              <w:left w:val="nil"/>
              <w:bottom w:val="single" w:sz="4" w:space="0" w:color="262626"/>
              <w:right w:val="nil"/>
            </w:tcBorders>
            <w:vAlign w:val="center"/>
            <w:hideMark/>
          </w:tcPr>
          <w:p w14:paraId="6A827CD4" w14:textId="77777777" w:rsidR="0085034C" w:rsidRDefault="0085034C">
            <w:pPr>
              <w:rPr>
                <w:rFonts w:ascii="Arial Narrow" w:hAnsi="Arial Narrow" w:cs="Calibri"/>
                <w:b/>
                <w:bCs/>
                <w:color w:val="000000"/>
                <w:sz w:val="18"/>
                <w:szCs w:val="18"/>
              </w:rPr>
            </w:pPr>
          </w:p>
        </w:tc>
      </w:tr>
      <w:tr w:rsidR="0085034C" w14:paraId="233AD43D" w14:textId="77777777" w:rsidTr="0085034C">
        <w:trPr>
          <w:trHeight w:val="300"/>
        </w:trPr>
        <w:tc>
          <w:tcPr>
            <w:tcW w:w="1890" w:type="dxa"/>
            <w:vMerge/>
            <w:tcBorders>
              <w:top w:val="single" w:sz="4" w:space="0" w:color="auto"/>
              <w:left w:val="nil"/>
              <w:bottom w:val="single" w:sz="4" w:space="0" w:color="000000"/>
              <w:right w:val="nil"/>
            </w:tcBorders>
            <w:vAlign w:val="center"/>
            <w:hideMark/>
          </w:tcPr>
          <w:p w14:paraId="15A81048" w14:textId="77777777" w:rsidR="0085034C" w:rsidRDefault="0085034C">
            <w:pPr>
              <w:rPr>
                <w:rFonts w:ascii="Arial Narrow" w:hAnsi="Arial Narrow" w:cs="Calibri"/>
                <w:b/>
                <w:bCs/>
                <w:sz w:val="22"/>
                <w:szCs w:val="22"/>
              </w:rPr>
            </w:pPr>
          </w:p>
        </w:tc>
        <w:tc>
          <w:tcPr>
            <w:tcW w:w="1404" w:type="dxa"/>
            <w:tcBorders>
              <w:top w:val="nil"/>
              <w:left w:val="nil"/>
              <w:bottom w:val="single" w:sz="4" w:space="0" w:color="262626"/>
              <w:right w:val="nil"/>
            </w:tcBorders>
            <w:shd w:val="clear" w:color="000000" w:fill="D9D9D9"/>
            <w:vAlign w:val="center"/>
            <w:hideMark/>
          </w:tcPr>
          <w:p w14:paraId="6B85641C" w14:textId="77777777" w:rsidR="0085034C" w:rsidRDefault="0085034C">
            <w:pPr>
              <w:jc w:val="right"/>
              <w:rPr>
                <w:rFonts w:ascii="Arial Narrow" w:hAnsi="Arial Narrow" w:cs="Calibri"/>
                <w:b/>
                <w:bCs/>
                <w:color w:val="000000"/>
                <w:sz w:val="18"/>
                <w:szCs w:val="18"/>
              </w:rPr>
            </w:pPr>
            <w:r>
              <w:rPr>
                <w:rFonts w:ascii="Arial Narrow" w:hAnsi="Arial Narrow" w:cs="Calibri"/>
                <w:b/>
                <w:bCs/>
                <w:color w:val="000000"/>
                <w:sz w:val="18"/>
                <w:szCs w:val="18"/>
              </w:rPr>
              <w:t>v. a.</w:t>
            </w:r>
          </w:p>
        </w:tc>
        <w:tc>
          <w:tcPr>
            <w:tcW w:w="1177" w:type="dxa"/>
            <w:tcBorders>
              <w:top w:val="nil"/>
              <w:left w:val="nil"/>
              <w:bottom w:val="single" w:sz="4" w:space="0" w:color="262626"/>
              <w:right w:val="nil"/>
            </w:tcBorders>
            <w:shd w:val="clear" w:color="auto" w:fill="auto"/>
            <w:hideMark/>
          </w:tcPr>
          <w:p w14:paraId="775E6AB9" w14:textId="77777777" w:rsidR="0085034C" w:rsidRDefault="0085034C">
            <w:pPr>
              <w:jc w:val="right"/>
              <w:rPr>
                <w:rFonts w:ascii="Arial Narrow" w:hAnsi="Arial Narrow" w:cs="Calibri"/>
                <w:b/>
                <w:bCs/>
                <w:color w:val="000000"/>
                <w:sz w:val="18"/>
                <w:szCs w:val="18"/>
              </w:rPr>
            </w:pPr>
            <w:r>
              <w:rPr>
                <w:rFonts w:ascii="Arial Narrow" w:hAnsi="Arial Narrow" w:cs="Calibri"/>
                <w:b/>
                <w:bCs/>
                <w:color w:val="000000"/>
                <w:sz w:val="18"/>
                <w:szCs w:val="18"/>
              </w:rPr>
              <w:t>%</w:t>
            </w:r>
          </w:p>
        </w:tc>
        <w:tc>
          <w:tcPr>
            <w:tcW w:w="1404" w:type="dxa"/>
            <w:tcBorders>
              <w:top w:val="nil"/>
              <w:left w:val="nil"/>
              <w:bottom w:val="single" w:sz="4" w:space="0" w:color="262626"/>
              <w:right w:val="nil"/>
            </w:tcBorders>
            <w:shd w:val="clear" w:color="000000" w:fill="D9D9D9"/>
            <w:vAlign w:val="center"/>
            <w:hideMark/>
          </w:tcPr>
          <w:p w14:paraId="7C31326A" w14:textId="77777777" w:rsidR="0085034C" w:rsidRDefault="0085034C">
            <w:pPr>
              <w:jc w:val="right"/>
              <w:rPr>
                <w:rFonts w:ascii="Arial Narrow" w:hAnsi="Arial Narrow" w:cs="Calibri"/>
                <w:b/>
                <w:bCs/>
                <w:color w:val="000000"/>
                <w:sz w:val="18"/>
                <w:szCs w:val="18"/>
              </w:rPr>
            </w:pPr>
            <w:r>
              <w:rPr>
                <w:rFonts w:ascii="Arial Narrow" w:hAnsi="Arial Narrow" w:cs="Calibri"/>
                <w:b/>
                <w:bCs/>
                <w:color w:val="000000"/>
                <w:sz w:val="18"/>
                <w:szCs w:val="18"/>
              </w:rPr>
              <w:t>v. a.</w:t>
            </w:r>
          </w:p>
        </w:tc>
        <w:tc>
          <w:tcPr>
            <w:tcW w:w="1177" w:type="dxa"/>
            <w:tcBorders>
              <w:top w:val="nil"/>
              <w:left w:val="nil"/>
              <w:bottom w:val="single" w:sz="4" w:space="0" w:color="262626"/>
              <w:right w:val="nil"/>
            </w:tcBorders>
            <w:shd w:val="clear" w:color="auto" w:fill="auto"/>
            <w:hideMark/>
          </w:tcPr>
          <w:p w14:paraId="06680C6A" w14:textId="77777777" w:rsidR="0085034C" w:rsidRDefault="0085034C">
            <w:pPr>
              <w:jc w:val="right"/>
              <w:rPr>
                <w:rFonts w:ascii="Arial Narrow" w:hAnsi="Arial Narrow" w:cs="Calibri"/>
                <w:b/>
                <w:bCs/>
                <w:color w:val="000000"/>
                <w:sz w:val="18"/>
                <w:szCs w:val="18"/>
              </w:rPr>
            </w:pPr>
            <w:r>
              <w:rPr>
                <w:rFonts w:ascii="Arial Narrow" w:hAnsi="Arial Narrow" w:cs="Calibri"/>
                <w:b/>
                <w:bCs/>
                <w:color w:val="000000"/>
                <w:sz w:val="18"/>
                <w:szCs w:val="18"/>
              </w:rPr>
              <w:t>%</w:t>
            </w:r>
          </w:p>
        </w:tc>
        <w:tc>
          <w:tcPr>
            <w:tcW w:w="1376" w:type="dxa"/>
            <w:tcBorders>
              <w:top w:val="nil"/>
              <w:left w:val="nil"/>
              <w:bottom w:val="single" w:sz="4" w:space="0" w:color="262626"/>
              <w:right w:val="nil"/>
            </w:tcBorders>
            <w:shd w:val="clear" w:color="000000" w:fill="D9D9D9"/>
            <w:vAlign w:val="center"/>
            <w:hideMark/>
          </w:tcPr>
          <w:p w14:paraId="60B0F461" w14:textId="77777777" w:rsidR="0085034C" w:rsidRDefault="0085034C">
            <w:pPr>
              <w:jc w:val="right"/>
              <w:rPr>
                <w:rFonts w:ascii="Arial Narrow" w:hAnsi="Arial Narrow" w:cs="Calibri"/>
                <w:b/>
                <w:bCs/>
                <w:color w:val="000000"/>
                <w:sz w:val="18"/>
                <w:szCs w:val="18"/>
              </w:rPr>
            </w:pPr>
            <w:r>
              <w:rPr>
                <w:rFonts w:ascii="Arial Narrow" w:hAnsi="Arial Narrow" w:cs="Calibri"/>
                <w:b/>
                <w:bCs/>
                <w:color w:val="000000"/>
                <w:sz w:val="18"/>
                <w:szCs w:val="18"/>
              </w:rPr>
              <w:t>v. a.</w:t>
            </w:r>
          </w:p>
        </w:tc>
        <w:tc>
          <w:tcPr>
            <w:tcW w:w="1192" w:type="dxa"/>
            <w:tcBorders>
              <w:top w:val="nil"/>
              <w:left w:val="nil"/>
              <w:bottom w:val="single" w:sz="4" w:space="0" w:color="262626"/>
              <w:right w:val="nil"/>
            </w:tcBorders>
            <w:shd w:val="clear" w:color="auto" w:fill="auto"/>
            <w:hideMark/>
          </w:tcPr>
          <w:p w14:paraId="7F9C1E14" w14:textId="77777777" w:rsidR="0085034C" w:rsidRDefault="0085034C">
            <w:pPr>
              <w:jc w:val="right"/>
              <w:rPr>
                <w:rFonts w:ascii="Arial Narrow" w:hAnsi="Arial Narrow" w:cs="Calibri"/>
                <w:b/>
                <w:bCs/>
                <w:color w:val="000000"/>
                <w:sz w:val="18"/>
                <w:szCs w:val="18"/>
              </w:rPr>
            </w:pPr>
            <w:r>
              <w:rPr>
                <w:rFonts w:ascii="Arial Narrow" w:hAnsi="Arial Narrow" w:cs="Calibri"/>
                <w:b/>
                <w:bCs/>
                <w:color w:val="000000"/>
                <w:sz w:val="18"/>
                <w:szCs w:val="18"/>
              </w:rPr>
              <w:t>%</w:t>
            </w:r>
          </w:p>
        </w:tc>
      </w:tr>
      <w:tr w:rsidR="0085034C" w14:paraId="04A463B0" w14:textId="77777777" w:rsidTr="0085034C">
        <w:trPr>
          <w:trHeight w:val="300"/>
        </w:trPr>
        <w:tc>
          <w:tcPr>
            <w:tcW w:w="1890" w:type="dxa"/>
            <w:tcBorders>
              <w:top w:val="nil"/>
              <w:left w:val="nil"/>
              <w:bottom w:val="single" w:sz="4" w:space="0" w:color="262626"/>
              <w:right w:val="nil"/>
            </w:tcBorders>
            <w:shd w:val="clear" w:color="auto" w:fill="auto"/>
            <w:noWrap/>
            <w:vAlign w:val="center"/>
            <w:hideMark/>
          </w:tcPr>
          <w:p w14:paraId="22ECDC16" w14:textId="77777777" w:rsidR="0085034C" w:rsidRDefault="0085034C">
            <w:pPr>
              <w:rPr>
                <w:rFonts w:ascii="Arial Narrow" w:hAnsi="Arial Narrow" w:cs="Calibri"/>
                <w:color w:val="000000"/>
                <w:sz w:val="18"/>
                <w:szCs w:val="18"/>
              </w:rPr>
            </w:pPr>
            <w:r>
              <w:rPr>
                <w:rFonts w:ascii="Arial Narrow" w:hAnsi="Arial Narrow" w:cs="Calibri"/>
                <w:color w:val="000000"/>
                <w:sz w:val="18"/>
                <w:szCs w:val="18"/>
              </w:rPr>
              <w:t>Bergamo</w:t>
            </w:r>
          </w:p>
        </w:tc>
        <w:tc>
          <w:tcPr>
            <w:tcW w:w="1404" w:type="dxa"/>
            <w:tcBorders>
              <w:top w:val="nil"/>
              <w:left w:val="nil"/>
              <w:bottom w:val="single" w:sz="4" w:space="0" w:color="262626"/>
              <w:right w:val="nil"/>
            </w:tcBorders>
            <w:shd w:val="clear" w:color="000000" w:fill="D9D9D9"/>
            <w:noWrap/>
            <w:vAlign w:val="center"/>
            <w:hideMark/>
          </w:tcPr>
          <w:p w14:paraId="73C40D1C"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218.240</w:t>
            </w:r>
          </w:p>
        </w:tc>
        <w:tc>
          <w:tcPr>
            <w:tcW w:w="1177" w:type="dxa"/>
            <w:tcBorders>
              <w:top w:val="nil"/>
              <w:left w:val="nil"/>
              <w:bottom w:val="single" w:sz="4" w:space="0" w:color="262626"/>
              <w:right w:val="nil"/>
            </w:tcBorders>
            <w:shd w:val="clear" w:color="auto" w:fill="auto"/>
            <w:noWrap/>
            <w:vAlign w:val="center"/>
            <w:hideMark/>
          </w:tcPr>
          <w:p w14:paraId="4337D233"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34,4</w:t>
            </w:r>
          </w:p>
        </w:tc>
        <w:tc>
          <w:tcPr>
            <w:tcW w:w="1404" w:type="dxa"/>
            <w:tcBorders>
              <w:top w:val="nil"/>
              <w:left w:val="nil"/>
              <w:bottom w:val="single" w:sz="4" w:space="0" w:color="262626"/>
              <w:right w:val="nil"/>
            </w:tcBorders>
            <w:shd w:val="clear" w:color="000000" w:fill="D9D9D9"/>
            <w:noWrap/>
            <w:vAlign w:val="center"/>
            <w:hideMark/>
          </w:tcPr>
          <w:p w14:paraId="4F87BF13"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416.275</w:t>
            </w:r>
          </w:p>
        </w:tc>
        <w:tc>
          <w:tcPr>
            <w:tcW w:w="1177" w:type="dxa"/>
            <w:tcBorders>
              <w:top w:val="nil"/>
              <w:left w:val="nil"/>
              <w:bottom w:val="single" w:sz="4" w:space="0" w:color="262626"/>
              <w:right w:val="nil"/>
            </w:tcBorders>
            <w:shd w:val="clear" w:color="auto" w:fill="auto"/>
            <w:noWrap/>
            <w:vAlign w:val="center"/>
            <w:hideMark/>
          </w:tcPr>
          <w:p w14:paraId="25BA1FDC"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65,6</w:t>
            </w:r>
          </w:p>
        </w:tc>
        <w:tc>
          <w:tcPr>
            <w:tcW w:w="1376" w:type="dxa"/>
            <w:tcBorders>
              <w:top w:val="nil"/>
              <w:left w:val="nil"/>
              <w:bottom w:val="single" w:sz="4" w:space="0" w:color="262626"/>
              <w:right w:val="nil"/>
            </w:tcBorders>
            <w:shd w:val="clear" w:color="000000" w:fill="D9D9D9"/>
            <w:noWrap/>
            <w:vAlign w:val="center"/>
            <w:hideMark/>
          </w:tcPr>
          <w:p w14:paraId="7064FA3C"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634.515</w:t>
            </w:r>
          </w:p>
        </w:tc>
        <w:tc>
          <w:tcPr>
            <w:tcW w:w="1192" w:type="dxa"/>
            <w:tcBorders>
              <w:top w:val="nil"/>
              <w:left w:val="nil"/>
              <w:bottom w:val="single" w:sz="4" w:space="0" w:color="262626"/>
              <w:right w:val="nil"/>
            </w:tcBorders>
            <w:shd w:val="clear" w:color="auto" w:fill="auto"/>
            <w:noWrap/>
            <w:vAlign w:val="center"/>
            <w:hideMark/>
          </w:tcPr>
          <w:p w14:paraId="6CE0BC4A"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100,0</w:t>
            </w:r>
          </w:p>
        </w:tc>
      </w:tr>
      <w:tr w:rsidR="0085034C" w14:paraId="37A48091" w14:textId="77777777" w:rsidTr="0085034C">
        <w:trPr>
          <w:trHeight w:val="300"/>
        </w:trPr>
        <w:tc>
          <w:tcPr>
            <w:tcW w:w="1890" w:type="dxa"/>
            <w:tcBorders>
              <w:top w:val="nil"/>
              <w:left w:val="nil"/>
              <w:bottom w:val="single" w:sz="4" w:space="0" w:color="262626"/>
              <w:right w:val="nil"/>
            </w:tcBorders>
            <w:shd w:val="clear" w:color="auto" w:fill="auto"/>
            <w:noWrap/>
            <w:vAlign w:val="center"/>
            <w:hideMark/>
          </w:tcPr>
          <w:p w14:paraId="319113B5" w14:textId="77777777" w:rsidR="0085034C" w:rsidRDefault="0085034C">
            <w:pPr>
              <w:rPr>
                <w:rFonts w:ascii="Arial Narrow" w:hAnsi="Arial Narrow" w:cs="Calibri"/>
                <w:color w:val="000000"/>
                <w:sz w:val="18"/>
                <w:szCs w:val="18"/>
              </w:rPr>
            </w:pPr>
            <w:r>
              <w:rPr>
                <w:rFonts w:ascii="Arial Narrow" w:hAnsi="Arial Narrow" w:cs="Calibri"/>
                <w:color w:val="000000"/>
                <w:sz w:val="18"/>
                <w:szCs w:val="18"/>
              </w:rPr>
              <w:t>Brescia</w:t>
            </w:r>
          </w:p>
        </w:tc>
        <w:tc>
          <w:tcPr>
            <w:tcW w:w="1404" w:type="dxa"/>
            <w:tcBorders>
              <w:top w:val="nil"/>
              <w:left w:val="nil"/>
              <w:bottom w:val="single" w:sz="4" w:space="0" w:color="262626"/>
              <w:right w:val="nil"/>
            </w:tcBorders>
            <w:shd w:val="clear" w:color="000000" w:fill="D9D9D9"/>
            <w:noWrap/>
            <w:vAlign w:val="center"/>
            <w:hideMark/>
          </w:tcPr>
          <w:p w14:paraId="25ADC625"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315.060</w:t>
            </w:r>
          </w:p>
        </w:tc>
        <w:tc>
          <w:tcPr>
            <w:tcW w:w="1177" w:type="dxa"/>
            <w:tcBorders>
              <w:top w:val="nil"/>
              <w:left w:val="nil"/>
              <w:bottom w:val="single" w:sz="4" w:space="0" w:color="262626"/>
              <w:right w:val="nil"/>
            </w:tcBorders>
            <w:shd w:val="clear" w:color="auto" w:fill="auto"/>
            <w:noWrap/>
            <w:vAlign w:val="center"/>
            <w:hideMark/>
          </w:tcPr>
          <w:p w14:paraId="1697468C"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44,8</w:t>
            </w:r>
          </w:p>
        </w:tc>
        <w:tc>
          <w:tcPr>
            <w:tcW w:w="1404" w:type="dxa"/>
            <w:tcBorders>
              <w:top w:val="nil"/>
              <w:left w:val="nil"/>
              <w:bottom w:val="single" w:sz="4" w:space="0" w:color="262626"/>
              <w:right w:val="nil"/>
            </w:tcBorders>
            <w:shd w:val="clear" w:color="000000" w:fill="D9D9D9"/>
            <w:noWrap/>
            <w:vAlign w:val="center"/>
            <w:hideMark/>
          </w:tcPr>
          <w:p w14:paraId="447A18D0"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388.137</w:t>
            </w:r>
          </w:p>
        </w:tc>
        <w:tc>
          <w:tcPr>
            <w:tcW w:w="1177" w:type="dxa"/>
            <w:tcBorders>
              <w:top w:val="nil"/>
              <w:left w:val="nil"/>
              <w:bottom w:val="single" w:sz="4" w:space="0" w:color="262626"/>
              <w:right w:val="nil"/>
            </w:tcBorders>
            <w:shd w:val="clear" w:color="auto" w:fill="auto"/>
            <w:noWrap/>
            <w:vAlign w:val="center"/>
            <w:hideMark/>
          </w:tcPr>
          <w:p w14:paraId="1B16C6FF"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55,2</w:t>
            </w:r>
          </w:p>
        </w:tc>
        <w:tc>
          <w:tcPr>
            <w:tcW w:w="1376" w:type="dxa"/>
            <w:tcBorders>
              <w:top w:val="nil"/>
              <w:left w:val="nil"/>
              <w:bottom w:val="single" w:sz="4" w:space="0" w:color="262626"/>
              <w:right w:val="nil"/>
            </w:tcBorders>
            <w:shd w:val="clear" w:color="000000" w:fill="D9D9D9"/>
            <w:noWrap/>
            <w:vAlign w:val="center"/>
            <w:hideMark/>
          </w:tcPr>
          <w:p w14:paraId="53DCD989"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703.197</w:t>
            </w:r>
          </w:p>
        </w:tc>
        <w:tc>
          <w:tcPr>
            <w:tcW w:w="1192" w:type="dxa"/>
            <w:tcBorders>
              <w:top w:val="nil"/>
              <w:left w:val="nil"/>
              <w:bottom w:val="single" w:sz="4" w:space="0" w:color="262626"/>
              <w:right w:val="nil"/>
            </w:tcBorders>
            <w:shd w:val="clear" w:color="auto" w:fill="auto"/>
            <w:noWrap/>
            <w:vAlign w:val="center"/>
            <w:hideMark/>
          </w:tcPr>
          <w:p w14:paraId="5A923FC0"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100,0</w:t>
            </w:r>
          </w:p>
        </w:tc>
      </w:tr>
      <w:tr w:rsidR="0085034C" w14:paraId="586310EC" w14:textId="77777777" w:rsidTr="0085034C">
        <w:trPr>
          <w:trHeight w:val="300"/>
        </w:trPr>
        <w:tc>
          <w:tcPr>
            <w:tcW w:w="1890" w:type="dxa"/>
            <w:tcBorders>
              <w:top w:val="nil"/>
              <w:left w:val="nil"/>
              <w:bottom w:val="single" w:sz="4" w:space="0" w:color="262626"/>
              <w:right w:val="nil"/>
            </w:tcBorders>
            <w:shd w:val="clear" w:color="auto" w:fill="auto"/>
            <w:noWrap/>
            <w:vAlign w:val="center"/>
            <w:hideMark/>
          </w:tcPr>
          <w:p w14:paraId="3CE51005" w14:textId="77777777" w:rsidR="0085034C" w:rsidRDefault="0085034C">
            <w:pPr>
              <w:rPr>
                <w:rFonts w:ascii="Arial Narrow" w:hAnsi="Arial Narrow" w:cs="Calibri"/>
                <w:color w:val="000000"/>
                <w:sz w:val="18"/>
                <w:szCs w:val="18"/>
              </w:rPr>
            </w:pPr>
            <w:r>
              <w:rPr>
                <w:rFonts w:ascii="Arial Narrow" w:hAnsi="Arial Narrow" w:cs="Calibri"/>
                <w:color w:val="000000"/>
                <w:sz w:val="18"/>
                <w:szCs w:val="18"/>
              </w:rPr>
              <w:t>Como</w:t>
            </w:r>
          </w:p>
        </w:tc>
        <w:tc>
          <w:tcPr>
            <w:tcW w:w="1404" w:type="dxa"/>
            <w:tcBorders>
              <w:top w:val="nil"/>
              <w:left w:val="nil"/>
              <w:bottom w:val="single" w:sz="4" w:space="0" w:color="262626"/>
              <w:right w:val="nil"/>
            </w:tcBorders>
            <w:shd w:val="clear" w:color="000000" w:fill="D9D9D9"/>
            <w:noWrap/>
            <w:vAlign w:val="center"/>
            <w:hideMark/>
          </w:tcPr>
          <w:p w14:paraId="3AA46563"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105.074</w:t>
            </w:r>
          </w:p>
        </w:tc>
        <w:tc>
          <w:tcPr>
            <w:tcW w:w="1177" w:type="dxa"/>
            <w:tcBorders>
              <w:top w:val="nil"/>
              <w:left w:val="nil"/>
              <w:bottom w:val="single" w:sz="4" w:space="0" w:color="262626"/>
              <w:right w:val="nil"/>
            </w:tcBorders>
            <w:shd w:val="clear" w:color="auto" w:fill="auto"/>
            <w:noWrap/>
            <w:vAlign w:val="center"/>
            <w:hideMark/>
          </w:tcPr>
          <w:p w14:paraId="4FD24B13"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32,7</w:t>
            </w:r>
          </w:p>
        </w:tc>
        <w:tc>
          <w:tcPr>
            <w:tcW w:w="1404" w:type="dxa"/>
            <w:tcBorders>
              <w:top w:val="nil"/>
              <w:left w:val="nil"/>
              <w:bottom w:val="single" w:sz="4" w:space="0" w:color="262626"/>
              <w:right w:val="nil"/>
            </w:tcBorders>
            <w:shd w:val="clear" w:color="000000" w:fill="D9D9D9"/>
            <w:noWrap/>
            <w:vAlign w:val="center"/>
            <w:hideMark/>
          </w:tcPr>
          <w:p w14:paraId="5196F603"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216.275</w:t>
            </w:r>
          </w:p>
        </w:tc>
        <w:tc>
          <w:tcPr>
            <w:tcW w:w="1177" w:type="dxa"/>
            <w:tcBorders>
              <w:top w:val="nil"/>
              <w:left w:val="nil"/>
              <w:bottom w:val="single" w:sz="4" w:space="0" w:color="262626"/>
              <w:right w:val="nil"/>
            </w:tcBorders>
            <w:shd w:val="clear" w:color="auto" w:fill="auto"/>
            <w:noWrap/>
            <w:vAlign w:val="center"/>
            <w:hideMark/>
          </w:tcPr>
          <w:p w14:paraId="2768B053"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67,3</w:t>
            </w:r>
          </w:p>
        </w:tc>
        <w:tc>
          <w:tcPr>
            <w:tcW w:w="1376" w:type="dxa"/>
            <w:tcBorders>
              <w:top w:val="nil"/>
              <w:left w:val="nil"/>
              <w:bottom w:val="single" w:sz="4" w:space="0" w:color="262626"/>
              <w:right w:val="nil"/>
            </w:tcBorders>
            <w:shd w:val="clear" w:color="000000" w:fill="D9D9D9"/>
            <w:noWrap/>
            <w:vAlign w:val="center"/>
            <w:hideMark/>
          </w:tcPr>
          <w:p w14:paraId="764134D1"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321.349</w:t>
            </w:r>
          </w:p>
        </w:tc>
        <w:tc>
          <w:tcPr>
            <w:tcW w:w="1192" w:type="dxa"/>
            <w:tcBorders>
              <w:top w:val="nil"/>
              <w:left w:val="nil"/>
              <w:bottom w:val="single" w:sz="4" w:space="0" w:color="262626"/>
              <w:right w:val="nil"/>
            </w:tcBorders>
            <w:shd w:val="clear" w:color="auto" w:fill="auto"/>
            <w:noWrap/>
            <w:vAlign w:val="center"/>
            <w:hideMark/>
          </w:tcPr>
          <w:p w14:paraId="3E943FDF"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100,0</w:t>
            </w:r>
          </w:p>
        </w:tc>
      </w:tr>
      <w:tr w:rsidR="0085034C" w14:paraId="182C594D" w14:textId="77777777" w:rsidTr="0085034C">
        <w:trPr>
          <w:trHeight w:val="300"/>
        </w:trPr>
        <w:tc>
          <w:tcPr>
            <w:tcW w:w="1890" w:type="dxa"/>
            <w:tcBorders>
              <w:top w:val="nil"/>
              <w:left w:val="nil"/>
              <w:bottom w:val="single" w:sz="4" w:space="0" w:color="262626"/>
              <w:right w:val="nil"/>
            </w:tcBorders>
            <w:shd w:val="clear" w:color="auto" w:fill="auto"/>
            <w:noWrap/>
            <w:vAlign w:val="center"/>
            <w:hideMark/>
          </w:tcPr>
          <w:p w14:paraId="6B8D0F70" w14:textId="77777777" w:rsidR="0085034C" w:rsidRDefault="0085034C">
            <w:pPr>
              <w:rPr>
                <w:rFonts w:ascii="Arial Narrow" w:hAnsi="Arial Narrow" w:cs="Calibri"/>
                <w:color w:val="000000"/>
                <w:sz w:val="18"/>
                <w:szCs w:val="18"/>
              </w:rPr>
            </w:pPr>
            <w:r>
              <w:rPr>
                <w:rFonts w:ascii="Arial Narrow" w:hAnsi="Arial Narrow" w:cs="Calibri"/>
                <w:color w:val="000000"/>
                <w:sz w:val="18"/>
                <w:szCs w:val="18"/>
              </w:rPr>
              <w:t>Cremona</w:t>
            </w:r>
          </w:p>
        </w:tc>
        <w:tc>
          <w:tcPr>
            <w:tcW w:w="1404" w:type="dxa"/>
            <w:tcBorders>
              <w:top w:val="nil"/>
              <w:left w:val="nil"/>
              <w:bottom w:val="single" w:sz="4" w:space="0" w:color="262626"/>
              <w:right w:val="nil"/>
            </w:tcBorders>
            <w:shd w:val="clear" w:color="000000" w:fill="D9D9D9"/>
            <w:noWrap/>
            <w:vAlign w:val="center"/>
            <w:hideMark/>
          </w:tcPr>
          <w:p w14:paraId="1D96367F"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81.947</w:t>
            </w:r>
          </w:p>
        </w:tc>
        <w:tc>
          <w:tcPr>
            <w:tcW w:w="1177" w:type="dxa"/>
            <w:tcBorders>
              <w:top w:val="nil"/>
              <w:left w:val="nil"/>
              <w:bottom w:val="single" w:sz="4" w:space="0" w:color="262626"/>
              <w:right w:val="nil"/>
            </w:tcBorders>
            <w:shd w:val="clear" w:color="auto" w:fill="auto"/>
            <w:noWrap/>
            <w:vAlign w:val="center"/>
            <w:hideMark/>
          </w:tcPr>
          <w:p w14:paraId="26B574E3"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42,5</w:t>
            </w:r>
          </w:p>
        </w:tc>
        <w:tc>
          <w:tcPr>
            <w:tcW w:w="1404" w:type="dxa"/>
            <w:tcBorders>
              <w:top w:val="nil"/>
              <w:left w:val="nil"/>
              <w:bottom w:val="single" w:sz="4" w:space="0" w:color="262626"/>
              <w:right w:val="nil"/>
            </w:tcBorders>
            <w:shd w:val="clear" w:color="000000" w:fill="D9D9D9"/>
            <w:noWrap/>
            <w:vAlign w:val="center"/>
            <w:hideMark/>
          </w:tcPr>
          <w:p w14:paraId="1A51FEA3"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111.096</w:t>
            </w:r>
          </w:p>
        </w:tc>
        <w:tc>
          <w:tcPr>
            <w:tcW w:w="1177" w:type="dxa"/>
            <w:tcBorders>
              <w:top w:val="nil"/>
              <w:left w:val="nil"/>
              <w:bottom w:val="single" w:sz="4" w:space="0" w:color="262626"/>
              <w:right w:val="nil"/>
            </w:tcBorders>
            <w:shd w:val="clear" w:color="auto" w:fill="auto"/>
            <w:noWrap/>
            <w:vAlign w:val="center"/>
            <w:hideMark/>
          </w:tcPr>
          <w:p w14:paraId="56A26258"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57,5</w:t>
            </w:r>
          </w:p>
        </w:tc>
        <w:tc>
          <w:tcPr>
            <w:tcW w:w="1376" w:type="dxa"/>
            <w:tcBorders>
              <w:top w:val="nil"/>
              <w:left w:val="nil"/>
              <w:bottom w:val="single" w:sz="4" w:space="0" w:color="262626"/>
              <w:right w:val="nil"/>
            </w:tcBorders>
            <w:shd w:val="clear" w:color="000000" w:fill="D9D9D9"/>
            <w:noWrap/>
            <w:vAlign w:val="center"/>
            <w:hideMark/>
          </w:tcPr>
          <w:p w14:paraId="2EA3AD7A"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193.043</w:t>
            </w:r>
          </w:p>
        </w:tc>
        <w:tc>
          <w:tcPr>
            <w:tcW w:w="1192" w:type="dxa"/>
            <w:tcBorders>
              <w:top w:val="nil"/>
              <w:left w:val="nil"/>
              <w:bottom w:val="single" w:sz="4" w:space="0" w:color="262626"/>
              <w:right w:val="nil"/>
            </w:tcBorders>
            <w:shd w:val="clear" w:color="auto" w:fill="auto"/>
            <w:noWrap/>
            <w:vAlign w:val="center"/>
            <w:hideMark/>
          </w:tcPr>
          <w:p w14:paraId="5842DD30"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100,0</w:t>
            </w:r>
          </w:p>
        </w:tc>
      </w:tr>
      <w:tr w:rsidR="0085034C" w14:paraId="4F06D188" w14:textId="77777777" w:rsidTr="0085034C">
        <w:trPr>
          <w:trHeight w:val="300"/>
        </w:trPr>
        <w:tc>
          <w:tcPr>
            <w:tcW w:w="1890" w:type="dxa"/>
            <w:tcBorders>
              <w:top w:val="nil"/>
              <w:left w:val="nil"/>
              <w:bottom w:val="single" w:sz="4" w:space="0" w:color="262626"/>
              <w:right w:val="nil"/>
            </w:tcBorders>
            <w:shd w:val="clear" w:color="auto" w:fill="auto"/>
            <w:noWrap/>
            <w:vAlign w:val="center"/>
            <w:hideMark/>
          </w:tcPr>
          <w:p w14:paraId="786A90CC" w14:textId="77777777" w:rsidR="0085034C" w:rsidRDefault="0085034C">
            <w:pPr>
              <w:rPr>
                <w:rFonts w:ascii="Arial Narrow" w:hAnsi="Arial Narrow" w:cs="Calibri"/>
                <w:color w:val="000000"/>
                <w:sz w:val="18"/>
                <w:szCs w:val="18"/>
              </w:rPr>
            </w:pPr>
            <w:r>
              <w:rPr>
                <w:rFonts w:ascii="Arial Narrow" w:hAnsi="Arial Narrow" w:cs="Calibri"/>
                <w:color w:val="000000"/>
                <w:sz w:val="18"/>
                <w:szCs w:val="18"/>
              </w:rPr>
              <w:t>Lecco</w:t>
            </w:r>
          </w:p>
        </w:tc>
        <w:tc>
          <w:tcPr>
            <w:tcW w:w="1404" w:type="dxa"/>
            <w:tcBorders>
              <w:top w:val="nil"/>
              <w:left w:val="nil"/>
              <w:bottom w:val="single" w:sz="4" w:space="0" w:color="262626"/>
              <w:right w:val="nil"/>
            </w:tcBorders>
            <w:shd w:val="clear" w:color="000000" w:fill="D9D9D9"/>
            <w:noWrap/>
            <w:vAlign w:val="center"/>
            <w:hideMark/>
          </w:tcPr>
          <w:p w14:paraId="2B41DA4C"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61.566</w:t>
            </w:r>
          </w:p>
        </w:tc>
        <w:tc>
          <w:tcPr>
            <w:tcW w:w="1177" w:type="dxa"/>
            <w:tcBorders>
              <w:top w:val="nil"/>
              <w:left w:val="nil"/>
              <w:bottom w:val="single" w:sz="4" w:space="0" w:color="262626"/>
              <w:right w:val="nil"/>
            </w:tcBorders>
            <w:shd w:val="clear" w:color="auto" w:fill="auto"/>
            <w:noWrap/>
            <w:vAlign w:val="center"/>
            <w:hideMark/>
          </w:tcPr>
          <w:p w14:paraId="18605693"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32,6</w:t>
            </w:r>
          </w:p>
        </w:tc>
        <w:tc>
          <w:tcPr>
            <w:tcW w:w="1404" w:type="dxa"/>
            <w:tcBorders>
              <w:top w:val="nil"/>
              <w:left w:val="nil"/>
              <w:bottom w:val="single" w:sz="4" w:space="0" w:color="262626"/>
              <w:right w:val="nil"/>
            </w:tcBorders>
            <w:shd w:val="clear" w:color="000000" w:fill="D9D9D9"/>
            <w:noWrap/>
            <w:vAlign w:val="center"/>
            <w:hideMark/>
          </w:tcPr>
          <w:p w14:paraId="42E60B63"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127.328</w:t>
            </w:r>
          </w:p>
        </w:tc>
        <w:tc>
          <w:tcPr>
            <w:tcW w:w="1177" w:type="dxa"/>
            <w:tcBorders>
              <w:top w:val="nil"/>
              <w:left w:val="nil"/>
              <w:bottom w:val="single" w:sz="4" w:space="0" w:color="262626"/>
              <w:right w:val="nil"/>
            </w:tcBorders>
            <w:shd w:val="clear" w:color="auto" w:fill="auto"/>
            <w:noWrap/>
            <w:vAlign w:val="center"/>
            <w:hideMark/>
          </w:tcPr>
          <w:p w14:paraId="0E4FA178"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67,4</w:t>
            </w:r>
          </w:p>
        </w:tc>
        <w:tc>
          <w:tcPr>
            <w:tcW w:w="1376" w:type="dxa"/>
            <w:tcBorders>
              <w:top w:val="nil"/>
              <w:left w:val="nil"/>
              <w:bottom w:val="single" w:sz="4" w:space="0" w:color="262626"/>
              <w:right w:val="nil"/>
            </w:tcBorders>
            <w:shd w:val="clear" w:color="000000" w:fill="D9D9D9"/>
            <w:noWrap/>
            <w:vAlign w:val="center"/>
            <w:hideMark/>
          </w:tcPr>
          <w:p w14:paraId="1FF23D88"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188.894</w:t>
            </w:r>
          </w:p>
        </w:tc>
        <w:tc>
          <w:tcPr>
            <w:tcW w:w="1192" w:type="dxa"/>
            <w:tcBorders>
              <w:top w:val="nil"/>
              <w:left w:val="nil"/>
              <w:bottom w:val="single" w:sz="4" w:space="0" w:color="262626"/>
              <w:right w:val="nil"/>
            </w:tcBorders>
            <w:shd w:val="clear" w:color="auto" w:fill="auto"/>
            <w:noWrap/>
            <w:vAlign w:val="center"/>
            <w:hideMark/>
          </w:tcPr>
          <w:p w14:paraId="2B2F4214"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100,0</w:t>
            </w:r>
          </w:p>
        </w:tc>
      </w:tr>
      <w:tr w:rsidR="0085034C" w14:paraId="0D3876A7" w14:textId="77777777" w:rsidTr="0085034C">
        <w:trPr>
          <w:trHeight w:val="300"/>
        </w:trPr>
        <w:tc>
          <w:tcPr>
            <w:tcW w:w="1890" w:type="dxa"/>
            <w:tcBorders>
              <w:top w:val="nil"/>
              <w:left w:val="nil"/>
              <w:bottom w:val="single" w:sz="4" w:space="0" w:color="262626"/>
              <w:right w:val="nil"/>
            </w:tcBorders>
            <w:shd w:val="clear" w:color="auto" w:fill="auto"/>
            <w:noWrap/>
            <w:vAlign w:val="center"/>
            <w:hideMark/>
          </w:tcPr>
          <w:p w14:paraId="53A12732" w14:textId="77777777" w:rsidR="0085034C" w:rsidRDefault="0085034C">
            <w:pPr>
              <w:rPr>
                <w:rFonts w:ascii="Arial Narrow" w:hAnsi="Arial Narrow" w:cs="Calibri"/>
                <w:color w:val="000000"/>
                <w:sz w:val="18"/>
                <w:szCs w:val="18"/>
              </w:rPr>
            </w:pPr>
            <w:r>
              <w:rPr>
                <w:rFonts w:ascii="Arial Narrow" w:hAnsi="Arial Narrow" w:cs="Calibri"/>
                <w:color w:val="000000"/>
                <w:sz w:val="18"/>
                <w:szCs w:val="18"/>
              </w:rPr>
              <w:t>Lodi</w:t>
            </w:r>
          </w:p>
        </w:tc>
        <w:tc>
          <w:tcPr>
            <w:tcW w:w="1404" w:type="dxa"/>
            <w:tcBorders>
              <w:top w:val="nil"/>
              <w:left w:val="nil"/>
              <w:bottom w:val="single" w:sz="4" w:space="0" w:color="262626"/>
              <w:right w:val="nil"/>
            </w:tcBorders>
            <w:shd w:val="clear" w:color="000000" w:fill="D9D9D9"/>
            <w:noWrap/>
            <w:vAlign w:val="center"/>
            <w:hideMark/>
          </w:tcPr>
          <w:p w14:paraId="68698C5E"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42.669</w:t>
            </w:r>
          </w:p>
        </w:tc>
        <w:tc>
          <w:tcPr>
            <w:tcW w:w="1177" w:type="dxa"/>
            <w:tcBorders>
              <w:top w:val="nil"/>
              <w:left w:val="nil"/>
              <w:bottom w:val="single" w:sz="4" w:space="0" w:color="262626"/>
              <w:right w:val="nil"/>
            </w:tcBorders>
            <w:shd w:val="clear" w:color="auto" w:fill="auto"/>
            <w:noWrap/>
            <w:vAlign w:val="center"/>
            <w:hideMark/>
          </w:tcPr>
          <w:p w14:paraId="343ADEDF"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32,9</w:t>
            </w:r>
          </w:p>
        </w:tc>
        <w:tc>
          <w:tcPr>
            <w:tcW w:w="1404" w:type="dxa"/>
            <w:tcBorders>
              <w:top w:val="nil"/>
              <w:left w:val="nil"/>
              <w:bottom w:val="single" w:sz="4" w:space="0" w:color="262626"/>
              <w:right w:val="nil"/>
            </w:tcBorders>
            <w:shd w:val="clear" w:color="000000" w:fill="D9D9D9"/>
            <w:noWrap/>
            <w:vAlign w:val="center"/>
            <w:hideMark/>
          </w:tcPr>
          <w:p w14:paraId="5184D9FE"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87.134</w:t>
            </w:r>
          </w:p>
        </w:tc>
        <w:tc>
          <w:tcPr>
            <w:tcW w:w="1177" w:type="dxa"/>
            <w:tcBorders>
              <w:top w:val="nil"/>
              <w:left w:val="nil"/>
              <w:bottom w:val="single" w:sz="4" w:space="0" w:color="262626"/>
              <w:right w:val="nil"/>
            </w:tcBorders>
            <w:shd w:val="clear" w:color="auto" w:fill="auto"/>
            <w:noWrap/>
            <w:vAlign w:val="center"/>
            <w:hideMark/>
          </w:tcPr>
          <w:p w14:paraId="70ABBBF6"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67,1</w:t>
            </w:r>
          </w:p>
        </w:tc>
        <w:tc>
          <w:tcPr>
            <w:tcW w:w="1376" w:type="dxa"/>
            <w:tcBorders>
              <w:top w:val="nil"/>
              <w:left w:val="nil"/>
              <w:bottom w:val="single" w:sz="4" w:space="0" w:color="262626"/>
              <w:right w:val="nil"/>
            </w:tcBorders>
            <w:shd w:val="clear" w:color="000000" w:fill="D9D9D9"/>
            <w:noWrap/>
            <w:vAlign w:val="center"/>
            <w:hideMark/>
          </w:tcPr>
          <w:p w14:paraId="0756D2A4"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129.803</w:t>
            </w:r>
          </w:p>
        </w:tc>
        <w:tc>
          <w:tcPr>
            <w:tcW w:w="1192" w:type="dxa"/>
            <w:tcBorders>
              <w:top w:val="nil"/>
              <w:left w:val="nil"/>
              <w:bottom w:val="single" w:sz="4" w:space="0" w:color="262626"/>
              <w:right w:val="nil"/>
            </w:tcBorders>
            <w:shd w:val="clear" w:color="auto" w:fill="auto"/>
            <w:noWrap/>
            <w:vAlign w:val="center"/>
            <w:hideMark/>
          </w:tcPr>
          <w:p w14:paraId="28DBA43D"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100,0</w:t>
            </w:r>
          </w:p>
        </w:tc>
      </w:tr>
      <w:tr w:rsidR="0085034C" w14:paraId="7439FC83" w14:textId="77777777" w:rsidTr="0085034C">
        <w:trPr>
          <w:trHeight w:val="300"/>
        </w:trPr>
        <w:tc>
          <w:tcPr>
            <w:tcW w:w="1890" w:type="dxa"/>
            <w:tcBorders>
              <w:top w:val="nil"/>
              <w:left w:val="nil"/>
              <w:bottom w:val="single" w:sz="4" w:space="0" w:color="262626"/>
              <w:right w:val="nil"/>
            </w:tcBorders>
            <w:shd w:val="clear" w:color="auto" w:fill="auto"/>
            <w:noWrap/>
            <w:vAlign w:val="center"/>
            <w:hideMark/>
          </w:tcPr>
          <w:p w14:paraId="4A2CAAE0" w14:textId="77777777" w:rsidR="0085034C" w:rsidRDefault="0085034C">
            <w:pPr>
              <w:rPr>
                <w:rFonts w:ascii="Arial Narrow" w:hAnsi="Arial Narrow" w:cs="Calibri"/>
                <w:color w:val="000000"/>
                <w:sz w:val="18"/>
                <w:szCs w:val="18"/>
              </w:rPr>
            </w:pPr>
            <w:r>
              <w:rPr>
                <w:rFonts w:ascii="Arial Narrow" w:hAnsi="Arial Narrow" w:cs="Calibri"/>
                <w:color w:val="000000"/>
                <w:sz w:val="18"/>
                <w:szCs w:val="18"/>
              </w:rPr>
              <w:t>Mantova</w:t>
            </w:r>
          </w:p>
        </w:tc>
        <w:tc>
          <w:tcPr>
            <w:tcW w:w="1404" w:type="dxa"/>
            <w:tcBorders>
              <w:top w:val="nil"/>
              <w:left w:val="nil"/>
              <w:bottom w:val="single" w:sz="4" w:space="0" w:color="262626"/>
              <w:right w:val="nil"/>
            </w:tcBorders>
            <w:shd w:val="clear" w:color="000000" w:fill="D9D9D9"/>
            <w:noWrap/>
            <w:vAlign w:val="center"/>
            <w:hideMark/>
          </w:tcPr>
          <w:p w14:paraId="2EA434C8"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105.439</w:t>
            </w:r>
          </w:p>
        </w:tc>
        <w:tc>
          <w:tcPr>
            <w:tcW w:w="1177" w:type="dxa"/>
            <w:tcBorders>
              <w:top w:val="nil"/>
              <w:left w:val="nil"/>
              <w:bottom w:val="single" w:sz="4" w:space="0" w:color="262626"/>
              <w:right w:val="nil"/>
            </w:tcBorders>
            <w:shd w:val="clear" w:color="auto" w:fill="auto"/>
            <w:noWrap/>
            <w:vAlign w:val="center"/>
            <w:hideMark/>
          </w:tcPr>
          <w:p w14:paraId="6C89BB97"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47,4</w:t>
            </w:r>
          </w:p>
        </w:tc>
        <w:tc>
          <w:tcPr>
            <w:tcW w:w="1404" w:type="dxa"/>
            <w:tcBorders>
              <w:top w:val="nil"/>
              <w:left w:val="nil"/>
              <w:bottom w:val="single" w:sz="4" w:space="0" w:color="262626"/>
              <w:right w:val="nil"/>
            </w:tcBorders>
            <w:shd w:val="clear" w:color="000000" w:fill="D9D9D9"/>
            <w:noWrap/>
            <w:vAlign w:val="center"/>
            <w:hideMark/>
          </w:tcPr>
          <w:p w14:paraId="7AEE6F03"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117.112</w:t>
            </w:r>
          </w:p>
        </w:tc>
        <w:tc>
          <w:tcPr>
            <w:tcW w:w="1177" w:type="dxa"/>
            <w:tcBorders>
              <w:top w:val="nil"/>
              <w:left w:val="nil"/>
              <w:bottom w:val="single" w:sz="4" w:space="0" w:color="262626"/>
              <w:right w:val="nil"/>
            </w:tcBorders>
            <w:shd w:val="clear" w:color="auto" w:fill="auto"/>
            <w:noWrap/>
            <w:vAlign w:val="center"/>
            <w:hideMark/>
          </w:tcPr>
          <w:p w14:paraId="2825BA4E"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52,6</w:t>
            </w:r>
          </w:p>
        </w:tc>
        <w:tc>
          <w:tcPr>
            <w:tcW w:w="1376" w:type="dxa"/>
            <w:tcBorders>
              <w:top w:val="nil"/>
              <w:left w:val="nil"/>
              <w:bottom w:val="single" w:sz="4" w:space="0" w:color="262626"/>
              <w:right w:val="nil"/>
            </w:tcBorders>
            <w:shd w:val="clear" w:color="000000" w:fill="D9D9D9"/>
            <w:noWrap/>
            <w:vAlign w:val="center"/>
            <w:hideMark/>
          </w:tcPr>
          <w:p w14:paraId="4A6911AF"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222.551</w:t>
            </w:r>
          </w:p>
        </w:tc>
        <w:tc>
          <w:tcPr>
            <w:tcW w:w="1192" w:type="dxa"/>
            <w:tcBorders>
              <w:top w:val="nil"/>
              <w:left w:val="nil"/>
              <w:bottom w:val="single" w:sz="4" w:space="0" w:color="262626"/>
              <w:right w:val="nil"/>
            </w:tcBorders>
            <w:shd w:val="clear" w:color="auto" w:fill="auto"/>
            <w:noWrap/>
            <w:vAlign w:val="center"/>
            <w:hideMark/>
          </w:tcPr>
          <w:p w14:paraId="3BD84E20"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100,0</w:t>
            </w:r>
          </w:p>
        </w:tc>
      </w:tr>
      <w:tr w:rsidR="0085034C" w14:paraId="6C20C6BE" w14:textId="77777777" w:rsidTr="0085034C">
        <w:trPr>
          <w:trHeight w:val="300"/>
        </w:trPr>
        <w:tc>
          <w:tcPr>
            <w:tcW w:w="1890" w:type="dxa"/>
            <w:tcBorders>
              <w:top w:val="nil"/>
              <w:left w:val="nil"/>
              <w:bottom w:val="single" w:sz="4" w:space="0" w:color="262626"/>
              <w:right w:val="nil"/>
            </w:tcBorders>
            <w:shd w:val="clear" w:color="auto" w:fill="auto"/>
            <w:noWrap/>
            <w:vAlign w:val="center"/>
            <w:hideMark/>
          </w:tcPr>
          <w:p w14:paraId="6F991417" w14:textId="77777777" w:rsidR="0085034C" w:rsidRDefault="0085034C">
            <w:pPr>
              <w:rPr>
                <w:rFonts w:ascii="Arial Narrow" w:hAnsi="Arial Narrow" w:cs="Calibri"/>
                <w:color w:val="000000"/>
                <w:sz w:val="18"/>
                <w:szCs w:val="18"/>
              </w:rPr>
            </w:pPr>
            <w:r>
              <w:rPr>
                <w:rFonts w:ascii="Arial Narrow" w:hAnsi="Arial Narrow" w:cs="Calibri"/>
                <w:color w:val="000000"/>
                <w:sz w:val="18"/>
                <w:szCs w:val="18"/>
              </w:rPr>
              <w:t>Milano</w:t>
            </w:r>
          </w:p>
        </w:tc>
        <w:tc>
          <w:tcPr>
            <w:tcW w:w="1404" w:type="dxa"/>
            <w:tcBorders>
              <w:top w:val="nil"/>
              <w:left w:val="nil"/>
              <w:bottom w:val="single" w:sz="4" w:space="0" w:color="262626"/>
              <w:right w:val="nil"/>
            </w:tcBorders>
            <w:shd w:val="clear" w:color="000000" w:fill="D9D9D9"/>
            <w:noWrap/>
            <w:vAlign w:val="center"/>
            <w:hideMark/>
          </w:tcPr>
          <w:p w14:paraId="5EA4A2C6"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999.152</w:t>
            </w:r>
          </w:p>
        </w:tc>
        <w:tc>
          <w:tcPr>
            <w:tcW w:w="1177" w:type="dxa"/>
            <w:tcBorders>
              <w:top w:val="nil"/>
              <w:left w:val="nil"/>
              <w:bottom w:val="single" w:sz="4" w:space="0" w:color="262626"/>
              <w:right w:val="nil"/>
            </w:tcBorders>
            <w:shd w:val="clear" w:color="auto" w:fill="auto"/>
            <w:noWrap/>
            <w:vAlign w:val="center"/>
            <w:hideMark/>
          </w:tcPr>
          <w:p w14:paraId="6D057FD6"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53,8</w:t>
            </w:r>
          </w:p>
        </w:tc>
        <w:tc>
          <w:tcPr>
            <w:tcW w:w="1404" w:type="dxa"/>
            <w:tcBorders>
              <w:top w:val="nil"/>
              <w:left w:val="nil"/>
              <w:bottom w:val="single" w:sz="4" w:space="0" w:color="262626"/>
              <w:right w:val="nil"/>
            </w:tcBorders>
            <w:shd w:val="clear" w:color="000000" w:fill="D9D9D9"/>
            <w:noWrap/>
            <w:vAlign w:val="center"/>
            <w:hideMark/>
          </w:tcPr>
          <w:p w14:paraId="070622E4"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859.441</w:t>
            </w:r>
          </w:p>
        </w:tc>
        <w:tc>
          <w:tcPr>
            <w:tcW w:w="1177" w:type="dxa"/>
            <w:tcBorders>
              <w:top w:val="nil"/>
              <w:left w:val="nil"/>
              <w:bottom w:val="single" w:sz="4" w:space="0" w:color="262626"/>
              <w:right w:val="nil"/>
            </w:tcBorders>
            <w:shd w:val="clear" w:color="auto" w:fill="auto"/>
            <w:noWrap/>
            <w:vAlign w:val="center"/>
            <w:hideMark/>
          </w:tcPr>
          <w:p w14:paraId="117538E8"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46,2</w:t>
            </w:r>
          </w:p>
        </w:tc>
        <w:tc>
          <w:tcPr>
            <w:tcW w:w="1376" w:type="dxa"/>
            <w:tcBorders>
              <w:top w:val="nil"/>
              <w:left w:val="nil"/>
              <w:bottom w:val="single" w:sz="4" w:space="0" w:color="262626"/>
              <w:right w:val="nil"/>
            </w:tcBorders>
            <w:shd w:val="clear" w:color="000000" w:fill="D9D9D9"/>
            <w:noWrap/>
            <w:vAlign w:val="center"/>
            <w:hideMark/>
          </w:tcPr>
          <w:p w14:paraId="5914D8F9"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1.858.593</w:t>
            </w:r>
          </w:p>
        </w:tc>
        <w:tc>
          <w:tcPr>
            <w:tcW w:w="1192" w:type="dxa"/>
            <w:tcBorders>
              <w:top w:val="nil"/>
              <w:left w:val="nil"/>
              <w:bottom w:val="single" w:sz="4" w:space="0" w:color="262626"/>
              <w:right w:val="nil"/>
            </w:tcBorders>
            <w:shd w:val="clear" w:color="auto" w:fill="auto"/>
            <w:noWrap/>
            <w:vAlign w:val="center"/>
            <w:hideMark/>
          </w:tcPr>
          <w:p w14:paraId="0FD4A73F"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100,0</w:t>
            </w:r>
          </w:p>
        </w:tc>
      </w:tr>
      <w:tr w:rsidR="0085034C" w14:paraId="0E93DA0F" w14:textId="77777777" w:rsidTr="0085034C">
        <w:trPr>
          <w:trHeight w:val="300"/>
        </w:trPr>
        <w:tc>
          <w:tcPr>
            <w:tcW w:w="1890" w:type="dxa"/>
            <w:tcBorders>
              <w:top w:val="nil"/>
              <w:left w:val="nil"/>
              <w:bottom w:val="single" w:sz="4" w:space="0" w:color="262626"/>
              <w:right w:val="nil"/>
            </w:tcBorders>
            <w:shd w:val="clear" w:color="auto" w:fill="auto"/>
            <w:noWrap/>
            <w:vAlign w:val="center"/>
            <w:hideMark/>
          </w:tcPr>
          <w:p w14:paraId="40756354" w14:textId="77777777" w:rsidR="0085034C" w:rsidRDefault="0085034C">
            <w:pPr>
              <w:rPr>
                <w:rFonts w:ascii="Arial Narrow" w:hAnsi="Arial Narrow" w:cs="Calibri"/>
                <w:color w:val="000000"/>
                <w:sz w:val="18"/>
                <w:szCs w:val="18"/>
              </w:rPr>
            </w:pPr>
            <w:r>
              <w:rPr>
                <w:rFonts w:ascii="Arial Narrow" w:hAnsi="Arial Narrow" w:cs="Calibri"/>
                <w:color w:val="000000"/>
                <w:sz w:val="18"/>
                <w:szCs w:val="18"/>
              </w:rPr>
              <w:t>Monza e della Brianza</w:t>
            </w:r>
          </w:p>
        </w:tc>
        <w:tc>
          <w:tcPr>
            <w:tcW w:w="1404" w:type="dxa"/>
            <w:tcBorders>
              <w:top w:val="nil"/>
              <w:left w:val="nil"/>
              <w:bottom w:val="single" w:sz="4" w:space="0" w:color="262626"/>
              <w:right w:val="nil"/>
            </w:tcBorders>
            <w:shd w:val="clear" w:color="000000" w:fill="D9D9D9"/>
            <w:noWrap/>
            <w:vAlign w:val="center"/>
            <w:hideMark/>
          </w:tcPr>
          <w:p w14:paraId="7270748A"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161.109</w:t>
            </w:r>
          </w:p>
        </w:tc>
        <w:tc>
          <w:tcPr>
            <w:tcW w:w="1177" w:type="dxa"/>
            <w:tcBorders>
              <w:top w:val="nil"/>
              <w:left w:val="nil"/>
              <w:bottom w:val="single" w:sz="4" w:space="0" w:color="262626"/>
              <w:right w:val="nil"/>
            </w:tcBorders>
            <w:shd w:val="clear" w:color="auto" w:fill="auto"/>
            <w:noWrap/>
            <w:vAlign w:val="center"/>
            <w:hideMark/>
          </w:tcPr>
          <w:p w14:paraId="5F33C8F8"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32,0</w:t>
            </w:r>
          </w:p>
        </w:tc>
        <w:tc>
          <w:tcPr>
            <w:tcW w:w="1404" w:type="dxa"/>
            <w:tcBorders>
              <w:top w:val="nil"/>
              <w:left w:val="nil"/>
              <w:bottom w:val="single" w:sz="4" w:space="0" w:color="262626"/>
              <w:right w:val="nil"/>
            </w:tcBorders>
            <w:shd w:val="clear" w:color="000000" w:fill="D9D9D9"/>
            <w:noWrap/>
            <w:vAlign w:val="center"/>
            <w:hideMark/>
          </w:tcPr>
          <w:p w14:paraId="60B1AF3A"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342.399</w:t>
            </w:r>
          </w:p>
        </w:tc>
        <w:tc>
          <w:tcPr>
            <w:tcW w:w="1177" w:type="dxa"/>
            <w:tcBorders>
              <w:top w:val="nil"/>
              <w:left w:val="nil"/>
              <w:bottom w:val="single" w:sz="4" w:space="0" w:color="262626"/>
              <w:right w:val="nil"/>
            </w:tcBorders>
            <w:shd w:val="clear" w:color="auto" w:fill="auto"/>
            <w:noWrap/>
            <w:vAlign w:val="center"/>
            <w:hideMark/>
          </w:tcPr>
          <w:p w14:paraId="1B9C3BCF"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68,0</w:t>
            </w:r>
          </w:p>
        </w:tc>
        <w:tc>
          <w:tcPr>
            <w:tcW w:w="1376" w:type="dxa"/>
            <w:tcBorders>
              <w:top w:val="nil"/>
              <w:left w:val="nil"/>
              <w:bottom w:val="single" w:sz="4" w:space="0" w:color="262626"/>
              <w:right w:val="nil"/>
            </w:tcBorders>
            <w:shd w:val="clear" w:color="000000" w:fill="D9D9D9"/>
            <w:noWrap/>
            <w:vAlign w:val="center"/>
            <w:hideMark/>
          </w:tcPr>
          <w:p w14:paraId="53AF31B7"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503.508</w:t>
            </w:r>
          </w:p>
        </w:tc>
        <w:tc>
          <w:tcPr>
            <w:tcW w:w="1192" w:type="dxa"/>
            <w:tcBorders>
              <w:top w:val="nil"/>
              <w:left w:val="nil"/>
              <w:bottom w:val="single" w:sz="4" w:space="0" w:color="262626"/>
              <w:right w:val="nil"/>
            </w:tcBorders>
            <w:shd w:val="clear" w:color="auto" w:fill="auto"/>
            <w:noWrap/>
            <w:vAlign w:val="center"/>
            <w:hideMark/>
          </w:tcPr>
          <w:p w14:paraId="03131832"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100,0</w:t>
            </w:r>
          </w:p>
        </w:tc>
      </w:tr>
      <w:tr w:rsidR="0085034C" w14:paraId="4A9ECE09" w14:textId="77777777" w:rsidTr="0085034C">
        <w:trPr>
          <w:trHeight w:val="300"/>
        </w:trPr>
        <w:tc>
          <w:tcPr>
            <w:tcW w:w="1890" w:type="dxa"/>
            <w:tcBorders>
              <w:top w:val="nil"/>
              <w:left w:val="nil"/>
              <w:bottom w:val="single" w:sz="4" w:space="0" w:color="262626"/>
              <w:right w:val="nil"/>
            </w:tcBorders>
            <w:shd w:val="clear" w:color="auto" w:fill="auto"/>
            <w:noWrap/>
            <w:vAlign w:val="center"/>
            <w:hideMark/>
          </w:tcPr>
          <w:p w14:paraId="59212527" w14:textId="77777777" w:rsidR="0085034C" w:rsidRDefault="0085034C">
            <w:pPr>
              <w:rPr>
                <w:rFonts w:ascii="Arial Narrow" w:hAnsi="Arial Narrow" w:cs="Calibri"/>
                <w:color w:val="000000"/>
                <w:sz w:val="18"/>
                <w:szCs w:val="18"/>
              </w:rPr>
            </w:pPr>
            <w:r>
              <w:rPr>
                <w:rFonts w:ascii="Arial Narrow" w:hAnsi="Arial Narrow" w:cs="Calibri"/>
                <w:color w:val="000000"/>
                <w:sz w:val="18"/>
                <w:szCs w:val="18"/>
              </w:rPr>
              <w:t>Pavia</w:t>
            </w:r>
          </w:p>
        </w:tc>
        <w:tc>
          <w:tcPr>
            <w:tcW w:w="1404" w:type="dxa"/>
            <w:tcBorders>
              <w:top w:val="nil"/>
              <w:left w:val="nil"/>
              <w:bottom w:val="single" w:sz="4" w:space="0" w:color="262626"/>
              <w:right w:val="nil"/>
            </w:tcBorders>
            <w:shd w:val="clear" w:color="000000" w:fill="D9D9D9"/>
            <w:noWrap/>
            <w:vAlign w:val="center"/>
            <w:hideMark/>
          </w:tcPr>
          <w:p w14:paraId="679B2062"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111.444</w:t>
            </w:r>
          </w:p>
        </w:tc>
        <w:tc>
          <w:tcPr>
            <w:tcW w:w="1177" w:type="dxa"/>
            <w:tcBorders>
              <w:top w:val="nil"/>
              <w:left w:val="nil"/>
              <w:bottom w:val="single" w:sz="4" w:space="0" w:color="262626"/>
              <w:right w:val="nil"/>
            </w:tcBorders>
            <w:shd w:val="clear" w:color="auto" w:fill="auto"/>
            <w:noWrap/>
            <w:vAlign w:val="center"/>
            <w:hideMark/>
          </w:tcPr>
          <w:p w14:paraId="453639ED"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38,8</w:t>
            </w:r>
          </w:p>
        </w:tc>
        <w:tc>
          <w:tcPr>
            <w:tcW w:w="1404" w:type="dxa"/>
            <w:tcBorders>
              <w:top w:val="nil"/>
              <w:left w:val="nil"/>
              <w:bottom w:val="single" w:sz="4" w:space="0" w:color="262626"/>
              <w:right w:val="nil"/>
            </w:tcBorders>
            <w:shd w:val="clear" w:color="000000" w:fill="D9D9D9"/>
            <w:noWrap/>
            <w:vAlign w:val="center"/>
            <w:hideMark/>
          </w:tcPr>
          <w:p w14:paraId="4C590945"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175.742</w:t>
            </w:r>
          </w:p>
        </w:tc>
        <w:tc>
          <w:tcPr>
            <w:tcW w:w="1177" w:type="dxa"/>
            <w:tcBorders>
              <w:top w:val="nil"/>
              <w:left w:val="nil"/>
              <w:bottom w:val="single" w:sz="4" w:space="0" w:color="262626"/>
              <w:right w:val="nil"/>
            </w:tcBorders>
            <w:shd w:val="clear" w:color="auto" w:fill="auto"/>
            <w:noWrap/>
            <w:vAlign w:val="center"/>
            <w:hideMark/>
          </w:tcPr>
          <w:p w14:paraId="0EC5838C"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61,2</w:t>
            </w:r>
          </w:p>
        </w:tc>
        <w:tc>
          <w:tcPr>
            <w:tcW w:w="1376" w:type="dxa"/>
            <w:tcBorders>
              <w:top w:val="nil"/>
              <w:left w:val="nil"/>
              <w:bottom w:val="single" w:sz="4" w:space="0" w:color="262626"/>
              <w:right w:val="nil"/>
            </w:tcBorders>
            <w:shd w:val="clear" w:color="000000" w:fill="D9D9D9"/>
            <w:noWrap/>
            <w:vAlign w:val="center"/>
            <w:hideMark/>
          </w:tcPr>
          <w:p w14:paraId="4A543F6A"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287.186</w:t>
            </w:r>
          </w:p>
        </w:tc>
        <w:tc>
          <w:tcPr>
            <w:tcW w:w="1192" w:type="dxa"/>
            <w:tcBorders>
              <w:top w:val="nil"/>
              <w:left w:val="nil"/>
              <w:bottom w:val="single" w:sz="4" w:space="0" w:color="262626"/>
              <w:right w:val="nil"/>
            </w:tcBorders>
            <w:shd w:val="clear" w:color="auto" w:fill="auto"/>
            <w:noWrap/>
            <w:vAlign w:val="center"/>
            <w:hideMark/>
          </w:tcPr>
          <w:p w14:paraId="1D11B022"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100,0</w:t>
            </w:r>
          </w:p>
        </w:tc>
      </w:tr>
      <w:tr w:rsidR="0085034C" w14:paraId="51824F84" w14:textId="77777777" w:rsidTr="0085034C">
        <w:trPr>
          <w:trHeight w:val="300"/>
        </w:trPr>
        <w:tc>
          <w:tcPr>
            <w:tcW w:w="1890" w:type="dxa"/>
            <w:tcBorders>
              <w:top w:val="nil"/>
              <w:left w:val="nil"/>
              <w:bottom w:val="single" w:sz="4" w:space="0" w:color="262626"/>
              <w:right w:val="nil"/>
            </w:tcBorders>
            <w:shd w:val="clear" w:color="auto" w:fill="auto"/>
            <w:noWrap/>
            <w:vAlign w:val="center"/>
            <w:hideMark/>
          </w:tcPr>
          <w:p w14:paraId="49530643" w14:textId="77777777" w:rsidR="0085034C" w:rsidRDefault="0085034C">
            <w:pPr>
              <w:rPr>
                <w:rFonts w:ascii="Arial Narrow" w:hAnsi="Arial Narrow" w:cs="Calibri"/>
                <w:color w:val="000000"/>
                <w:sz w:val="18"/>
                <w:szCs w:val="18"/>
              </w:rPr>
            </w:pPr>
            <w:r>
              <w:rPr>
                <w:rFonts w:ascii="Arial Narrow" w:hAnsi="Arial Narrow" w:cs="Calibri"/>
                <w:color w:val="000000"/>
                <w:sz w:val="18"/>
                <w:szCs w:val="18"/>
              </w:rPr>
              <w:t>Sondrio</w:t>
            </w:r>
          </w:p>
        </w:tc>
        <w:tc>
          <w:tcPr>
            <w:tcW w:w="1404" w:type="dxa"/>
            <w:tcBorders>
              <w:top w:val="nil"/>
              <w:left w:val="nil"/>
              <w:bottom w:val="single" w:sz="4" w:space="0" w:color="262626"/>
              <w:right w:val="nil"/>
            </w:tcBorders>
            <w:shd w:val="clear" w:color="000000" w:fill="D9D9D9"/>
            <w:noWrap/>
            <w:vAlign w:val="center"/>
            <w:hideMark/>
          </w:tcPr>
          <w:p w14:paraId="11240DC3"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41.360</w:t>
            </w:r>
          </w:p>
        </w:tc>
        <w:tc>
          <w:tcPr>
            <w:tcW w:w="1177" w:type="dxa"/>
            <w:tcBorders>
              <w:top w:val="nil"/>
              <w:left w:val="nil"/>
              <w:bottom w:val="single" w:sz="4" w:space="0" w:color="262626"/>
              <w:right w:val="nil"/>
            </w:tcBorders>
            <w:shd w:val="clear" w:color="auto" w:fill="auto"/>
            <w:noWrap/>
            <w:vAlign w:val="center"/>
            <w:hideMark/>
          </w:tcPr>
          <w:p w14:paraId="2F30A804"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45,5</w:t>
            </w:r>
          </w:p>
        </w:tc>
        <w:tc>
          <w:tcPr>
            <w:tcW w:w="1404" w:type="dxa"/>
            <w:tcBorders>
              <w:top w:val="nil"/>
              <w:left w:val="nil"/>
              <w:bottom w:val="single" w:sz="4" w:space="0" w:color="262626"/>
              <w:right w:val="nil"/>
            </w:tcBorders>
            <w:shd w:val="clear" w:color="000000" w:fill="D9D9D9"/>
            <w:noWrap/>
            <w:vAlign w:val="center"/>
            <w:hideMark/>
          </w:tcPr>
          <w:p w14:paraId="78AA6170"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49.617</w:t>
            </w:r>
          </w:p>
        </w:tc>
        <w:tc>
          <w:tcPr>
            <w:tcW w:w="1177" w:type="dxa"/>
            <w:tcBorders>
              <w:top w:val="nil"/>
              <w:left w:val="nil"/>
              <w:bottom w:val="single" w:sz="4" w:space="0" w:color="262626"/>
              <w:right w:val="nil"/>
            </w:tcBorders>
            <w:shd w:val="clear" w:color="auto" w:fill="auto"/>
            <w:noWrap/>
            <w:vAlign w:val="center"/>
            <w:hideMark/>
          </w:tcPr>
          <w:p w14:paraId="3B690A89"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54,5</w:t>
            </w:r>
          </w:p>
        </w:tc>
        <w:tc>
          <w:tcPr>
            <w:tcW w:w="1376" w:type="dxa"/>
            <w:tcBorders>
              <w:top w:val="nil"/>
              <w:left w:val="nil"/>
              <w:bottom w:val="single" w:sz="4" w:space="0" w:color="262626"/>
              <w:right w:val="nil"/>
            </w:tcBorders>
            <w:shd w:val="clear" w:color="000000" w:fill="D9D9D9"/>
            <w:noWrap/>
            <w:vAlign w:val="center"/>
            <w:hideMark/>
          </w:tcPr>
          <w:p w14:paraId="47C6058E"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90.977</w:t>
            </w:r>
          </w:p>
        </w:tc>
        <w:tc>
          <w:tcPr>
            <w:tcW w:w="1192" w:type="dxa"/>
            <w:tcBorders>
              <w:top w:val="nil"/>
              <w:left w:val="nil"/>
              <w:bottom w:val="single" w:sz="4" w:space="0" w:color="262626"/>
              <w:right w:val="nil"/>
            </w:tcBorders>
            <w:shd w:val="clear" w:color="auto" w:fill="auto"/>
            <w:noWrap/>
            <w:vAlign w:val="center"/>
            <w:hideMark/>
          </w:tcPr>
          <w:p w14:paraId="12D005FC"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100,0</w:t>
            </w:r>
          </w:p>
        </w:tc>
      </w:tr>
      <w:tr w:rsidR="0085034C" w14:paraId="661EE3FB" w14:textId="77777777" w:rsidTr="0085034C">
        <w:trPr>
          <w:trHeight w:val="300"/>
        </w:trPr>
        <w:tc>
          <w:tcPr>
            <w:tcW w:w="1890" w:type="dxa"/>
            <w:tcBorders>
              <w:top w:val="nil"/>
              <w:left w:val="nil"/>
              <w:bottom w:val="single" w:sz="4" w:space="0" w:color="262626"/>
              <w:right w:val="nil"/>
            </w:tcBorders>
            <w:shd w:val="clear" w:color="auto" w:fill="auto"/>
            <w:noWrap/>
            <w:vAlign w:val="center"/>
            <w:hideMark/>
          </w:tcPr>
          <w:p w14:paraId="0F3152EC" w14:textId="77777777" w:rsidR="0085034C" w:rsidRDefault="0085034C">
            <w:pPr>
              <w:rPr>
                <w:rFonts w:ascii="Arial Narrow" w:hAnsi="Arial Narrow" w:cs="Calibri"/>
                <w:color w:val="000000"/>
                <w:sz w:val="18"/>
                <w:szCs w:val="18"/>
              </w:rPr>
            </w:pPr>
            <w:r>
              <w:rPr>
                <w:rFonts w:ascii="Arial Narrow" w:hAnsi="Arial Narrow" w:cs="Calibri"/>
                <w:color w:val="000000"/>
                <w:sz w:val="18"/>
                <w:szCs w:val="18"/>
              </w:rPr>
              <w:t>Varese</w:t>
            </w:r>
          </w:p>
        </w:tc>
        <w:tc>
          <w:tcPr>
            <w:tcW w:w="1404" w:type="dxa"/>
            <w:tcBorders>
              <w:top w:val="nil"/>
              <w:left w:val="nil"/>
              <w:bottom w:val="single" w:sz="4" w:space="0" w:color="262626"/>
              <w:right w:val="nil"/>
            </w:tcBorders>
            <w:shd w:val="clear" w:color="000000" w:fill="D9D9D9"/>
            <w:noWrap/>
            <w:vAlign w:val="center"/>
            <w:hideMark/>
          </w:tcPr>
          <w:p w14:paraId="7246E4A6"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166.601</w:t>
            </w:r>
          </w:p>
        </w:tc>
        <w:tc>
          <w:tcPr>
            <w:tcW w:w="1177" w:type="dxa"/>
            <w:tcBorders>
              <w:top w:val="nil"/>
              <w:left w:val="nil"/>
              <w:bottom w:val="single" w:sz="4" w:space="0" w:color="262626"/>
              <w:right w:val="nil"/>
            </w:tcBorders>
            <w:shd w:val="clear" w:color="auto" w:fill="auto"/>
            <w:noWrap/>
            <w:vAlign w:val="center"/>
            <w:hideMark/>
          </w:tcPr>
          <w:p w14:paraId="24BEA7FF"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34,8</w:t>
            </w:r>
          </w:p>
        </w:tc>
        <w:tc>
          <w:tcPr>
            <w:tcW w:w="1404" w:type="dxa"/>
            <w:tcBorders>
              <w:top w:val="nil"/>
              <w:left w:val="nil"/>
              <w:bottom w:val="single" w:sz="4" w:space="0" w:color="262626"/>
              <w:right w:val="nil"/>
            </w:tcBorders>
            <w:shd w:val="clear" w:color="000000" w:fill="D9D9D9"/>
            <w:noWrap/>
            <w:vAlign w:val="center"/>
            <w:hideMark/>
          </w:tcPr>
          <w:p w14:paraId="413FA67F"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311.585</w:t>
            </w:r>
          </w:p>
        </w:tc>
        <w:tc>
          <w:tcPr>
            <w:tcW w:w="1177" w:type="dxa"/>
            <w:tcBorders>
              <w:top w:val="nil"/>
              <w:left w:val="nil"/>
              <w:bottom w:val="single" w:sz="4" w:space="0" w:color="262626"/>
              <w:right w:val="nil"/>
            </w:tcBorders>
            <w:shd w:val="clear" w:color="auto" w:fill="auto"/>
            <w:noWrap/>
            <w:vAlign w:val="center"/>
            <w:hideMark/>
          </w:tcPr>
          <w:p w14:paraId="41E32D34"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65,2</w:t>
            </w:r>
          </w:p>
        </w:tc>
        <w:tc>
          <w:tcPr>
            <w:tcW w:w="1376" w:type="dxa"/>
            <w:tcBorders>
              <w:top w:val="nil"/>
              <w:left w:val="nil"/>
              <w:bottom w:val="single" w:sz="4" w:space="0" w:color="262626"/>
              <w:right w:val="nil"/>
            </w:tcBorders>
            <w:shd w:val="clear" w:color="000000" w:fill="D9D9D9"/>
            <w:noWrap/>
            <w:vAlign w:val="center"/>
            <w:hideMark/>
          </w:tcPr>
          <w:p w14:paraId="434A0047"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478.186</w:t>
            </w:r>
          </w:p>
        </w:tc>
        <w:tc>
          <w:tcPr>
            <w:tcW w:w="1192" w:type="dxa"/>
            <w:tcBorders>
              <w:top w:val="nil"/>
              <w:left w:val="nil"/>
              <w:bottom w:val="single" w:sz="4" w:space="0" w:color="262626"/>
              <w:right w:val="nil"/>
            </w:tcBorders>
            <w:shd w:val="clear" w:color="auto" w:fill="auto"/>
            <w:noWrap/>
            <w:vAlign w:val="center"/>
            <w:hideMark/>
          </w:tcPr>
          <w:p w14:paraId="08F97C36" w14:textId="77777777" w:rsidR="0085034C" w:rsidRDefault="0085034C">
            <w:pPr>
              <w:jc w:val="right"/>
              <w:rPr>
                <w:rFonts w:ascii="Arial Narrow" w:hAnsi="Arial Narrow" w:cs="Calibri"/>
                <w:color w:val="000000"/>
                <w:sz w:val="18"/>
                <w:szCs w:val="18"/>
              </w:rPr>
            </w:pPr>
            <w:r>
              <w:rPr>
                <w:rFonts w:ascii="Arial Narrow" w:hAnsi="Arial Narrow" w:cs="Calibri"/>
                <w:color w:val="000000"/>
                <w:sz w:val="18"/>
                <w:szCs w:val="18"/>
              </w:rPr>
              <w:t>100,0</w:t>
            </w:r>
          </w:p>
        </w:tc>
      </w:tr>
      <w:tr w:rsidR="0085034C" w14:paraId="3AB18F9E" w14:textId="77777777" w:rsidTr="0085034C">
        <w:trPr>
          <w:trHeight w:val="300"/>
        </w:trPr>
        <w:tc>
          <w:tcPr>
            <w:tcW w:w="1890" w:type="dxa"/>
            <w:tcBorders>
              <w:top w:val="nil"/>
              <w:left w:val="nil"/>
              <w:bottom w:val="single" w:sz="4" w:space="0" w:color="262626"/>
              <w:right w:val="nil"/>
            </w:tcBorders>
            <w:shd w:val="clear" w:color="000000" w:fill="C9321F"/>
            <w:noWrap/>
            <w:vAlign w:val="center"/>
            <w:hideMark/>
          </w:tcPr>
          <w:p w14:paraId="4A1CEF25" w14:textId="77777777" w:rsidR="0085034C" w:rsidRDefault="0085034C">
            <w:pPr>
              <w:rPr>
                <w:rFonts w:ascii="Arial Narrow" w:hAnsi="Arial Narrow" w:cs="Calibri"/>
                <w:b/>
                <w:bCs/>
                <w:color w:val="FFFFFF"/>
                <w:sz w:val="18"/>
                <w:szCs w:val="18"/>
              </w:rPr>
            </w:pPr>
            <w:r>
              <w:rPr>
                <w:rFonts w:ascii="Arial Narrow" w:hAnsi="Arial Narrow" w:cs="Calibri"/>
                <w:b/>
                <w:bCs/>
                <w:color w:val="FFFFFF"/>
                <w:sz w:val="18"/>
                <w:szCs w:val="18"/>
              </w:rPr>
              <w:t>LOMBARDIA</w:t>
            </w:r>
          </w:p>
        </w:tc>
        <w:tc>
          <w:tcPr>
            <w:tcW w:w="1404" w:type="dxa"/>
            <w:tcBorders>
              <w:top w:val="single" w:sz="4" w:space="0" w:color="262626"/>
              <w:left w:val="nil"/>
              <w:bottom w:val="single" w:sz="4" w:space="0" w:color="262626"/>
              <w:right w:val="nil"/>
            </w:tcBorders>
            <w:shd w:val="clear" w:color="000000" w:fill="C9321F"/>
            <w:noWrap/>
            <w:vAlign w:val="center"/>
            <w:hideMark/>
          </w:tcPr>
          <w:p w14:paraId="530F4BE9" w14:textId="77777777" w:rsidR="0085034C" w:rsidRDefault="0085034C">
            <w:pPr>
              <w:jc w:val="right"/>
              <w:rPr>
                <w:rFonts w:ascii="Arial Narrow" w:hAnsi="Arial Narrow" w:cs="Calibri"/>
                <w:b/>
                <w:bCs/>
                <w:color w:val="FFFFFF"/>
                <w:sz w:val="18"/>
                <w:szCs w:val="18"/>
              </w:rPr>
            </w:pPr>
            <w:r>
              <w:rPr>
                <w:rFonts w:ascii="Arial Narrow" w:hAnsi="Arial Narrow" w:cs="Calibri"/>
                <w:b/>
                <w:bCs/>
                <w:color w:val="FFFFFF"/>
                <w:sz w:val="18"/>
                <w:szCs w:val="18"/>
              </w:rPr>
              <w:t>2.409.661</w:t>
            </w:r>
          </w:p>
        </w:tc>
        <w:tc>
          <w:tcPr>
            <w:tcW w:w="1177" w:type="dxa"/>
            <w:tcBorders>
              <w:top w:val="single" w:sz="4" w:space="0" w:color="262626"/>
              <w:left w:val="nil"/>
              <w:bottom w:val="single" w:sz="4" w:space="0" w:color="262626"/>
              <w:right w:val="nil"/>
            </w:tcBorders>
            <w:shd w:val="clear" w:color="000000" w:fill="C9321F"/>
            <w:noWrap/>
            <w:vAlign w:val="center"/>
            <w:hideMark/>
          </w:tcPr>
          <w:p w14:paraId="0CE011F3" w14:textId="77777777" w:rsidR="0085034C" w:rsidRDefault="0085034C">
            <w:pPr>
              <w:jc w:val="right"/>
              <w:rPr>
                <w:rFonts w:ascii="Arial Narrow" w:hAnsi="Arial Narrow" w:cs="Calibri"/>
                <w:b/>
                <w:bCs/>
                <w:color w:val="FFFFFF"/>
                <w:sz w:val="18"/>
                <w:szCs w:val="18"/>
              </w:rPr>
            </w:pPr>
            <w:r>
              <w:rPr>
                <w:rFonts w:ascii="Arial Narrow" w:hAnsi="Arial Narrow" w:cs="Calibri"/>
                <w:b/>
                <w:bCs/>
                <w:color w:val="FFFFFF"/>
                <w:sz w:val="18"/>
                <w:szCs w:val="18"/>
              </w:rPr>
              <w:t>42,9</w:t>
            </w:r>
          </w:p>
        </w:tc>
        <w:tc>
          <w:tcPr>
            <w:tcW w:w="1404" w:type="dxa"/>
            <w:tcBorders>
              <w:top w:val="single" w:sz="4" w:space="0" w:color="262626"/>
              <w:left w:val="nil"/>
              <w:bottom w:val="single" w:sz="4" w:space="0" w:color="262626"/>
              <w:right w:val="nil"/>
            </w:tcBorders>
            <w:shd w:val="clear" w:color="000000" w:fill="C9321F"/>
            <w:noWrap/>
            <w:vAlign w:val="center"/>
            <w:hideMark/>
          </w:tcPr>
          <w:p w14:paraId="0B1D44C3" w14:textId="77777777" w:rsidR="0085034C" w:rsidRDefault="0085034C">
            <w:pPr>
              <w:jc w:val="right"/>
              <w:rPr>
                <w:rFonts w:ascii="Arial Narrow" w:hAnsi="Arial Narrow" w:cs="Calibri"/>
                <w:b/>
                <w:bCs/>
                <w:color w:val="FFFFFF"/>
                <w:sz w:val="18"/>
                <w:szCs w:val="18"/>
              </w:rPr>
            </w:pPr>
            <w:r>
              <w:rPr>
                <w:rFonts w:ascii="Arial Narrow" w:hAnsi="Arial Narrow" w:cs="Calibri"/>
                <w:b/>
                <w:bCs/>
                <w:color w:val="FFFFFF"/>
                <w:sz w:val="18"/>
                <w:szCs w:val="18"/>
              </w:rPr>
              <w:t>3.202.141</w:t>
            </w:r>
          </w:p>
        </w:tc>
        <w:tc>
          <w:tcPr>
            <w:tcW w:w="1177" w:type="dxa"/>
            <w:tcBorders>
              <w:top w:val="single" w:sz="4" w:space="0" w:color="262626"/>
              <w:left w:val="nil"/>
              <w:bottom w:val="single" w:sz="4" w:space="0" w:color="262626"/>
              <w:right w:val="nil"/>
            </w:tcBorders>
            <w:shd w:val="clear" w:color="000000" w:fill="C9321F"/>
            <w:noWrap/>
            <w:vAlign w:val="center"/>
            <w:hideMark/>
          </w:tcPr>
          <w:p w14:paraId="7CE3AA21" w14:textId="77777777" w:rsidR="0085034C" w:rsidRDefault="0085034C">
            <w:pPr>
              <w:jc w:val="right"/>
              <w:rPr>
                <w:rFonts w:ascii="Arial Narrow" w:hAnsi="Arial Narrow" w:cs="Calibri"/>
                <w:b/>
                <w:bCs/>
                <w:color w:val="FFFFFF"/>
                <w:sz w:val="18"/>
                <w:szCs w:val="18"/>
              </w:rPr>
            </w:pPr>
            <w:r>
              <w:rPr>
                <w:rFonts w:ascii="Arial Narrow" w:hAnsi="Arial Narrow" w:cs="Calibri"/>
                <w:b/>
                <w:bCs/>
                <w:color w:val="FFFFFF"/>
                <w:sz w:val="18"/>
                <w:szCs w:val="18"/>
              </w:rPr>
              <w:t>57,1</w:t>
            </w:r>
          </w:p>
        </w:tc>
        <w:tc>
          <w:tcPr>
            <w:tcW w:w="1376" w:type="dxa"/>
            <w:tcBorders>
              <w:top w:val="single" w:sz="4" w:space="0" w:color="262626"/>
              <w:left w:val="nil"/>
              <w:bottom w:val="single" w:sz="4" w:space="0" w:color="262626"/>
              <w:right w:val="nil"/>
            </w:tcBorders>
            <w:shd w:val="clear" w:color="000000" w:fill="C9321F"/>
            <w:noWrap/>
            <w:vAlign w:val="center"/>
            <w:hideMark/>
          </w:tcPr>
          <w:p w14:paraId="4502A428" w14:textId="77777777" w:rsidR="0085034C" w:rsidRDefault="0085034C">
            <w:pPr>
              <w:jc w:val="right"/>
              <w:rPr>
                <w:rFonts w:ascii="Arial Narrow" w:hAnsi="Arial Narrow" w:cs="Calibri"/>
                <w:b/>
                <w:bCs/>
                <w:color w:val="FFFFFF"/>
                <w:sz w:val="18"/>
                <w:szCs w:val="18"/>
              </w:rPr>
            </w:pPr>
            <w:r>
              <w:rPr>
                <w:rFonts w:ascii="Arial Narrow" w:hAnsi="Arial Narrow" w:cs="Calibri"/>
                <w:b/>
                <w:bCs/>
                <w:color w:val="FFFFFF"/>
                <w:sz w:val="18"/>
                <w:szCs w:val="18"/>
              </w:rPr>
              <w:t>5.611.802</w:t>
            </w:r>
          </w:p>
        </w:tc>
        <w:tc>
          <w:tcPr>
            <w:tcW w:w="1192" w:type="dxa"/>
            <w:tcBorders>
              <w:top w:val="single" w:sz="4" w:space="0" w:color="262626"/>
              <w:left w:val="nil"/>
              <w:bottom w:val="single" w:sz="4" w:space="0" w:color="262626"/>
              <w:right w:val="nil"/>
            </w:tcBorders>
            <w:shd w:val="clear" w:color="000000" w:fill="C9321F"/>
            <w:noWrap/>
            <w:vAlign w:val="center"/>
            <w:hideMark/>
          </w:tcPr>
          <w:p w14:paraId="1160693A" w14:textId="77777777" w:rsidR="0085034C" w:rsidRDefault="0085034C">
            <w:pPr>
              <w:jc w:val="right"/>
              <w:rPr>
                <w:rFonts w:ascii="Arial Narrow" w:hAnsi="Arial Narrow" w:cs="Calibri"/>
                <w:b/>
                <w:bCs/>
                <w:color w:val="FFFFFF"/>
                <w:sz w:val="18"/>
                <w:szCs w:val="18"/>
              </w:rPr>
            </w:pPr>
            <w:r>
              <w:rPr>
                <w:rFonts w:ascii="Arial Narrow" w:hAnsi="Arial Narrow" w:cs="Calibri"/>
                <w:b/>
                <w:bCs/>
                <w:color w:val="FFFFFF"/>
                <w:sz w:val="18"/>
                <w:szCs w:val="18"/>
              </w:rPr>
              <w:t>100,0</w:t>
            </w:r>
          </w:p>
        </w:tc>
      </w:tr>
      <w:tr w:rsidR="0085034C" w14:paraId="1ED11B19" w14:textId="77777777" w:rsidTr="0085034C">
        <w:trPr>
          <w:trHeight w:val="300"/>
        </w:trPr>
        <w:tc>
          <w:tcPr>
            <w:tcW w:w="1890" w:type="dxa"/>
            <w:tcBorders>
              <w:top w:val="nil"/>
              <w:left w:val="nil"/>
              <w:bottom w:val="single" w:sz="4" w:space="0" w:color="262626"/>
              <w:right w:val="nil"/>
            </w:tcBorders>
            <w:shd w:val="clear" w:color="000000" w:fill="C9321F"/>
            <w:noWrap/>
            <w:vAlign w:val="center"/>
            <w:hideMark/>
          </w:tcPr>
          <w:p w14:paraId="48DF670E" w14:textId="77777777" w:rsidR="0085034C" w:rsidRDefault="0085034C">
            <w:pPr>
              <w:rPr>
                <w:rFonts w:ascii="Arial Narrow" w:hAnsi="Arial Narrow" w:cs="Calibri"/>
                <w:b/>
                <w:bCs/>
                <w:color w:val="FFFFFF"/>
                <w:sz w:val="18"/>
                <w:szCs w:val="18"/>
              </w:rPr>
            </w:pPr>
            <w:r>
              <w:rPr>
                <w:rFonts w:ascii="Arial Narrow" w:hAnsi="Arial Narrow" w:cs="Calibri"/>
                <w:b/>
                <w:bCs/>
                <w:color w:val="FFFFFF"/>
                <w:sz w:val="18"/>
                <w:szCs w:val="18"/>
              </w:rPr>
              <w:t>ITALIA</w:t>
            </w:r>
          </w:p>
        </w:tc>
        <w:tc>
          <w:tcPr>
            <w:tcW w:w="1404" w:type="dxa"/>
            <w:tcBorders>
              <w:top w:val="single" w:sz="4" w:space="0" w:color="262626"/>
              <w:left w:val="nil"/>
              <w:bottom w:val="single" w:sz="4" w:space="0" w:color="262626"/>
              <w:right w:val="nil"/>
            </w:tcBorders>
            <w:shd w:val="clear" w:color="000000" w:fill="C9321F"/>
            <w:noWrap/>
            <w:vAlign w:val="center"/>
            <w:hideMark/>
          </w:tcPr>
          <w:p w14:paraId="3D8168F1" w14:textId="77777777" w:rsidR="0085034C" w:rsidRDefault="0085034C">
            <w:pPr>
              <w:jc w:val="right"/>
              <w:rPr>
                <w:rFonts w:ascii="Arial Narrow" w:hAnsi="Arial Narrow" w:cs="Calibri"/>
                <w:b/>
                <w:bCs/>
                <w:color w:val="FFFFFF"/>
                <w:sz w:val="18"/>
                <w:szCs w:val="18"/>
              </w:rPr>
            </w:pPr>
            <w:r>
              <w:rPr>
                <w:rFonts w:ascii="Arial Narrow" w:hAnsi="Arial Narrow" w:cs="Calibri"/>
                <w:b/>
                <w:bCs/>
                <w:color w:val="FFFFFF"/>
                <w:sz w:val="18"/>
                <w:szCs w:val="18"/>
              </w:rPr>
              <w:t>17.384.822</w:t>
            </w:r>
          </w:p>
        </w:tc>
        <w:tc>
          <w:tcPr>
            <w:tcW w:w="1177" w:type="dxa"/>
            <w:tcBorders>
              <w:top w:val="single" w:sz="4" w:space="0" w:color="262626"/>
              <w:left w:val="nil"/>
              <w:bottom w:val="single" w:sz="4" w:space="0" w:color="262626"/>
              <w:right w:val="nil"/>
            </w:tcBorders>
            <w:shd w:val="clear" w:color="000000" w:fill="C9321F"/>
            <w:noWrap/>
            <w:vAlign w:val="center"/>
            <w:hideMark/>
          </w:tcPr>
          <w:p w14:paraId="28A3ABC3" w14:textId="77777777" w:rsidR="0085034C" w:rsidRDefault="0085034C">
            <w:pPr>
              <w:jc w:val="right"/>
              <w:rPr>
                <w:rFonts w:ascii="Arial Narrow" w:hAnsi="Arial Narrow" w:cs="Calibri"/>
                <w:b/>
                <w:bCs/>
                <w:color w:val="FFFFFF"/>
                <w:sz w:val="18"/>
                <w:szCs w:val="18"/>
              </w:rPr>
            </w:pPr>
            <w:r>
              <w:rPr>
                <w:rFonts w:ascii="Arial Narrow" w:hAnsi="Arial Narrow" w:cs="Calibri"/>
                <w:b/>
                <w:bCs/>
                <w:color w:val="FFFFFF"/>
                <w:sz w:val="18"/>
                <w:szCs w:val="18"/>
              </w:rPr>
              <w:t>57,5</w:t>
            </w:r>
          </w:p>
        </w:tc>
        <w:tc>
          <w:tcPr>
            <w:tcW w:w="1404" w:type="dxa"/>
            <w:tcBorders>
              <w:top w:val="single" w:sz="4" w:space="0" w:color="262626"/>
              <w:left w:val="nil"/>
              <w:bottom w:val="single" w:sz="4" w:space="0" w:color="262626"/>
              <w:right w:val="nil"/>
            </w:tcBorders>
            <w:shd w:val="clear" w:color="000000" w:fill="C9321F"/>
            <w:noWrap/>
            <w:vAlign w:val="center"/>
            <w:hideMark/>
          </w:tcPr>
          <w:p w14:paraId="2A0112E3" w14:textId="77777777" w:rsidR="0085034C" w:rsidRDefault="0085034C">
            <w:pPr>
              <w:jc w:val="right"/>
              <w:rPr>
                <w:rFonts w:ascii="Arial Narrow" w:hAnsi="Arial Narrow" w:cs="Calibri"/>
                <w:b/>
                <w:bCs/>
                <w:color w:val="FFFFFF"/>
                <w:sz w:val="18"/>
                <w:szCs w:val="18"/>
              </w:rPr>
            </w:pPr>
            <w:r>
              <w:rPr>
                <w:rFonts w:ascii="Arial Narrow" w:hAnsi="Arial Narrow" w:cs="Calibri"/>
                <w:b/>
                <w:bCs/>
                <w:color w:val="FFFFFF"/>
                <w:sz w:val="18"/>
                <w:szCs w:val="18"/>
              </w:rPr>
              <w:t>12.829.579</w:t>
            </w:r>
          </w:p>
        </w:tc>
        <w:tc>
          <w:tcPr>
            <w:tcW w:w="1177" w:type="dxa"/>
            <w:tcBorders>
              <w:top w:val="single" w:sz="4" w:space="0" w:color="262626"/>
              <w:left w:val="nil"/>
              <w:bottom w:val="single" w:sz="4" w:space="0" w:color="262626"/>
              <w:right w:val="nil"/>
            </w:tcBorders>
            <w:shd w:val="clear" w:color="000000" w:fill="C9321F"/>
            <w:noWrap/>
            <w:vAlign w:val="center"/>
            <w:hideMark/>
          </w:tcPr>
          <w:p w14:paraId="063E470A" w14:textId="77777777" w:rsidR="0085034C" w:rsidRDefault="0085034C">
            <w:pPr>
              <w:jc w:val="right"/>
              <w:rPr>
                <w:rFonts w:ascii="Arial Narrow" w:hAnsi="Arial Narrow" w:cs="Calibri"/>
                <w:b/>
                <w:bCs/>
                <w:color w:val="FFFFFF"/>
                <w:sz w:val="18"/>
                <w:szCs w:val="18"/>
              </w:rPr>
            </w:pPr>
            <w:r>
              <w:rPr>
                <w:rFonts w:ascii="Arial Narrow" w:hAnsi="Arial Narrow" w:cs="Calibri"/>
                <w:b/>
                <w:bCs/>
                <w:color w:val="FFFFFF"/>
                <w:sz w:val="18"/>
                <w:szCs w:val="18"/>
              </w:rPr>
              <w:t>42,5</w:t>
            </w:r>
          </w:p>
        </w:tc>
        <w:tc>
          <w:tcPr>
            <w:tcW w:w="1376" w:type="dxa"/>
            <w:tcBorders>
              <w:top w:val="single" w:sz="4" w:space="0" w:color="262626"/>
              <w:left w:val="nil"/>
              <w:bottom w:val="single" w:sz="4" w:space="0" w:color="262626"/>
              <w:right w:val="nil"/>
            </w:tcBorders>
            <w:shd w:val="clear" w:color="000000" w:fill="C9321F"/>
            <w:noWrap/>
            <w:vAlign w:val="center"/>
            <w:hideMark/>
          </w:tcPr>
          <w:p w14:paraId="1E38036E" w14:textId="77777777" w:rsidR="0085034C" w:rsidRDefault="0085034C">
            <w:pPr>
              <w:jc w:val="right"/>
              <w:rPr>
                <w:rFonts w:ascii="Arial Narrow" w:hAnsi="Arial Narrow" w:cs="Calibri"/>
                <w:b/>
                <w:bCs/>
                <w:color w:val="FFFFFF"/>
                <w:sz w:val="18"/>
                <w:szCs w:val="18"/>
              </w:rPr>
            </w:pPr>
            <w:r>
              <w:rPr>
                <w:rFonts w:ascii="Arial Narrow" w:hAnsi="Arial Narrow" w:cs="Calibri"/>
                <w:b/>
                <w:bCs/>
                <w:color w:val="FFFFFF"/>
                <w:sz w:val="18"/>
                <w:szCs w:val="18"/>
              </w:rPr>
              <w:t>30.214.401</w:t>
            </w:r>
          </w:p>
        </w:tc>
        <w:tc>
          <w:tcPr>
            <w:tcW w:w="1192" w:type="dxa"/>
            <w:tcBorders>
              <w:top w:val="single" w:sz="4" w:space="0" w:color="262626"/>
              <w:left w:val="nil"/>
              <w:bottom w:val="single" w:sz="4" w:space="0" w:color="262626"/>
              <w:right w:val="nil"/>
            </w:tcBorders>
            <w:shd w:val="clear" w:color="000000" w:fill="C9321F"/>
            <w:noWrap/>
            <w:vAlign w:val="center"/>
            <w:hideMark/>
          </w:tcPr>
          <w:p w14:paraId="65E860A9" w14:textId="77777777" w:rsidR="0085034C" w:rsidRDefault="0085034C">
            <w:pPr>
              <w:jc w:val="right"/>
              <w:rPr>
                <w:rFonts w:ascii="Arial Narrow" w:hAnsi="Arial Narrow" w:cs="Calibri"/>
                <w:b/>
                <w:bCs/>
                <w:color w:val="FFFFFF"/>
                <w:sz w:val="18"/>
                <w:szCs w:val="18"/>
              </w:rPr>
            </w:pPr>
            <w:r>
              <w:rPr>
                <w:rFonts w:ascii="Arial Narrow" w:hAnsi="Arial Narrow" w:cs="Calibri"/>
                <w:b/>
                <w:bCs/>
                <w:color w:val="FFFFFF"/>
                <w:sz w:val="18"/>
                <w:szCs w:val="18"/>
              </w:rPr>
              <w:t>100,0</w:t>
            </w:r>
          </w:p>
        </w:tc>
      </w:tr>
    </w:tbl>
    <w:p w14:paraId="1994ECFF" w14:textId="74888B2D" w:rsidR="005B0778" w:rsidRDefault="005B0778" w:rsidP="00047761">
      <w:pPr>
        <w:spacing w:after="120"/>
        <w:jc w:val="both"/>
        <w:rPr>
          <w:rFonts w:ascii="Trebuchet MS" w:hAnsi="Trebuchet MS" w:cs="Arial"/>
          <w:b/>
          <w:iCs/>
          <w:color w:val="5F5F5F"/>
          <w:kern w:val="28"/>
          <w:sz w:val="22"/>
          <w:szCs w:val="22"/>
        </w:rPr>
      </w:pPr>
    </w:p>
    <w:p w14:paraId="472B9F45" w14:textId="02186D6B" w:rsidR="0069134D" w:rsidRPr="004162C3" w:rsidRDefault="00CF29F0" w:rsidP="00047761">
      <w:pPr>
        <w:spacing w:after="120"/>
        <w:jc w:val="both"/>
        <w:rPr>
          <w:rFonts w:ascii="Trebuchet MS" w:hAnsi="Trebuchet MS" w:cs="Arial"/>
          <w:iCs/>
          <w:color w:val="5F5F5F"/>
          <w:sz w:val="20"/>
          <w:szCs w:val="20"/>
        </w:rPr>
      </w:pPr>
      <w:r w:rsidRPr="004162C3">
        <w:rPr>
          <w:rFonts w:ascii="Trebuchet MS" w:hAnsi="Trebuchet MS" w:cs="Arial"/>
          <w:b/>
          <w:iCs/>
          <w:color w:val="5F5F5F"/>
          <w:kern w:val="28"/>
          <w:sz w:val="22"/>
          <w:szCs w:val="22"/>
        </w:rPr>
        <w:t xml:space="preserve">Strategia nazionale delle </w:t>
      </w:r>
      <w:r w:rsidR="000812BA">
        <w:rPr>
          <w:rFonts w:ascii="Trebuchet MS" w:hAnsi="Trebuchet MS" w:cs="Arial"/>
          <w:b/>
          <w:iCs/>
          <w:color w:val="5F5F5F"/>
          <w:kern w:val="28"/>
          <w:sz w:val="22"/>
          <w:szCs w:val="22"/>
        </w:rPr>
        <w:t>A</w:t>
      </w:r>
      <w:r w:rsidRPr="004162C3">
        <w:rPr>
          <w:rFonts w:ascii="Trebuchet MS" w:hAnsi="Trebuchet MS" w:cs="Arial"/>
          <w:b/>
          <w:iCs/>
          <w:color w:val="5F5F5F"/>
          <w:kern w:val="28"/>
          <w:sz w:val="22"/>
          <w:szCs w:val="22"/>
        </w:rPr>
        <w:t>ree interne: c</w:t>
      </w:r>
      <w:r w:rsidR="009A34C5" w:rsidRPr="004162C3">
        <w:rPr>
          <w:rFonts w:ascii="Trebuchet MS" w:hAnsi="Trebuchet MS" w:cs="Arial"/>
          <w:b/>
          <w:iCs/>
          <w:color w:val="5F5F5F"/>
          <w:kern w:val="28"/>
          <w:sz w:val="22"/>
          <w:szCs w:val="22"/>
        </w:rPr>
        <w:t xml:space="preserve">aratteristiche della popolazione </w:t>
      </w:r>
    </w:p>
    <w:p w14:paraId="67006B83" w14:textId="75A62169" w:rsidR="00AC43D7" w:rsidRPr="00F6455A" w:rsidRDefault="00AC43D7" w:rsidP="00AC43D7">
      <w:pPr>
        <w:spacing w:after="120"/>
        <w:jc w:val="both"/>
        <w:rPr>
          <w:rFonts w:ascii="Trebuchet MS" w:hAnsi="Trebuchet MS" w:cs="Arial"/>
          <w:color w:val="5F5F5F"/>
          <w:sz w:val="20"/>
          <w:szCs w:val="20"/>
        </w:rPr>
      </w:pPr>
      <w:r w:rsidRPr="00F6455A">
        <w:rPr>
          <w:rFonts w:ascii="Trebuchet MS" w:hAnsi="Trebuchet MS" w:cs="Arial"/>
          <w:color w:val="5F5F5F"/>
          <w:sz w:val="20"/>
          <w:szCs w:val="20"/>
        </w:rPr>
        <w:t>Al 31 dicembre 2020</w:t>
      </w:r>
      <w:r w:rsidR="00574B7B">
        <w:rPr>
          <w:rFonts w:ascii="Trebuchet MS" w:hAnsi="Trebuchet MS" w:cs="Arial"/>
          <w:color w:val="5F5F5F"/>
          <w:sz w:val="20"/>
          <w:szCs w:val="20"/>
        </w:rPr>
        <w:t>,</w:t>
      </w:r>
      <w:r w:rsidRPr="00F6455A">
        <w:rPr>
          <w:rFonts w:ascii="Trebuchet MS" w:hAnsi="Trebuchet MS" w:cs="Arial"/>
          <w:color w:val="5F5F5F"/>
          <w:sz w:val="20"/>
          <w:szCs w:val="20"/>
        </w:rPr>
        <w:t xml:space="preserve"> il 90% dei lombardi vive in comuni classificati come Centri e può, almeno in teoria, raggiungere i tre servizi essenziali, individuati dalla Strategia Nazionale per le Aree Interne</w:t>
      </w:r>
      <w:r w:rsidRPr="00F6455A">
        <w:rPr>
          <w:rStyle w:val="Rimandonotaapidipagina"/>
          <w:rFonts w:ascii="Trebuchet MS" w:hAnsi="Trebuchet MS" w:cs="Arial"/>
          <w:color w:val="5F5F5F"/>
          <w:sz w:val="20"/>
          <w:szCs w:val="20"/>
        </w:rPr>
        <w:footnoteReference w:id="4"/>
      </w:r>
      <w:r w:rsidRPr="00F6455A">
        <w:rPr>
          <w:rFonts w:ascii="Trebuchet MS" w:hAnsi="Trebuchet MS" w:cs="Arial"/>
          <w:color w:val="5F5F5F"/>
          <w:sz w:val="20"/>
          <w:szCs w:val="20"/>
        </w:rPr>
        <w:t>, in meno di 20 minuti. Rispetto all’anno precedente, la popolazione dei Centri rimane sostanzialmente stabile.</w:t>
      </w:r>
    </w:p>
    <w:p w14:paraId="16296320" w14:textId="054AA7EF" w:rsidR="00AC43D7" w:rsidRPr="00F6455A" w:rsidRDefault="00AC43D7" w:rsidP="00AC43D7">
      <w:pPr>
        <w:spacing w:after="120"/>
        <w:jc w:val="both"/>
        <w:rPr>
          <w:rFonts w:ascii="Trebuchet MS" w:hAnsi="Trebuchet MS" w:cs="Arial"/>
          <w:color w:val="5F5F5F"/>
          <w:sz w:val="20"/>
          <w:szCs w:val="20"/>
        </w:rPr>
      </w:pPr>
      <w:r w:rsidRPr="00F6455A">
        <w:rPr>
          <w:rFonts w:ascii="Trebuchet MS" w:hAnsi="Trebuchet MS" w:cs="Arial"/>
          <w:color w:val="5F5F5F"/>
          <w:sz w:val="20"/>
          <w:szCs w:val="20"/>
        </w:rPr>
        <w:t xml:space="preserve">Nei 483 comuni ubicati a più di 20 minuti di percorrenza dai comuni Polo, risiedono 995.019 abitanti, </w:t>
      </w:r>
      <w:r w:rsidR="00360C11">
        <w:rPr>
          <w:rFonts w:ascii="Trebuchet MS" w:hAnsi="Trebuchet MS" w:cs="Arial"/>
          <w:color w:val="5F5F5F"/>
          <w:sz w:val="20"/>
          <w:szCs w:val="20"/>
        </w:rPr>
        <w:t>circa</w:t>
      </w:r>
      <w:r w:rsidR="00360C11" w:rsidRPr="00F6455A">
        <w:rPr>
          <w:rFonts w:ascii="Trebuchet MS" w:hAnsi="Trebuchet MS" w:cs="Arial"/>
          <w:color w:val="5F5F5F"/>
          <w:sz w:val="20"/>
          <w:szCs w:val="20"/>
        </w:rPr>
        <w:t xml:space="preserve"> </w:t>
      </w:r>
      <w:r w:rsidRPr="00F6455A">
        <w:rPr>
          <w:rFonts w:ascii="Trebuchet MS" w:hAnsi="Trebuchet MS" w:cs="Arial"/>
          <w:color w:val="5F5F5F"/>
          <w:sz w:val="20"/>
          <w:szCs w:val="20"/>
        </w:rPr>
        <w:t>9</w:t>
      </w:r>
      <w:r w:rsidR="00EE2B69">
        <w:rPr>
          <w:rFonts w:ascii="Trebuchet MS" w:hAnsi="Trebuchet MS" w:cs="Arial"/>
          <w:color w:val="5F5F5F"/>
          <w:sz w:val="20"/>
          <w:szCs w:val="20"/>
        </w:rPr>
        <w:t xml:space="preserve"> </w:t>
      </w:r>
      <w:r w:rsidRPr="00F6455A">
        <w:rPr>
          <w:rFonts w:ascii="Trebuchet MS" w:hAnsi="Trebuchet MS" w:cs="Arial"/>
          <w:color w:val="5F5F5F"/>
          <w:sz w:val="20"/>
          <w:szCs w:val="20"/>
        </w:rPr>
        <w:t xml:space="preserve">mila in meno rispetto all’anno precedente e si registrano cali di popolazione la cui intensità varia a seconda dei tempi di percorrenza (la variazione nel periodo 2020-2019 è pari a -0,9 per </w:t>
      </w:r>
      <w:r w:rsidR="006D03D7">
        <w:rPr>
          <w:rFonts w:ascii="Trebuchet MS" w:hAnsi="Trebuchet MS" w:cs="Arial"/>
          <w:color w:val="5F5F5F"/>
          <w:sz w:val="20"/>
          <w:szCs w:val="20"/>
        </w:rPr>
        <w:t>cento</w:t>
      </w:r>
      <w:r w:rsidRPr="00F6455A">
        <w:rPr>
          <w:rFonts w:ascii="Trebuchet MS" w:hAnsi="Trebuchet MS" w:cs="Arial"/>
          <w:color w:val="5F5F5F"/>
          <w:sz w:val="20"/>
          <w:szCs w:val="20"/>
        </w:rPr>
        <w:t xml:space="preserve"> nei comuni Intermedi e Periferici e a -1,1 per </w:t>
      </w:r>
      <w:r w:rsidR="006D03D7">
        <w:rPr>
          <w:rFonts w:ascii="Trebuchet MS" w:hAnsi="Trebuchet MS" w:cs="Arial"/>
          <w:color w:val="5F5F5F"/>
          <w:sz w:val="20"/>
          <w:szCs w:val="20"/>
        </w:rPr>
        <w:t>cento</w:t>
      </w:r>
      <w:r w:rsidRPr="00F6455A">
        <w:rPr>
          <w:rFonts w:ascii="Trebuchet MS" w:hAnsi="Trebuchet MS" w:cs="Arial"/>
          <w:color w:val="5F5F5F"/>
          <w:sz w:val="20"/>
          <w:szCs w:val="20"/>
        </w:rPr>
        <w:t xml:space="preserve"> nelle aree ultraperiferiche)</w:t>
      </w:r>
      <w:r w:rsidR="00574B7B">
        <w:rPr>
          <w:rFonts w:ascii="Trebuchet MS" w:hAnsi="Trebuchet MS" w:cs="Arial"/>
          <w:color w:val="5F5F5F"/>
          <w:sz w:val="20"/>
          <w:szCs w:val="20"/>
        </w:rPr>
        <w:t xml:space="preserve"> (Prospetto 12)</w:t>
      </w:r>
      <w:r w:rsidRPr="00F6455A">
        <w:rPr>
          <w:rFonts w:ascii="Trebuchet MS" w:hAnsi="Trebuchet MS" w:cs="Arial"/>
          <w:color w:val="5F5F5F"/>
          <w:sz w:val="20"/>
          <w:szCs w:val="20"/>
        </w:rPr>
        <w:t>.</w:t>
      </w:r>
    </w:p>
    <w:p w14:paraId="4CCC70A1" w14:textId="77777777" w:rsidR="00AC43D7" w:rsidRPr="00F6455A" w:rsidRDefault="00AC43D7" w:rsidP="00AC43D7">
      <w:pPr>
        <w:spacing w:after="120"/>
        <w:jc w:val="both"/>
        <w:rPr>
          <w:rFonts w:ascii="Trebuchet MS" w:hAnsi="Trebuchet MS" w:cs="Arial"/>
          <w:color w:val="5F5F5F"/>
          <w:sz w:val="2"/>
          <w:szCs w:val="2"/>
        </w:rPr>
      </w:pPr>
    </w:p>
    <w:p w14:paraId="5A09BE8F" w14:textId="53849F8B" w:rsidR="00AC43D7" w:rsidRPr="00F6455A" w:rsidRDefault="00AC43D7" w:rsidP="00AC43D7">
      <w:pPr>
        <w:spacing w:after="120"/>
        <w:jc w:val="both"/>
        <w:rPr>
          <w:rFonts w:ascii="Trebuchet MS" w:hAnsi="Trebuchet MS" w:cs="Arial"/>
          <w:color w:val="5F5F5F"/>
          <w:sz w:val="20"/>
          <w:szCs w:val="20"/>
        </w:rPr>
      </w:pPr>
      <w:r w:rsidRPr="00F6455A">
        <w:rPr>
          <w:rFonts w:ascii="Trebuchet MS" w:hAnsi="Trebuchet MS" w:cs="Arial"/>
          <w:color w:val="5F5F5F"/>
          <w:sz w:val="20"/>
          <w:szCs w:val="20"/>
        </w:rPr>
        <w:t>Gli indicatori socio-demografici evidenziano alcune differenze fra Centri e Aree interne</w:t>
      </w:r>
      <w:r w:rsidR="00574B7B">
        <w:rPr>
          <w:rFonts w:ascii="Trebuchet MS" w:hAnsi="Trebuchet MS" w:cs="Arial"/>
          <w:color w:val="5F5F5F"/>
          <w:sz w:val="20"/>
          <w:szCs w:val="20"/>
        </w:rPr>
        <w:t xml:space="preserve"> (Prospetto 13)</w:t>
      </w:r>
      <w:r w:rsidRPr="00F6455A">
        <w:rPr>
          <w:rFonts w:ascii="Trebuchet MS" w:hAnsi="Trebuchet MS" w:cs="Arial"/>
          <w:color w:val="5F5F5F"/>
          <w:sz w:val="20"/>
          <w:szCs w:val="20"/>
        </w:rPr>
        <w:t>:</w:t>
      </w:r>
    </w:p>
    <w:p w14:paraId="42E04745" w14:textId="3BE3EFEF" w:rsidR="00AC43D7" w:rsidRPr="00F6455A" w:rsidRDefault="00AC43D7" w:rsidP="00AC43D7">
      <w:pPr>
        <w:pStyle w:val="Paragrafoelenco"/>
        <w:numPr>
          <w:ilvl w:val="0"/>
          <w:numId w:val="31"/>
        </w:numPr>
        <w:spacing w:after="120" w:line="240" w:lineRule="auto"/>
        <w:ind w:left="426" w:hanging="284"/>
        <w:contextualSpacing w:val="0"/>
        <w:jc w:val="both"/>
        <w:rPr>
          <w:rFonts w:ascii="Trebuchet MS" w:hAnsi="Trebuchet MS" w:cs="Arial"/>
          <w:color w:val="5F5F5F"/>
          <w:sz w:val="20"/>
          <w:szCs w:val="20"/>
        </w:rPr>
      </w:pPr>
      <w:r w:rsidRPr="00F6455A">
        <w:rPr>
          <w:rFonts w:ascii="Trebuchet MS" w:hAnsi="Trebuchet MS" w:cs="Arial"/>
          <w:color w:val="5F5F5F"/>
          <w:sz w:val="20"/>
          <w:szCs w:val="20"/>
        </w:rPr>
        <w:t>i comuni delle Aree interne presentano, in generale, livelli di invecchiamento superiori rispetto a quelli dei Centri: l’età media è 46,3 anni contro 45</w:t>
      </w:r>
      <w:r w:rsidR="00E025E3">
        <w:rPr>
          <w:rFonts w:ascii="Trebuchet MS" w:hAnsi="Trebuchet MS" w:cs="Arial"/>
          <w:color w:val="5F5F5F"/>
          <w:sz w:val="20"/>
          <w:szCs w:val="20"/>
        </w:rPr>
        <w:t>,0</w:t>
      </w:r>
      <w:r w:rsidRPr="00F6455A">
        <w:rPr>
          <w:rFonts w:ascii="Trebuchet MS" w:hAnsi="Trebuchet MS" w:cs="Arial"/>
          <w:color w:val="5F5F5F"/>
          <w:sz w:val="20"/>
          <w:szCs w:val="20"/>
        </w:rPr>
        <w:t xml:space="preserve"> anni (46,4 in quelli Periferici); l’indice di vecchiaia è pari a 197,9 contro 169,7; l’indice di struttura della popolazione attiva dei comuni delle Aree interne è 151,2 contro 142,5;</w:t>
      </w:r>
    </w:p>
    <w:p w14:paraId="311AFB4F" w14:textId="6C7C1280" w:rsidR="00AC43D7" w:rsidRPr="00F6455A" w:rsidRDefault="00AC43D7" w:rsidP="00AC43D7">
      <w:pPr>
        <w:pStyle w:val="Paragrafoelenco"/>
        <w:numPr>
          <w:ilvl w:val="0"/>
          <w:numId w:val="31"/>
        </w:numPr>
        <w:spacing w:after="120" w:line="240" w:lineRule="auto"/>
        <w:ind w:left="426" w:hanging="284"/>
        <w:contextualSpacing w:val="0"/>
        <w:jc w:val="both"/>
        <w:rPr>
          <w:rFonts w:ascii="Trebuchet MS" w:hAnsi="Trebuchet MS" w:cs="Arial"/>
          <w:color w:val="5F5F5F"/>
          <w:sz w:val="20"/>
          <w:szCs w:val="20"/>
        </w:rPr>
      </w:pPr>
      <w:r w:rsidRPr="00F6455A">
        <w:rPr>
          <w:rFonts w:ascii="Trebuchet MS" w:hAnsi="Trebuchet MS" w:cs="Arial"/>
          <w:color w:val="5F5F5F"/>
          <w:sz w:val="20"/>
          <w:szCs w:val="20"/>
        </w:rPr>
        <w:t>sia nei Centri che nelle Aree interne la percentuale di residenti di 9 anni e più che hanno conseguito il diploma di scuola secondaria di II grado è in linea con la media regionale (36,0% nelle Aree interne e 37,1% nei Centri). La quota di residenti in possesso di un titolo di studio terziario è inferiore alla media regionale nelle Aree</w:t>
      </w:r>
      <w:r w:rsidR="00E119CE">
        <w:rPr>
          <w:rFonts w:ascii="Trebuchet MS" w:hAnsi="Trebuchet MS" w:cs="Arial"/>
          <w:color w:val="5F5F5F"/>
          <w:sz w:val="20"/>
          <w:szCs w:val="20"/>
        </w:rPr>
        <w:t xml:space="preserve"> interne (9,9% contro 15,7</w:t>
      </w:r>
      <w:r w:rsidRPr="00F6455A">
        <w:rPr>
          <w:rFonts w:ascii="Trebuchet MS" w:hAnsi="Trebuchet MS" w:cs="Arial"/>
          <w:color w:val="5F5F5F"/>
          <w:sz w:val="20"/>
          <w:szCs w:val="20"/>
        </w:rPr>
        <w:t>%);</w:t>
      </w:r>
    </w:p>
    <w:p w14:paraId="77FA46FD" w14:textId="777D5C04" w:rsidR="007C3785" w:rsidRDefault="00AC43D7" w:rsidP="00AC43D7">
      <w:pPr>
        <w:pStyle w:val="Paragrafoelenco"/>
        <w:numPr>
          <w:ilvl w:val="0"/>
          <w:numId w:val="31"/>
        </w:numPr>
        <w:spacing w:after="120" w:line="240" w:lineRule="auto"/>
        <w:ind w:left="426" w:hanging="284"/>
        <w:contextualSpacing w:val="0"/>
        <w:jc w:val="both"/>
        <w:rPr>
          <w:rFonts w:ascii="Trebuchet MS" w:hAnsi="Trebuchet MS" w:cs="Arial"/>
          <w:color w:val="5F5F5F"/>
          <w:sz w:val="20"/>
          <w:szCs w:val="20"/>
        </w:rPr>
      </w:pPr>
      <w:r w:rsidRPr="00F6455A">
        <w:rPr>
          <w:rFonts w:ascii="Trebuchet MS" w:hAnsi="Trebuchet MS" w:cs="Arial"/>
          <w:color w:val="5F5F5F"/>
          <w:sz w:val="20"/>
          <w:szCs w:val="20"/>
        </w:rPr>
        <w:t xml:space="preserve">dall’osservazione della mobilità per studio o lavoro nelle Aree interne emerge che il 51,1% della popolazione si sposta quotidianamente per studio o lavoro contro il 56,5% dei Centri (la maggiore mobilità è registrata nei comuni Cintura, 57,3%). La geografia degli spostamenti è molto differente a seconda del luogo di destinazione: su 100 spostamenti nelle Aree interne 61 sono intercomunali, ma per i comuni </w:t>
      </w:r>
      <w:proofErr w:type="spellStart"/>
      <w:r w:rsidRPr="00F6455A">
        <w:rPr>
          <w:rFonts w:ascii="Trebuchet MS" w:hAnsi="Trebuchet MS" w:cs="Arial"/>
          <w:color w:val="5F5F5F"/>
          <w:sz w:val="20"/>
          <w:szCs w:val="20"/>
        </w:rPr>
        <w:t>UltraPeriferici</w:t>
      </w:r>
      <w:proofErr w:type="spellEnd"/>
      <w:r w:rsidRPr="00F6455A">
        <w:rPr>
          <w:rFonts w:ascii="Trebuchet MS" w:hAnsi="Trebuchet MS" w:cs="Arial"/>
          <w:color w:val="5F5F5F"/>
          <w:sz w:val="20"/>
          <w:szCs w:val="20"/>
        </w:rPr>
        <w:t xml:space="preserve"> solo il 48,3% degli spostamenti </w:t>
      </w:r>
      <w:r w:rsidR="007C3785">
        <w:rPr>
          <w:rFonts w:ascii="Trebuchet MS" w:hAnsi="Trebuchet MS" w:cs="Arial"/>
          <w:color w:val="5F5F5F"/>
          <w:sz w:val="20"/>
          <w:szCs w:val="20"/>
        </w:rPr>
        <w:t>è</w:t>
      </w:r>
      <w:r w:rsidRPr="00F6455A">
        <w:rPr>
          <w:rFonts w:ascii="Trebuchet MS" w:hAnsi="Trebuchet MS" w:cs="Arial"/>
          <w:color w:val="5F5F5F"/>
          <w:sz w:val="20"/>
          <w:szCs w:val="20"/>
        </w:rPr>
        <w:t xml:space="preserve"> dirett</w:t>
      </w:r>
      <w:r w:rsidR="007C3785">
        <w:rPr>
          <w:rFonts w:ascii="Trebuchet MS" w:hAnsi="Trebuchet MS" w:cs="Arial"/>
          <w:color w:val="5F5F5F"/>
          <w:sz w:val="20"/>
          <w:szCs w:val="20"/>
        </w:rPr>
        <w:t>o</w:t>
      </w:r>
      <w:r w:rsidRPr="00F6455A">
        <w:rPr>
          <w:rFonts w:ascii="Trebuchet MS" w:hAnsi="Trebuchet MS" w:cs="Arial"/>
          <w:color w:val="5F5F5F"/>
          <w:sz w:val="20"/>
          <w:szCs w:val="20"/>
        </w:rPr>
        <w:t xml:space="preserve"> fuori dall’ambito </w:t>
      </w:r>
      <w:proofErr w:type="spellStart"/>
      <w:r w:rsidRPr="00F6455A">
        <w:rPr>
          <w:rFonts w:ascii="Trebuchet MS" w:hAnsi="Trebuchet MS" w:cs="Arial"/>
          <w:color w:val="5F5F5F"/>
          <w:sz w:val="20"/>
          <w:szCs w:val="20"/>
        </w:rPr>
        <w:t>comuale</w:t>
      </w:r>
      <w:proofErr w:type="spellEnd"/>
      <w:r w:rsidRPr="00F6455A">
        <w:rPr>
          <w:rFonts w:ascii="Trebuchet MS" w:hAnsi="Trebuchet MS" w:cs="Arial"/>
          <w:color w:val="5F5F5F"/>
          <w:sz w:val="20"/>
          <w:szCs w:val="20"/>
        </w:rPr>
        <w:t>. La popolazione dei Poli, pur avendo una maggiore mobilità, si sposta principalmente all’interno del proprio comune (solo il 28,0% dei movimenti sono intercomunali), mentre il 70</w:t>
      </w:r>
      <w:r w:rsidR="00E025E3">
        <w:rPr>
          <w:rFonts w:ascii="Trebuchet MS" w:hAnsi="Trebuchet MS" w:cs="Arial"/>
          <w:color w:val="5F5F5F"/>
          <w:sz w:val="20"/>
          <w:szCs w:val="20"/>
        </w:rPr>
        <w:t>,0</w:t>
      </w:r>
      <w:r w:rsidRPr="00F6455A">
        <w:rPr>
          <w:rFonts w:ascii="Trebuchet MS" w:hAnsi="Trebuchet MS" w:cs="Arial"/>
          <w:color w:val="5F5F5F"/>
          <w:sz w:val="20"/>
          <w:szCs w:val="20"/>
        </w:rPr>
        <w:t>% degli spostamenti dei residenti della Cintura ha una destinazione intercomunale</w:t>
      </w:r>
      <w:r>
        <w:rPr>
          <w:rFonts w:ascii="Trebuchet MS" w:hAnsi="Trebuchet MS" w:cs="Arial"/>
          <w:color w:val="5F5F5F"/>
          <w:sz w:val="20"/>
          <w:szCs w:val="20"/>
        </w:rPr>
        <w:t>.</w:t>
      </w:r>
    </w:p>
    <w:p w14:paraId="3F5211B0" w14:textId="48336D70" w:rsidR="00B94469" w:rsidRPr="00786A29" w:rsidRDefault="009A34C5" w:rsidP="00786A29">
      <w:pPr>
        <w:spacing w:after="120"/>
        <w:jc w:val="both"/>
        <w:rPr>
          <w:rFonts w:ascii="Trebuchet MS" w:hAnsi="Trebuchet MS" w:cs="Arial"/>
          <w:color w:val="5F5F5F"/>
          <w:sz w:val="20"/>
          <w:szCs w:val="20"/>
        </w:rPr>
      </w:pPr>
      <w:r w:rsidRPr="00786A29">
        <w:rPr>
          <w:rFonts w:ascii="Trebuchet MS" w:hAnsi="Trebuchet MS" w:cs="Arial"/>
          <w:color w:val="5F5F5F"/>
          <w:sz w:val="20"/>
          <w:szCs w:val="20"/>
        </w:rPr>
        <w:t xml:space="preserve"> </w:t>
      </w:r>
    </w:p>
    <w:p w14:paraId="4A7D5997" w14:textId="382F2C05" w:rsidR="00B94469" w:rsidRDefault="00B94469" w:rsidP="00B94469">
      <w:pPr>
        <w:keepNext/>
        <w:keepLines/>
        <w:spacing w:after="60"/>
        <w:jc w:val="both"/>
        <w:rPr>
          <w:rFonts w:ascii="Arial Narrow" w:hAnsi="Arial Narrow"/>
          <w:color w:val="595959" w:themeColor="text1" w:themeTint="A6"/>
          <w:sz w:val="20"/>
          <w:szCs w:val="20"/>
        </w:rPr>
      </w:pPr>
      <w:r w:rsidRPr="008340B2">
        <w:rPr>
          <w:rFonts w:ascii="Arial Narrow" w:hAnsi="Arial Narrow"/>
          <w:b/>
          <w:bCs/>
          <w:color w:val="595959" w:themeColor="text1" w:themeTint="A6"/>
          <w:sz w:val="22"/>
          <w:szCs w:val="22"/>
        </w:rPr>
        <w:t xml:space="preserve">PROSPETTO </w:t>
      </w:r>
      <w:r>
        <w:rPr>
          <w:rFonts w:ascii="Arial Narrow" w:hAnsi="Arial Narrow"/>
          <w:b/>
          <w:bCs/>
          <w:color w:val="595959" w:themeColor="text1" w:themeTint="A6"/>
          <w:sz w:val="22"/>
          <w:szCs w:val="22"/>
        </w:rPr>
        <w:t>12</w:t>
      </w:r>
      <w:r w:rsidRPr="008340B2">
        <w:rPr>
          <w:rFonts w:ascii="Arial Narrow" w:hAnsi="Arial Narrow"/>
          <w:b/>
          <w:bCs/>
          <w:color w:val="595959" w:themeColor="text1" w:themeTint="A6"/>
          <w:sz w:val="22"/>
          <w:szCs w:val="22"/>
        </w:rPr>
        <w:t>.</w:t>
      </w:r>
      <w:r w:rsidRPr="008340B2">
        <w:rPr>
          <w:rFonts w:ascii="Arial" w:hAnsi="Arial" w:cs="Arial"/>
          <w:b/>
          <w:bCs/>
          <w:color w:val="595959" w:themeColor="text1" w:themeTint="A6"/>
          <w:sz w:val="20"/>
          <w:szCs w:val="20"/>
        </w:rPr>
        <w:t xml:space="preserve"> </w:t>
      </w:r>
      <w:r w:rsidRPr="008340B2">
        <w:rPr>
          <w:rFonts w:ascii="Arial Narrow" w:hAnsi="Arial Narrow"/>
          <w:color w:val="595959" w:themeColor="text1" w:themeTint="A6"/>
          <w:sz w:val="22"/>
          <w:szCs w:val="22"/>
        </w:rPr>
        <w:t>POPOLAZIONE RESIDENTE PER CLASSIFICAZIONE DEI COMUNI SECONDO LA STRATEGIA NAZIONALE DELLE AREE INTERNE</w:t>
      </w:r>
      <w:r w:rsidRPr="008340B2">
        <w:rPr>
          <w:rFonts w:ascii="Arial Narrow" w:hAnsi="Arial Narrow"/>
          <w:color w:val="595959" w:themeColor="text1" w:themeTint="A6"/>
          <w:sz w:val="20"/>
          <w:szCs w:val="20"/>
        </w:rPr>
        <w:t>. Censimenti 20</w:t>
      </w:r>
      <w:r>
        <w:rPr>
          <w:rFonts w:ascii="Arial Narrow" w:hAnsi="Arial Narrow"/>
          <w:color w:val="595959" w:themeColor="text1" w:themeTint="A6"/>
          <w:sz w:val="20"/>
          <w:szCs w:val="20"/>
        </w:rPr>
        <w:t xml:space="preserve">20 e </w:t>
      </w:r>
      <w:r w:rsidRPr="008340B2">
        <w:rPr>
          <w:rFonts w:ascii="Arial Narrow" w:hAnsi="Arial Narrow"/>
          <w:color w:val="595959" w:themeColor="text1" w:themeTint="A6"/>
          <w:sz w:val="20"/>
          <w:szCs w:val="20"/>
        </w:rPr>
        <w:t>201</w:t>
      </w:r>
      <w:r>
        <w:rPr>
          <w:rFonts w:ascii="Arial Narrow" w:hAnsi="Arial Narrow"/>
          <w:color w:val="595959" w:themeColor="text1" w:themeTint="A6"/>
          <w:sz w:val="20"/>
          <w:szCs w:val="20"/>
        </w:rPr>
        <w:t>9</w:t>
      </w:r>
      <w:r w:rsidRPr="008340B2">
        <w:rPr>
          <w:rFonts w:ascii="Arial Narrow" w:hAnsi="Arial Narrow"/>
          <w:color w:val="595959" w:themeColor="text1" w:themeTint="A6"/>
          <w:sz w:val="20"/>
          <w:szCs w:val="20"/>
        </w:rPr>
        <w:t>. Valori assoluti e variazione per 1</w:t>
      </w:r>
      <w:r w:rsidR="00574B7B">
        <w:rPr>
          <w:rFonts w:ascii="Arial Narrow" w:hAnsi="Arial Narrow"/>
          <w:color w:val="595959" w:themeColor="text1" w:themeTint="A6"/>
          <w:sz w:val="20"/>
          <w:szCs w:val="20"/>
        </w:rPr>
        <w:t>00</w:t>
      </w:r>
      <w:r w:rsidRPr="008340B2">
        <w:rPr>
          <w:rFonts w:ascii="Arial Narrow" w:hAnsi="Arial Narrow"/>
          <w:color w:val="595959" w:themeColor="text1" w:themeTint="A6"/>
          <w:sz w:val="20"/>
          <w:szCs w:val="20"/>
        </w:rPr>
        <w:t xml:space="preserve"> residenti.</w:t>
      </w:r>
    </w:p>
    <w:tbl>
      <w:tblPr>
        <w:tblW w:w="9639" w:type="dxa"/>
        <w:tblCellMar>
          <w:left w:w="70" w:type="dxa"/>
          <w:right w:w="70" w:type="dxa"/>
        </w:tblCellMar>
        <w:tblLook w:val="04A0" w:firstRow="1" w:lastRow="0" w:firstColumn="1" w:lastColumn="0" w:noHBand="0" w:noVBand="1"/>
      </w:tblPr>
      <w:tblGrid>
        <w:gridCol w:w="2096"/>
        <w:gridCol w:w="1791"/>
        <w:gridCol w:w="1783"/>
        <w:gridCol w:w="1833"/>
        <w:gridCol w:w="2136"/>
      </w:tblGrid>
      <w:tr w:rsidR="00574B7B" w14:paraId="1FA8B324" w14:textId="77777777" w:rsidTr="00E62B8D">
        <w:trPr>
          <w:trHeight w:val="288"/>
        </w:trPr>
        <w:tc>
          <w:tcPr>
            <w:tcW w:w="2096" w:type="dxa"/>
            <w:vMerge w:val="restart"/>
            <w:tcBorders>
              <w:top w:val="single" w:sz="4" w:space="0" w:color="auto"/>
              <w:left w:val="nil"/>
              <w:bottom w:val="single" w:sz="4" w:space="0" w:color="auto"/>
              <w:right w:val="nil"/>
            </w:tcBorders>
            <w:shd w:val="clear" w:color="auto" w:fill="auto"/>
            <w:noWrap/>
            <w:vAlign w:val="center"/>
            <w:hideMark/>
          </w:tcPr>
          <w:p w14:paraId="5D4E226F" w14:textId="77777777" w:rsidR="00574B7B" w:rsidRDefault="00574B7B">
            <w:pPr>
              <w:rPr>
                <w:rFonts w:ascii="Arial Narrow" w:hAnsi="Arial Narrow" w:cs="Calibri"/>
                <w:b/>
                <w:bCs/>
                <w:color w:val="000000"/>
                <w:sz w:val="18"/>
                <w:szCs w:val="18"/>
              </w:rPr>
            </w:pPr>
            <w:r>
              <w:rPr>
                <w:rFonts w:ascii="Arial Narrow" w:hAnsi="Arial Narrow" w:cs="Calibri"/>
                <w:b/>
                <w:bCs/>
                <w:color w:val="000000"/>
                <w:sz w:val="18"/>
                <w:szCs w:val="18"/>
              </w:rPr>
              <w:t>CLASSI</w:t>
            </w:r>
          </w:p>
        </w:tc>
        <w:tc>
          <w:tcPr>
            <w:tcW w:w="1791" w:type="dxa"/>
            <w:vMerge w:val="restart"/>
            <w:tcBorders>
              <w:top w:val="single" w:sz="4" w:space="0" w:color="auto"/>
              <w:left w:val="nil"/>
              <w:bottom w:val="single" w:sz="4" w:space="0" w:color="000000"/>
              <w:right w:val="nil"/>
            </w:tcBorders>
            <w:shd w:val="clear" w:color="auto" w:fill="auto"/>
            <w:vAlign w:val="center"/>
            <w:hideMark/>
          </w:tcPr>
          <w:p w14:paraId="198BD963" w14:textId="77777777" w:rsidR="00574B7B" w:rsidRDefault="00574B7B">
            <w:pPr>
              <w:jc w:val="center"/>
              <w:rPr>
                <w:rFonts w:ascii="Arial Narrow" w:hAnsi="Arial Narrow" w:cs="Calibri"/>
                <w:b/>
                <w:bCs/>
                <w:color w:val="000000"/>
                <w:sz w:val="18"/>
                <w:szCs w:val="18"/>
              </w:rPr>
            </w:pPr>
            <w:r>
              <w:rPr>
                <w:rFonts w:ascii="Arial Narrow" w:hAnsi="Arial Narrow" w:cs="Calibri"/>
                <w:b/>
                <w:bCs/>
                <w:color w:val="000000"/>
                <w:sz w:val="18"/>
                <w:szCs w:val="18"/>
              </w:rPr>
              <w:t>Numero comuni</w:t>
            </w:r>
          </w:p>
        </w:tc>
        <w:tc>
          <w:tcPr>
            <w:tcW w:w="3616" w:type="dxa"/>
            <w:gridSpan w:val="2"/>
            <w:tcBorders>
              <w:top w:val="single" w:sz="4" w:space="0" w:color="auto"/>
              <w:left w:val="nil"/>
              <w:bottom w:val="single" w:sz="4" w:space="0" w:color="auto"/>
              <w:right w:val="nil"/>
            </w:tcBorders>
            <w:shd w:val="clear" w:color="000000" w:fill="D3D3D3"/>
            <w:noWrap/>
            <w:vAlign w:val="center"/>
            <w:hideMark/>
          </w:tcPr>
          <w:p w14:paraId="251F755F" w14:textId="77777777" w:rsidR="00574B7B" w:rsidRDefault="00574B7B">
            <w:pPr>
              <w:jc w:val="center"/>
              <w:rPr>
                <w:rFonts w:ascii="Arial Narrow" w:hAnsi="Arial Narrow" w:cs="Calibri"/>
                <w:b/>
                <w:bCs/>
                <w:color w:val="000000"/>
                <w:sz w:val="18"/>
                <w:szCs w:val="18"/>
              </w:rPr>
            </w:pPr>
            <w:r>
              <w:rPr>
                <w:rFonts w:ascii="Arial Narrow" w:hAnsi="Arial Narrow" w:cs="Calibri"/>
                <w:b/>
                <w:bCs/>
                <w:color w:val="000000"/>
                <w:sz w:val="18"/>
                <w:szCs w:val="18"/>
              </w:rPr>
              <w:t>Popolazione residente</w:t>
            </w:r>
          </w:p>
        </w:tc>
        <w:tc>
          <w:tcPr>
            <w:tcW w:w="2136" w:type="dxa"/>
            <w:vMerge w:val="restart"/>
            <w:tcBorders>
              <w:top w:val="single" w:sz="4" w:space="0" w:color="auto"/>
              <w:left w:val="nil"/>
              <w:bottom w:val="single" w:sz="4" w:space="0" w:color="auto"/>
              <w:right w:val="nil"/>
            </w:tcBorders>
            <w:shd w:val="clear" w:color="auto" w:fill="auto"/>
            <w:vAlign w:val="center"/>
            <w:hideMark/>
          </w:tcPr>
          <w:p w14:paraId="42E67F26" w14:textId="77777777" w:rsidR="00574B7B" w:rsidRDefault="00574B7B">
            <w:pPr>
              <w:jc w:val="center"/>
              <w:rPr>
                <w:rFonts w:ascii="Arial Narrow" w:hAnsi="Arial Narrow" w:cs="Calibri"/>
                <w:b/>
                <w:bCs/>
                <w:color w:val="000000"/>
                <w:sz w:val="18"/>
                <w:szCs w:val="18"/>
              </w:rPr>
            </w:pPr>
            <w:r>
              <w:rPr>
                <w:rFonts w:ascii="Arial Narrow" w:hAnsi="Arial Narrow" w:cs="Calibri"/>
                <w:b/>
                <w:bCs/>
                <w:color w:val="000000"/>
                <w:sz w:val="18"/>
                <w:szCs w:val="18"/>
              </w:rPr>
              <w:t>Variazione della popolazione</w:t>
            </w:r>
            <w:r>
              <w:rPr>
                <w:rFonts w:ascii="Arial Narrow" w:hAnsi="Arial Narrow" w:cs="Calibri"/>
                <w:b/>
                <w:bCs/>
                <w:color w:val="000000"/>
                <w:sz w:val="18"/>
                <w:szCs w:val="18"/>
              </w:rPr>
              <w:br/>
              <w:t>2020-2019</w:t>
            </w:r>
          </w:p>
        </w:tc>
      </w:tr>
      <w:tr w:rsidR="00574B7B" w14:paraId="61C82FA0" w14:textId="77777777" w:rsidTr="00E62B8D">
        <w:trPr>
          <w:trHeight w:val="288"/>
        </w:trPr>
        <w:tc>
          <w:tcPr>
            <w:tcW w:w="2096" w:type="dxa"/>
            <w:vMerge/>
            <w:tcBorders>
              <w:top w:val="single" w:sz="4" w:space="0" w:color="auto"/>
              <w:left w:val="nil"/>
              <w:bottom w:val="single" w:sz="4" w:space="0" w:color="auto"/>
              <w:right w:val="nil"/>
            </w:tcBorders>
            <w:vAlign w:val="center"/>
            <w:hideMark/>
          </w:tcPr>
          <w:p w14:paraId="25ED39DB" w14:textId="77777777" w:rsidR="00574B7B" w:rsidRDefault="00574B7B">
            <w:pPr>
              <w:rPr>
                <w:rFonts w:ascii="Arial Narrow" w:hAnsi="Arial Narrow" w:cs="Calibri"/>
                <w:b/>
                <w:bCs/>
                <w:color w:val="000000"/>
                <w:sz w:val="18"/>
                <w:szCs w:val="18"/>
              </w:rPr>
            </w:pPr>
          </w:p>
        </w:tc>
        <w:tc>
          <w:tcPr>
            <w:tcW w:w="1791" w:type="dxa"/>
            <w:vMerge/>
            <w:tcBorders>
              <w:top w:val="single" w:sz="4" w:space="0" w:color="auto"/>
              <w:left w:val="nil"/>
              <w:bottom w:val="single" w:sz="4" w:space="0" w:color="000000"/>
              <w:right w:val="nil"/>
            </w:tcBorders>
            <w:vAlign w:val="center"/>
            <w:hideMark/>
          </w:tcPr>
          <w:p w14:paraId="18D14EDE" w14:textId="77777777" w:rsidR="00574B7B" w:rsidRDefault="00574B7B">
            <w:pPr>
              <w:rPr>
                <w:rFonts w:ascii="Arial Narrow" w:hAnsi="Arial Narrow" w:cs="Calibri"/>
                <w:b/>
                <w:bCs/>
                <w:color w:val="000000"/>
                <w:sz w:val="18"/>
                <w:szCs w:val="18"/>
              </w:rPr>
            </w:pPr>
          </w:p>
        </w:tc>
        <w:tc>
          <w:tcPr>
            <w:tcW w:w="1783" w:type="dxa"/>
            <w:tcBorders>
              <w:top w:val="nil"/>
              <w:left w:val="nil"/>
              <w:bottom w:val="single" w:sz="4" w:space="0" w:color="auto"/>
              <w:right w:val="nil"/>
            </w:tcBorders>
            <w:shd w:val="clear" w:color="000000" w:fill="FFFFFF"/>
            <w:noWrap/>
            <w:vAlign w:val="center"/>
            <w:hideMark/>
          </w:tcPr>
          <w:p w14:paraId="30CB58FD" w14:textId="77777777" w:rsidR="00574B7B" w:rsidRDefault="00574B7B">
            <w:pPr>
              <w:jc w:val="right"/>
              <w:rPr>
                <w:rFonts w:ascii="Arial Narrow" w:hAnsi="Arial Narrow" w:cs="Calibri"/>
                <w:color w:val="000000"/>
                <w:sz w:val="18"/>
                <w:szCs w:val="18"/>
              </w:rPr>
            </w:pPr>
            <w:r>
              <w:rPr>
                <w:rFonts w:ascii="Arial Narrow" w:hAnsi="Arial Narrow" w:cs="Calibri"/>
                <w:color w:val="000000"/>
                <w:sz w:val="18"/>
                <w:szCs w:val="18"/>
              </w:rPr>
              <w:t>2020</w:t>
            </w:r>
          </w:p>
        </w:tc>
        <w:tc>
          <w:tcPr>
            <w:tcW w:w="1833" w:type="dxa"/>
            <w:tcBorders>
              <w:top w:val="nil"/>
              <w:left w:val="nil"/>
              <w:bottom w:val="single" w:sz="4" w:space="0" w:color="auto"/>
              <w:right w:val="nil"/>
            </w:tcBorders>
            <w:shd w:val="clear" w:color="auto" w:fill="auto"/>
            <w:vAlign w:val="center"/>
            <w:hideMark/>
          </w:tcPr>
          <w:p w14:paraId="0421C08C" w14:textId="77777777" w:rsidR="00574B7B" w:rsidRDefault="00574B7B">
            <w:pPr>
              <w:jc w:val="right"/>
              <w:rPr>
                <w:rFonts w:ascii="Arial Narrow" w:hAnsi="Arial Narrow" w:cs="Calibri"/>
                <w:color w:val="000000"/>
                <w:sz w:val="18"/>
                <w:szCs w:val="18"/>
              </w:rPr>
            </w:pPr>
            <w:r>
              <w:rPr>
                <w:rFonts w:ascii="Arial Narrow" w:hAnsi="Arial Narrow" w:cs="Calibri"/>
                <w:color w:val="000000"/>
                <w:sz w:val="18"/>
                <w:szCs w:val="18"/>
              </w:rPr>
              <w:t>2019</w:t>
            </w:r>
          </w:p>
        </w:tc>
        <w:tc>
          <w:tcPr>
            <w:tcW w:w="2136" w:type="dxa"/>
            <w:vMerge/>
            <w:tcBorders>
              <w:top w:val="single" w:sz="4" w:space="0" w:color="auto"/>
              <w:left w:val="nil"/>
              <w:bottom w:val="single" w:sz="4" w:space="0" w:color="auto"/>
              <w:right w:val="nil"/>
            </w:tcBorders>
            <w:vAlign w:val="center"/>
            <w:hideMark/>
          </w:tcPr>
          <w:p w14:paraId="1DE47E26" w14:textId="77777777" w:rsidR="00574B7B" w:rsidRDefault="00574B7B">
            <w:pPr>
              <w:rPr>
                <w:rFonts w:ascii="Arial Narrow" w:hAnsi="Arial Narrow" w:cs="Calibri"/>
                <w:b/>
                <w:bCs/>
                <w:color w:val="000000"/>
                <w:sz w:val="18"/>
                <w:szCs w:val="18"/>
              </w:rPr>
            </w:pPr>
          </w:p>
        </w:tc>
      </w:tr>
      <w:tr w:rsidR="00574B7B" w14:paraId="1AA82B1C" w14:textId="77777777" w:rsidTr="00E62B8D">
        <w:trPr>
          <w:trHeight w:val="288"/>
        </w:trPr>
        <w:tc>
          <w:tcPr>
            <w:tcW w:w="2096" w:type="dxa"/>
            <w:tcBorders>
              <w:top w:val="nil"/>
              <w:left w:val="nil"/>
              <w:bottom w:val="single" w:sz="4" w:space="0" w:color="auto"/>
              <w:right w:val="nil"/>
            </w:tcBorders>
            <w:shd w:val="clear" w:color="000000" w:fill="D9D9D9"/>
            <w:noWrap/>
            <w:vAlign w:val="center"/>
            <w:hideMark/>
          </w:tcPr>
          <w:p w14:paraId="57D7F353" w14:textId="77777777" w:rsidR="00574B7B" w:rsidRDefault="00574B7B">
            <w:pPr>
              <w:rPr>
                <w:rFonts w:ascii="Arial Narrow" w:hAnsi="Arial Narrow" w:cs="Calibri"/>
                <w:b/>
                <w:bCs/>
                <w:color w:val="000000"/>
                <w:sz w:val="18"/>
                <w:szCs w:val="18"/>
              </w:rPr>
            </w:pPr>
            <w:r>
              <w:rPr>
                <w:rFonts w:ascii="Arial Narrow" w:hAnsi="Arial Narrow" w:cs="Calibri"/>
                <w:b/>
                <w:bCs/>
                <w:color w:val="000000"/>
                <w:sz w:val="18"/>
                <w:szCs w:val="18"/>
              </w:rPr>
              <w:t>Centri</w:t>
            </w:r>
          </w:p>
        </w:tc>
        <w:tc>
          <w:tcPr>
            <w:tcW w:w="1791" w:type="dxa"/>
            <w:tcBorders>
              <w:top w:val="single" w:sz="4" w:space="0" w:color="auto"/>
              <w:left w:val="nil"/>
              <w:bottom w:val="single" w:sz="4" w:space="0" w:color="auto"/>
              <w:right w:val="nil"/>
            </w:tcBorders>
            <w:shd w:val="clear" w:color="000000" w:fill="D9D9D9"/>
            <w:vAlign w:val="center"/>
            <w:hideMark/>
          </w:tcPr>
          <w:p w14:paraId="129EAE11" w14:textId="77777777" w:rsidR="00574B7B" w:rsidRDefault="00574B7B">
            <w:pPr>
              <w:jc w:val="right"/>
              <w:rPr>
                <w:rFonts w:ascii="Arial Narrow" w:hAnsi="Arial Narrow" w:cs="Calibri"/>
                <w:b/>
                <w:bCs/>
                <w:color w:val="000000"/>
                <w:sz w:val="18"/>
                <w:szCs w:val="18"/>
              </w:rPr>
            </w:pPr>
            <w:r>
              <w:rPr>
                <w:rFonts w:ascii="Arial Narrow" w:hAnsi="Arial Narrow" w:cs="Calibri"/>
                <w:b/>
                <w:bCs/>
                <w:color w:val="000000"/>
                <w:sz w:val="18"/>
                <w:szCs w:val="18"/>
              </w:rPr>
              <w:t>1023</w:t>
            </w:r>
          </w:p>
        </w:tc>
        <w:tc>
          <w:tcPr>
            <w:tcW w:w="1783" w:type="dxa"/>
            <w:tcBorders>
              <w:top w:val="nil"/>
              <w:left w:val="nil"/>
              <w:bottom w:val="single" w:sz="4" w:space="0" w:color="262626"/>
              <w:right w:val="nil"/>
            </w:tcBorders>
            <w:shd w:val="clear" w:color="000000" w:fill="D9D9D9"/>
            <w:noWrap/>
            <w:vAlign w:val="center"/>
            <w:hideMark/>
          </w:tcPr>
          <w:p w14:paraId="6C887FC4" w14:textId="77777777" w:rsidR="00574B7B" w:rsidRDefault="00574B7B">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8.986.535 </w:t>
            </w:r>
          </w:p>
        </w:tc>
        <w:tc>
          <w:tcPr>
            <w:tcW w:w="1833" w:type="dxa"/>
            <w:tcBorders>
              <w:top w:val="single" w:sz="4" w:space="0" w:color="auto"/>
              <w:left w:val="nil"/>
              <w:bottom w:val="single" w:sz="4" w:space="0" w:color="auto"/>
              <w:right w:val="nil"/>
            </w:tcBorders>
            <w:shd w:val="clear" w:color="000000" w:fill="D9D9D9"/>
            <w:vAlign w:val="center"/>
            <w:hideMark/>
          </w:tcPr>
          <w:p w14:paraId="4B9A67E1" w14:textId="77777777" w:rsidR="00574B7B" w:rsidRDefault="00574B7B">
            <w:pPr>
              <w:jc w:val="right"/>
              <w:rPr>
                <w:rFonts w:ascii="Arial Narrow" w:hAnsi="Arial Narrow" w:cs="Calibri"/>
                <w:b/>
                <w:bCs/>
                <w:color w:val="000000"/>
                <w:sz w:val="18"/>
                <w:szCs w:val="18"/>
              </w:rPr>
            </w:pPr>
            <w:r>
              <w:rPr>
                <w:rFonts w:ascii="Arial Narrow" w:hAnsi="Arial Narrow" w:cs="Calibri"/>
                <w:b/>
                <w:bCs/>
                <w:color w:val="000000"/>
                <w:sz w:val="18"/>
                <w:szCs w:val="18"/>
              </w:rPr>
              <w:t>9.023.319</w:t>
            </w:r>
          </w:p>
        </w:tc>
        <w:tc>
          <w:tcPr>
            <w:tcW w:w="2136" w:type="dxa"/>
            <w:tcBorders>
              <w:top w:val="nil"/>
              <w:left w:val="nil"/>
              <w:bottom w:val="single" w:sz="4" w:space="0" w:color="262626"/>
              <w:right w:val="nil"/>
            </w:tcBorders>
            <w:shd w:val="clear" w:color="000000" w:fill="D9D9D9"/>
            <w:noWrap/>
            <w:vAlign w:val="center"/>
            <w:hideMark/>
          </w:tcPr>
          <w:p w14:paraId="7D900F4E" w14:textId="77777777" w:rsidR="00574B7B" w:rsidRDefault="00574B7B">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-0,4 </w:t>
            </w:r>
          </w:p>
        </w:tc>
      </w:tr>
      <w:tr w:rsidR="00574B7B" w14:paraId="61007052" w14:textId="77777777" w:rsidTr="00E62B8D">
        <w:trPr>
          <w:trHeight w:val="288"/>
        </w:trPr>
        <w:tc>
          <w:tcPr>
            <w:tcW w:w="2096" w:type="dxa"/>
            <w:tcBorders>
              <w:top w:val="nil"/>
              <w:left w:val="nil"/>
              <w:bottom w:val="single" w:sz="4" w:space="0" w:color="auto"/>
              <w:right w:val="nil"/>
            </w:tcBorders>
            <w:shd w:val="clear" w:color="auto" w:fill="auto"/>
            <w:noWrap/>
            <w:vAlign w:val="center"/>
            <w:hideMark/>
          </w:tcPr>
          <w:p w14:paraId="408A89BE" w14:textId="77777777" w:rsidR="00574B7B" w:rsidRDefault="00574B7B">
            <w:pPr>
              <w:rPr>
                <w:rFonts w:ascii="Arial Narrow" w:hAnsi="Arial Narrow" w:cs="Calibri"/>
                <w:color w:val="000000"/>
                <w:sz w:val="18"/>
                <w:szCs w:val="18"/>
              </w:rPr>
            </w:pPr>
            <w:r>
              <w:rPr>
                <w:rFonts w:ascii="Arial Narrow" w:hAnsi="Arial Narrow" w:cs="Calibri"/>
                <w:color w:val="000000"/>
                <w:sz w:val="18"/>
                <w:szCs w:val="18"/>
              </w:rPr>
              <w:t xml:space="preserve">   Polo</w:t>
            </w:r>
          </w:p>
        </w:tc>
        <w:tc>
          <w:tcPr>
            <w:tcW w:w="1791" w:type="dxa"/>
            <w:tcBorders>
              <w:top w:val="nil"/>
              <w:left w:val="nil"/>
              <w:bottom w:val="single" w:sz="4" w:space="0" w:color="auto"/>
              <w:right w:val="nil"/>
            </w:tcBorders>
            <w:shd w:val="clear" w:color="000000" w:fill="D9D9D9"/>
            <w:vAlign w:val="center"/>
            <w:hideMark/>
          </w:tcPr>
          <w:p w14:paraId="1DD31D2F" w14:textId="77777777" w:rsidR="00574B7B" w:rsidRDefault="00574B7B">
            <w:pPr>
              <w:jc w:val="right"/>
              <w:rPr>
                <w:rFonts w:ascii="Arial Narrow" w:hAnsi="Arial Narrow" w:cs="Calibri"/>
                <w:color w:val="000000"/>
                <w:sz w:val="18"/>
                <w:szCs w:val="18"/>
              </w:rPr>
            </w:pPr>
            <w:r>
              <w:rPr>
                <w:rFonts w:ascii="Arial Narrow" w:hAnsi="Arial Narrow" w:cs="Calibri"/>
                <w:color w:val="000000"/>
                <w:sz w:val="18"/>
                <w:szCs w:val="18"/>
              </w:rPr>
              <w:t>25</w:t>
            </w:r>
          </w:p>
        </w:tc>
        <w:tc>
          <w:tcPr>
            <w:tcW w:w="1783" w:type="dxa"/>
            <w:tcBorders>
              <w:top w:val="nil"/>
              <w:left w:val="nil"/>
              <w:bottom w:val="single" w:sz="4" w:space="0" w:color="262626"/>
              <w:right w:val="nil"/>
            </w:tcBorders>
            <w:shd w:val="clear" w:color="auto" w:fill="auto"/>
            <w:noWrap/>
            <w:vAlign w:val="center"/>
            <w:hideMark/>
          </w:tcPr>
          <w:p w14:paraId="471361C6" w14:textId="77777777" w:rsidR="00574B7B" w:rsidRDefault="00574B7B">
            <w:pPr>
              <w:jc w:val="right"/>
              <w:rPr>
                <w:rFonts w:ascii="Arial Narrow" w:hAnsi="Arial Narrow" w:cs="Calibri"/>
                <w:color w:val="000000"/>
                <w:sz w:val="18"/>
                <w:szCs w:val="18"/>
              </w:rPr>
            </w:pPr>
            <w:r>
              <w:rPr>
                <w:rFonts w:ascii="Arial Narrow" w:hAnsi="Arial Narrow" w:cs="Calibri"/>
                <w:color w:val="000000"/>
                <w:sz w:val="18"/>
                <w:szCs w:val="18"/>
              </w:rPr>
              <w:t xml:space="preserve">2.758.603 </w:t>
            </w:r>
          </w:p>
        </w:tc>
        <w:tc>
          <w:tcPr>
            <w:tcW w:w="1833" w:type="dxa"/>
            <w:tcBorders>
              <w:top w:val="nil"/>
              <w:left w:val="nil"/>
              <w:bottom w:val="single" w:sz="4" w:space="0" w:color="auto"/>
              <w:right w:val="nil"/>
            </w:tcBorders>
            <w:shd w:val="clear" w:color="000000" w:fill="D9D9D9"/>
            <w:vAlign w:val="center"/>
            <w:hideMark/>
          </w:tcPr>
          <w:p w14:paraId="4D9AD0A1" w14:textId="77777777" w:rsidR="00574B7B" w:rsidRDefault="00574B7B">
            <w:pPr>
              <w:jc w:val="right"/>
              <w:rPr>
                <w:rFonts w:ascii="Arial Narrow" w:hAnsi="Arial Narrow" w:cs="Calibri"/>
                <w:color w:val="000000"/>
                <w:sz w:val="18"/>
                <w:szCs w:val="18"/>
              </w:rPr>
            </w:pPr>
            <w:r>
              <w:rPr>
                <w:rFonts w:ascii="Arial Narrow" w:hAnsi="Arial Narrow" w:cs="Calibri"/>
                <w:color w:val="000000"/>
                <w:sz w:val="18"/>
                <w:szCs w:val="18"/>
              </w:rPr>
              <w:t>2.799.260</w:t>
            </w:r>
          </w:p>
        </w:tc>
        <w:tc>
          <w:tcPr>
            <w:tcW w:w="2136" w:type="dxa"/>
            <w:tcBorders>
              <w:top w:val="nil"/>
              <w:left w:val="nil"/>
              <w:bottom w:val="single" w:sz="4" w:space="0" w:color="262626"/>
              <w:right w:val="nil"/>
            </w:tcBorders>
            <w:shd w:val="clear" w:color="auto" w:fill="auto"/>
            <w:noWrap/>
            <w:vAlign w:val="center"/>
            <w:hideMark/>
          </w:tcPr>
          <w:p w14:paraId="47429950" w14:textId="77777777" w:rsidR="00574B7B" w:rsidRDefault="00574B7B">
            <w:pPr>
              <w:jc w:val="right"/>
              <w:rPr>
                <w:rFonts w:ascii="Arial Narrow" w:hAnsi="Arial Narrow" w:cs="Calibri"/>
                <w:color w:val="000000"/>
                <w:sz w:val="18"/>
                <w:szCs w:val="18"/>
              </w:rPr>
            </w:pPr>
            <w:r>
              <w:rPr>
                <w:rFonts w:ascii="Arial Narrow" w:hAnsi="Arial Narrow" w:cs="Calibri"/>
                <w:color w:val="000000"/>
                <w:sz w:val="18"/>
                <w:szCs w:val="18"/>
              </w:rPr>
              <w:t xml:space="preserve">-1,5 </w:t>
            </w:r>
          </w:p>
        </w:tc>
      </w:tr>
      <w:tr w:rsidR="00574B7B" w14:paraId="7D548AEA" w14:textId="77777777" w:rsidTr="00E62B8D">
        <w:trPr>
          <w:trHeight w:val="288"/>
        </w:trPr>
        <w:tc>
          <w:tcPr>
            <w:tcW w:w="2096" w:type="dxa"/>
            <w:tcBorders>
              <w:top w:val="nil"/>
              <w:left w:val="nil"/>
              <w:bottom w:val="single" w:sz="4" w:space="0" w:color="auto"/>
              <w:right w:val="nil"/>
            </w:tcBorders>
            <w:shd w:val="clear" w:color="auto" w:fill="auto"/>
            <w:noWrap/>
            <w:vAlign w:val="center"/>
            <w:hideMark/>
          </w:tcPr>
          <w:p w14:paraId="68E1E6F5" w14:textId="77777777" w:rsidR="00574B7B" w:rsidRDefault="00574B7B">
            <w:pPr>
              <w:rPr>
                <w:rFonts w:ascii="Arial Narrow" w:hAnsi="Arial Narrow" w:cs="Calibri"/>
                <w:color w:val="000000"/>
                <w:sz w:val="18"/>
                <w:szCs w:val="18"/>
              </w:rPr>
            </w:pPr>
            <w:r>
              <w:rPr>
                <w:rFonts w:ascii="Arial Narrow" w:hAnsi="Arial Narrow" w:cs="Calibri"/>
                <w:color w:val="000000"/>
                <w:sz w:val="18"/>
                <w:szCs w:val="18"/>
              </w:rPr>
              <w:t xml:space="preserve">   Polo intercomunale</w:t>
            </w:r>
          </w:p>
        </w:tc>
        <w:tc>
          <w:tcPr>
            <w:tcW w:w="1791" w:type="dxa"/>
            <w:tcBorders>
              <w:top w:val="nil"/>
              <w:left w:val="nil"/>
              <w:bottom w:val="single" w:sz="4" w:space="0" w:color="auto"/>
              <w:right w:val="nil"/>
            </w:tcBorders>
            <w:shd w:val="clear" w:color="000000" w:fill="D9D9D9"/>
            <w:vAlign w:val="center"/>
            <w:hideMark/>
          </w:tcPr>
          <w:p w14:paraId="3D6637CB" w14:textId="77777777" w:rsidR="00574B7B" w:rsidRDefault="00574B7B">
            <w:pPr>
              <w:jc w:val="right"/>
              <w:rPr>
                <w:rFonts w:ascii="Arial Narrow" w:hAnsi="Arial Narrow" w:cs="Calibri"/>
                <w:color w:val="000000"/>
                <w:sz w:val="18"/>
                <w:szCs w:val="18"/>
              </w:rPr>
            </w:pPr>
            <w:r>
              <w:rPr>
                <w:rFonts w:ascii="Arial Narrow" w:hAnsi="Arial Narrow" w:cs="Calibri"/>
                <w:color w:val="000000"/>
                <w:sz w:val="18"/>
                <w:szCs w:val="18"/>
              </w:rPr>
              <w:t>24</w:t>
            </w:r>
          </w:p>
        </w:tc>
        <w:tc>
          <w:tcPr>
            <w:tcW w:w="1783" w:type="dxa"/>
            <w:tcBorders>
              <w:top w:val="nil"/>
              <w:left w:val="nil"/>
              <w:bottom w:val="single" w:sz="4" w:space="0" w:color="262626"/>
              <w:right w:val="nil"/>
            </w:tcBorders>
            <w:shd w:val="clear" w:color="auto" w:fill="auto"/>
            <w:noWrap/>
            <w:vAlign w:val="center"/>
            <w:hideMark/>
          </w:tcPr>
          <w:p w14:paraId="15774B14" w14:textId="77777777" w:rsidR="00574B7B" w:rsidRDefault="00574B7B">
            <w:pPr>
              <w:jc w:val="right"/>
              <w:rPr>
                <w:rFonts w:ascii="Arial Narrow" w:hAnsi="Arial Narrow" w:cs="Calibri"/>
                <w:color w:val="000000"/>
                <w:sz w:val="18"/>
                <w:szCs w:val="18"/>
              </w:rPr>
            </w:pPr>
            <w:r>
              <w:rPr>
                <w:rFonts w:ascii="Arial Narrow" w:hAnsi="Arial Narrow" w:cs="Calibri"/>
                <w:color w:val="000000"/>
                <w:sz w:val="18"/>
                <w:szCs w:val="18"/>
              </w:rPr>
              <w:t xml:space="preserve">613.985 </w:t>
            </w:r>
          </w:p>
        </w:tc>
        <w:tc>
          <w:tcPr>
            <w:tcW w:w="1833" w:type="dxa"/>
            <w:tcBorders>
              <w:top w:val="nil"/>
              <w:left w:val="nil"/>
              <w:bottom w:val="single" w:sz="4" w:space="0" w:color="auto"/>
              <w:right w:val="nil"/>
            </w:tcBorders>
            <w:shd w:val="clear" w:color="000000" w:fill="D9D9D9"/>
            <w:vAlign w:val="center"/>
            <w:hideMark/>
          </w:tcPr>
          <w:p w14:paraId="1C87FA10" w14:textId="77777777" w:rsidR="00574B7B" w:rsidRDefault="00574B7B">
            <w:pPr>
              <w:jc w:val="right"/>
              <w:rPr>
                <w:rFonts w:ascii="Arial Narrow" w:hAnsi="Arial Narrow" w:cs="Calibri"/>
                <w:color w:val="000000"/>
                <w:sz w:val="18"/>
                <w:szCs w:val="18"/>
              </w:rPr>
            </w:pPr>
            <w:r>
              <w:rPr>
                <w:rFonts w:ascii="Arial Narrow" w:hAnsi="Arial Narrow" w:cs="Calibri"/>
                <w:color w:val="000000"/>
                <w:sz w:val="18"/>
                <w:szCs w:val="18"/>
              </w:rPr>
              <w:t>614.996</w:t>
            </w:r>
          </w:p>
        </w:tc>
        <w:tc>
          <w:tcPr>
            <w:tcW w:w="2136" w:type="dxa"/>
            <w:tcBorders>
              <w:top w:val="nil"/>
              <w:left w:val="nil"/>
              <w:bottom w:val="single" w:sz="4" w:space="0" w:color="262626"/>
              <w:right w:val="nil"/>
            </w:tcBorders>
            <w:shd w:val="clear" w:color="auto" w:fill="auto"/>
            <w:noWrap/>
            <w:vAlign w:val="center"/>
            <w:hideMark/>
          </w:tcPr>
          <w:p w14:paraId="2790E958" w14:textId="77777777" w:rsidR="00574B7B" w:rsidRDefault="00574B7B">
            <w:pPr>
              <w:jc w:val="right"/>
              <w:rPr>
                <w:rFonts w:ascii="Arial Narrow" w:hAnsi="Arial Narrow" w:cs="Calibri"/>
                <w:color w:val="000000"/>
                <w:sz w:val="18"/>
                <w:szCs w:val="18"/>
              </w:rPr>
            </w:pPr>
            <w:r>
              <w:rPr>
                <w:rFonts w:ascii="Arial Narrow" w:hAnsi="Arial Narrow" w:cs="Calibri"/>
                <w:color w:val="000000"/>
                <w:sz w:val="18"/>
                <w:szCs w:val="18"/>
              </w:rPr>
              <w:t xml:space="preserve">-0,2 </w:t>
            </w:r>
          </w:p>
        </w:tc>
      </w:tr>
      <w:tr w:rsidR="00574B7B" w14:paraId="377897D8" w14:textId="77777777" w:rsidTr="00E62B8D">
        <w:trPr>
          <w:trHeight w:val="288"/>
        </w:trPr>
        <w:tc>
          <w:tcPr>
            <w:tcW w:w="2096" w:type="dxa"/>
            <w:tcBorders>
              <w:top w:val="nil"/>
              <w:left w:val="nil"/>
              <w:bottom w:val="single" w:sz="4" w:space="0" w:color="auto"/>
              <w:right w:val="nil"/>
            </w:tcBorders>
            <w:shd w:val="clear" w:color="auto" w:fill="auto"/>
            <w:noWrap/>
            <w:vAlign w:val="center"/>
            <w:hideMark/>
          </w:tcPr>
          <w:p w14:paraId="2F622AD2" w14:textId="77777777" w:rsidR="00574B7B" w:rsidRDefault="00574B7B">
            <w:pPr>
              <w:rPr>
                <w:rFonts w:ascii="Arial Narrow" w:hAnsi="Arial Narrow" w:cs="Calibri"/>
                <w:color w:val="000000"/>
                <w:sz w:val="18"/>
                <w:szCs w:val="18"/>
              </w:rPr>
            </w:pPr>
            <w:r>
              <w:rPr>
                <w:rFonts w:ascii="Arial Narrow" w:hAnsi="Arial Narrow" w:cs="Calibri"/>
                <w:color w:val="000000"/>
                <w:sz w:val="18"/>
                <w:szCs w:val="18"/>
              </w:rPr>
              <w:t xml:space="preserve">   Cintura</w:t>
            </w:r>
          </w:p>
        </w:tc>
        <w:tc>
          <w:tcPr>
            <w:tcW w:w="1791" w:type="dxa"/>
            <w:tcBorders>
              <w:top w:val="nil"/>
              <w:left w:val="nil"/>
              <w:bottom w:val="single" w:sz="4" w:space="0" w:color="auto"/>
              <w:right w:val="nil"/>
            </w:tcBorders>
            <w:shd w:val="clear" w:color="000000" w:fill="D9D9D9"/>
            <w:vAlign w:val="center"/>
            <w:hideMark/>
          </w:tcPr>
          <w:p w14:paraId="64117ED9" w14:textId="77777777" w:rsidR="00574B7B" w:rsidRDefault="00574B7B">
            <w:pPr>
              <w:jc w:val="right"/>
              <w:rPr>
                <w:rFonts w:ascii="Arial Narrow" w:hAnsi="Arial Narrow" w:cs="Calibri"/>
                <w:color w:val="000000"/>
                <w:sz w:val="18"/>
                <w:szCs w:val="18"/>
              </w:rPr>
            </w:pPr>
            <w:r>
              <w:rPr>
                <w:rFonts w:ascii="Arial Narrow" w:hAnsi="Arial Narrow" w:cs="Calibri"/>
                <w:color w:val="000000"/>
                <w:sz w:val="18"/>
                <w:szCs w:val="18"/>
              </w:rPr>
              <w:t>974</w:t>
            </w:r>
          </w:p>
        </w:tc>
        <w:tc>
          <w:tcPr>
            <w:tcW w:w="1783" w:type="dxa"/>
            <w:tcBorders>
              <w:top w:val="nil"/>
              <w:left w:val="nil"/>
              <w:bottom w:val="single" w:sz="4" w:space="0" w:color="262626"/>
              <w:right w:val="nil"/>
            </w:tcBorders>
            <w:shd w:val="clear" w:color="auto" w:fill="auto"/>
            <w:noWrap/>
            <w:vAlign w:val="center"/>
            <w:hideMark/>
          </w:tcPr>
          <w:p w14:paraId="0E3C2C64" w14:textId="77777777" w:rsidR="00574B7B" w:rsidRDefault="00574B7B">
            <w:pPr>
              <w:jc w:val="right"/>
              <w:rPr>
                <w:rFonts w:ascii="Arial Narrow" w:hAnsi="Arial Narrow" w:cs="Calibri"/>
                <w:color w:val="000000"/>
                <w:sz w:val="18"/>
                <w:szCs w:val="18"/>
              </w:rPr>
            </w:pPr>
            <w:r>
              <w:rPr>
                <w:rFonts w:ascii="Arial Narrow" w:hAnsi="Arial Narrow" w:cs="Calibri"/>
                <w:color w:val="000000"/>
                <w:sz w:val="18"/>
                <w:szCs w:val="18"/>
              </w:rPr>
              <w:t xml:space="preserve">5.613.947 </w:t>
            </w:r>
          </w:p>
        </w:tc>
        <w:tc>
          <w:tcPr>
            <w:tcW w:w="1833" w:type="dxa"/>
            <w:tcBorders>
              <w:top w:val="nil"/>
              <w:left w:val="nil"/>
              <w:bottom w:val="single" w:sz="4" w:space="0" w:color="auto"/>
              <w:right w:val="nil"/>
            </w:tcBorders>
            <w:shd w:val="clear" w:color="000000" w:fill="D9D9D9"/>
            <w:vAlign w:val="center"/>
            <w:hideMark/>
          </w:tcPr>
          <w:p w14:paraId="357FBED6" w14:textId="77777777" w:rsidR="00574B7B" w:rsidRDefault="00574B7B">
            <w:pPr>
              <w:jc w:val="right"/>
              <w:rPr>
                <w:rFonts w:ascii="Arial Narrow" w:hAnsi="Arial Narrow" w:cs="Calibri"/>
                <w:color w:val="000000"/>
                <w:sz w:val="18"/>
                <w:szCs w:val="18"/>
              </w:rPr>
            </w:pPr>
            <w:r>
              <w:rPr>
                <w:rFonts w:ascii="Arial Narrow" w:hAnsi="Arial Narrow" w:cs="Calibri"/>
                <w:color w:val="000000"/>
                <w:sz w:val="18"/>
                <w:szCs w:val="18"/>
              </w:rPr>
              <w:t>5.609.063</w:t>
            </w:r>
          </w:p>
        </w:tc>
        <w:tc>
          <w:tcPr>
            <w:tcW w:w="2136" w:type="dxa"/>
            <w:tcBorders>
              <w:top w:val="nil"/>
              <w:left w:val="nil"/>
              <w:bottom w:val="single" w:sz="4" w:space="0" w:color="262626"/>
              <w:right w:val="nil"/>
            </w:tcBorders>
            <w:shd w:val="clear" w:color="auto" w:fill="auto"/>
            <w:noWrap/>
            <w:vAlign w:val="center"/>
            <w:hideMark/>
          </w:tcPr>
          <w:p w14:paraId="00C8EEAA" w14:textId="77777777" w:rsidR="00574B7B" w:rsidRDefault="00574B7B">
            <w:pPr>
              <w:jc w:val="right"/>
              <w:rPr>
                <w:rFonts w:ascii="Arial Narrow" w:hAnsi="Arial Narrow" w:cs="Calibri"/>
                <w:color w:val="000000"/>
                <w:sz w:val="18"/>
                <w:szCs w:val="18"/>
              </w:rPr>
            </w:pPr>
            <w:r>
              <w:rPr>
                <w:rFonts w:ascii="Arial Narrow" w:hAnsi="Arial Narrow" w:cs="Calibri"/>
                <w:color w:val="000000"/>
                <w:sz w:val="18"/>
                <w:szCs w:val="18"/>
              </w:rPr>
              <w:t xml:space="preserve">0,1 </w:t>
            </w:r>
          </w:p>
        </w:tc>
      </w:tr>
      <w:tr w:rsidR="00574B7B" w14:paraId="097CC2FA" w14:textId="77777777" w:rsidTr="00E62B8D">
        <w:trPr>
          <w:trHeight w:val="288"/>
        </w:trPr>
        <w:tc>
          <w:tcPr>
            <w:tcW w:w="2096" w:type="dxa"/>
            <w:tcBorders>
              <w:top w:val="nil"/>
              <w:left w:val="nil"/>
              <w:bottom w:val="single" w:sz="4" w:space="0" w:color="auto"/>
              <w:right w:val="nil"/>
            </w:tcBorders>
            <w:shd w:val="clear" w:color="000000" w:fill="D9D9D9"/>
            <w:noWrap/>
            <w:vAlign w:val="center"/>
            <w:hideMark/>
          </w:tcPr>
          <w:p w14:paraId="28661A21" w14:textId="77777777" w:rsidR="00574B7B" w:rsidRDefault="00574B7B">
            <w:pPr>
              <w:rPr>
                <w:rFonts w:ascii="Arial Narrow" w:hAnsi="Arial Narrow" w:cs="Calibri"/>
                <w:b/>
                <w:bCs/>
                <w:color w:val="000000"/>
                <w:sz w:val="18"/>
                <w:szCs w:val="18"/>
              </w:rPr>
            </w:pPr>
            <w:r>
              <w:rPr>
                <w:rFonts w:ascii="Arial Narrow" w:hAnsi="Arial Narrow" w:cs="Calibri"/>
                <w:b/>
                <w:bCs/>
                <w:color w:val="000000"/>
                <w:sz w:val="18"/>
                <w:szCs w:val="18"/>
              </w:rPr>
              <w:t>Aree interne</w:t>
            </w:r>
          </w:p>
        </w:tc>
        <w:tc>
          <w:tcPr>
            <w:tcW w:w="1791" w:type="dxa"/>
            <w:tcBorders>
              <w:top w:val="single" w:sz="4" w:space="0" w:color="auto"/>
              <w:left w:val="nil"/>
              <w:bottom w:val="single" w:sz="4" w:space="0" w:color="auto"/>
              <w:right w:val="nil"/>
            </w:tcBorders>
            <w:shd w:val="clear" w:color="000000" w:fill="D9D9D9"/>
            <w:vAlign w:val="center"/>
            <w:hideMark/>
          </w:tcPr>
          <w:p w14:paraId="70052F10" w14:textId="77777777" w:rsidR="00574B7B" w:rsidRDefault="00574B7B">
            <w:pPr>
              <w:jc w:val="right"/>
              <w:rPr>
                <w:rFonts w:ascii="Arial Narrow" w:hAnsi="Arial Narrow" w:cs="Calibri"/>
                <w:b/>
                <w:bCs/>
                <w:color w:val="000000"/>
                <w:sz w:val="18"/>
                <w:szCs w:val="18"/>
              </w:rPr>
            </w:pPr>
            <w:r>
              <w:rPr>
                <w:rFonts w:ascii="Arial Narrow" w:hAnsi="Arial Narrow" w:cs="Calibri"/>
                <w:b/>
                <w:bCs/>
                <w:color w:val="000000"/>
                <w:sz w:val="18"/>
                <w:szCs w:val="18"/>
              </w:rPr>
              <w:t>483</w:t>
            </w:r>
          </w:p>
        </w:tc>
        <w:tc>
          <w:tcPr>
            <w:tcW w:w="1783" w:type="dxa"/>
            <w:tcBorders>
              <w:top w:val="nil"/>
              <w:left w:val="nil"/>
              <w:bottom w:val="single" w:sz="4" w:space="0" w:color="262626"/>
              <w:right w:val="nil"/>
            </w:tcBorders>
            <w:shd w:val="clear" w:color="000000" w:fill="D9D9D9"/>
            <w:noWrap/>
            <w:vAlign w:val="center"/>
            <w:hideMark/>
          </w:tcPr>
          <w:p w14:paraId="11EB792B" w14:textId="77777777" w:rsidR="00574B7B" w:rsidRDefault="00574B7B">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995.019 </w:t>
            </w:r>
          </w:p>
        </w:tc>
        <w:tc>
          <w:tcPr>
            <w:tcW w:w="1833" w:type="dxa"/>
            <w:tcBorders>
              <w:top w:val="single" w:sz="4" w:space="0" w:color="auto"/>
              <w:left w:val="nil"/>
              <w:bottom w:val="single" w:sz="4" w:space="0" w:color="auto"/>
              <w:right w:val="nil"/>
            </w:tcBorders>
            <w:shd w:val="clear" w:color="000000" w:fill="D9D9D9"/>
            <w:vAlign w:val="center"/>
            <w:hideMark/>
          </w:tcPr>
          <w:p w14:paraId="11941FF2" w14:textId="77777777" w:rsidR="00574B7B" w:rsidRDefault="00574B7B">
            <w:pPr>
              <w:jc w:val="right"/>
              <w:rPr>
                <w:rFonts w:ascii="Arial Narrow" w:hAnsi="Arial Narrow" w:cs="Calibri"/>
                <w:b/>
                <w:bCs/>
                <w:color w:val="000000"/>
                <w:sz w:val="18"/>
                <w:szCs w:val="18"/>
              </w:rPr>
            </w:pPr>
            <w:r>
              <w:rPr>
                <w:rFonts w:ascii="Arial Narrow" w:hAnsi="Arial Narrow" w:cs="Calibri"/>
                <w:b/>
                <w:bCs/>
                <w:color w:val="000000"/>
                <w:sz w:val="18"/>
                <w:szCs w:val="18"/>
              </w:rPr>
              <w:t>1.004.283</w:t>
            </w:r>
          </w:p>
        </w:tc>
        <w:tc>
          <w:tcPr>
            <w:tcW w:w="2136" w:type="dxa"/>
            <w:tcBorders>
              <w:top w:val="nil"/>
              <w:left w:val="nil"/>
              <w:bottom w:val="single" w:sz="4" w:space="0" w:color="262626"/>
              <w:right w:val="nil"/>
            </w:tcBorders>
            <w:shd w:val="clear" w:color="000000" w:fill="D9D9D9"/>
            <w:noWrap/>
            <w:vAlign w:val="center"/>
            <w:hideMark/>
          </w:tcPr>
          <w:p w14:paraId="7A9A38AA" w14:textId="77777777" w:rsidR="00574B7B" w:rsidRDefault="00574B7B">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-0,9 </w:t>
            </w:r>
          </w:p>
        </w:tc>
      </w:tr>
      <w:tr w:rsidR="00574B7B" w14:paraId="40998D49" w14:textId="77777777" w:rsidTr="00E62B8D">
        <w:trPr>
          <w:trHeight w:val="288"/>
        </w:trPr>
        <w:tc>
          <w:tcPr>
            <w:tcW w:w="2096" w:type="dxa"/>
            <w:tcBorders>
              <w:top w:val="nil"/>
              <w:left w:val="nil"/>
              <w:bottom w:val="single" w:sz="4" w:space="0" w:color="auto"/>
              <w:right w:val="nil"/>
            </w:tcBorders>
            <w:shd w:val="clear" w:color="auto" w:fill="auto"/>
            <w:noWrap/>
            <w:vAlign w:val="center"/>
            <w:hideMark/>
          </w:tcPr>
          <w:p w14:paraId="1250B5FB" w14:textId="77777777" w:rsidR="00574B7B" w:rsidRDefault="00574B7B">
            <w:pPr>
              <w:rPr>
                <w:rFonts w:ascii="Arial Narrow" w:hAnsi="Arial Narrow" w:cs="Calibri"/>
                <w:color w:val="000000"/>
                <w:sz w:val="18"/>
                <w:szCs w:val="18"/>
              </w:rPr>
            </w:pPr>
            <w:r>
              <w:rPr>
                <w:rFonts w:ascii="Arial Narrow" w:hAnsi="Arial Narrow" w:cs="Calibri"/>
                <w:color w:val="000000"/>
                <w:sz w:val="18"/>
                <w:szCs w:val="18"/>
              </w:rPr>
              <w:t xml:space="preserve">   Intermedio</w:t>
            </w:r>
          </w:p>
        </w:tc>
        <w:tc>
          <w:tcPr>
            <w:tcW w:w="1791" w:type="dxa"/>
            <w:tcBorders>
              <w:top w:val="nil"/>
              <w:left w:val="nil"/>
              <w:bottom w:val="single" w:sz="4" w:space="0" w:color="auto"/>
              <w:right w:val="nil"/>
            </w:tcBorders>
            <w:shd w:val="clear" w:color="000000" w:fill="D9D9D9"/>
            <w:vAlign w:val="center"/>
            <w:hideMark/>
          </w:tcPr>
          <w:p w14:paraId="3D622AC3" w14:textId="77777777" w:rsidR="00574B7B" w:rsidRDefault="00574B7B">
            <w:pPr>
              <w:jc w:val="right"/>
              <w:rPr>
                <w:rFonts w:ascii="Arial Narrow" w:hAnsi="Arial Narrow" w:cs="Calibri"/>
                <w:color w:val="000000"/>
                <w:sz w:val="18"/>
                <w:szCs w:val="18"/>
              </w:rPr>
            </w:pPr>
            <w:r>
              <w:rPr>
                <w:rFonts w:ascii="Arial Narrow" w:hAnsi="Arial Narrow" w:cs="Calibri"/>
                <w:color w:val="000000"/>
                <w:sz w:val="18"/>
                <w:szCs w:val="18"/>
              </w:rPr>
              <w:t>283</w:t>
            </w:r>
          </w:p>
        </w:tc>
        <w:tc>
          <w:tcPr>
            <w:tcW w:w="1783" w:type="dxa"/>
            <w:tcBorders>
              <w:top w:val="nil"/>
              <w:left w:val="nil"/>
              <w:bottom w:val="single" w:sz="4" w:space="0" w:color="262626"/>
              <w:right w:val="nil"/>
            </w:tcBorders>
            <w:shd w:val="clear" w:color="auto" w:fill="auto"/>
            <w:noWrap/>
            <w:vAlign w:val="center"/>
            <w:hideMark/>
          </w:tcPr>
          <w:p w14:paraId="7A0F46BD" w14:textId="77777777" w:rsidR="00574B7B" w:rsidRDefault="00574B7B">
            <w:pPr>
              <w:jc w:val="right"/>
              <w:rPr>
                <w:rFonts w:ascii="Arial Narrow" w:hAnsi="Arial Narrow" w:cs="Calibri"/>
                <w:color w:val="000000"/>
                <w:sz w:val="18"/>
                <w:szCs w:val="18"/>
              </w:rPr>
            </w:pPr>
            <w:r>
              <w:rPr>
                <w:rFonts w:ascii="Arial Narrow" w:hAnsi="Arial Narrow" w:cs="Calibri"/>
                <w:color w:val="000000"/>
                <w:sz w:val="18"/>
                <w:szCs w:val="18"/>
              </w:rPr>
              <w:t xml:space="preserve">682.323 </w:t>
            </w:r>
          </w:p>
        </w:tc>
        <w:tc>
          <w:tcPr>
            <w:tcW w:w="1833" w:type="dxa"/>
            <w:tcBorders>
              <w:top w:val="nil"/>
              <w:left w:val="nil"/>
              <w:bottom w:val="single" w:sz="4" w:space="0" w:color="auto"/>
              <w:right w:val="nil"/>
            </w:tcBorders>
            <w:shd w:val="clear" w:color="000000" w:fill="D9D9D9"/>
            <w:vAlign w:val="center"/>
            <w:hideMark/>
          </w:tcPr>
          <w:p w14:paraId="3719C0F0" w14:textId="77777777" w:rsidR="00574B7B" w:rsidRDefault="00574B7B">
            <w:pPr>
              <w:jc w:val="right"/>
              <w:rPr>
                <w:rFonts w:ascii="Arial Narrow" w:hAnsi="Arial Narrow" w:cs="Calibri"/>
                <w:color w:val="000000"/>
                <w:sz w:val="18"/>
                <w:szCs w:val="18"/>
              </w:rPr>
            </w:pPr>
            <w:r>
              <w:rPr>
                <w:rFonts w:ascii="Arial Narrow" w:hAnsi="Arial Narrow" w:cs="Calibri"/>
                <w:color w:val="000000"/>
                <w:sz w:val="18"/>
                <w:szCs w:val="18"/>
              </w:rPr>
              <w:t>688.658</w:t>
            </w:r>
          </w:p>
        </w:tc>
        <w:tc>
          <w:tcPr>
            <w:tcW w:w="2136" w:type="dxa"/>
            <w:tcBorders>
              <w:top w:val="nil"/>
              <w:left w:val="nil"/>
              <w:bottom w:val="single" w:sz="4" w:space="0" w:color="262626"/>
              <w:right w:val="nil"/>
            </w:tcBorders>
            <w:shd w:val="clear" w:color="auto" w:fill="auto"/>
            <w:noWrap/>
            <w:vAlign w:val="center"/>
            <w:hideMark/>
          </w:tcPr>
          <w:p w14:paraId="720B8FD3" w14:textId="77777777" w:rsidR="00574B7B" w:rsidRDefault="00574B7B">
            <w:pPr>
              <w:jc w:val="right"/>
              <w:rPr>
                <w:rFonts w:ascii="Arial Narrow" w:hAnsi="Arial Narrow" w:cs="Calibri"/>
                <w:color w:val="000000"/>
                <w:sz w:val="18"/>
                <w:szCs w:val="18"/>
              </w:rPr>
            </w:pPr>
            <w:r>
              <w:rPr>
                <w:rFonts w:ascii="Arial Narrow" w:hAnsi="Arial Narrow" w:cs="Calibri"/>
                <w:color w:val="000000"/>
                <w:sz w:val="18"/>
                <w:szCs w:val="18"/>
              </w:rPr>
              <w:t xml:space="preserve">-0,9 </w:t>
            </w:r>
          </w:p>
        </w:tc>
      </w:tr>
      <w:tr w:rsidR="00574B7B" w14:paraId="48F5F306" w14:textId="77777777" w:rsidTr="00E62B8D">
        <w:trPr>
          <w:trHeight w:val="288"/>
        </w:trPr>
        <w:tc>
          <w:tcPr>
            <w:tcW w:w="2096" w:type="dxa"/>
            <w:tcBorders>
              <w:top w:val="nil"/>
              <w:left w:val="nil"/>
              <w:bottom w:val="single" w:sz="4" w:space="0" w:color="auto"/>
              <w:right w:val="nil"/>
            </w:tcBorders>
            <w:shd w:val="clear" w:color="auto" w:fill="auto"/>
            <w:noWrap/>
            <w:vAlign w:val="center"/>
            <w:hideMark/>
          </w:tcPr>
          <w:p w14:paraId="5DCDF845" w14:textId="77777777" w:rsidR="00574B7B" w:rsidRDefault="00574B7B">
            <w:pPr>
              <w:rPr>
                <w:rFonts w:ascii="Arial Narrow" w:hAnsi="Arial Narrow" w:cs="Calibri"/>
                <w:color w:val="000000"/>
                <w:sz w:val="18"/>
                <w:szCs w:val="18"/>
              </w:rPr>
            </w:pPr>
            <w:r>
              <w:rPr>
                <w:rFonts w:ascii="Arial Narrow" w:hAnsi="Arial Narrow" w:cs="Calibri"/>
                <w:color w:val="000000"/>
                <w:sz w:val="18"/>
                <w:szCs w:val="18"/>
              </w:rPr>
              <w:t xml:space="preserve">   Periferico</w:t>
            </w:r>
          </w:p>
        </w:tc>
        <w:tc>
          <w:tcPr>
            <w:tcW w:w="1791" w:type="dxa"/>
            <w:tcBorders>
              <w:top w:val="nil"/>
              <w:left w:val="nil"/>
              <w:bottom w:val="single" w:sz="4" w:space="0" w:color="auto"/>
              <w:right w:val="nil"/>
            </w:tcBorders>
            <w:shd w:val="clear" w:color="000000" w:fill="D9D9D9"/>
            <w:vAlign w:val="center"/>
            <w:hideMark/>
          </w:tcPr>
          <w:p w14:paraId="41BA453C" w14:textId="77777777" w:rsidR="00574B7B" w:rsidRDefault="00574B7B">
            <w:pPr>
              <w:jc w:val="right"/>
              <w:rPr>
                <w:rFonts w:ascii="Arial Narrow" w:hAnsi="Arial Narrow" w:cs="Calibri"/>
                <w:color w:val="000000"/>
                <w:sz w:val="18"/>
                <w:szCs w:val="18"/>
              </w:rPr>
            </w:pPr>
            <w:r>
              <w:rPr>
                <w:rFonts w:ascii="Arial Narrow" w:hAnsi="Arial Narrow" w:cs="Calibri"/>
                <w:color w:val="000000"/>
                <w:sz w:val="18"/>
                <w:szCs w:val="18"/>
              </w:rPr>
              <w:t>174</w:t>
            </w:r>
          </w:p>
        </w:tc>
        <w:tc>
          <w:tcPr>
            <w:tcW w:w="1783" w:type="dxa"/>
            <w:tcBorders>
              <w:top w:val="nil"/>
              <w:left w:val="nil"/>
              <w:bottom w:val="single" w:sz="4" w:space="0" w:color="262626"/>
              <w:right w:val="nil"/>
            </w:tcBorders>
            <w:shd w:val="clear" w:color="auto" w:fill="auto"/>
            <w:noWrap/>
            <w:vAlign w:val="center"/>
            <w:hideMark/>
          </w:tcPr>
          <w:p w14:paraId="21FEE44B" w14:textId="77777777" w:rsidR="00574B7B" w:rsidRDefault="00574B7B">
            <w:pPr>
              <w:jc w:val="right"/>
              <w:rPr>
                <w:rFonts w:ascii="Arial Narrow" w:hAnsi="Arial Narrow" w:cs="Calibri"/>
                <w:color w:val="000000"/>
                <w:sz w:val="18"/>
                <w:szCs w:val="18"/>
              </w:rPr>
            </w:pPr>
            <w:r>
              <w:rPr>
                <w:rFonts w:ascii="Arial Narrow" w:hAnsi="Arial Narrow" w:cs="Calibri"/>
                <w:color w:val="000000"/>
                <w:sz w:val="18"/>
                <w:szCs w:val="18"/>
              </w:rPr>
              <w:t xml:space="preserve">269.153 </w:t>
            </w:r>
          </w:p>
        </w:tc>
        <w:tc>
          <w:tcPr>
            <w:tcW w:w="1833" w:type="dxa"/>
            <w:tcBorders>
              <w:top w:val="nil"/>
              <w:left w:val="nil"/>
              <w:bottom w:val="single" w:sz="4" w:space="0" w:color="auto"/>
              <w:right w:val="nil"/>
            </w:tcBorders>
            <w:shd w:val="clear" w:color="000000" w:fill="D9D9D9"/>
            <w:vAlign w:val="center"/>
            <w:hideMark/>
          </w:tcPr>
          <w:p w14:paraId="4A88CE63" w14:textId="77777777" w:rsidR="00574B7B" w:rsidRDefault="00574B7B">
            <w:pPr>
              <w:jc w:val="right"/>
              <w:rPr>
                <w:rFonts w:ascii="Arial Narrow" w:hAnsi="Arial Narrow" w:cs="Calibri"/>
                <w:color w:val="000000"/>
                <w:sz w:val="18"/>
                <w:szCs w:val="18"/>
              </w:rPr>
            </w:pPr>
            <w:r>
              <w:rPr>
                <w:rFonts w:ascii="Arial Narrow" w:hAnsi="Arial Narrow" w:cs="Calibri"/>
                <w:color w:val="000000"/>
                <w:sz w:val="18"/>
                <w:szCs w:val="18"/>
              </w:rPr>
              <w:t>271.583</w:t>
            </w:r>
          </w:p>
        </w:tc>
        <w:tc>
          <w:tcPr>
            <w:tcW w:w="2136" w:type="dxa"/>
            <w:tcBorders>
              <w:top w:val="nil"/>
              <w:left w:val="nil"/>
              <w:bottom w:val="single" w:sz="4" w:space="0" w:color="262626"/>
              <w:right w:val="nil"/>
            </w:tcBorders>
            <w:shd w:val="clear" w:color="auto" w:fill="auto"/>
            <w:noWrap/>
            <w:vAlign w:val="center"/>
            <w:hideMark/>
          </w:tcPr>
          <w:p w14:paraId="7D628E31" w14:textId="77777777" w:rsidR="00574B7B" w:rsidRDefault="00574B7B">
            <w:pPr>
              <w:jc w:val="right"/>
              <w:rPr>
                <w:rFonts w:ascii="Arial Narrow" w:hAnsi="Arial Narrow" w:cs="Calibri"/>
                <w:color w:val="000000"/>
                <w:sz w:val="18"/>
                <w:szCs w:val="18"/>
              </w:rPr>
            </w:pPr>
            <w:r>
              <w:rPr>
                <w:rFonts w:ascii="Arial Narrow" w:hAnsi="Arial Narrow" w:cs="Calibri"/>
                <w:color w:val="000000"/>
                <w:sz w:val="18"/>
                <w:szCs w:val="18"/>
              </w:rPr>
              <w:t xml:space="preserve">-0,9 </w:t>
            </w:r>
          </w:p>
        </w:tc>
      </w:tr>
      <w:tr w:rsidR="00574B7B" w14:paraId="56F7E681" w14:textId="77777777" w:rsidTr="00E62B8D">
        <w:trPr>
          <w:trHeight w:val="288"/>
        </w:trPr>
        <w:tc>
          <w:tcPr>
            <w:tcW w:w="2096" w:type="dxa"/>
            <w:tcBorders>
              <w:top w:val="nil"/>
              <w:left w:val="nil"/>
              <w:bottom w:val="single" w:sz="4" w:space="0" w:color="auto"/>
              <w:right w:val="nil"/>
            </w:tcBorders>
            <w:shd w:val="clear" w:color="auto" w:fill="auto"/>
            <w:noWrap/>
            <w:vAlign w:val="center"/>
            <w:hideMark/>
          </w:tcPr>
          <w:p w14:paraId="1E790586" w14:textId="77777777" w:rsidR="00574B7B" w:rsidRDefault="00574B7B">
            <w:pPr>
              <w:rPr>
                <w:rFonts w:ascii="Arial Narrow" w:hAnsi="Arial Narrow" w:cs="Calibri"/>
                <w:color w:val="000000"/>
                <w:sz w:val="18"/>
                <w:szCs w:val="18"/>
              </w:rPr>
            </w:pPr>
            <w:r>
              <w:rPr>
                <w:rFonts w:ascii="Arial Narrow" w:hAnsi="Arial Narrow" w:cs="Calibri"/>
                <w:color w:val="000000"/>
                <w:sz w:val="18"/>
                <w:szCs w:val="18"/>
              </w:rPr>
              <w:t xml:space="preserve">   Ultraperiferico</w:t>
            </w:r>
          </w:p>
        </w:tc>
        <w:tc>
          <w:tcPr>
            <w:tcW w:w="1791" w:type="dxa"/>
            <w:tcBorders>
              <w:top w:val="nil"/>
              <w:left w:val="nil"/>
              <w:bottom w:val="single" w:sz="4" w:space="0" w:color="auto"/>
              <w:right w:val="nil"/>
            </w:tcBorders>
            <w:shd w:val="clear" w:color="000000" w:fill="D9D9D9"/>
            <w:vAlign w:val="center"/>
            <w:hideMark/>
          </w:tcPr>
          <w:p w14:paraId="23D59F14" w14:textId="77777777" w:rsidR="00574B7B" w:rsidRDefault="00574B7B">
            <w:pPr>
              <w:jc w:val="right"/>
              <w:rPr>
                <w:rFonts w:ascii="Arial Narrow" w:hAnsi="Arial Narrow" w:cs="Calibri"/>
                <w:color w:val="000000"/>
                <w:sz w:val="18"/>
                <w:szCs w:val="18"/>
              </w:rPr>
            </w:pPr>
            <w:r>
              <w:rPr>
                <w:rFonts w:ascii="Arial Narrow" w:hAnsi="Arial Narrow" w:cs="Calibri"/>
                <w:color w:val="000000"/>
                <w:sz w:val="18"/>
                <w:szCs w:val="18"/>
              </w:rPr>
              <w:t>26</w:t>
            </w:r>
          </w:p>
        </w:tc>
        <w:tc>
          <w:tcPr>
            <w:tcW w:w="1783" w:type="dxa"/>
            <w:tcBorders>
              <w:top w:val="nil"/>
              <w:left w:val="nil"/>
              <w:bottom w:val="single" w:sz="4" w:space="0" w:color="262626"/>
              <w:right w:val="nil"/>
            </w:tcBorders>
            <w:shd w:val="clear" w:color="auto" w:fill="auto"/>
            <w:noWrap/>
            <w:vAlign w:val="center"/>
            <w:hideMark/>
          </w:tcPr>
          <w:p w14:paraId="55447AFC" w14:textId="77777777" w:rsidR="00574B7B" w:rsidRDefault="00574B7B">
            <w:pPr>
              <w:jc w:val="right"/>
              <w:rPr>
                <w:rFonts w:ascii="Arial Narrow" w:hAnsi="Arial Narrow" w:cs="Calibri"/>
                <w:color w:val="000000"/>
                <w:sz w:val="18"/>
                <w:szCs w:val="18"/>
              </w:rPr>
            </w:pPr>
            <w:r>
              <w:rPr>
                <w:rFonts w:ascii="Arial Narrow" w:hAnsi="Arial Narrow" w:cs="Calibri"/>
                <w:color w:val="000000"/>
                <w:sz w:val="18"/>
                <w:szCs w:val="18"/>
              </w:rPr>
              <w:t xml:space="preserve">43.543 </w:t>
            </w:r>
          </w:p>
        </w:tc>
        <w:tc>
          <w:tcPr>
            <w:tcW w:w="1833" w:type="dxa"/>
            <w:tcBorders>
              <w:top w:val="nil"/>
              <w:left w:val="nil"/>
              <w:bottom w:val="single" w:sz="4" w:space="0" w:color="auto"/>
              <w:right w:val="nil"/>
            </w:tcBorders>
            <w:shd w:val="clear" w:color="000000" w:fill="D9D9D9"/>
            <w:vAlign w:val="center"/>
            <w:hideMark/>
          </w:tcPr>
          <w:p w14:paraId="3F2F02A5" w14:textId="77777777" w:rsidR="00574B7B" w:rsidRDefault="00574B7B">
            <w:pPr>
              <w:jc w:val="right"/>
              <w:rPr>
                <w:rFonts w:ascii="Arial Narrow" w:hAnsi="Arial Narrow" w:cs="Calibri"/>
                <w:color w:val="000000"/>
                <w:sz w:val="18"/>
                <w:szCs w:val="18"/>
              </w:rPr>
            </w:pPr>
            <w:r>
              <w:rPr>
                <w:rFonts w:ascii="Arial Narrow" w:hAnsi="Arial Narrow" w:cs="Calibri"/>
                <w:color w:val="000000"/>
                <w:sz w:val="18"/>
                <w:szCs w:val="18"/>
              </w:rPr>
              <w:t>44.042</w:t>
            </w:r>
          </w:p>
        </w:tc>
        <w:tc>
          <w:tcPr>
            <w:tcW w:w="2136" w:type="dxa"/>
            <w:tcBorders>
              <w:top w:val="nil"/>
              <w:left w:val="nil"/>
              <w:bottom w:val="single" w:sz="4" w:space="0" w:color="262626"/>
              <w:right w:val="nil"/>
            </w:tcBorders>
            <w:shd w:val="clear" w:color="auto" w:fill="auto"/>
            <w:noWrap/>
            <w:vAlign w:val="center"/>
            <w:hideMark/>
          </w:tcPr>
          <w:p w14:paraId="09853967" w14:textId="77777777" w:rsidR="00574B7B" w:rsidRDefault="00574B7B">
            <w:pPr>
              <w:jc w:val="right"/>
              <w:rPr>
                <w:rFonts w:ascii="Arial Narrow" w:hAnsi="Arial Narrow" w:cs="Calibri"/>
                <w:color w:val="000000"/>
                <w:sz w:val="18"/>
                <w:szCs w:val="18"/>
              </w:rPr>
            </w:pPr>
            <w:r>
              <w:rPr>
                <w:rFonts w:ascii="Arial Narrow" w:hAnsi="Arial Narrow" w:cs="Calibri"/>
                <w:color w:val="000000"/>
                <w:sz w:val="18"/>
                <w:szCs w:val="18"/>
              </w:rPr>
              <w:t xml:space="preserve">-1,1 </w:t>
            </w:r>
          </w:p>
        </w:tc>
      </w:tr>
      <w:tr w:rsidR="00574B7B" w14:paraId="70388BBA" w14:textId="77777777" w:rsidTr="00E62B8D">
        <w:trPr>
          <w:trHeight w:val="288"/>
        </w:trPr>
        <w:tc>
          <w:tcPr>
            <w:tcW w:w="2096" w:type="dxa"/>
            <w:tcBorders>
              <w:top w:val="nil"/>
              <w:left w:val="nil"/>
              <w:bottom w:val="single" w:sz="4" w:space="0" w:color="auto"/>
              <w:right w:val="nil"/>
            </w:tcBorders>
            <w:shd w:val="clear" w:color="000000" w:fill="C9321F"/>
            <w:noWrap/>
            <w:vAlign w:val="center"/>
            <w:hideMark/>
          </w:tcPr>
          <w:p w14:paraId="7F52C4A4" w14:textId="77777777" w:rsidR="00574B7B" w:rsidRDefault="00574B7B">
            <w:pPr>
              <w:rPr>
                <w:rFonts w:ascii="Arial Narrow" w:hAnsi="Arial Narrow" w:cs="Calibri"/>
                <w:b/>
                <w:bCs/>
                <w:color w:val="FFFFFF"/>
                <w:sz w:val="18"/>
                <w:szCs w:val="18"/>
              </w:rPr>
            </w:pPr>
            <w:r>
              <w:rPr>
                <w:rFonts w:ascii="Arial Narrow" w:hAnsi="Arial Narrow" w:cs="Calibri"/>
                <w:b/>
                <w:bCs/>
                <w:color w:val="FFFFFF"/>
                <w:sz w:val="18"/>
                <w:szCs w:val="18"/>
              </w:rPr>
              <w:t>LOMBARDIA</w:t>
            </w:r>
          </w:p>
        </w:tc>
        <w:tc>
          <w:tcPr>
            <w:tcW w:w="1791" w:type="dxa"/>
            <w:tcBorders>
              <w:top w:val="single" w:sz="4" w:space="0" w:color="auto"/>
              <w:left w:val="nil"/>
              <w:bottom w:val="single" w:sz="4" w:space="0" w:color="auto"/>
              <w:right w:val="nil"/>
            </w:tcBorders>
            <w:shd w:val="clear" w:color="000000" w:fill="C9321F"/>
            <w:vAlign w:val="center"/>
            <w:hideMark/>
          </w:tcPr>
          <w:p w14:paraId="254EC95B" w14:textId="77777777" w:rsidR="00574B7B" w:rsidRDefault="00574B7B">
            <w:pPr>
              <w:jc w:val="right"/>
              <w:rPr>
                <w:rFonts w:ascii="Arial Narrow" w:hAnsi="Arial Narrow" w:cs="Calibri"/>
                <w:b/>
                <w:bCs/>
                <w:color w:val="FFFFFF"/>
                <w:sz w:val="18"/>
                <w:szCs w:val="18"/>
              </w:rPr>
            </w:pPr>
            <w:r>
              <w:rPr>
                <w:rFonts w:ascii="Arial Narrow" w:hAnsi="Arial Narrow" w:cs="Calibri"/>
                <w:b/>
                <w:bCs/>
                <w:color w:val="FFFFFF"/>
                <w:sz w:val="18"/>
                <w:szCs w:val="18"/>
              </w:rPr>
              <w:t>1506</w:t>
            </w:r>
          </w:p>
        </w:tc>
        <w:tc>
          <w:tcPr>
            <w:tcW w:w="1783" w:type="dxa"/>
            <w:tcBorders>
              <w:top w:val="nil"/>
              <w:left w:val="nil"/>
              <w:bottom w:val="single" w:sz="4" w:space="0" w:color="262626"/>
              <w:right w:val="nil"/>
            </w:tcBorders>
            <w:shd w:val="clear" w:color="000000" w:fill="C9321F"/>
            <w:noWrap/>
            <w:vAlign w:val="center"/>
            <w:hideMark/>
          </w:tcPr>
          <w:p w14:paraId="5A8F729C" w14:textId="77777777" w:rsidR="00574B7B" w:rsidRDefault="00574B7B">
            <w:pPr>
              <w:jc w:val="right"/>
              <w:rPr>
                <w:rFonts w:ascii="Arial Narrow" w:hAnsi="Arial Narrow" w:cs="Calibri"/>
                <w:b/>
                <w:bCs/>
                <w:color w:val="FFFFFF"/>
                <w:sz w:val="18"/>
                <w:szCs w:val="18"/>
              </w:rPr>
            </w:pPr>
            <w:r>
              <w:rPr>
                <w:rFonts w:ascii="Arial Narrow" w:hAnsi="Arial Narrow" w:cs="Calibri"/>
                <w:b/>
                <w:bCs/>
                <w:color w:val="FFFFFF"/>
                <w:sz w:val="18"/>
                <w:szCs w:val="18"/>
              </w:rPr>
              <w:t xml:space="preserve">9.981.554 </w:t>
            </w:r>
          </w:p>
        </w:tc>
        <w:tc>
          <w:tcPr>
            <w:tcW w:w="1833" w:type="dxa"/>
            <w:tcBorders>
              <w:top w:val="single" w:sz="4" w:space="0" w:color="auto"/>
              <w:left w:val="nil"/>
              <w:bottom w:val="single" w:sz="4" w:space="0" w:color="auto"/>
              <w:right w:val="nil"/>
            </w:tcBorders>
            <w:shd w:val="clear" w:color="000000" w:fill="C9321F"/>
            <w:vAlign w:val="center"/>
            <w:hideMark/>
          </w:tcPr>
          <w:p w14:paraId="4C2CC09C" w14:textId="77777777" w:rsidR="00574B7B" w:rsidRDefault="00574B7B">
            <w:pPr>
              <w:jc w:val="right"/>
              <w:rPr>
                <w:rFonts w:ascii="Arial Narrow" w:hAnsi="Arial Narrow" w:cs="Calibri"/>
                <w:b/>
                <w:bCs/>
                <w:color w:val="FFFFFF"/>
                <w:sz w:val="18"/>
                <w:szCs w:val="18"/>
              </w:rPr>
            </w:pPr>
            <w:r>
              <w:rPr>
                <w:rFonts w:ascii="Arial Narrow" w:hAnsi="Arial Narrow" w:cs="Calibri"/>
                <w:b/>
                <w:bCs/>
                <w:color w:val="FFFFFF"/>
                <w:sz w:val="18"/>
                <w:szCs w:val="18"/>
              </w:rPr>
              <w:t>10.027.602</w:t>
            </w:r>
          </w:p>
        </w:tc>
        <w:tc>
          <w:tcPr>
            <w:tcW w:w="2136" w:type="dxa"/>
            <w:tcBorders>
              <w:top w:val="nil"/>
              <w:left w:val="nil"/>
              <w:bottom w:val="single" w:sz="4" w:space="0" w:color="262626"/>
              <w:right w:val="nil"/>
            </w:tcBorders>
            <w:shd w:val="clear" w:color="000000" w:fill="C9321F"/>
            <w:noWrap/>
            <w:vAlign w:val="center"/>
            <w:hideMark/>
          </w:tcPr>
          <w:p w14:paraId="6BE5F6C3" w14:textId="77777777" w:rsidR="00574B7B" w:rsidRDefault="00574B7B">
            <w:pPr>
              <w:jc w:val="right"/>
              <w:rPr>
                <w:rFonts w:ascii="Arial Narrow" w:hAnsi="Arial Narrow" w:cs="Calibri"/>
                <w:b/>
                <w:bCs/>
                <w:color w:val="FFFFFF"/>
                <w:sz w:val="18"/>
                <w:szCs w:val="18"/>
              </w:rPr>
            </w:pPr>
            <w:r>
              <w:rPr>
                <w:rFonts w:ascii="Arial Narrow" w:hAnsi="Arial Narrow" w:cs="Calibri"/>
                <w:b/>
                <w:bCs/>
                <w:color w:val="FFFFFF"/>
                <w:sz w:val="18"/>
                <w:szCs w:val="18"/>
              </w:rPr>
              <w:t xml:space="preserve">-0,5 </w:t>
            </w:r>
          </w:p>
        </w:tc>
      </w:tr>
      <w:tr w:rsidR="00574B7B" w14:paraId="4D595811" w14:textId="77777777" w:rsidTr="00E62B8D">
        <w:trPr>
          <w:trHeight w:val="288"/>
        </w:trPr>
        <w:tc>
          <w:tcPr>
            <w:tcW w:w="7503" w:type="dxa"/>
            <w:gridSpan w:val="4"/>
            <w:tcBorders>
              <w:top w:val="nil"/>
              <w:left w:val="nil"/>
              <w:bottom w:val="nil"/>
              <w:right w:val="nil"/>
            </w:tcBorders>
            <w:shd w:val="clear" w:color="auto" w:fill="auto"/>
            <w:noWrap/>
            <w:vAlign w:val="bottom"/>
            <w:hideMark/>
          </w:tcPr>
          <w:p w14:paraId="44554632" w14:textId="4FD839D3" w:rsidR="00574B7B" w:rsidRDefault="00574B7B">
            <w:pPr>
              <w:rPr>
                <w:rFonts w:ascii="Arial Narrow" w:hAnsi="Arial Narrow" w:cs="Calibri"/>
                <w:color w:val="000000"/>
                <w:sz w:val="16"/>
                <w:szCs w:val="16"/>
              </w:rPr>
            </w:pPr>
            <w:r>
              <w:rPr>
                <w:rFonts w:ascii="Arial Narrow" w:hAnsi="Arial Narrow" w:cs="Calibri"/>
                <w:color w:val="000000"/>
                <w:sz w:val="16"/>
                <w:szCs w:val="16"/>
              </w:rPr>
              <w:t>* la classificazione dei comuni tiene conto dell'incorporazione, del 1° gennaio 2020, di Vendrogno nel comune di Bellano</w:t>
            </w:r>
          </w:p>
        </w:tc>
        <w:tc>
          <w:tcPr>
            <w:tcW w:w="2136" w:type="dxa"/>
            <w:tcBorders>
              <w:top w:val="nil"/>
              <w:left w:val="nil"/>
              <w:bottom w:val="nil"/>
              <w:right w:val="nil"/>
            </w:tcBorders>
            <w:shd w:val="clear" w:color="auto" w:fill="auto"/>
            <w:noWrap/>
            <w:vAlign w:val="bottom"/>
            <w:hideMark/>
          </w:tcPr>
          <w:p w14:paraId="1672CE19" w14:textId="77777777" w:rsidR="00574B7B" w:rsidRDefault="00574B7B">
            <w:pPr>
              <w:rPr>
                <w:rFonts w:ascii="Arial Narrow" w:hAnsi="Arial Narrow" w:cs="Calibri"/>
                <w:color w:val="000000"/>
                <w:sz w:val="16"/>
                <w:szCs w:val="16"/>
              </w:rPr>
            </w:pPr>
          </w:p>
        </w:tc>
      </w:tr>
    </w:tbl>
    <w:p w14:paraId="1282CF5E" w14:textId="77777777" w:rsidR="00574B7B" w:rsidRDefault="00574B7B" w:rsidP="00B94469">
      <w:pPr>
        <w:keepNext/>
        <w:keepLines/>
        <w:spacing w:after="60"/>
        <w:jc w:val="both"/>
        <w:rPr>
          <w:rFonts w:ascii="Arial Narrow" w:hAnsi="Arial Narrow"/>
          <w:color w:val="595959" w:themeColor="text1" w:themeTint="A6"/>
          <w:sz w:val="20"/>
          <w:szCs w:val="20"/>
        </w:rPr>
      </w:pPr>
    </w:p>
    <w:p w14:paraId="1F5A6B05" w14:textId="77777777" w:rsidR="00F34C96" w:rsidRPr="00A445FC" w:rsidRDefault="00F34C96" w:rsidP="009A34C5">
      <w:pPr>
        <w:pStyle w:val="Paragrafoelenco"/>
        <w:spacing w:after="120" w:line="240" w:lineRule="auto"/>
        <w:ind w:left="426"/>
        <w:contextualSpacing w:val="0"/>
        <w:jc w:val="both"/>
        <w:rPr>
          <w:rFonts w:ascii="Trebuchet MS" w:hAnsi="Trebuchet MS" w:cs="Arial"/>
          <w:color w:val="5F5F5F"/>
          <w:sz w:val="20"/>
          <w:szCs w:val="20"/>
        </w:rPr>
      </w:pPr>
    </w:p>
    <w:p w14:paraId="32CDED36" w14:textId="6DC2665E" w:rsidR="009A34C5" w:rsidRDefault="009A34C5" w:rsidP="009A34C5">
      <w:pPr>
        <w:keepNext/>
        <w:keepLines/>
        <w:spacing w:after="120"/>
        <w:jc w:val="both"/>
        <w:rPr>
          <w:rFonts w:ascii="Arial Narrow" w:hAnsi="Arial Narrow"/>
          <w:color w:val="595959" w:themeColor="text1" w:themeTint="A6"/>
          <w:sz w:val="20"/>
          <w:szCs w:val="20"/>
        </w:rPr>
      </w:pPr>
      <w:r w:rsidRPr="008340B2">
        <w:rPr>
          <w:rFonts w:ascii="Arial Narrow" w:hAnsi="Arial Narrow"/>
          <w:b/>
          <w:bCs/>
          <w:color w:val="595959" w:themeColor="text1" w:themeTint="A6"/>
          <w:sz w:val="22"/>
          <w:szCs w:val="22"/>
        </w:rPr>
        <w:lastRenderedPageBreak/>
        <w:t xml:space="preserve">PROSPETTO </w:t>
      </w:r>
      <w:r w:rsidR="00D74732">
        <w:rPr>
          <w:rFonts w:ascii="Arial Narrow" w:hAnsi="Arial Narrow"/>
          <w:b/>
          <w:bCs/>
          <w:color w:val="595959" w:themeColor="text1" w:themeTint="A6"/>
          <w:sz w:val="22"/>
          <w:szCs w:val="22"/>
        </w:rPr>
        <w:t>13</w:t>
      </w:r>
      <w:r w:rsidRPr="008340B2">
        <w:rPr>
          <w:rFonts w:ascii="Arial Narrow" w:hAnsi="Arial Narrow"/>
          <w:b/>
          <w:bCs/>
          <w:color w:val="595959" w:themeColor="text1" w:themeTint="A6"/>
          <w:sz w:val="22"/>
          <w:szCs w:val="22"/>
        </w:rPr>
        <w:t>.</w:t>
      </w:r>
      <w:r w:rsidRPr="008340B2">
        <w:rPr>
          <w:rFonts w:ascii="Arial" w:hAnsi="Arial" w:cs="Arial"/>
          <w:b/>
          <w:bCs/>
          <w:color w:val="595959" w:themeColor="text1" w:themeTint="A6"/>
          <w:sz w:val="20"/>
          <w:szCs w:val="20"/>
        </w:rPr>
        <w:t xml:space="preserve"> </w:t>
      </w:r>
      <w:r w:rsidRPr="008340B2">
        <w:rPr>
          <w:rFonts w:ascii="Arial Narrow" w:hAnsi="Arial Narrow"/>
          <w:color w:val="595959" w:themeColor="text1" w:themeTint="A6"/>
          <w:sz w:val="22"/>
          <w:szCs w:val="22"/>
        </w:rPr>
        <w:t>INDICATORI SOCIO-DEMOGRAFICI PER CLASSIFICAZIONE DEI COMUNI SECONDO LA STRATEGIA NAZIONALE DELLE AREE INTERNE</w:t>
      </w:r>
      <w:r w:rsidRPr="008340B2">
        <w:rPr>
          <w:rFonts w:ascii="Arial Narrow" w:hAnsi="Arial Narrow"/>
          <w:color w:val="595959" w:themeColor="text1" w:themeTint="A6"/>
          <w:sz w:val="20"/>
          <w:szCs w:val="20"/>
        </w:rPr>
        <w:t>. Censimento 20</w:t>
      </w:r>
      <w:r>
        <w:rPr>
          <w:rFonts w:ascii="Arial Narrow" w:hAnsi="Arial Narrow"/>
          <w:color w:val="595959" w:themeColor="text1" w:themeTint="A6"/>
          <w:sz w:val="20"/>
          <w:szCs w:val="20"/>
        </w:rPr>
        <w:t>20</w:t>
      </w:r>
    </w:p>
    <w:tbl>
      <w:tblPr>
        <w:tblW w:w="9740" w:type="dxa"/>
        <w:tblCellMar>
          <w:left w:w="70" w:type="dxa"/>
          <w:right w:w="70" w:type="dxa"/>
        </w:tblCellMar>
        <w:tblLook w:val="04A0" w:firstRow="1" w:lastRow="0" w:firstColumn="1" w:lastColumn="0" w:noHBand="0" w:noVBand="1"/>
      </w:tblPr>
      <w:tblGrid>
        <w:gridCol w:w="1791"/>
        <w:gridCol w:w="849"/>
        <w:gridCol w:w="1018"/>
        <w:gridCol w:w="848"/>
        <w:gridCol w:w="805"/>
        <w:gridCol w:w="879"/>
        <w:gridCol w:w="836"/>
        <w:gridCol w:w="855"/>
        <w:gridCol w:w="806"/>
        <w:gridCol w:w="1053"/>
      </w:tblGrid>
      <w:tr w:rsidR="00B90CDD" w14:paraId="11C5CA67" w14:textId="77777777" w:rsidTr="00B90CDD">
        <w:trPr>
          <w:trHeight w:val="300"/>
        </w:trPr>
        <w:tc>
          <w:tcPr>
            <w:tcW w:w="1791" w:type="dxa"/>
            <w:vMerge w:val="restart"/>
            <w:tcBorders>
              <w:top w:val="single" w:sz="4" w:space="0" w:color="auto"/>
              <w:left w:val="nil"/>
              <w:bottom w:val="single" w:sz="4" w:space="0" w:color="auto"/>
              <w:right w:val="nil"/>
            </w:tcBorders>
            <w:shd w:val="clear" w:color="auto" w:fill="auto"/>
            <w:vAlign w:val="center"/>
            <w:hideMark/>
          </w:tcPr>
          <w:p w14:paraId="7C862A9C" w14:textId="77777777" w:rsidR="00B90CDD" w:rsidRDefault="00B90CDD">
            <w:pPr>
              <w:rPr>
                <w:rFonts w:ascii="Arial Narrow" w:hAnsi="Arial Narrow" w:cs="Calibri"/>
                <w:b/>
                <w:bCs/>
                <w:color w:val="000000"/>
                <w:sz w:val="18"/>
                <w:szCs w:val="18"/>
              </w:rPr>
            </w:pPr>
            <w:r>
              <w:rPr>
                <w:rFonts w:ascii="Arial Narrow" w:hAnsi="Arial Narrow" w:cs="Calibri"/>
                <w:b/>
                <w:bCs/>
                <w:color w:val="000000"/>
                <w:sz w:val="18"/>
                <w:szCs w:val="18"/>
              </w:rPr>
              <w:t>INDICATORI</w:t>
            </w:r>
          </w:p>
        </w:tc>
        <w:tc>
          <w:tcPr>
            <w:tcW w:w="3520" w:type="dxa"/>
            <w:gridSpan w:val="4"/>
            <w:tcBorders>
              <w:top w:val="single" w:sz="4" w:space="0" w:color="auto"/>
              <w:left w:val="nil"/>
              <w:bottom w:val="single" w:sz="4" w:space="0" w:color="auto"/>
              <w:right w:val="nil"/>
            </w:tcBorders>
            <w:shd w:val="clear" w:color="000000" w:fill="D9D9D9"/>
            <w:noWrap/>
            <w:vAlign w:val="center"/>
            <w:hideMark/>
          </w:tcPr>
          <w:p w14:paraId="421DA8F2" w14:textId="77777777" w:rsidR="00B90CDD" w:rsidRDefault="00B90CDD">
            <w:pPr>
              <w:jc w:val="center"/>
              <w:rPr>
                <w:rFonts w:ascii="Arial Narrow" w:hAnsi="Arial Narrow" w:cs="Calibri"/>
                <w:b/>
                <w:bCs/>
                <w:color w:val="000000"/>
                <w:sz w:val="18"/>
                <w:szCs w:val="18"/>
              </w:rPr>
            </w:pPr>
            <w:r>
              <w:rPr>
                <w:rFonts w:ascii="Arial Narrow" w:hAnsi="Arial Narrow" w:cs="Calibri"/>
                <w:b/>
                <w:bCs/>
                <w:color w:val="000000"/>
                <w:sz w:val="18"/>
                <w:szCs w:val="18"/>
              </w:rPr>
              <w:t>Centri</w:t>
            </w:r>
          </w:p>
        </w:tc>
        <w:tc>
          <w:tcPr>
            <w:tcW w:w="3376" w:type="dxa"/>
            <w:gridSpan w:val="4"/>
            <w:tcBorders>
              <w:top w:val="single" w:sz="4" w:space="0" w:color="auto"/>
              <w:left w:val="nil"/>
              <w:bottom w:val="single" w:sz="4" w:space="0" w:color="auto"/>
              <w:right w:val="nil"/>
            </w:tcBorders>
            <w:shd w:val="clear" w:color="auto" w:fill="auto"/>
            <w:noWrap/>
            <w:vAlign w:val="center"/>
            <w:hideMark/>
          </w:tcPr>
          <w:p w14:paraId="06E71293" w14:textId="77777777" w:rsidR="00B90CDD" w:rsidRDefault="00B90CDD">
            <w:pPr>
              <w:jc w:val="center"/>
              <w:rPr>
                <w:rFonts w:ascii="Arial Narrow" w:hAnsi="Arial Narrow" w:cs="Calibri"/>
                <w:b/>
                <w:bCs/>
                <w:color w:val="000000"/>
                <w:sz w:val="18"/>
                <w:szCs w:val="18"/>
              </w:rPr>
            </w:pPr>
            <w:r>
              <w:rPr>
                <w:rFonts w:ascii="Arial Narrow" w:hAnsi="Arial Narrow" w:cs="Calibri"/>
                <w:b/>
                <w:bCs/>
                <w:color w:val="000000"/>
                <w:sz w:val="18"/>
                <w:szCs w:val="18"/>
              </w:rPr>
              <w:t>Aree interne</w:t>
            </w:r>
          </w:p>
        </w:tc>
        <w:tc>
          <w:tcPr>
            <w:tcW w:w="1053" w:type="dxa"/>
            <w:vMerge w:val="restart"/>
            <w:tcBorders>
              <w:top w:val="single" w:sz="4" w:space="0" w:color="auto"/>
              <w:left w:val="nil"/>
              <w:bottom w:val="single" w:sz="4" w:space="0" w:color="auto"/>
              <w:right w:val="nil"/>
            </w:tcBorders>
            <w:shd w:val="clear" w:color="000000" w:fill="C9321F"/>
            <w:vAlign w:val="center"/>
            <w:hideMark/>
          </w:tcPr>
          <w:p w14:paraId="69C04FE4" w14:textId="77777777" w:rsidR="00B90CDD" w:rsidRDefault="00B90CDD">
            <w:pPr>
              <w:jc w:val="right"/>
              <w:rPr>
                <w:rFonts w:ascii="Arial Narrow" w:hAnsi="Arial Narrow" w:cs="Calibri"/>
                <w:b/>
                <w:bCs/>
                <w:color w:val="FFFFFF"/>
                <w:sz w:val="18"/>
                <w:szCs w:val="18"/>
              </w:rPr>
            </w:pPr>
            <w:r>
              <w:rPr>
                <w:rFonts w:ascii="Arial Narrow" w:hAnsi="Arial Narrow" w:cs="Calibri"/>
                <w:b/>
                <w:bCs/>
                <w:color w:val="FFFFFF"/>
                <w:sz w:val="18"/>
                <w:szCs w:val="18"/>
              </w:rPr>
              <w:t>LOMBARDIA</w:t>
            </w:r>
          </w:p>
        </w:tc>
      </w:tr>
      <w:tr w:rsidR="00B90CDD" w14:paraId="4A4431E7" w14:textId="77777777" w:rsidTr="00B90CDD">
        <w:trPr>
          <w:trHeight w:val="540"/>
        </w:trPr>
        <w:tc>
          <w:tcPr>
            <w:tcW w:w="1791" w:type="dxa"/>
            <w:vMerge/>
            <w:tcBorders>
              <w:top w:val="single" w:sz="4" w:space="0" w:color="auto"/>
              <w:left w:val="nil"/>
              <w:bottom w:val="single" w:sz="4" w:space="0" w:color="auto"/>
              <w:right w:val="nil"/>
            </w:tcBorders>
            <w:vAlign w:val="center"/>
            <w:hideMark/>
          </w:tcPr>
          <w:p w14:paraId="6BF28C76" w14:textId="77777777" w:rsidR="00B90CDD" w:rsidRDefault="00B90CDD">
            <w:pPr>
              <w:rPr>
                <w:rFonts w:ascii="Arial Narrow" w:hAnsi="Arial Narrow" w:cs="Calibri"/>
                <w:b/>
                <w:bCs/>
                <w:color w:val="000000"/>
                <w:sz w:val="18"/>
                <w:szCs w:val="18"/>
              </w:rPr>
            </w:pPr>
          </w:p>
        </w:tc>
        <w:tc>
          <w:tcPr>
            <w:tcW w:w="849" w:type="dxa"/>
            <w:tcBorders>
              <w:top w:val="single" w:sz="4" w:space="0" w:color="auto"/>
              <w:left w:val="nil"/>
              <w:bottom w:val="single" w:sz="4" w:space="0" w:color="auto"/>
              <w:right w:val="nil"/>
            </w:tcBorders>
            <w:shd w:val="clear" w:color="auto" w:fill="auto"/>
            <w:vAlign w:val="center"/>
            <w:hideMark/>
          </w:tcPr>
          <w:p w14:paraId="530369CD"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Polo</w:t>
            </w:r>
          </w:p>
        </w:tc>
        <w:tc>
          <w:tcPr>
            <w:tcW w:w="1018" w:type="dxa"/>
            <w:tcBorders>
              <w:top w:val="single" w:sz="4" w:space="0" w:color="auto"/>
              <w:left w:val="nil"/>
              <w:bottom w:val="single" w:sz="4" w:space="0" w:color="auto"/>
              <w:right w:val="nil"/>
            </w:tcBorders>
            <w:shd w:val="clear" w:color="auto" w:fill="auto"/>
            <w:vAlign w:val="center"/>
            <w:hideMark/>
          </w:tcPr>
          <w:p w14:paraId="44FEBCB5"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Polo in- </w:t>
            </w:r>
            <w:proofErr w:type="spellStart"/>
            <w:r>
              <w:rPr>
                <w:rFonts w:ascii="Arial Narrow" w:hAnsi="Arial Narrow" w:cs="Calibri"/>
                <w:color w:val="000000"/>
                <w:sz w:val="18"/>
                <w:szCs w:val="18"/>
              </w:rPr>
              <w:t>tercomunale</w:t>
            </w:r>
            <w:proofErr w:type="spellEnd"/>
          </w:p>
        </w:tc>
        <w:tc>
          <w:tcPr>
            <w:tcW w:w="848" w:type="dxa"/>
            <w:tcBorders>
              <w:top w:val="single" w:sz="4" w:space="0" w:color="auto"/>
              <w:left w:val="nil"/>
              <w:bottom w:val="single" w:sz="4" w:space="0" w:color="auto"/>
              <w:right w:val="nil"/>
            </w:tcBorders>
            <w:shd w:val="clear" w:color="auto" w:fill="auto"/>
            <w:vAlign w:val="center"/>
            <w:hideMark/>
          </w:tcPr>
          <w:p w14:paraId="7B9A406B"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Cintura</w:t>
            </w:r>
          </w:p>
        </w:tc>
        <w:tc>
          <w:tcPr>
            <w:tcW w:w="805" w:type="dxa"/>
            <w:tcBorders>
              <w:top w:val="single" w:sz="4" w:space="0" w:color="auto"/>
              <w:left w:val="nil"/>
              <w:bottom w:val="single" w:sz="4" w:space="0" w:color="auto"/>
              <w:right w:val="nil"/>
            </w:tcBorders>
            <w:shd w:val="clear" w:color="auto" w:fill="auto"/>
            <w:vAlign w:val="center"/>
            <w:hideMark/>
          </w:tcPr>
          <w:p w14:paraId="67A652D0" w14:textId="77777777" w:rsidR="00B90CDD" w:rsidRDefault="00B90CDD">
            <w:pPr>
              <w:jc w:val="right"/>
              <w:rPr>
                <w:rFonts w:ascii="Arial Narrow" w:hAnsi="Arial Narrow" w:cs="Calibri"/>
                <w:b/>
                <w:bCs/>
                <w:color w:val="000000"/>
                <w:sz w:val="18"/>
                <w:szCs w:val="18"/>
              </w:rPr>
            </w:pPr>
            <w:r>
              <w:rPr>
                <w:rFonts w:ascii="Arial Narrow" w:hAnsi="Arial Narrow" w:cs="Calibri"/>
                <w:b/>
                <w:bCs/>
                <w:color w:val="000000"/>
                <w:sz w:val="18"/>
                <w:szCs w:val="18"/>
              </w:rPr>
              <w:t>Totale</w:t>
            </w:r>
          </w:p>
        </w:tc>
        <w:tc>
          <w:tcPr>
            <w:tcW w:w="879" w:type="dxa"/>
            <w:tcBorders>
              <w:top w:val="single" w:sz="4" w:space="0" w:color="auto"/>
              <w:left w:val="nil"/>
              <w:bottom w:val="single" w:sz="4" w:space="0" w:color="auto"/>
              <w:right w:val="nil"/>
            </w:tcBorders>
            <w:shd w:val="clear" w:color="auto" w:fill="auto"/>
            <w:vAlign w:val="center"/>
            <w:hideMark/>
          </w:tcPr>
          <w:p w14:paraId="72C3DED5"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Intermedio </w:t>
            </w:r>
          </w:p>
        </w:tc>
        <w:tc>
          <w:tcPr>
            <w:tcW w:w="836" w:type="dxa"/>
            <w:tcBorders>
              <w:top w:val="single" w:sz="4" w:space="0" w:color="auto"/>
              <w:left w:val="nil"/>
              <w:bottom w:val="single" w:sz="4" w:space="0" w:color="auto"/>
              <w:right w:val="nil"/>
            </w:tcBorders>
            <w:shd w:val="clear" w:color="auto" w:fill="auto"/>
            <w:vAlign w:val="center"/>
            <w:hideMark/>
          </w:tcPr>
          <w:p w14:paraId="5F489972"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Periferico</w:t>
            </w:r>
          </w:p>
        </w:tc>
        <w:tc>
          <w:tcPr>
            <w:tcW w:w="855" w:type="dxa"/>
            <w:tcBorders>
              <w:top w:val="single" w:sz="4" w:space="0" w:color="auto"/>
              <w:left w:val="nil"/>
              <w:bottom w:val="single" w:sz="4" w:space="0" w:color="auto"/>
              <w:right w:val="nil"/>
            </w:tcBorders>
            <w:shd w:val="clear" w:color="auto" w:fill="auto"/>
            <w:vAlign w:val="center"/>
            <w:hideMark/>
          </w:tcPr>
          <w:p w14:paraId="7F33A538"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Ultra-periferico</w:t>
            </w:r>
          </w:p>
        </w:tc>
        <w:tc>
          <w:tcPr>
            <w:tcW w:w="806" w:type="dxa"/>
            <w:tcBorders>
              <w:top w:val="single" w:sz="4" w:space="0" w:color="auto"/>
              <w:left w:val="nil"/>
              <w:bottom w:val="single" w:sz="4" w:space="0" w:color="auto"/>
              <w:right w:val="nil"/>
            </w:tcBorders>
            <w:shd w:val="clear" w:color="auto" w:fill="auto"/>
            <w:vAlign w:val="center"/>
            <w:hideMark/>
          </w:tcPr>
          <w:p w14:paraId="7B564A61" w14:textId="77777777" w:rsidR="00B90CDD" w:rsidRDefault="00B90CDD">
            <w:pPr>
              <w:jc w:val="right"/>
              <w:rPr>
                <w:rFonts w:ascii="Arial Narrow" w:hAnsi="Arial Narrow" w:cs="Calibri"/>
                <w:b/>
                <w:bCs/>
                <w:color w:val="000000"/>
                <w:sz w:val="18"/>
                <w:szCs w:val="18"/>
              </w:rPr>
            </w:pPr>
            <w:r>
              <w:rPr>
                <w:rFonts w:ascii="Arial Narrow" w:hAnsi="Arial Narrow" w:cs="Calibri"/>
                <w:b/>
                <w:bCs/>
                <w:color w:val="000000"/>
                <w:sz w:val="18"/>
                <w:szCs w:val="18"/>
              </w:rPr>
              <w:t>Totale</w:t>
            </w:r>
          </w:p>
        </w:tc>
        <w:tc>
          <w:tcPr>
            <w:tcW w:w="1053" w:type="dxa"/>
            <w:vMerge/>
            <w:tcBorders>
              <w:top w:val="single" w:sz="4" w:space="0" w:color="auto"/>
              <w:left w:val="nil"/>
              <w:bottom w:val="single" w:sz="4" w:space="0" w:color="auto"/>
              <w:right w:val="nil"/>
            </w:tcBorders>
            <w:vAlign w:val="center"/>
            <w:hideMark/>
          </w:tcPr>
          <w:p w14:paraId="387060F4" w14:textId="77777777" w:rsidR="00B90CDD" w:rsidRDefault="00B90CDD">
            <w:pPr>
              <w:rPr>
                <w:rFonts w:ascii="Arial Narrow" w:hAnsi="Arial Narrow" w:cs="Calibri"/>
                <w:b/>
                <w:bCs/>
                <w:color w:val="FFFFFF"/>
                <w:sz w:val="18"/>
                <w:szCs w:val="18"/>
              </w:rPr>
            </w:pPr>
          </w:p>
        </w:tc>
      </w:tr>
      <w:tr w:rsidR="00B90CDD" w14:paraId="57DCD823" w14:textId="77777777" w:rsidTr="00B90CDD">
        <w:trPr>
          <w:trHeight w:val="300"/>
        </w:trPr>
        <w:tc>
          <w:tcPr>
            <w:tcW w:w="1791" w:type="dxa"/>
            <w:tcBorders>
              <w:top w:val="single" w:sz="4" w:space="0" w:color="auto"/>
              <w:left w:val="nil"/>
              <w:bottom w:val="single" w:sz="4" w:space="0" w:color="auto"/>
              <w:right w:val="nil"/>
            </w:tcBorders>
            <w:shd w:val="clear" w:color="auto" w:fill="auto"/>
            <w:vAlign w:val="center"/>
            <w:hideMark/>
          </w:tcPr>
          <w:p w14:paraId="353B4CC6" w14:textId="77777777" w:rsidR="00B90CDD" w:rsidRDefault="00B90CDD">
            <w:pPr>
              <w:rPr>
                <w:rFonts w:ascii="Arial Narrow" w:hAnsi="Arial Narrow" w:cs="Calibri"/>
                <w:color w:val="000000"/>
                <w:sz w:val="18"/>
                <w:szCs w:val="18"/>
              </w:rPr>
            </w:pPr>
            <w:r>
              <w:rPr>
                <w:rFonts w:ascii="Arial Narrow" w:hAnsi="Arial Narrow" w:cs="Calibri"/>
                <w:color w:val="000000"/>
                <w:sz w:val="18"/>
                <w:szCs w:val="18"/>
              </w:rPr>
              <w:t>Età media</w:t>
            </w:r>
          </w:p>
        </w:tc>
        <w:tc>
          <w:tcPr>
            <w:tcW w:w="849" w:type="dxa"/>
            <w:tcBorders>
              <w:top w:val="single" w:sz="4" w:space="0" w:color="auto"/>
              <w:left w:val="nil"/>
              <w:bottom w:val="single" w:sz="4" w:space="0" w:color="auto"/>
              <w:right w:val="nil"/>
            </w:tcBorders>
            <w:shd w:val="clear" w:color="000000" w:fill="D9D9D9"/>
            <w:noWrap/>
            <w:vAlign w:val="center"/>
            <w:hideMark/>
          </w:tcPr>
          <w:p w14:paraId="3EFD2A50"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45,6 </w:t>
            </w:r>
          </w:p>
        </w:tc>
        <w:tc>
          <w:tcPr>
            <w:tcW w:w="1018" w:type="dxa"/>
            <w:tcBorders>
              <w:top w:val="single" w:sz="4" w:space="0" w:color="auto"/>
              <w:left w:val="nil"/>
              <w:bottom w:val="single" w:sz="4" w:space="0" w:color="auto"/>
              <w:right w:val="nil"/>
            </w:tcBorders>
            <w:shd w:val="clear" w:color="auto" w:fill="auto"/>
            <w:vAlign w:val="center"/>
            <w:hideMark/>
          </w:tcPr>
          <w:p w14:paraId="114D0580"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45,3 </w:t>
            </w:r>
          </w:p>
        </w:tc>
        <w:tc>
          <w:tcPr>
            <w:tcW w:w="848" w:type="dxa"/>
            <w:tcBorders>
              <w:top w:val="single" w:sz="4" w:space="0" w:color="auto"/>
              <w:left w:val="nil"/>
              <w:bottom w:val="single" w:sz="4" w:space="0" w:color="auto"/>
              <w:right w:val="nil"/>
            </w:tcBorders>
            <w:shd w:val="clear" w:color="000000" w:fill="D9D9D9"/>
            <w:noWrap/>
            <w:vAlign w:val="center"/>
            <w:hideMark/>
          </w:tcPr>
          <w:p w14:paraId="52D8A916"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44,6 </w:t>
            </w:r>
          </w:p>
        </w:tc>
        <w:tc>
          <w:tcPr>
            <w:tcW w:w="805" w:type="dxa"/>
            <w:tcBorders>
              <w:top w:val="single" w:sz="4" w:space="0" w:color="auto"/>
              <w:left w:val="nil"/>
              <w:bottom w:val="single" w:sz="4" w:space="0" w:color="auto"/>
              <w:right w:val="nil"/>
            </w:tcBorders>
            <w:shd w:val="clear" w:color="auto" w:fill="auto"/>
            <w:vAlign w:val="center"/>
            <w:hideMark/>
          </w:tcPr>
          <w:p w14:paraId="5CDB8390" w14:textId="77777777" w:rsidR="00B90CDD" w:rsidRDefault="00B90CDD">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         45,0 </w:t>
            </w:r>
          </w:p>
        </w:tc>
        <w:tc>
          <w:tcPr>
            <w:tcW w:w="879" w:type="dxa"/>
            <w:tcBorders>
              <w:top w:val="single" w:sz="4" w:space="0" w:color="auto"/>
              <w:left w:val="nil"/>
              <w:bottom w:val="single" w:sz="4" w:space="0" w:color="auto"/>
              <w:right w:val="nil"/>
            </w:tcBorders>
            <w:shd w:val="clear" w:color="000000" w:fill="D9D9D9"/>
            <w:noWrap/>
            <w:vAlign w:val="center"/>
            <w:hideMark/>
          </w:tcPr>
          <w:p w14:paraId="6C530B98"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46,3 </w:t>
            </w:r>
          </w:p>
        </w:tc>
        <w:tc>
          <w:tcPr>
            <w:tcW w:w="836" w:type="dxa"/>
            <w:tcBorders>
              <w:top w:val="single" w:sz="4" w:space="0" w:color="auto"/>
              <w:left w:val="nil"/>
              <w:bottom w:val="single" w:sz="4" w:space="0" w:color="auto"/>
              <w:right w:val="nil"/>
            </w:tcBorders>
            <w:shd w:val="clear" w:color="auto" w:fill="auto"/>
            <w:vAlign w:val="center"/>
            <w:hideMark/>
          </w:tcPr>
          <w:p w14:paraId="48F0AFB8"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46,4 </w:t>
            </w:r>
          </w:p>
        </w:tc>
        <w:tc>
          <w:tcPr>
            <w:tcW w:w="855" w:type="dxa"/>
            <w:tcBorders>
              <w:top w:val="single" w:sz="4" w:space="0" w:color="auto"/>
              <w:left w:val="nil"/>
              <w:bottom w:val="single" w:sz="4" w:space="0" w:color="auto"/>
              <w:right w:val="nil"/>
            </w:tcBorders>
            <w:shd w:val="clear" w:color="000000" w:fill="D9D9D9"/>
            <w:noWrap/>
            <w:vAlign w:val="center"/>
            <w:hideMark/>
          </w:tcPr>
          <w:p w14:paraId="5491F617"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45,4 </w:t>
            </w:r>
          </w:p>
        </w:tc>
        <w:tc>
          <w:tcPr>
            <w:tcW w:w="806" w:type="dxa"/>
            <w:tcBorders>
              <w:top w:val="single" w:sz="4" w:space="0" w:color="auto"/>
              <w:left w:val="nil"/>
              <w:bottom w:val="single" w:sz="4" w:space="0" w:color="auto"/>
              <w:right w:val="nil"/>
            </w:tcBorders>
            <w:shd w:val="clear" w:color="auto" w:fill="auto"/>
            <w:vAlign w:val="center"/>
            <w:hideMark/>
          </w:tcPr>
          <w:p w14:paraId="7E9ABECC" w14:textId="77777777" w:rsidR="00B90CDD" w:rsidRDefault="00B90CDD">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         46,3 </w:t>
            </w:r>
          </w:p>
        </w:tc>
        <w:tc>
          <w:tcPr>
            <w:tcW w:w="1053" w:type="dxa"/>
            <w:tcBorders>
              <w:top w:val="single" w:sz="4" w:space="0" w:color="auto"/>
              <w:left w:val="nil"/>
              <w:bottom w:val="single" w:sz="4" w:space="0" w:color="auto"/>
              <w:right w:val="nil"/>
            </w:tcBorders>
            <w:shd w:val="clear" w:color="000000" w:fill="C9321F"/>
            <w:noWrap/>
            <w:vAlign w:val="center"/>
            <w:hideMark/>
          </w:tcPr>
          <w:p w14:paraId="11968E46" w14:textId="77777777" w:rsidR="00B90CDD" w:rsidRDefault="00B90CDD">
            <w:pPr>
              <w:jc w:val="right"/>
              <w:rPr>
                <w:rFonts w:ascii="Arial Narrow" w:hAnsi="Arial Narrow" w:cs="Calibri"/>
                <w:b/>
                <w:bCs/>
                <w:color w:val="FFFFFF"/>
                <w:sz w:val="18"/>
                <w:szCs w:val="18"/>
              </w:rPr>
            </w:pPr>
            <w:r>
              <w:rPr>
                <w:rFonts w:ascii="Arial Narrow" w:hAnsi="Arial Narrow" w:cs="Calibri"/>
                <w:b/>
                <w:bCs/>
                <w:color w:val="FFFFFF"/>
                <w:sz w:val="18"/>
                <w:szCs w:val="18"/>
              </w:rPr>
              <w:t>45,1</w:t>
            </w:r>
          </w:p>
        </w:tc>
      </w:tr>
      <w:tr w:rsidR="00B90CDD" w14:paraId="7F06016C" w14:textId="77777777" w:rsidTr="00B90CDD">
        <w:trPr>
          <w:trHeight w:val="300"/>
        </w:trPr>
        <w:tc>
          <w:tcPr>
            <w:tcW w:w="1791" w:type="dxa"/>
            <w:tcBorders>
              <w:top w:val="single" w:sz="4" w:space="0" w:color="auto"/>
              <w:left w:val="nil"/>
              <w:bottom w:val="single" w:sz="4" w:space="0" w:color="auto"/>
              <w:right w:val="nil"/>
            </w:tcBorders>
            <w:shd w:val="clear" w:color="auto" w:fill="auto"/>
            <w:vAlign w:val="center"/>
            <w:hideMark/>
          </w:tcPr>
          <w:p w14:paraId="4E5CA635" w14:textId="77777777" w:rsidR="00B90CDD" w:rsidRDefault="00B90CDD">
            <w:pPr>
              <w:rPr>
                <w:rFonts w:ascii="Arial Narrow" w:hAnsi="Arial Narrow" w:cs="Calibri"/>
                <w:color w:val="000000"/>
                <w:sz w:val="18"/>
                <w:szCs w:val="18"/>
              </w:rPr>
            </w:pPr>
            <w:r>
              <w:rPr>
                <w:rFonts w:ascii="Arial Narrow" w:hAnsi="Arial Narrow" w:cs="Calibri"/>
                <w:color w:val="000000"/>
                <w:sz w:val="18"/>
                <w:szCs w:val="18"/>
              </w:rPr>
              <w:t>Indice di vecchiaia</w:t>
            </w:r>
          </w:p>
        </w:tc>
        <w:tc>
          <w:tcPr>
            <w:tcW w:w="849" w:type="dxa"/>
            <w:tcBorders>
              <w:top w:val="single" w:sz="4" w:space="0" w:color="auto"/>
              <w:left w:val="nil"/>
              <w:bottom w:val="single" w:sz="4" w:space="0" w:color="auto"/>
              <w:right w:val="nil"/>
            </w:tcBorders>
            <w:shd w:val="clear" w:color="000000" w:fill="D9D9D9"/>
            <w:noWrap/>
            <w:vAlign w:val="center"/>
            <w:hideMark/>
          </w:tcPr>
          <w:p w14:paraId="536123E2"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188,5 </w:t>
            </w:r>
          </w:p>
        </w:tc>
        <w:tc>
          <w:tcPr>
            <w:tcW w:w="1018" w:type="dxa"/>
            <w:tcBorders>
              <w:top w:val="single" w:sz="4" w:space="0" w:color="auto"/>
              <w:left w:val="nil"/>
              <w:bottom w:val="single" w:sz="4" w:space="0" w:color="auto"/>
              <w:right w:val="nil"/>
            </w:tcBorders>
            <w:shd w:val="clear" w:color="auto" w:fill="auto"/>
            <w:vAlign w:val="center"/>
            <w:hideMark/>
          </w:tcPr>
          <w:p w14:paraId="50AA6CC4"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178,0 </w:t>
            </w:r>
          </w:p>
        </w:tc>
        <w:tc>
          <w:tcPr>
            <w:tcW w:w="848" w:type="dxa"/>
            <w:tcBorders>
              <w:top w:val="single" w:sz="4" w:space="0" w:color="auto"/>
              <w:left w:val="nil"/>
              <w:bottom w:val="single" w:sz="4" w:space="0" w:color="auto"/>
              <w:right w:val="nil"/>
            </w:tcBorders>
            <w:shd w:val="clear" w:color="000000" w:fill="D9D9D9"/>
            <w:noWrap/>
            <w:vAlign w:val="center"/>
            <w:hideMark/>
          </w:tcPr>
          <w:p w14:paraId="351B88F9"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160,4 </w:t>
            </w:r>
          </w:p>
        </w:tc>
        <w:tc>
          <w:tcPr>
            <w:tcW w:w="805" w:type="dxa"/>
            <w:tcBorders>
              <w:top w:val="single" w:sz="4" w:space="0" w:color="auto"/>
              <w:left w:val="nil"/>
              <w:bottom w:val="single" w:sz="4" w:space="0" w:color="auto"/>
              <w:right w:val="nil"/>
            </w:tcBorders>
            <w:shd w:val="clear" w:color="auto" w:fill="auto"/>
            <w:vAlign w:val="center"/>
            <w:hideMark/>
          </w:tcPr>
          <w:p w14:paraId="7C629644" w14:textId="77777777" w:rsidR="00B90CDD" w:rsidRDefault="00B90CDD">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       169,7 </w:t>
            </w:r>
          </w:p>
        </w:tc>
        <w:tc>
          <w:tcPr>
            <w:tcW w:w="879" w:type="dxa"/>
            <w:tcBorders>
              <w:top w:val="single" w:sz="4" w:space="0" w:color="auto"/>
              <w:left w:val="nil"/>
              <w:bottom w:val="single" w:sz="4" w:space="0" w:color="auto"/>
              <w:right w:val="nil"/>
            </w:tcBorders>
            <w:shd w:val="clear" w:color="000000" w:fill="D9D9D9"/>
            <w:noWrap/>
            <w:vAlign w:val="center"/>
            <w:hideMark/>
          </w:tcPr>
          <w:p w14:paraId="6D2B986D"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197,2 </w:t>
            </w:r>
          </w:p>
        </w:tc>
        <w:tc>
          <w:tcPr>
            <w:tcW w:w="836" w:type="dxa"/>
            <w:tcBorders>
              <w:top w:val="single" w:sz="4" w:space="0" w:color="auto"/>
              <w:left w:val="nil"/>
              <w:bottom w:val="single" w:sz="4" w:space="0" w:color="auto"/>
              <w:right w:val="nil"/>
            </w:tcBorders>
            <w:shd w:val="clear" w:color="auto" w:fill="auto"/>
            <w:vAlign w:val="center"/>
            <w:hideMark/>
          </w:tcPr>
          <w:p w14:paraId="3C8372D4"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202,9 </w:t>
            </w:r>
          </w:p>
        </w:tc>
        <w:tc>
          <w:tcPr>
            <w:tcW w:w="855" w:type="dxa"/>
            <w:tcBorders>
              <w:top w:val="single" w:sz="4" w:space="0" w:color="auto"/>
              <w:left w:val="nil"/>
              <w:bottom w:val="single" w:sz="4" w:space="0" w:color="auto"/>
              <w:right w:val="nil"/>
            </w:tcBorders>
            <w:shd w:val="clear" w:color="000000" w:fill="D9D9D9"/>
            <w:noWrap/>
            <w:vAlign w:val="center"/>
            <w:hideMark/>
          </w:tcPr>
          <w:p w14:paraId="19D8F1C8"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179,4 </w:t>
            </w:r>
          </w:p>
        </w:tc>
        <w:tc>
          <w:tcPr>
            <w:tcW w:w="806" w:type="dxa"/>
            <w:tcBorders>
              <w:top w:val="single" w:sz="4" w:space="0" w:color="auto"/>
              <w:left w:val="nil"/>
              <w:bottom w:val="single" w:sz="4" w:space="0" w:color="auto"/>
              <w:right w:val="nil"/>
            </w:tcBorders>
            <w:shd w:val="clear" w:color="auto" w:fill="auto"/>
            <w:vAlign w:val="center"/>
            <w:hideMark/>
          </w:tcPr>
          <w:p w14:paraId="32C03310" w14:textId="77777777" w:rsidR="00B90CDD" w:rsidRDefault="00B90CDD">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       197,9 </w:t>
            </w:r>
          </w:p>
        </w:tc>
        <w:tc>
          <w:tcPr>
            <w:tcW w:w="1053" w:type="dxa"/>
            <w:tcBorders>
              <w:top w:val="single" w:sz="4" w:space="0" w:color="auto"/>
              <w:left w:val="nil"/>
              <w:bottom w:val="single" w:sz="4" w:space="0" w:color="auto"/>
              <w:right w:val="nil"/>
            </w:tcBorders>
            <w:shd w:val="clear" w:color="000000" w:fill="C9321F"/>
            <w:noWrap/>
            <w:vAlign w:val="center"/>
            <w:hideMark/>
          </w:tcPr>
          <w:p w14:paraId="1273C980" w14:textId="77777777" w:rsidR="00B90CDD" w:rsidRDefault="00B90CDD">
            <w:pPr>
              <w:jc w:val="right"/>
              <w:rPr>
                <w:rFonts w:ascii="Arial Narrow" w:hAnsi="Arial Narrow" w:cs="Calibri"/>
                <w:b/>
                <w:bCs/>
                <w:color w:val="FFFFFF"/>
                <w:sz w:val="18"/>
                <w:szCs w:val="18"/>
              </w:rPr>
            </w:pPr>
            <w:r>
              <w:rPr>
                <w:rFonts w:ascii="Arial Narrow" w:hAnsi="Arial Narrow" w:cs="Calibri"/>
                <w:b/>
                <w:bCs/>
                <w:color w:val="FFFFFF"/>
                <w:sz w:val="18"/>
                <w:szCs w:val="18"/>
              </w:rPr>
              <w:t>172,3</w:t>
            </w:r>
          </w:p>
        </w:tc>
      </w:tr>
      <w:tr w:rsidR="00B90CDD" w14:paraId="543F50F4" w14:textId="77777777" w:rsidTr="00B90CDD">
        <w:trPr>
          <w:trHeight w:val="540"/>
        </w:trPr>
        <w:tc>
          <w:tcPr>
            <w:tcW w:w="1791" w:type="dxa"/>
            <w:tcBorders>
              <w:top w:val="single" w:sz="4" w:space="0" w:color="auto"/>
              <w:left w:val="nil"/>
              <w:bottom w:val="single" w:sz="4" w:space="0" w:color="auto"/>
              <w:right w:val="nil"/>
            </w:tcBorders>
            <w:shd w:val="clear" w:color="auto" w:fill="auto"/>
            <w:vAlign w:val="center"/>
            <w:hideMark/>
          </w:tcPr>
          <w:p w14:paraId="247188D8" w14:textId="77777777" w:rsidR="00B90CDD" w:rsidRDefault="00B90CDD">
            <w:pPr>
              <w:rPr>
                <w:rFonts w:ascii="Arial Narrow" w:hAnsi="Arial Narrow" w:cs="Calibri"/>
                <w:color w:val="000000"/>
                <w:sz w:val="18"/>
                <w:szCs w:val="18"/>
              </w:rPr>
            </w:pPr>
            <w:r>
              <w:rPr>
                <w:rFonts w:ascii="Arial Narrow" w:hAnsi="Arial Narrow" w:cs="Calibri"/>
                <w:color w:val="000000"/>
                <w:sz w:val="18"/>
                <w:szCs w:val="18"/>
              </w:rPr>
              <w:t>Indice di struttura della popolazione attiva</w:t>
            </w:r>
          </w:p>
        </w:tc>
        <w:tc>
          <w:tcPr>
            <w:tcW w:w="849" w:type="dxa"/>
            <w:tcBorders>
              <w:top w:val="single" w:sz="4" w:space="0" w:color="auto"/>
              <w:left w:val="nil"/>
              <w:bottom w:val="single" w:sz="4" w:space="0" w:color="auto"/>
              <w:right w:val="nil"/>
            </w:tcBorders>
            <w:shd w:val="clear" w:color="000000" w:fill="D9D9D9"/>
            <w:noWrap/>
            <w:vAlign w:val="center"/>
            <w:hideMark/>
          </w:tcPr>
          <w:p w14:paraId="329B7CA5"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133,6 </w:t>
            </w:r>
          </w:p>
        </w:tc>
        <w:tc>
          <w:tcPr>
            <w:tcW w:w="1018" w:type="dxa"/>
            <w:tcBorders>
              <w:top w:val="single" w:sz="4" w:space="0" w:color="auto"/>
              <w:left w:val="nil"/>
              <w:bottom w:val="single" w:sz="4" w:space="0" w:color="auto"/>
              <w:right w:val="nil"/>
            </w:tcBorders>
            <w:shd w:val="clear" w:color="auto" w:fill="auto"/>
            <w:vAlign w:val="center"/>
            <w:hideMark/>
          </w:tcPr>
          <w:p w14:paraId="120985EF"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140,2 </w:t>
            </w:r>
          </w:p>
        </w:tc>
        <w:tc>
          <w:tcPr>
            <w:tcW w:w="848" w:type="dxa"/>
            <w:tcBorders>
              <w:top w:val="single" w:sz="4" w:space="0" w:color="auto"/>
              <w:left w:val="nil"/>
              <w:bottom w:val="single" w:sz="4" w:space="0" w:color="auto"/>
              <w:right w:val="nil"/>
            </w:tcBorders>
            <w:shd w:val="clear" w:color="000000" w:fill="D9D9D9"/>
            <w:noWrap/>
            <w:vAlign w:val="center"/>
            <w:hideMark/>
          </w:tcPr>
          <w:p w14:paraId="1263D9F3"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147,4 </w:t>
            </w:r>
          </w:p>
        </w:tc>
        <w:tc>
          <w:tcPr>
            <w:tcW w:w="805" w:type="dxa"/>
            <w:tcBorders>
              <w:top w:val="single" w:sz="4" w:space="0" w:color="auto"/>
              <w:left w:val="nil"/>
              <w:bottom w:val="single" w:sz="4" w:space="0" w:color="auto"/>
              <w:right w:val="nil"/>
            </w:tcBorders>
            <w:shd w:val="clear" w:color="auto" w:fill="auto"/>
            <w:vAlign w:val="center"/>
            <w:hideMark/>
          </w:tcPr>
          <w:p w14:paraId="1BACF4A1" w14:textId="77777777" w:rsidR="00B90CDD" w:rsidRDefault="00B90CDD">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       142,5 </w:t>
            </w:r>
          </w:p>
        </w:tc>
        <w:tc>
          <w:tcPr>
            <w:tcW w:w="879" w:type="dxa"/>
            <w:tcBorders>
              <w:top w:val="single" w:sz="4" w:space="0" w:color="auto"/>
              <w:left w:val="nil"/>
              <w:bottom w:val="single" w:sz="4" w:space="0" w:color="auto"/>
              <w:right w:val="nil"/>
            </w:tcBorders>
            <w:shd w:val="clear" w:color="000000" w:fill="D9D9D9"/>
            <w:noWrap/>
            <w:vAlign w:val="center"/>
            <w:hideMark/>
          </w:tcPr>
          <w:p w14:paraId="5531848D"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152,1 </w:t>
            </w:r>
          </w:p>
        </w:tc>
        <w:tc>
          <w:tcPr>
            <w:tcW w:w="836" w:type="dxa"/>
            <w:tcBorders>
              <w:top w:val="single" w:sz="4" w:space="0" w:color="auto"/>
              <w:left w:val="nil"/>
              <w:bottom w:val="single" w:sz="4" w:space="0" w:color="auto"/>
              <w:right w:val="nil"/>
            </w:tcBorders>
            <w:shd w:val="clear" w:color="auto" w:fill="auto"/>
            <w:vAlign w:val="center"/>
            <w:hideMark/>
          </w:tcPr>
          <w:p w14:paraId="67B6FAAC"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150,2 </w:t>
            </w:r>
          </w:p>
        </w:tc>
        <w:tc>
          <w:tcPr>
            <w:tcW w:w="855" w:type="dxa"/>
            <w:tcBorders>
              <w:top w:val="single" w:sz="4" w:space="0" w:color="auto"/>
              <w:left w:val="nil"/>
              <w:bottom w:val="single" w:sz="4" w:space="0" w:color="auto"/>
              <w:right w:val="nil"/>
            </w:tcBorders>
            <w:shd w:val="clear" w:color="000000" w:fill="D9D9D9"/>
            <w:noWrap/>
            <w:vAlign w:val="center"/>
            <w:hideMark/>
          </w:tcPr>
          <w:p w14:paraId="71BB9670"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144,3 </w:t>
            </w:r>
          </w:p>
        </w:tc>
        <w:tc>
          <w:tcPr>
            <w:tcW w:w="806" w:type="dxa"/>
            <w:tcBorders>
              <w:top w:val="single" w:sz="4" w:space="0" w:color="auto"/>
              <w:left w:val="nil"/>
              <w:bottom w:val="single" w:sz="4" w:space="0" w:color="auto"/>
              <w:right w:val="nil"/>
            </w:tcBorders>
            <w:shd w:val="clear" w:color="auto" w:fill="auto"/>
            <w:vAlign w:val="center"/>
            <w:hideMark/>
          </w:tcPr>
          <w:p w14:paraId="44872D7D" w14:textId="77777777" w:rsidR="00B90CDD" w:rsidRDefault="00B90CDD">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       151,2 </w:t>
            </w:r>
          </w:p>
        </w:tc>
        <w:tc>
          <w:tcPr>
            <w:tcW w:w="1053" w:type="dxa"/>
            <w:tcBorders>
              <w:top w:val="single" w:sz="4" w:space="0" w:color="auto"/>
              <w:left w:val="nil"/>
              <w:bottom w:val="single" w:sz="4" w:space="0" w:color="auto"/>
              <w:right w:val="nil"/>
            </w:tcBorders>
            <w:shd w:val="clear" w:color="000000" w:fill="C9321F"/>
            <w:noWrap/>
            <w:vAlign w:val="center"/>
            <w:hideMark/>
          </w:tcPr>
          <w:p w14:paraId="10E8F658" w14:textId="77777777" w:rsidR="00B90CDD" w:rsidRDefault="00B90CDD">
            <w:pPr>
              <w:jc w:val="right"/>
              <w:rPr>
                <w:rFonts w:ascii="Arial Narrow" w:hAnsi="Arial Narrow" w:cs="Calibri"/>
                <w:b/>
                <w:bCs/>
                <w:color w:val="FFFFFF"/>
                <w:sz w:val="18"/>
                <w:szCs w:val="18"/>
              </w:rPr>
            </w:pPr>
            <w:r>
              <w:rPr>
                <w:rFonts w:ascii="Arial Narrow" w:hAnsi="Arial Narrow" w:cs="Calibri"/>
                <w:b/>
                <w:bCs/>
                <w:color w:val="FFFFFF"/>
                <w:sz w:val="18"/>
                <w:szCs w:val="18"/>
              </w:rPr>
              <w:t>143,3</w:t>
            </w:r>
          </w:p>
        </w:tc>
      </w:tr>
      <w:tr w:rsidR="00B90CDD" w14:paraId="4B5CF348" w14:textId="77777777" w:rsidTr="00B90CDD">
        <w:trPr>
          <w:trHeight w:val="810"/>
        </w:trPr>
        <w:tc>
          <w:tcPr>
            <w:tcW w:w="1791" w:type="dxa"/>
            <w:tcBorders>
              <w:top w:val="single" w:sz="4" w:space="0" w:color="auto"/>
              <w:left w:val="nil"/>
              <w:bottom w:val="single" w:sz="4" w:space="0" w:color="auto"/>
              <w:right w:val="nil"/>
            </w:tcBorders>
            <w:shd w:val="clear" w:color="auto" w:fill="auto"/>
            <w:vAlign w:val="center"/>
            <w:hideMark/>
          </w:tcPr>
          <w:p w14:paraId="1C118951" w14:textId="77777777" w:rsidR="00B90CDD" w:rsidRDefault="00B90CDD">
            <w:pPr>
              <w:rPr>
                <w:rFonts w:ascii="Arial Narrow" w:hAnsi="Arial Narrow" w:cs="Calibri"/>
                <w:color w:val="000000"/>
                <w:sz w:val="18"/>
                <w:szCs w:val="18"/>
              </w:rPr>
            </w:pPr>
            <w:r>
              <w:rPr>
                <w:rFonts w:ascii="Arial Narrow" w:hAnsi="Arial Narrow" w:cs="Calibri"/>
                <w:color w:val="000000"/>
                <w:sz w:val="18"/>
                <w:szCs w:val="18"/>
              </w:rPr>
              <w:t>% Popolazione con titolo di studio di scuola sec. di II grado</w:t>
            </w:r>
          </w:p>
        </w:tc>
        <w:tc>
          <w:tcPr>
            <w:tcW w:w="849" w:type="dxa"/>
            <w:tcBorders>
              <w:top w:val="single" w:sz="4" w:space="0" w:color="auto"/>
              <w:left w:val="nil"/>
              <w:bottom w:val="single" w:sz="4" w:space="0" w:color="auto"/>
              <w:right w:val="nil"/>
            </w:tcBorders>
            <w:shd w:val="clear" w:color="000000" w:fill="D9D9D9"/>
            <w:noWrap/>
            <w:vAlign w:val="center"/>
            <w:hideMark/>
          </w:tcPr>
          <w:p w14:paraId="67CDB8BF"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36,5 </w:t>
            </w:r>
          </w:p>
        </w:tc>
        <w:tc>
          <w:tcPr>
            <w:tcW w:w="1018" w:type="dxa"/>
            <w:tcBorders>
              <w:top w:val="single" w:sz="4" w:space="0" w:color="auto"/>
              <w:left w:val="nil"/>
              <w:bottom w:val="single" w:sz="4" w:space="0" w:color="auto"/>
              <w:right w:val="nil"/>
            </w:tcBorders>
            <w:shd w:val="clear" w:color="auto" w:fill="auto"/>
            <w:vAlign w:val="center"/>
            <w:hideMark/>
          </w:tcPr>
          <w:p w14:paraId="5A356CCC"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38,3 </w:t>
            </w:r>
          </w:p>
        </w:tc>
        <w:tc>
          <w:tcPr>
            <w:tcW w:w="848" w:type="dxa"/>
            <w:tcBorders>
              <w:top w:val="single" w:sz="4" w:space="0" w:color="auto"/>
              <w:left w:val="nil"/>
              <w:bottom w:val="single" w:sz="4" w:space="0" w:color="auto"/>
              <w:right w:val="nil"/>
            </w:tcBorders>
            <w:shd w:val="clear" w:color="000000" w:fill="D9D9D9"/>
            <w:noWrap/>
            <w:vAlign w:val="center"/>
            <w:hideMark/>
          </w:tcPr>
          <w:p w14:paraId="4E9BC026"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37,3 </w:t>
            </w:r>
          </w:p>
        </w:tc>
        <w:tc>
          <w:tcPr>
            <w:tcW w:w="805" w:type="dxa"/>
            <w:tcBorders>
              <w:top w:val="single" w:sz="4" w:space="0" w:color="auto"/>
              <w:left w:val="nil"/>
              <w:bottom w:val="single" w:sz="4" w:space="0" w:color="auto"/>
              <w:right w:val="nil"/>
            </w:tcBorders>
            <w:shd w:val="clear" w:color="auto" w:fill="auto"/>
            <w:vAlign w:val="center"/>
            <w:hideMark/>
          </w:tcPr>
          <w:p w14:paraId="48275D2D" w14:textId="77777777" w:rsidR="00B90CDD" w:rsidRDefault="00B90CDD">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         37,1 </w:t>
            </w:r>
          </w:p>
        </w:tc>
        <w:tc>
          <w:tcPr>
            <w:tcW w:w="879" w:type="dxa"/>
            <w:tcBorders>
              <w:top w:val="single" w:sz="4" w:space="0" w:color="auto"/>
              <w:left w:val="nil"/>
              <w:bottom w:val="single" w:sz="4" w:space="0" w:color="auto"/>
              <w:right w:val="nil"/>
            </w:tcBorders>
            <w:shd w:val="clear" w:color="000000" w:fill="D9D9D9"/>
            <w:noWrap/>
            <w:vAlign w:val="center"/>
            <w:hideMark/>
          </w:tcPr>
          <w:p w14:paraId="292E6C5A"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35,7 </w:t>
            </w:r>
          </w:p>
        </w:tc>
        <w:tc>
          <w:tcPr>
            <w:tcW w:w="836" w:type="dxa"/>
            <w:tcBorders>
              <w:top w:val="single" w:sz="4" w:space="0" w:color="auto"/>
              <w:left w:val="nil"/>
              <w:bottom w:val="single" w:sz="4" w:space="0" w:color="auto"/>
              <w:right w:val="nil"/>
            </w:tcBorders>
            <w:shd w:val="clear" w:color="auto" w:fill="auto"/>
            <w:vAlign w:val="center"/>
            <w:hideMark/>
          </w:tcPr>
          <w:p w14:paraId="74FF8CD6"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36,5 </w:t>
            </w:r>
          </w:p>
        </w:tc>
        <w:tc>
          <w:tcPr>
            <w:tcW w:w="855" w:type="dxa"/>
            <w:tcBorders>
              <w:top w:val="single" w:sz="4" w:space="0" w:color="auto"/>
              <w:left w:val="nil"/>
              <w:bottom w:val="single" w:sz="4" w:space="0" w:color="auto"/>
              <w:right w:val="nil"/>
            </w:tcBorders>
            <w:shd w:val="clear" w:color="000000" w:fill="D9D9D9"/>
            <w:noWrap/>
            <w:vAlign w:val="center"/>
            <w:hideMark/>
          </w:tcPr>
          <w:p w14:paraId="0ACAED46"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38,5 </w:t>
            </w:r>
          </w:p>
        </w:tc>
        <w:tc>
          <w:tcPr>
            <w:tcW w:w="806" w:type="dxa"/>
            <w:tcBorders>
              <w:top w:val="single" w:sz="4" w:space="0" w:color="auto"/>
              <w:left w:val="nil"/>
              <w:bottom w:val="single" w:sz="4" w:space="0" w:color="auto"/>
              <w:right w:val="nil"/>
            </w:tcBorders>
            <w:shd w:val="clear" w:color="auto" w:fill="auto"/>
            <w:vAlign w:val="center"/>
            <w:hideMark/>
          </w:tcPr>
          <w:p w14:paraId="25FD4FE7" w14:textId="77777777" w:rsidR="00B90CDD" w:rsidRDefault="00B90CDD">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         36,0 </w:t>
            </w:r>
          </w:p>
        </w:tc>
        <w:tc>
          <w:tcPr>
            <w:tcW w:w="1053" w:type="dxa"/>
            <w:tcBorders>
              <w:top w:val="single" w:sz="4" w:space="0" w:color="auto"/>
              <w:left w:val="nil"/>
              <w:bottom w:val="single" w:sz="4" w:space="0" w:color="auto"/>
              <w:right w:val="nil"/>
            </w:tcBorders>
            <w:shd w:val="clear" w:color="000000" w:fill="C9321F"/>
            <w:noWrap/>
            <w:vAlign w:val="center"/>
            <w:hideMark/>
          </w:tcPr>
          <w:p w14:paraId="01EF109C" w14:textId="77777777" w:rsidR="00B90CDD" w:rsidRDefault="00B90CDD">
            <w:pPr>
              <w:jc w:val="right"/>
              <w:rPr>
                <w:rFonts w:ascii="Arial Narrow" w:hAnsi="Arial Narrow" w:cs="Calibri"/>
                <w:b/>
                <w:bCs/>
                <w:color w:val="FFFFFF"/>
                <w:sz w:val="18"/>
                <w:szCs w:val="18"/>
              </w:rPr>
            </w:pPr>
            <w:r>
              <w:rPr>
                <w:rFonts w:ascii="Arial Narrow" w:hAnsi="Arial Narrow" w:cs="Calibri"/>
                <w:b/>
                <w:bCs/>
                <w:color w:val="FFFFFF"/>
                <w:sz w:val="18"/>
                <w:szCs w:val="18"/>
              </w:rPr>
              <w:t>37,0</w:t>
            </w:r>
          </w:p>
        </w:tc>
      </w:tr>
      <w:tr w:rsidR="00B90CDD" w14:paraId="086DFEC2" w14:textId="77777777" w:rsidTr="00B90CDD">
        <w:trPr>
          <w:trHeight w:val="540"/>
        </w:trPr>
        <w:tc>
          <w:tcPr>
            <w:tcW w:w="1791" w:type="dxa"/>
            <w:tcBorders>
              <w:top w:val="single" w:sz="4" w:space="0" w:color="auto"/>
              <w:left w:val="nil"/>
              <w:bottom w:val="single" w:sz="4" w:space="0" w:color="auto"/>
              <w:right w:val="nil"/>
            </w:tcBorders>
            <w:shd w:val="clear" w:color="auto" w:fill="auto"/>
            <w:vAlign w:val="center"/>
            <w:hideMark/>
          </w:tcPr>
          <w:p w14:paraId="47EDFD5B" w14:textId="77777777" w:rsidR="00B90CDD" w:rsidRDefault="00B90CDD">
            <w:pPr>
              <w:rPr>
                <w:rFonts w:ascii="Arial Narrow" w:hAnsi="Arial Narrow" w:cs="Calibri"/>
                <w:color w:val="000000"/>
                <w:sz w:val="18"/>
                <w:szCs w:val="18"/>
              </w:rPr>
            </w:pPr>
            <w:r>
              <w:rPr>
                <w:rFonts w:ascii="Arial Narrow" w:hAnsi="Arial Narrow" w:cs="Calibri"/>
                <w:color w:val="000000"/>
                <w:sz w:val="18"/>
                <w:szCs w:val="18"/>
              </w:rPr>
              <w:t>% Popolazione con titolo di studio terziario</w:t>
            </w:r>
          </w:p>
        </w:tc>
        <w:tc>
          <w:tcPr>
            <w:tcW w:w="849" w:type="dxa"/>
            <w:tcBorders>
              <w:top w:val="single" w:sz="4" w:space="0" w:color="auto"/>
              <w:left w:val="nil"/>
              <w:bottom w:val="single" w:sz="4" w:space="0" w:color="auto"/>
              <w:right w:val="nil"/>
            </w:tcBorders>
            <w:shd w:val="clear" w:color="000000" w:fill="D9D9D9"/>
            <w:noWrap/>
            <w:vAlign w:val="center"/>
            <w:hideMark/>
          </w:tcPr>
          <w:p w14:paraId="101D61A1"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24,4 </w:t>
            </w:r>
          </w:p>
        </w:tc>
        <w:tc>
          <w:tcPr>
            <w:tcW w:w="1018" w:type="dxa"/>
            <w:tcBorders>
              <w:top w:val="single" w:sz="4" w:space="0" w:color="auto"/>
              <w:left w:val="nil"/>
              <w:bottom w:val="single" w:sz="4" w:space="0" w:color="auto"/>
              <w:right w:val="nil"/>
            </w:tcBorders>
            <w:shd w:val="clear" w:color="auto" w:fill="auto"/>
            <w:vAlign w:val="center"/>
            <w:hideMark/>
          </w:tcPr>
          <w:p w14:paraId="52372199"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16,0 </w:t>
            </w:r>
          </w:p>
        </w:tc>
        <w:tc>
          <w:tcPr>
            <w:tcW w:w="848" w:type="dxa"/>
            <w:tcBorders>
              <w:top w:val="single" w:sz="4" w:space="0" w:color="auto"/>
              <w:left w:val="nil"/>
              <w:bottom w:val="single" w:sz="4" w:space="0" w:color="auto"/>
              <w:right w:val="nil"/>
            </w:tcBorders>
            <w:shd w:val="clear" w:color="000000" w:fill="D9D9D9"/>
            <w:noWrap/>
            <w:vAlign w:val="center"/>
            <w:hideMark/>
          </w:tcPr>
          <w:p w14:paraId="2810C8B2"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12,4 </w:t>
            </w:r>
          </w:p>
        </w:tc>
        <w:tc>
          <w:tcPr>
            <w:tcW w:w="805" w:type="dxa"/>
            <w:tcBorders>
              <w:top w:val="single" w:sz="4" w:space="0" w:color="auto"/>
              <w:left w:val="nil"/>
              <w:bottom w:val="single" w:sz="4" w:space="0" w:color="auto"/>
              <w:right w:val="nil"/>
            </w:tcBorders>
            <w:shd w:val="clear" w:color="auto" w:fill="auto"/>
            <w:vAlign w:val="center"/>
            <w:hideMark/>
          </w:tcPr>
          <w:p w14:paraId="26F00D89" w14:textId="77777777" w:rsidR="00B90CDD" w:rsidRDefault="00B90CDD">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         16,3 </w:t>
            </w:r>
          </w:p>
        </w:tc>
        <w:tc>
          <w:tcPr>
            <w:tcW w:w="879" w:type="dxa"/>
            <w:tcBorders>
              <w:top w:val="single" w:sz="4" w:space="0" w:color="auto"/>
              <w:left w:val="nil"/>
              <w:bottom w:val="single" w:sz="4" w:space="0" w:color="auto"/>
              <w:right w:val="nil"/>
            </w:tcBorders>
            <w:shd w:val="clear" w:color="000000" w:fill="D9D9D9"/>
            <w:noWrap/>
            <w:vAlign w:val="center"/>
            <w:hideMark/>
          </w:tcPr>
          <w:p w14:paraId="62441570"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10,1 </w:t>
            </w:r>
          </w:p>
        </w:tc>
        <w:tc>
          <w:tcPr>
            <w:tcW w:w="836" w:type="dxa"/>
            <w:tcBorders>
              <w:top w:val="single" w:sz="4" w:space="0" w:color="auto"/>
              <w:left w:val="nil"/>
              <w:bottom w:val="single" w:sz="4" w:space="0" w:color="auto"/>
              <w:right w:val="nil"/>
            </w:tcBorders>
            <w:shd w:val="clear" w:color="auto" w:fill="auto"/>
            <w:vAlign w:val="center"/>
            <w:hideMark/>
          </w:tcPr>
          <w:p w14:paraId="68F74D44"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9,5 </w:t>
            </w:r>
          </w:p>
        </w:tc>
        <w:tc>
          <w:tcPr>
            <w:tcW w:w="855" w:type="dxa"/>
            <w:tcBorders>
              <w:top w:val="single" w:sz="4" w:space="0" w:color="auto"/>
              <w:left w:val="nil"/>
              <w:bottom w:val="single" w:sz="4" w:space="0" w:color="auto"/>
              <w:right w:val="nil"/>
            </w:tcBorders>
            <w:shd w:val="clear" w:color="000000" w:fill="D9D9D9"/>
            <w:noWrap/>
            <w:vAlign w:val="center"/>
            <w:hideMark/>
          </w:tcPr>
          <w:p w14:paraId="725C12E6"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9,4 </w:t>
            </w:r>
          </w:p>
        </w:tc>
        <w:tc>
          <w:tcPr>
            <w:tcW w:w="806" w:type="dxa"/>
            <w:tcBorders>
              <w:top w:val="single" w:sz="4" w:space="0" w:color="auto"/>
              <w:left w:val="nil"/>
              <w:bottom w:val="single" w:sz="4" w:space="0" w:color="auto"/>
              <w:right w:val="nil"/>
            </w:tcBorders>
            <w:shd w:val="clear" w:color="auto" w:fill="auto"/>
            <w:vAlign w:val="center"/>
            <w:hideMark/>
          </w:tcPr>
          <w:p w14:paraId="514E02A8" w14:textId="77777777" w:rsidR="00B90CDD" w:rsidRDefault="00B90CDD">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           9,9 </w:t>
            </w:r>
          </w:p>
        </w:tc>
        <w:tc>
          <w:tcPr>
            <w:tcW w:w="1053" w:type="dxa"/>
            <w:tcBorders>
              <w:top w:val="single" w:sz="4" w:space="0" w:color="auto"/>
              <w:left w:val="nil"/>
              <w:bottom w:val="single" w:sz="4" w:space="0" w:color="auto"/>
              <w:right w:val="nil"/>
            </w:tcBorders>
            <w:shd w:val="clear" w:color="000000" w:fill="C9321F"/>
            <w:noWrap/>
            <w:vAlign w:val="center"/>
            <w:hideMark/>
          </w:tcPr>
          <w:p w14:paraId="38C8BFAC" w14:textId="77777777" w:rsidR="00B90CDD" w:rsidRDefault="00B90CDD">
            <w:pPr>
              <w:jc w:val="right"/>
              <w:rPr>
                <w:rFonts w:ascii="Arial Narrow" w:hAnsi="Arial Narrow" w:cs="Calibri"/>
                <w:b/>
                <w:bCs/>
                <w:color w:val="FFFFFF"/>
                <w:sz w:val="18"/>
                <w:szCs w:val="18"/>
              </w:rPr>
            </w:pPr>
            <w:r>
              <w:rPr>
                <w:rFonts w:ascii="Arial Narrow" w:hAnsi="Arial Narrow" w:cs="Calibri"/>
                <w:b/>
                <w:bCs/>
                <w:color w:val="FFFFFF"/>
                <w:sz w:val="18"/>
                <w:szCs w:val="18"/>
              </w:rPr>
              <w:t>15,7</w:t>
            </w:r>
          </w:p>
        </w:tc>
      </w:tr>
      <w:tr w:rsidR="00B90CDD" w14:paraId="0D6B13BC" w14:textId="77777777" w:rsidTr="00B90CDD">
        <w:trPr>
          <w:trHeight w:val="1036"/>
        </w:trPr>
        <w:tc>
          <w:tcPr>
            <w:tcW w:w="1791" w:type="dxa"/>
            <w:tcBorders>
              <w:top w:val="single" w:sz="4" w:space="0" w:color="auto"/>
              <w:left w:val="nil"/>
              <w:bottom w:val="single" w:sz="4" w:space="0" w:color="auto"/>
              <w:right w:val="nil"/>
            </w:tcBorders>
            <w:shd w:val="clear" w:color="auto" w:fill="auto"/>
            <w:vAlign w:val="center"/>
            <w:hideMark/>
          </w:tcPr>
          <w:p w14:paraId="7ED300B6" w14:textId="77777777" w:rsidR="00B90CDD" w:rsidRDefault="00B90CDD">
            <w:pPr>
              <w:rPr>
                <w:rFonts w:ascii="Arial Narrow" w:hAnsi="Arial Narrow" w:cs="Calibri"/>
                <w:color w:val="000000"/>
                <w:sz w:val="18"/>
                <w:szCs w:val="18"/>
              </w:rPr>
            </w:pPr>
            <w:r>
              <w:rPr>
                <w:rFonts w:ascii="Arial Narrow" w:hAnsi="Arial Narrow" w:cs="Calibri"/>
                <w:color w:val="000000"/>
                <w:sz w:val="18"/>
                <w:szCs w:val="18"/>
              </w:rPr>
              <w:t>% Popolazione che si sposta giornalmente – incidenza sul totale della popolazione residente</w:t>
            </w:r>
            <w:r>
              <w:rPr>
                <w:rFonts w:ascii="Arial Narrow" w:hAnsi="Arial Narrow" w:cs="Calibri"/>
                <w:color w:val="000000"/>
                <w:sz w:val="18"/>
                <w:szCs w:val="18"/>
                <w:vertAlign w:val="superscript"/>
              </w:rPr>
              <w:t>(a)</w:t>
            </w:r>
          </w:p>
        </w:tc>
        <w:tc>
          <w:tcPr>
            <w:tcW w:w="849" w:type="dxa"/>
            <w:tcBorders>
              <w:top w:val="single" w:sz="4" w:space="0" w:color="auto"/>
              <w:left w:val="nil"/>
              <w:bottom w:val="single" w:sz="4" w:space="0" w:color="auto"/>
              <w:right w:val="nil"/>
            </w:tcBorders>
            <w:shd w:val="clear" w:color="000000" w:fill="D9D9D9"/>
            <w:noWrap/>
            <w:vAlign w:val="center"/>
            <w:hideMark/>
          </w:tcPr>
          <w:p w14:paraId="7FCF34B5"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55,2 </w:t>
            </w:r>
          </w:p>
        </w:tc>
        <w:tc>
          <w:tcPr>
            <w:tcW w:w="1018" w:type="dxa"/>
            <w:tcBorders>
              <w:top w:val="single" w:sz="4" w:space="0" w:color="auto"/>
              <w:left w:val="nil"/>
              <w:bottom w:val="single" w:sz="4" w:space="0" w:color="auto"/>
              <w:right w:val="nil"/>
            </w:tcBorders>
            <w:shd w:val="clear" w:color="auto" w:fill="auto"/>
            <w:vAlign w:val="center"/>
            <w:hideMark/>
          </w:tcPr>
          <w:p w14:paraId="4B2607DA"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55,3 </w:t>
            </w:r>
          </w:p>
        </w:tc>
        <w:tc>
          <w:tcPr>
            <w:tcW w:w="848" w:type="dxa"/>
            <w:tcBorders>
              <w:top w:val="single" w:sz="4" w:space="0" w:color="auto"/>
              <w:left w:val="nil"/>
              <w:bottom w:val="single" w:sz="4" w:space="0" w:color="auto"/>
              <w:right w:val="nil"/>
            </w:tcBorders>
            <w:shd w:val="clear" w:color="000000" w:fill="D9D9D9"/>
            <w:noWrap/>
            <w:vAlign w:val="center"/>
            <w:hideMark/>
          </w:tcPr>
          <w:p w14:paraId="0D081907"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57,3 </w:t>
            </w:r>
          </w:p>
        </w:tc>
        <w:tc>
          <w:tcPr>
            <w:tcW w:w="805" w:type="dxa"/>
            <w:tcBorders>
              <w:top w:val="single" w:sz="4" w:space="0" w:color="auto"/>
              <w:left w:val="nil"/>
              <w:bottom w:val="single" w:sz="4" w:space="0" w:color="auto"/>
              <w:right w:val="nil"/>
            </w:tcBorders>
            <w:shd w:val="clear" w:color="auto" w:fill="auto"/>
            <w:vAlign w:val="center"/>
            <w:hideMark/>
          </w:tcPr>
          <w:p w14:paraId="0AB4EB6D" w14:textId="77777777" w:rsidR="00B90CDD" w:rsidRDefault="00B90CDD">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         56,5 </w:t>
            </w:r>
          </w:p>
        </w:tc>
        <w:tc>
          <w:tcPr>
            <w:tcW w:w="879" w:type="dxa"/>
            <w:tcBorders>
              <w:top w:val="single" w:sz="4" w:space="0" w:color="auto"/>
              <w:left w:val="nil"/>
              <w:bottom w:val="single" w:sz="4" w:space="0" w:color="auto"/>
              <w:right w:val="nil"/>
            </w:tcBorders>
            <w:shd w:val="clear" w:color="000000" w:fill="D9D9D9"/>
            <w:noWrap/>
            <w:vAlign w:val="center"/>
            <w:hideMark/>
          </w:tcPr>
          <w:p w14:paraId="59B86BD2"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51,8 </w:t>
            </w:r>
          </w:p>
        </w:tc>
        <w:tc>
          <w:tcPr>
            <w:tcW w:w="836" w:type="dxa"/>
            <w:tcBorders>
              <w:top w:val="single" w:sz="4" w:space="0" w:color="auto"/>
              <w:left w:val="nil"/>
              <w:bottom w:val="single" w:sz="4" w:space="0" w:color="auto"/>
              <w:right w:val="nil"/>
            </w:tcBorders>
            <w:shd w:val="clear" w:color="auto" w:fill="auto"/>
            <w:vAlign w:val="center"/>
            <w:hideMark/>
          </w:tcPr>
          <w:p w14:paraId="130D2C1C"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49,6 </w:t>
            </w:r>
          </w:p>
        </w:tc>
        <w:tc>
          <w:tcPr>
            <w:tcW w:w="855" w:type="dxa"/>
            <w:tcBorders>
              <w:top w:val="single" w:sz="4" w:space="0" w:color="auto"/>
              <w:left w:val="nil"/>
              <w:bottom w:val="single" w:sz="4" w:space="0" w:color="auto"/>
              <w:right w:val="nil"/>
            </w:tcBorders>
            <w:shd w:val="clear" w:color="000000" w:fill="D9D9D9"/>
            <w:noWrap/>
            <w:vAlign w:val="center"/>
            <w:hideMark/>
          </w:tcPr>
          <w:p w14:paraId="7B61F952"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48,6 </w:t>
            </w:r>
          </w:p>
        </w:tc>
        <w:tc>
          <w:tcPr>
            <w:tcW w:w="806" w:type="dxa"/>
            <w:tcBorders>
              <w:top w:val="single" w:sz="4" w:space="0" w:color="auto"/>
              <w:left w:val="nil"/>
              <w:bottom w:val="single" w:sz="4" w:space="0" w:color="auto"/>
              <w:right w:val="nil"/>
            </w:tcBorders>
            <w:shd w:val="clear" w:color="auto" w:fill="auto"/>
            <w:vAlign w:val="center"/>
            <w:hideMark/>
          </w:tcPr>
          <w:p w14:paraId="78A6C61B" w14:textId="77777777" w:rsidR="00B90CDD" w:rsidRDefault="00B90CDD">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         51,1 </w:t>
            </w:r>
          </w:p>
        </w:tc>
        <w:tc>
          <w:tcPr>
            <w:tcW w:w="1053" w:type="dxa"/>
            <w:tcBorders>
              <w:top w:val="single" w:sz="4" w:space="0" w:color="auto"/>
              <w:left w:val="nil"/>
              <w:bottom w:val="single" w:sz="4" w:space="0" w:color="auto"/>
              <w:right w:val="nil"/>
            </w:tcBorders>
            <w:shd w:val="clear" w:color="000000" w:fill="C9321F"/>
            <w:noWrap/>
            <w:vAlign w:val="center"/>
            <w:hideMark/>
          </w:tcPr>
          <w:p w14:paraId="310AFBCF" w14:textId="77777777" w:rsidR="00B90CDD" w:rsidRDefault="00B90CDD">
            <w:pPr>
              <w:jc w:val="right"/>
              <w:rPr>
                <w:rFonts w:ascii="Arial Narrow" w:hAnsi="Arial Narrow" w:cs="Calibri"/>
                <w:b/>
                <w:bCs/>
                <w:color w:val="FFFFFF"/>
                <w:sz w:val="18"/>
                <w:szCs w:val="18"/>
              </w:rPr>
            </w:pPr>
            <w:r>
              <w:rPr>
                <w:rFonts w:ascii="Arial Narrow" w:hAnsi="Arial Narrow" w:cs="Calibri"/>
                <w:b/>
                <w:bCs/>
                <w:color w:val="FFFFFF"/>
                <w:sz w:val="18"/>
                <w:szCs w:val="18"/>
              </w:rPr>
              <w:t>56,0</w:t>
            </w:r>
          </w:p>
        </w:tc>
      </w:tr>
      <w:tr w:rsidR="00B90CDD" w14:paraId="0879F448" w14:textId="77777777" w:rsidTr="00B90CDD">
        <w:trPr>
          <w:trHeight w:val="1024"/>
        </w:trPr>
        <w:tc>
          <w:tcPr>
            <w:tcW w:w="1791" w:type="dxa"/>
            <w:tcBorders>
              <w:top w:val="single" w:sz="4" w:space="0" w:color="auto"/>
              <w:left w:val="nil"/>
              <w:bottom w:val="single" w:sz="4" w:space="0" w:color="auto"/>
              <w:right w:val="nil"/>
            </w:tcBorders>
            <w:shd w:val="clear" w:color="auto" w:fill="auto"/>
            <w:vAlign w:val="center"/>
            <w:hideMark/>
          </w:tcPr>
          <w:p w14:paraId="5FE0DD79" w14:textId="77777777" w:rsidR="00B90CDD" w:rsidRDefault="00B90CDD">
            <w:pPr>
              <w:rPr>
                <w:rFonts w:ascii="Arial Narrow" w:hAnsi="Arial Narrow" w:cs="Calibri"/>
                <w:color w:val="000000"/>
                <w:sz w:val="18"/>
                <w:szCs w:val="18"/>
              </w:rPr>
            </w:pPr>
            <w:r>
              <w:rPr>
                <w:rFonts w:ascii="Arial Narrow" w:hAnsi="Arial Narrow" w:cs="Calibri"/>
                <w:color w:val="000000"/>
                <w:sz w:val="18"/>
                <w:szCs w:val="18"/>
              </w:rPr>
              <w:t xml:space="preserve">% Popolazione che si sposta fuori dal comune– incidenza sul totale degli spostamenti </w:t>
            </w:r>
            <w:r>
              <w:rPr>
                <w:rFonts w:ascii="Arial Narrow" w:hAnsi="Arial Narrow" w:cs="Calibri"/>
                <w:color w:val="000000"/>
                <w:sz w:val="18"/>
                <w:szCs w:val="18"/>
                <w:vertAlign w:val="superscript"/>
              </w:rPr>
              <w:t>(a)</w:t>
            </w:r>
          </w:p>
        </w:tc>
        <w:tc>
          <w:tcPr>
            <w:tcW w:w="849" w:type="dxa"/>
            <w:tcBorders>
              <w:top w:val="single" w:sz="4" w:space="0" w:color="auto"/>
              <w:left w:val="nil"/>
              <w:bottom w:val="single" w:sz="4" w:space="0" w:color="auto"/>
              <w:right w:val="nil"/>
            </w:tcBorders>
            <w:shd w:val="clear" w:color="000000" w:fill="D9D9D9"/>
            <w:noWrap/>
            <w:vAlign w:val="center"/>
            <w:hideMark/>
          </w:tcPr>
          <w:p w14:paraId="509D646A"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28,0 </w:t>
            </w:r>
          </w:p>
        </w:tc>
        <w:tc>
          <w:tcPr>
            <w:tcW w:w="1018" w:type="dxa"/>
            <w:tcBorders>
              <w:top w:val="single" w:sz="4" w:space="0" w:color="auto"/>
              <w:left w:val="nil"/>
              <w:bottom w:val="single" w:sz="4" w:space="0" w:color="auto"/>
              <w:right w:val="nil"/>
            </w:tcBorders>
            <w:shd w:val="clear" w:color="auto" w:fill="auto"/>
            <w:vAlign w:val="center"/>
            <w:hideMark/>
          </w:tcPr>
          <w:p w14:paraId="41222135"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60,9 </w:t>
            </w:r>
          </w:p>
        </w:tc>
        <w:tc>
          <w:tcPr>
            <w:tcW w:w="848" w:type="dxa"/>
            <w:tcBorders>
              <w:top w:val="single" w:sz="4" w:space="0" w:color="auto"/>
              <w:left w:val="nil"/>
              <w:bottom w:val="single" w:sz="4" w:space="0" w:color="auto"/>
              <w:right w:val="nil"/>
            </w:tcBorders>
            <w:shd w:val="clear" w:color="000000" w:fill="D9D9D9"/>
            <w:noWrap/>
            <w:vAlign w:val="center"/>
            <w:hideMark/>
          </w:tcPr>
          <w:p w14:paraId="5560BAE8"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70,0 </w:t>
            </w:r>
          </w:p>
        </w:tc>
        <w:tc>
          <w:tcPr>
            <w:tcW w:w="805" w:type="dxa"/>
            <w:tcBorders>
              <w:top w:val="single" w:sz="4" w:space="0" w:color="auto"/>
              <w:left w:val="nil"/>
              <w:bottom w:val="single" w:sz="4" w:space="0" w:color="auto"/>
              <w:right w:val="nil"/>
            </w:tcBorders>
            <w:shd w:val="clear" w:color="auto" w:fill="auto"/>
            <w:vAlign w:val="center"/>
            <w:hideMark/>
          </w:tcPr>
          <w:p w14:paraId="7AEF2926" w14:textId="77777777" w:rsidR="00B90CDD" w:rsidRDefault="00B90CDD">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         56,7 </w:t>
            </w:r>
          </w:p>
        </w:tc>
        <w:tc>
          <w:tcPr>
            <w:tcW w:w="879" w:type="dxa"/>
            <w:tcBorders>
              <w:top w:val="single" w:sz="4" w:space="0" w:color="auto"/>
              <w:left w:val="nil"/>
              <w:bottom w:val="single" w:sz="4" w:space="0" w:color="auto"/>
              <w:right w:val="nil"/>
            </w:tcBorders>
            <w:shd w:val="clear" w:color="000000" w:fill="D9D9D9"/>
            <w:noWrap/>
            <w:vAlign w:val="center"/>
            <w:hideMark/>
          </w:tcPr>
          <w:p w14:paraId="440A92F6"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61,2 </w:t>
            </w:r>
          </w:p>
        </w:tc>
        <w:tc>
          <w:tcPr>
            <w:tcW w:w="836" w:type="dxa"/>
            <w:tcBorders>
              <w:top w:val="single" w:sz="4" w:space="0" w:color="auto"/>
              <w:left w:val="nil"/>
              <w:bottom w:val="single" w:sz="4" w:space="0" w:color="auto"/>
              <w:right w:val="nil"/>
            </w:tcBorders>
            <w:shd w:val="clear" w:color="auto" w:fill="auto"/>
            <w:vAlign w:val="center"/>
            <w:hideMark/>
          </w:tcPr>
          <w:p w14:paraId="64B4C074"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62,5 </w:t>
            </w:r>
          </w:p>
        </w:tc>
        <w:tc>
          <w:tcPr>
            <w:tcW w:w="855" w:type="dxa"/>
            <w:tcBorders>
              <w:top w:val="single" w:sz="4" w:space="0" w:color="auto"/>
              <w:left w:val="nil"/>
              <w:bottom w:val="single" w:sz="4" w:space="0" w:color="auto"/>
              <w:right w:val="nil"/>
            </w:tcBorders>
            <w:shd w:val="clear" w:color="000000" w:fill="D9D9D9"/>
            <w:noWrap/>
            <w:vAlign w:val="center"/>
            <w:hideMark/>
          </w:tcPr>
          <w:p w14:paraId="05482139" w14:textId="77777777" w:rsidR="00B90CDD" w:rsidRDefault="00B90CDD">
            <w:pPr>
              <w:jc w:val="right"/>
              <w:rPr>
                <w:rFonts w:ascii="Arial Narrow" w:hAnsi="Arial Narrow" w:cs="Calibri"/>
                <w:color w:val="000000"/>
                <w:sz w:val="18"/>
                <w:szCs w:val="18"/>
              </w:rPr>
            </w:pPr>
            <w:r>
              <w:rPr>
                <w:rFonts w:ascii="Arial Narrow" w:hAnsi="Arial Narrow" w:cs="Calibri"/>
                <w:color w:val="000000"/>
                <w:sz w:val="18"/>
                <w:szCs w:val="18"/>
              </w:rPr>
              <w:t xml:space="preserve">         48,3 </w:t>
            </w:r>
          </w:p>
        </w:tc>
        <w:tc>
          <w:tcPr>
            <w:tcW w:w="806" w:type="dxa"/>
            <w:tcBorders>
              <w:top w:val="single" w:sz="4" w:space="0" w:color="auto"/>
              <w:left w:val="nil"/>
              <w:bottom w:val="single" w:sz="4" w:space="0" w:color="auto"/>
              <w:right w:val="nil"/>
            </w:tcBorders>
            <w:shd w:val="clear" w:color="auto" w:fill="auto"/>
            <w:vAlign w:val="center"/>
            <w:hideMark/>
          </w:tcPr>
          <w:p w14:paraId="3B2F3D95" w14:textId="77777777" w:rsidR="00B90CDD" w:rsidRDefault="00B90CDD">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         61,0 </w:t>
            </w:r>
          </w:p>
        </w:tc>
        <w:tc>
          <w:tcPr>
            <w:tcW w:w="1053" w:type="dxa"/>
            <w:tcBorders>
              <w:top w:val="single" w:sz="4" w:space="0" w:color="auto"/>
              <w:left w:val="nil"/>
              <w:bottom w:val="single" w:sz="4" w:space="0" w:color="auto"/>
              <w:right w:val="nil"/>
            </w:tcBorders>
            <w:shd w:val="clear" w:color="000000" w:fill="C9321F"/>
            <w:noWrap/>
            <w:vAlign w:val="center"/>
            <w:hideMark/>
          </w:tcPr>
          <w:p w14:paraId="1E5A479C" w14:textId="77777777" w:rsidR="00B90CDD" w:rsidRDefault="00B90CDD">
            <w:pPr>
              <w:jc w:val="right"/>
              <w:rPr>
                <w:rFonts w:ascii="Arial Narrow" w:hAnsi="Arial Narrow" w:cs="Calibri"/>
                <w:b/>
                <w:bCs/>
                <w:color w:val="FFFFFF"/>
                <w:sz w:val="18"/>
                <w:szCs w:val="18"/>
              </w:rPr>
            </w:pPr>
            <w:r>
              <w:rPr>
                <w:rFonts w:ascii="Arial Narrow" w:hAnsi="Arial Narrow" w:cs="Calibri"/>
                <w:b/>
                <w:bCs/>
                <w:color w:val="FFFFFF"/>
                <w:sz w:val="18"/>
                <w:szCs w:val="18"/>
              </w:rPr>
              <w:t>57,1</w:t>
            </w:r>
          </w:p>
        </w:tc>
      </w:tr>
    </w:tbl>
    <w:p w14:paraId="3F130427" w14:textId="39C746D4" w:rsidR="009A34C5" w:rsidRPr="00F04198" w:rsidRDefault="0069134D" w:rsidP="00F04198">
      <w:pPr>
        <w:keepNext/>
        <w:keepLines/>
        <w:spacing w:before="60"/>
        <w:jc w:val="both"/>
        <w:rPr>
          <w:rFonts w:ascii="Arial Narrow" w:hAnsi="Arial Narrow" w:cs="Calibri"/>
          <w:color w:val="000000"/>
          <w:sz w:val="16"/>
          <w:szCs w:val="16"/>
        </w:rPr>
      </w:pPr>
      <w:r w:rsidRPr="00F04198">
        <w:rPr>
          <w:rFonts w:ascii="Arial Narrow" w:hAnsi="Arial Narrow" w:cs="Calibri"/>
          <w:color w:val="000000"/>
          <w:sz w:val="16"/>
          <w:szCs w:val="16"/>
          <w:vertAlign w:val="superscript"/>
        </w:rPr>
        <w:t xml:space="preserve"> </w:t>
      </w:r>
      <w:r w:rsidR="00F04198" w:rsidRPr="00F04198">
        <w:rPr>
          <w:rFonts w:ascii="Arial Narrow" w:hAnsi="Arial Narrow" w:cs="Calibri"/>
          <w:color w:val="000000"/>
          <w:sz w:val="16"/>
          <w:szCs w:val="16"/>
          <w:vertAlign w:val="superscript"/>
        </w:rPr>
        <w:t>(a)</w:t>
      </w:r>
      <w:proofErr w:type="spellStart"/>
      <w:r w:rsidR="009A34C5" w:rsidRPr="00F04198">
        <w:rPr>
          <w:rFonts w:ascii="Arial Narrow" w:hAnsi="Arial Narrow" w:cs="Calibri"/>
          <w:color w:val="000000"/>
          <w:sz w:val="16"/>
          <w:szCs w:val="16"/>
        </w:rPr>
        <w:t>l</w:t>
      </w:r>
      <w:r w:rsidR="008C0254">
        <w:rPr>
          <w:rFonts w:ascii="Arial Narrow" w:hAnsi="Arial Narrow" w:cs="Calibri"/>
          <w:color w:val="000000"/>
          <w:sz w:val="16"/>
          <w:szCs w:val="16"/>
        </w:rPr>
        <w:t>l</w:t>
      </w:r>
      <w:proofErr w:type="spellEnd"/>
      <w:r w:rsidR="009A34C5" w:rsidRPr="00F04198">
        <w:rPr>
          <w:rFonts w:ascii="Arial Narrow" w:hAnsi="Arial Narrow" w:cs="Calibri"/>
          <w:color w:val="000000"/>
          <w:sz w:val="16"/>
          <w:szCs w:val="16"/>
        </w:rPr>
        <w:t xml:space="preserve"> dato è riferito all’anno 2019</w:t>
      </w:r>
    </w:p>
    <w:p w14:paraId="57932987" w14:textId="77777777" w:rsidR="009A34C5" w:rsidRPr="001C400E" w:rsidRDefault="009A34C5" w:rsidP="009A34C5">
      <w:pPr>
        <w:keepNext/>
        <w:keepLines/>
        <w:spacing w:before="60"/>
        <w:jc w:val="both"/>
        <w:rPr>
          <w:rFonts w:ascii="Arial" w:hAnsi="Arial" w:cs="Arial"/>
          <w:iCs/>
          <w:sz w:val="20"/>
          <w:szCs w:val="20"/>
        </w:rPr>
      </w:pPr>
    </w:p>
    <w:p w14:paraId="6509ED30" w14:textId="298F0A8E" w:rsidR="000812BA" w:rsidRDefault="000812BA" w:rsidP="00204DFE">
      <w:pPr>
        <w:spacing w:after="120"/>
        <w:jc w:val="both"/>
        <w:rPr>
          <w:rFonts w:ascii="Trebuchet MS" w:hAnsi="Trebuchet MS" w:cs="Arial"/>
          <w:color w:val="5F5F5F"/>
          <w:sz w:val="20"/>
          <w:szCs w:val="20"/>
        </w:rPr>
      </w:pPr>
      <w:r>
        <w:rPr>
          <w:rFonts w:ascii="Trebuchet MS" w:hAnsi="Trebuchet MS" w:cs="Arial"/>
          <w:color w:val="5F5F5F"/>
          <w:sz w:val="20"/>
          <w:szCs w:val="20"/>
        </w:rPr>
        <w:br w:type="page"/>
      </w:r>
    </w:p>
    <w:p w14:paraId="4260D85D" w14:textId="77777777" w:rsidR="000812BA" w:rsidRDefault="000812BA" w:rsidP="000812BA">
      <w:pPr>
        <w:spacing w:before="60" w:after="120"/>
        <w:jc w:val="both"/>
        <w:rPr>
          <w:rFonts w:ascii="Trebuchet MS" w:hAnsi="Trebuchet MS" w:cs="Arial"/>
          <w:b/>
          <w:bCs/>
          <w:color w:val="5F5F5F"/>
          <w:sz w:val="28"/>
          <w:szCs w:val="28"/>
        </w:rPr>
      </w:pPr>
      <w:r w:rsidRPr="004502B2">
        <w:rPr>
          <w:rFonts w:ascii="Trebuchet MS" w:hAnsi="Trebuchet MS" w:cs="Arial"/>
          <w:b/>
          <w:bCs/>
          <w:color w:val="5F5F5F"/>
          <w:sz w:val="28"/>
          <w:szCs w:val="28"/>
        </w:rPr>
        <w:lastRenderedPageBreak/>
        <w:t>Glossario</w:t>
      </w:r>
    </w:p>
    <w:p w14:paraId="185946B9" w14:textId="77777777" w:rsidR="000812BA" w:rsidRPr="004502B2" w:rsidRDefault="000812BA" w:rsidP="000812BA">
      <w:pPr>
        <w:spacing w:before="60" w:after="120"/>
        <w:jc w:val="both"/>
        <w:rPr>
          <w:rFonts w:ascii="Trebuchet MS" w:hAnsi="Trebuchet MS" w:cs="Arial"/>
          <w:b/>
          <w:bCs/>
          <w:color w:val="5F5F5F"/>
          <w:sz w:val="28"/>
          <w:szCs w:val="28"/>
        </w:rPr>
      </w:pPr>
    </w:p>
    <w:p w14:paraId="33FAE001" w14:textId="77777777" w:rsidR="000812BA" w:rsidRDefault="000812BA" w:rsidP="000812BA">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t>Alfabeti privi di titolo di studio</w:t>
      </w:r>
      <w:r>
        <w:rPr>
          <w:rFonts w:ascii="Trebuchet MS" w:hAnsi="Trebuchet MS" w:cs="Arial"/>
          <w:bCs/>
          <w:color w:val="5F5F5F"/>
          <w:sz w:val="20"/>
          <w:szCs w:val="20"/>
        </w:rPr>
        <w:t>: coloro che hanno dichiarato di sapere leggere e scrivere, pur non avendo conseguito la licenza di scuola elementare.</w:t>
      </w:r>
    </w:p>
    <w:p w14:paraId="3A705411" w14:textId="77777777" w:rsidR="000812BA" w:rsidRDefault="000812BA" w:rsidP="000812BA">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t xml:space="preserve">Analfabeti: </w:t>
      </w:r>
      <w:r>
        <w:rPr>
          <w:rFonts w:ascii="Trebuchet MS" w:hAnsi="Trebuchet MS" w:cs="Arial"/>
          <w:bCs/>
          <w:color w:val="5F5F5F"/>
          <w:sz w:val="20"/>
          <w:szCs w:val="20"/>
        </w:rPr>
        <w:t>coloro che hanno dichiarato di non sapere leggere o scrivere.</w:t>
      </w:r>
    </w:p>
    <w:p w14:paraId="0255D184" w14:textId="77777777" w:rsidR="000812BA" w:rsidRDefault="000812BA" w:rsidP="000812BA">
      <w:pPr>
        <w:jc w:val="both"/>
        <w:rPr>
          <w:rFonts w:ascii="Trebuchet MS" w:hAnsi="Trebuchet MS" w:cs="Arial"/>
          <w:bCs/>
          <w:color w:val="5F5F5F"/>
          <w:sz w:val="20"/>
          <w:szCs w:val="20"/>
        </w:rPr>
      </w:pPr>
      <w:r>
        <w:rPr>
          <w:rFonts w:ascii="Trebuchet MS" w:hAnsi="Trebuchet MS" w:cs="Arial"/>
          <w:b/>
          <w:bCs/>
          <w:color w:val="5F5F5F"/>
          <w:sz w:val="20"/>
          <w:szCs w:val="20"/>
        </w:rPr>
        <w:t xml:space="preserve">Cittadinanza: </w:t>
      </w:r>
      <w:r>
        <w:rPr>
          <w:rFonts w:ascii="Trebuchet MS" w:hAnsi="Trebuchet MS" w:cs="Arial"/>
          <w:bCs/>
          <w:color w:val="5F5F5F"/>
          <w:sz w:val="20"/>
          <w:szCs w:val="20"/>
        </w:rPr>
        <w:t>vincolo giuridico tra un individuo e lo Stato di appartenenza che garantisce il godimento di diritti e l’assoggettamento a particolari oneri. Viene acquisito per nascita o per naturalizzazione, mediante dichiarazione, opzione, matrimonio o altre modalità previste dalla legislazione nazionale. Ad una persona con cittadinanza doppia o multipla, nella rilevazione censuaria va assegnato un unico paese di cittadinanza, da determinare con il seguente ordine di precedenza:</w:t>
      </w:r>
    </w:p>
    <w:p w14:paraId="3153776A" w14:textId="77777777" w:rsidR="000812BA" w:rsidRDefault="000812BA" w:rsidP="000812BA">
      <w:pPr>
        <w:pStyle w:val="Paragrafoelenco"/>
        <w:numPr>
          <w:ilvl w:val="0"/>
          <w:numId w:val="37"/>
        </w:numPr>
        <w:spacing w:after="0" w:line="240" w:lineRule="auto"/>
        <w:jc w:val="both"/>
        <w:rPr>
          <w:rFonts w:ascii="Trebuchet MS" w:hAnsi="Trebuchet MS" w:cs="Arial"/>
          <w:bCs/>
          <w:color w:val="5F5F5F"/>
          <w:sz w:val="20"/>
          <w:szCs w:val="20"/>
        </w:rPr>
      </w:pPr>
      <w:r>
        <w:rPr>
          <w:rFonts w:ascii="Trebuchet MS" w:hAnsi="Trebuchet MS" w:cs="Arial"/>
          <w:bCs/>
          <w:color w:val="5F5F5F"/>
          <w:sz w:val="20"/>
          <w:szCs w:val="20"/>
        </w:rPr>
        <w:t>paese dichiarante; o</w:t>
      </w:r>
    </w:p>
    <w:p w14:paraId="6A18FBC5" w14:textId="77777777" w:rsidR="000812BA" w:rsidRDefault="000812BA" w:rsidP="000812BA">
      <w:pPr>
        <w:pStyle w:val="Paragrafoelenco"/>
        <w:numPr>
          <w:ilvl w:val="0"/>
          <w:numId w:val="37"/>
        </w:numPr>
        <w:spacing w:after="0" w:line="240" w:lineRule="auto"/>
        <w:jc w:val="both"/>
        <w:rPr>
          <w:rFonts w:ascii="Trebuchet MS" w:hAnsi="Trebuchet MS" w:cs="Arial"/>
          <w:bCs/>
          <w:color w:val="5F5F5F"/>
          <w:sz w:val="20"/>
          <w:szCs w:val="20"/>
        </w:rPr>
      </w:pPr>
      <w:r>
        <w:rPr>
          <w:rFonts w:ascii="Trebuchet MS" w:hAnsi="Trebuchet MS" w:cs="Arial"/>
          <w:bCs/>
          <w:color w:val="5F5F5F"/>
          <w:sz w:val="20"/>
          <w:szCs w:val="20"/>
        </w:rPr>
        <w:t>se la persona non ha la cittadinanza del paese dichiarante: altro Stato membro dell'Ue; o</w:t>
      </w:r>
    </w:p>
    <w:p w14:paraId="5B7F9260" w14:textId="77777777" w:rsidR="000812BA" w:rsidRDefault="000812BA" w:rsidP="000812BA">
      <w:pPr>
        <w:pStyle w:val="Paragrafoelenco"/>
        <w:numPr>
          <w:ilvl w:val="0"/>
          <w:numId w:val="37"/>
        </w:numPr>
        <w:spacing w:after="0" w:line="240" w:lineRule="auto"/>
        <w:jc w:val="both"/>
        <w:rPr>
          <w:rFonts w:ascii="Trebuchet MS" w:hAnsi="Trebuchet MS" w:cs="Arial"/>
          <w:bCs/>
          <w:color w:val="5F5F5F"/>
          <w:sz w:val="20"/>
          <w:szCs w:val="20"/>
        </w:rPr>
      </w:pPr>
      <w:r>
        <w:rPr>
          <w:rFonts w:ascii="Trebuchet MS" w:hAnsi="Trebuchet MS" w:cs="Arial"/>
          <w:bCs/>
          <w:color w:val="5F5F5F"/>
          <w:sz w:val="20"/>
          <w:szCs w:val="20"/>
        </w:rPr>
        <w:t>se la persona non ha la cittadinanza di un altro Stato membro dell'Ue: altro paese non membro dell'Unione europea.</w:t>
      </w:r>
    </w:p>
    <w:p w14:paraId="481F5699" w14:textId="77777777" w:rsidR="000812BA" w:rsidRDefault="000812BA" w:rsidP="000812BA">
      <w:pPr>
        <w:spacing w:before="60" w:after="120"/>
        <w:jc w:val="both"/>
        <w:rPr>
          <w:rFonts w:ascii="Trebuchet MS" w:hAnsi="Trebuchet MS" w:cs="Arial"/>
          <w:bCs/>
          <w:color w:val="5F5F5F"/>
          <w:sz w:val="20"/>
          <w:szCs w:val="20"/>
        </w:rPr>
      </w:pPr>
      <w:r>
        <w:rPr>
          <w:rFonts w:ascii="Trebuchet MS" w:hAnsi="Trebuchet MS" w:cs="Arial"/>
          <w:bCs/>
          <w:color w:val="5F5F5F"/>
          <w:sz w:val="20"/>
          <w:szCs w:val="20"/>
        </w:rPr>
        <w:t>Per "Stato membro dell'Ue" si intende un paese che è membro dell'Unione europea al tempo di riferimento dell’indagine. Nei casi di doppia cittadinanza, in cui entrambi i paesi sono Stati membri dell'Unione europea ma nessuno è il paese dichiarante, gli Stati membri determinano il paese di cittadinanza da assegnare.</w:t>
      </w:r>
    </w:p>
    <w:p w14:paraId="754A10BB" w14:textId="77777777" w:rsidR="000812BA" w:rsidRDefault="000812BA" w:rsidP="000812BA">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t xml:space="preserve">Diploma di istruzione secondaria di I grado (licenza media o avviamento professionale): </w:t>
      </w:r>
      <w:r>
        <w:rPr>
          <w:rFonts w:ascii="Trebuchet MS" w:hAnsi="Trebuchet MS" w:cs="Arial"/>
          <w:bCs/>
          <w:color w:val="5F5F5F"/>
          <w:sz w:val="20"/>
          <w:szCs w:val="20"/>
        </w:rPr>
        <w:t>titolo di studio conseguito al completamento dei corsi di scuola secondaria di I grado e dopo il superamento dell’esame di stato conclusivo del primo ciclo d’istruzione.</w:t>
      </w:r>
    </w:p>
    <w:p w14:paraId="3570DE61" w14:textId="77777777" w:rsidR="000812BA" w:rsidRDefault="000812BA" w:rsidP="000812BA">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t xml:space="preserve">Diploma di istruzione secondaria di II grado: comprende i diplomi di 4-5 anni (ex diploma di maturità) e i diplomi di qualifica professionale di 2-3 anni. </w:t>
      </w:r>
      <w:r>
        <w:rPr>
          <w:rFonts w:ascii="Trebuchet MS" w:hAnsi="Trebuchet MS" w:cs="Arial"/>
          <w:bCs/>
          <w:color w:val="5F5F5F"/>
          <w:sz w:val="20"/>
          <w:szCs w:val="20"/>
        </w:rPr>
        <w:t>I diplomi di 4-5 anni comprendono i titoli di studio conseguiti al termine di un percorso di studi secondari di II grado, attualmente della durata di 5 anni e dopo il superamento dell’esame di stato conclusivo del secondo ciclo di istruzione. Il titolo permette l’iscrizione ad un corso di studi universitari. Per accedere ai corsi è richiesto il diploma di scuola secondaria di I grado. I diplomi di qualifica professionale di 2-3 anni comprendono i titoli di studio conseguiti al termine di un percorso di studi secondario di II grado di durata non superiore a 3 anni (istituti professionali, istituti d’arte, scuola magistrale), che non permette l’iscrizione ad un corso di studi universitario.</w:t>
      </w:r>
    </w:p>
    <w:p w14:paraId="4610003C" w14:textId="77777777" w:rsidR="000812BA" w:rsidRDefault="000812BA" w:rsidP="000812BA">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t xml:space="preserve">Dottorato di ricerca/diploma accademico di formazione alla ricerca: </w:t>
      </w:r>
      <w:r>
        <w:rPr>
          <w:rFonts w:ascii="Trebuchet MS" w:hAnsi="Trebuchet MS" w:cs="Arial"/>
          <w:bCs/>
          <w:color w:val="5F5F5F"/>
          <w:sz w:val="20"/>
          <w:szCs w:val="20"/>
        </w:rPr>
        <w:t>titolo di studio che si consegue dopo un corso di almeno 3 anni. Per accedere a tali corsi è necessario possedere una laurea magistrale/specialistica. Il diploma accademico di formazione alla ricerca si consegue dopo un corso di tre anni. Per accedere a tali corsi è necessario possedere il diploma accademico di II livello.</w:t>
      </w:r>
    </w:p>
    <w:p w14:paraId="6EE5E532" w14:textId="77777777" w:rsidR="000812BA" w:rsidRDefault="000812BA" w:rsidP="000812BA">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t xml:space="preserve">Età media della popolazione: </w:t>
      </w:r>
      <w:r>
        <w:rPr>
          <w:rFonts w:ascii="Trebuchet MS" w:hAnsi="Trebuchet MS" w:cs="Arial"/>
          <w:bCs/>
          <w:color w:val="5F5F5F"/>
          <w:sz w:val="20"/>
          <w:szCs w:val="20"/>
        </w:rPr>
        <w:t>l'età media della popolazione residente a una certa data, espressa in anni e decimi di anno. È ottenuta come media ponderata con pesi pari all'ammontare della popolazione in ciascuna classe di età.</w:t>
      </w:r>
    </w:p>
    <w:p w14:paraId="0496A27C" w14:textId="77777777" w:rsidR="000812BA" w:rsidRPr="004E2FD7" w:rsidRDefault="000812BA" w:rsidP="000812BA">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t xml:space="preserve">Famiglia: </w:t>
      </w:r>
      <w:r w:rsidRPr="00AE565E">
        <w:rPr>
          <w:rFonts w:ascii="Trebuchet MS" w:hAnsi="Trebuchet MS" w:cs="Arial"/>
          <w:bCs/>
          <w:color w:val="5F5F5F"/>
          <w:sz w:val="20"/>
          <w:szCs w:val="20"/>
        </w:rPr>
        <w:t xml:space="preserve">insieme di persone legate da vincoli di matrimonio, parentela, </w:t>
      </w:r>
      <w:proofErr w:type="spellStart"/>
      <w:r w:rsidRPr="00AE565E">
        <w:rPr>
          <w:rFonts w:ascii="Trebuchet MS" w:hAnsi="Trebuchet MS" w:cs="Arial"/>
          <w:bCs/>
          <w:color w:val="5F5F5F"/>
          <w:sz w:val="20"/>
          <w:szCs w:val="20"/>
        </w:rPr>
        <w:t>afﬁnità</w:t>
      </w:r>
      <w:proofErr w:type="spellEnd"/>
      <w:r w:rsidRPr="00AE565E">
        <w:rPr>
          <w:rFonts w:ascii="Trebuchet MS" w:hAnsi="Trebuchet MS" w:cs="Arial"/>
          <w:bCs/>
          <w:color w:val="5F5F5F"/>
          <w:sz w:val="20"/>
          <w:szCs w:val="20"/>
        </w:rPr>
        <w:t>, adozione, tutela, o da vincoli affettivi, coabitanti e aventi dimora abituale nello stesso comune (anche se non sono ancora iscritte nell’anagrafe della popolazione residente del comune medesimo). Una famiglia può essere costituita anche da una sola persona. L’assente temporaneo non cessa di appartenere alla propria famiglia sia che si trovi presso altro alloggio (o convivenza) dello stesso comune, sia che si trovi in un altro comune italiano o all’estero.</w:t>
      </w:r>
    </w:p>
    <w:p w14:paraId="21E41124" w14:textId="77777777" w:rsidR="000812BA" w:rsidRDefault="000812BA" w:rsidP="000812BA">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t xml:space="preserve">Indice di dipendenza strutturale: </w:t>
      </w:r>
      <w:r>
        <w:rPr>
          <w:rFonts w:ascii="Trebuchet MS" w:hAnsi="Trebuchet MS" w:cs="Arial"/>
          <w:bCs/>
          <w:color w:val="5F5F5F"/>
          <w:sz w:val="20"/>
          <w:szCs w:val="20"/>
        </w:rPr>
        <w:t>rapporto tra la popolazione in età non attiva (0-14 anni e 65 anni e oltre) e la popolazione in età attiva (15-64 anni), moltiplicato per 100.</w:t>
      </w:r>
    </w:p>
    <w:p w14:paraId="45725E5B" w14:textId="77777777" w:rsidR="000812BA" w:rsidRDefault="000812BA" w:rsidP="000812BA">
      <w:pPr>
        <w:spacing w:before="60" w:after="120"/>
        <w:jc w:val="both"/>
        <w:rPr>
          <w:rFonts w:ascii="Trebuchet MS" w:hAnsi="Trebuchet MS" w:cs="Arial"/>
          <w:b/>
          <w:bCs/>
          <w:color w:val="5F5F5F"/>
          <w:sz w:val="20"/>
          <w:szCs w:val="20"/>
        </w:rPr>
      </w:pPr>
      <w:r>
        <w:rPr>
          <w:rFonts w:ascii="Trebuchet MS" w:hAnsi="Trebuchet MS" w:cs="Arial"/>
          <w:b/>
          <w:bCs/>
          <w:color w:val="5F5F5F"/>
          <w:sz w:val="20"/>
          <w:szCs w:val="20"/>
        </w:rPr>
        <w:t xml:space="preserve">Indice di dipendenza strutturale degli anziani: </w:t>
      </w:r>
      <w:r>
        <w:rPr>
          <w:rFonts w:ascii="Trebuchet MS" w:hAnsi="Trebuchet MS" w:cs="Arial"/>
          <w:bCs/>
          <w:color w:val="5F5F5F"/>
          <w:sz w:val="20"/>
          <w:szCs w:val="20"/>
        </w:rPr>
        <w:t>rapporto tra la popolazione di 65 anni e oltre e la popolazione in età attiva (15-64 anni), moltiplicato per 100.</w:t>
      </w:r>
    </w:p>
    <w:p w14:paraId="4F9A9F73" w14:textId="77777777" w:rsidR="000812BA" w:rsidRDefault="000812BA" w:rsidP="000812BA">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t>Indice di struttura della popolazione attiva: </w:t>
      </w:r>
      <w:r>
        <w:rPr>
          <w:rFonts w:ascii="Trebuchet MS" w:hAnsi="Trebuchet MS" w:cs="Arial"/>
          <w:bCs/>
          <w:color w:val="5F5F5F"/>
          <w:sz w:val="20"/>
          <w:szCs w:val="20"/>
        </w:rPr>
        <w:t>rapporto percentuale tra la popolazione in età 40-64 anni e la popolazione in età 15-39 anni</w:t>
      </w:r>
    </w:p>
    <w:p w14:paraId="79E3E92C" w14:textId="77777777" w:rsidR="000812BA" w:rsidRDefault="000812BA" w:rsidP="000812BA">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t xml:space="preserve">Indice di vecchiaia: </w:t>
      </w:r>
      <w:r>
        <w:rPr>
          <w:rFonts w:ascii="Trebuchet MS" w:hAnsi="Trebuchet MS" w:cs="Arial"/>
          <w:bCs/>
          <w:color w:val="5F5F5F"/>
          <w:sz w:val="20"/>
          <w:szCs w:val="20"/>
        </w:rPr>
        <w:t>rapporto tra la popolazione di 65 anni e oltre e la popolazione di età 0-14 anni, moltiplicato per 100.</w:t>
      </w:r>
    </w:p>
    <w:p w14:paraId="37753A7D" w14:textId="77777777" w:rsidR="000812BA" w:rsidRDefault="000812BA" w:rsidP="000812BA">
      <w:pPr>
        <w:spacing w:before="60" w:after="120"/>
        <w:jc w:val="both"/>
        <w:rPr>
          <w:rFonts w:ascii="Trebuchet MS" w:hAnsi="Trebuchet MS" w:cs="Arial"/>
          <w:b/>
          <w:bCs/>
          <w:color w:val="5F5F5F"/>
          <w:sz w:val="20"/>
          <w:szCs w:val="20"/>
        </w:rPr>
      </w:pPr>
      <w:r>
        <w:rPr>
          <w:rFonts w:ascii="Trebuchet MS" w:hAnsi="Trebuchet MS" w:cs="Arial"/>
          <w:b/>
          <w:bCs/>
          <w:color w:val="5F5F5F"/>
          <w:sz w:val="20"/>
          <w:szCs w:val="20"/>
        </w:rPr>
        <w:t xml:space="preserve">Istruzione terziaria: </w:t>
      </w:r>
      <w:r>
        <w:rPr>
          <w:rFonts w:ascii="Trebuchet MS" w:hAnsi="Trebuchet MS" w:cs="Arial"/>
          <w:bCs/>
          <w:color w:val="5F5F5F"/>
          <w:sz w:val="20"/>
          <w:szCs w:val="20"/>
        </w:rPr>
        <w:t>comprende titoli di istruzione terziaria di I e II livello</w:t>
      </w:r>
    </w:p>
    <w:p w14:paraId="2751B0D8" w14:textId="77777777" w:rsidR="000812BA" w:rsidRDefault="000812BA" w:rsidP="000812BA">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lastRenderedPageBreak/>
        <w:t xml:space="preserve">Istruzione terziaria di I livello (titolo di): </w:t>
      </w:r>
      <w:r>
        <w:rPr>
          <w:rFonts w:ascii="Trebuchet MS" w:hAnsi="Trebuchet MS" w:cs="Arial"/>
          <w:bCs/>
          <w:color w:val="5F5F5F"/>
          <w:sz w:val="20"/>
          <w:szCs w:val="20"/>
        </w:rPr>
        <w:t>rientrano in questa modalità i seguenti titoli: diploma universitario, diploma rilasciato da una scuola diretta a fini speciali, altro diploma terziario non universitario del vecchio ordinamento, laurea di I livello e diploma accademico Afam di I livello.</w:t>
      </w:r>
    </w:p>
    <w:p w14:paraId="03FA035F" w14:textId="77777777" w:rsidR="000812BA" w:rsidRDefault="000812BA" w:rsidP="000812BA">
      <w:pPr>
        <w:spacing w:before="60" w:after="120"/>
        <w:jc w:val="both"/>
        <w:rPr>
          <w:rFonts w:ascii="Trebuchet MS" w:hAnsi="Trebuchet MS"/>
          <w:bCs/>
          <w:color w:val="5F5F5F"/>
          <w:sz w:val="20"/>
          <w:szCs w:val="20"/>
        </w:rPr>
      </w:pPr>
      <w:r>
        <w:rPr>
          <w:rFonts w:ascii="Trebuchet MS" w:hAnsi="Trebuchet MS" w:cs="Arial"/>
          <w:b/>
          <w:bCs/>
          <w:color w:val="5F5F5F"/>
          <w:sz w:val="20"/>
          <w:szCs w:val="20"/>
        </w:rPr>
        <w:t xml:space="preserve">Istruzione terziaria di II livello (titolo di): </w:t>
      </w:r>
      <w:r>
        <w:rPr>
          <w:rFonts w:ascii="Trebuchet MS" w:hAnsi="Trebuchet MS"/>
          <w:bCs/>
          <w:color w:val="5F5F5F"/>
          <w:sz w:val="20"/>
          <w:szCs w:val="20"/>
        </w:rPr>
        <w:t xml:space="preserve">rientrano in questa modalità i seguenti titoli di studio: la laurea magistrale/specialistica (biennale, a ciclo unico, diploma di laurea di 4-6 anni), il diploma di accademia di belle arti, danza, arte drammatica, </w:t>
      </w:r>
      <w:proofErr w:type="spellStart"/>
      <w:r>
        <w:rPr>
          <w:rFonts w:ascii="Trebuchet MS" w:hAnsi="Trebuchet MS"/>
          <w:bCs/>
          <w:color w:val="5F5F5F"/>
          <w:sz w:val="20"/>
          <w:szCs w:val="20"/>
        </w:rPr>
        <w:t>Isia</w:t>
      </w:r>
      <w:proofErr w:type="spellEnd"/>
      <w:r>
        <w:rPr>
          <w:rFonts w:ascii="Trebuchet MS" w:hAnsi="Trebuchet MS"/>
          <w:bCs/>
          <w:color w:val="5F5F5F"/>
          <w:sz w:val="20"/>
          <w:szCs w:val="20"/>
        </w:rPr>
        <w:t>, ecc., conservatorio (vecchio ordinamento) precedente la riforma del settore Afam (legge 508/99) e il diploma accademico di alta formazione artistica, musicale e coreutica (Afam) di II livello.</w:t>
      </w:r>
    </w:p>
    <w:p w14:paraId="29601021" w14:textId="77777777" w:rsidR="000812BA" w:rsidRDefault="000812BA" w:rsidP="000812BA">
      <w:pPr>
        <w:spacing w:before="60" w:after="120"/>
        <w:jc w:val="both"/>
        <w:rPr>
          <w:rFonts w:ascii="Trebuchet MS" w:hAnsi="Trebuchet MS"/>
          <w:bCs/>
          <w:color w:val="5F5F5F"/>
          <w:sz w:val="20"/>
          <w:szCs w:val="20"/>
        </w:rPr>
      </w:pPr>
      <w:r>
        <w:rPr>
          <w:rFonts w:ascii="Trebuchet MS" w:hAnsi="Trebuchet MS" w:cs="Arial"/>
          <w:b/>
          <w:bCs/>
          <w:color w:val="5F5F5F"/>
          <w:sz w:val="20"/>
          <w:szCs w:val="20"/>
        </w:rPr>
        <w:t>Istruzione terziaria e superiore</w:t>
      </w:r>
      <w:r>
        <w:rPr>
          <w:rFonts w:ascii="Trebuchet MS" w:hAnsi="Trebuchet MS"/>
          <w:bCs/>
          <w:color w:val="5F5F5F"/>
          <w:sz w:val="20"/>
          <w:szCs w:val="20"/>
        </w:rPr>
        <w:t>: comprende l’istruzione terziaria, il dottorato di ricerca</w:t>
      </w:r>
      <w:r>
        <w:rPr>
          <w:rFonts w:ascii="Trebuchet MS" w:hAnsi="Trebuchet MS" w:cs="Arial"/>
          <w:b/>
          <w:bCs/>
          <w:color w:val="5F5F5F"/>
          <w:sz w:val="20"/>
          <w:szCs w:val="20"/>
        </w:rPr>
        <w:t xml:space="preserve"> </w:t>
      </w:r>
      <w:r>
        <w:rPr>
          <w:rFonts w:ascii="Trebuchet MS" w:hAnsi="Trebuchet MS"/>
          <w:bCs/>
          <w:color w:val="5F5F5F"/>
          <w:sz w:val="20"/>
          <w:szCs w:val="20"/>
        </w:rPr>
        <w:t>e il diploma accademico di formazione alla ricerca</w:t>
      </w:r>
    </w:p>
    <w:p w14:paraId="655799CD" w14:textId="77777777" w:rsidR="000812BA" w:rsidRDefault="000812BA" w:rsidP="000812BA">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t xml:space="preserve">Licenza di scuola elementare: </w:t>
      </w:r>
      <w:r>
        <w:rPr>
          <w:rFonts w:ascii="Trebuchet MS" w:hAnsi="Trebuchet MS" w:cs="Arial"/>
          <w:bCs/>
          <w:color w:val="5F5F5F"/>
          <w:sz w:val="20"/>
          <w:szCs w:val="20"/>
        </w:rPr>
        <w:t>titolo di studio che corrisponde al completamento del primo grado del sistema scolastico.</w:t>
      </w:r>
    </w:p>
    <w:p w14:paraId="6CB4492D" w14:textId="77777777" w:rsidR="000812BA" w:rsidRDefault="000812BA" w:rsidP="000812BA">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t xml:space="preserve">Licenza di scuola media inferiore o di avviamento professionale: </w:t>
      </w:r>
      <w:r>
        <w:rPr>
          <w:rFonts w:ascii="Trebuchet MS" w:hAnsi="Trebuchet MS" w:cs="Arial"/>
          <w:bCs/>
          <w:color w:val="5F5F5F"/>
          <w:sz w:val="20"/>
          <w:szCs w:val="20"/>
        </w:rPr>
        <w:t>titolo di studio che corrisponde al completamento del secondo grado del sistema scolastico e rappresenta la conclusione del primo ciclo di istruzione.</w:t>
      </w:r>
    </w:p>
    <w:p w14:paraId="5B683F47" w14:textId="77777777" w:rsidR="000812BA" w:rsidRDefault="000812BA" w:rsidP="000812BA">
      <w:pPr>
        <w:spacing w:before="60" w:after="120"/>
        <w:jc w:val="both"/>
        <w:rPr>
          <w:rFonts w:ascii="Trebuchet MS" w:hAnsi="Trebuchet MS" w:cs="Arial"/>
          <w:color w:val="5F5F5F"/>
          <w:sz w:val="20"/>
          <w:szCs w:val="20"/>
        </w:rPr>
      </w:pPr>
      <w:r>
        <w:rPr>
          <w:rFonts w:ascii="Trebuchet MS" w:hAnsi="Trebuchet MS" w:cs="Arial"/>
          <w:b/>
          <w:bCs/>
          <w:color w:val="5F5F5F"/>
          <w:sz w:val="20"/>
          <w:szCs w:val="20"/>
        </w:rPr>
        <w:t>Popolazione residente:</w:t>
      </w:r>
      <w:r>
        <w:rPr>
          <w:rFonts w:ascii="Trebuchet MS" w:hAnsi="Trebuchet MS" w:cs="Arial"/>
          <w:color w:val="5F5F5F"/>
          <w:sz w:val="20"/>
          <w:szCs w:val="20"/>
        </w:rPr>
        <w:t xml:space="preserve"> popolazione costituita dalle persone aventi dimora abituale in ciascun comune, anche se alla data del censimento sono assenti perché temporaneamente presenti in altro comune italiano o all’estero. </w:t>
      </w:r>
    </w:p>
    <w:p w14:paraId="4950716A" w14:textId="77777777" w:rsidR="000812BA" w:rsidRDefault="000812BA" w:rsidP="000812BA">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t xml:space="preserve">Rapporto di mascolinità: </w:t>
      </w:r>
      <w:r>
        <w:rPr>
          <w:rFonts w:ascii="Trebuchet MS" w:hAnsi="Trebuchet MS" w:cs="Arial"/>
          <w:bCs/>
          <w:color w:val="5F5F5F"/>
          <w:sz w:val="20"/>
          <w:szCs w:val="20"/>
        </w:rPr>
        <w:t>rapporto percentuale tra il numero di persone di sesso maschile e il numero di persone di sesso femminile.</w:t>
      </w:r>
    </w:p>
    <w:p w14:paraId="2E1BDB8E" w14:textId="77777777" w:rsidR="000812BA" w:rsidRPr="00660D62" w:rsidRDefault="000812BA" w:rsidP="000812BA">
      <w:pPr>
        <w:spacing w:after="120"/>
        <w:jc w:val="both"/>
        <w:rPr>
          <w:rStyle w:val="fontstyle01"/>
          <w:rFonts w:ascii="Trebuchet MS" w:hAnsi="Trebuchet MS"/>
          <w:b w:val="0"/>
          <w:bCs w:val="0"/>
          <w:iCs/>
          <w:sz w:val="20"/>
          <w:szCs w:val="20"/>
        </w:rPr>
      </w:pPr>
      <w:r w:rsidRPr="001B5D93">
        <w:rPr>
          <w:rStyle w:val="fontstyle01"/>
          <w:rFonts w:ascii="Trebuchet MS" w:hAnsi="Trebuchet MS"/>
          <w:iCs/>
          <w:sz w:val="20"/>
          <w:szCs w:val="20"/>
        </w:rPr>
        <w:t xml:space="preserve">Strategia Nazionale per le Aree Interne: </w:t>
      </w:r>
      <w:r w:rsidRPr="00660D62">
        <w:rPr>
          <w:rStyle w:val="fontstyle01"/>
          <w:rFonts w:ascii="Trebuchet MS" w:hAnsi="Trebuchet MS"/>
          <w:iCs/>
          <w:sz w:val="20"/>
          <w:szCs w:val="20"/>
        </w:rPr>
        <w:t>linea strategica di intervento dei Fondi strutturali europei del ciclo di programmazione 2014-2020 che introduce una zonizzazione del territorio nazionale</w:t>
      </w:r>
      <w:r>
        <w:rPr>
          <w:rStyle w:val="fontstyle01"/>
          <w:rFonts w:ascii="Trebuchet MS" w:hAnsi="Trebuchet MS"/>
          <w:iCs/>
          <w:sz w:val="20"/>
          <w:szCs w:val="20"/>
        </w:rPr>
        <w:t xml:space="preserve"> in:</w:t>
      </w:r>
    </w:p>
    <w:p w14:paraId="7DC2AD93" w14:textId="77777777" w:rsidR="000812BA" w:rsidRDefault="000812BA" w:rsidP="000812BA">
      <w:pPr>
        <w:spacing w:after="120"/>
        <w:ind w:left="284"/>
        <w:jc w:val="both"/>
        <w:rPr>
          <w:rStyle w:val="fontstyle01"/>
          <w:rFonts w:ascii="Trebuchet MS" w:hAnsi="Trebuchet MS"/>
          <w:b w:val="0"/>
          <w:bCs w:val="0"/>
          <w:iCs/>
          <w:sz w:val="20"/>
          <w:szCs w:val="20"/>
        </w:rPr>
      </w:pPr>
      <w:r>
        <w:rPr>
          <w:rStyle w:val="fontstyle01"/>
          <w:rFonts w:ascii="Trebuchet MS" w:hAnsi="Trebuchet MS"/>
          <w:iCs/>
          <w:sz w:val="20"/>
          <w:szCs w:val="20"/>
        </w:rPr>
        <w:t xml:space="preserve">Comune </w:t>
      </w:r>
      <w:r w:rsidRPr="00A50EC1">
        <w:rPr>
          <w:rStyle w:val="fontstyle01"/>
          <w:rFonts w:ascii="Trebuchet MS" w:hAnsi="Trebuchet MS"/>
          <w:iCs/>
          <w:sz w:val="20"/>
          <w:szCs w:val="20"/>
        </w:rPr>
        <w:t>Polo:</w:t>
      </w:r>
      <w:r>
        <w:rPr>
          <w:rStyle w:val="fontstyle01"/>
          <w:rFonts w:ascii="Trebuchet MS" w:hAnsi="Trebuchet MS"/>
          <w:iCs/>
          <w:sz w:val="20"/>
          <w:szCs w:val="20"/>
        </w:rPr>
        <w:t xml:space="preserve"> </w:t>
      </w:r>
      <w:r w:rsidRPr="00660D62">
        <w:rPr>
          <w:rStyle w:val="fontstyle01"/>
          <w:rFonts w:ascii="Trebuchet MS" w:hAnsi="Trebuchet MS"/>
          <w:iCs/>
          <w:sz w:val="20"/>
          <w:szCs w:val="20"/>
        </w:rPr>
        <w:t>comune che dispone, simultaneamente, di tutta l’offerta scolastica secondaria, di ospedali sedi di DEA di primo livello e di stazioni ferroviarie Platinum, Gold o Silver;</w:t>
      </w:r>
      <w:r w:rsidRPr="001B5D93">
        <w:rPr>
          <w:rStyle w:val="fontstyle01"/>
          <w:rFonts w:ascii="Trebuchet MS" w:hAnsi="Trebuchet MS"/>
          <w:iCs/>
          <w:sz w:val="20"/>
          <w:szCs w:val="20"/>
        </w:rPr>
        <w:t xml:space="preserve"> </w:t>
      </w:r>
    </w:p>
    <w:p w14:paraId="3089DC2F" w14:textId="77777777" w:rsidR="000812BA" w:rsidRPr="00660D62" w:rsidRDefault="000812BA" w:rsidP="000812BA">
      <w:pPr>
        <w:spacing w:after="120"/>
        <w:ind w:left="284"/>
        <w:jc w:val="both"/>
        <w:rPr>
          <w:rStyle w:val="fontstyle01"/>
          <w:rFonts w:ascii="Trebuchet MS" w:hAnsi="Trebuchet MS"/>
          <w:b w:val="0"/>
          <w:bCs w:val="0"/>
          <w:iCs/>
          <w:sz w:val="20"/>
          <w:szCs w:val="20"/>
        </w:rPr>
      </w:pPr>
      <w:r>
        <w:rPr>
          <w:rStyle w:val="fontstyle01"/>
          <w:rFonts w:ascii="Trebuchet MS" w:hAnsi="Trebuchet MS"/>
          <w:iCs/>
          <w:sz w:val="20"/>
          <w:szCs w:val="20"/>
        </w:rPr>
        <w:t xml:space="preserve">Comune </w:t>
      </w:r>
      <w:r w:rsidRPr="00A50EC1">
        <w:rPr>
          <w:rStyle w:val="fontstyle01"/>
          <w:rFonts w:ascii="Trebuchet MS" w:hAnsi="Trebuchet MS"/>
          <w:iCs/>
          <w:sz w:val="20"/>
          <w:szCs w:val="20"/>
        </w:rPr>
        <w:t>Polo intercomunale:</w:t>
      </w:r>
      <w:r>
        <w:rPr>
          <w:rStyle w:val="fontstyle01"/>
          <w:rFonts w:ascii="Trebuchet MS" w:hAnsi="Trebuchet MS"/>
          <w:iCs/>
          <w:sz w:val="20"/>
          <w:szCs w:val="20"/>
        </w:rPr>
        <w:t xml:space="preserve"> </w:t>
      </w:r>
      <w:r w:rsidRPr="00660D62">
        <w:rPr>
          <w:rStyle w:val="fontstyle01"/>
          <w:rFonts w:ascii="Trebuchet MS" w:hAnsi="Trebuchet MS"/>
          <w:iCs/>
          <w:sz w:val="20"/>
          <w:szCs w:val="20"/>
        </w:rPr>
        <w:t xml:space="preserve">aggregato di comuni confinanti che dispone, simultaneamente, di tutta l’offerta scolastica secondaria, di ospedali sedi di DEA di primo livello e di stazioni ferroviarie Platinum, Gold o Silver; </w:t>
      </w:r>
    </w:p>
    <w:p w14:paraId="33D0D39D" w14:textId="77777777" w:rsidR="000812BA" w:rsidRPr="00660D62" w:rsidRDefault="000812BA" w:rsidP="000812BA">
      <w:pPr>
        <w:spacing w:after="120"/>
        <w:ind w:left="284"/>
        <w:jc w:val="both"/>
        <w:rPr>
          <w:rStyle w:val="fontstyle01"/>
          <w:rFonts w:ascii="Trebuchet MS" w:hAnsi="Trebuchet MS"/>
          <w:b w:val="0"/>
          <w:bCs w:val="0"/>
          <w:iCs/>
          <w:sz w:val="20"/>
          <w:szCs w:val="20"/>
        </w:rPr>
      </w:pPr>
      <w:r>
        <w:rPr>
          <w:rStyle w:val="fontstyle01"/>
          <w:rFonts w:ascii="Trebuchet MS" w:hAnsi="Trebuchet MS"/>
          <w:iCs/>
          <w:sz w:val="20"/>
          <w:szCs w:val="20"/>
        </w:rPr>
        <w:t xml:space="preserve">Comune </w:t>
      </w:r>
      <w:r w:rsidRPr="001B5D93">
        <w:rPr>
          <w:rStyle w:val="fontstyle01"/>
          <w:rFonts w:ascii="Trebuchet MS" w:hAnsi="Trebuchet MS"/>
          <w:iCs/>
          <w:sz w:val="20"/>
          <w:szCs w:val="20"/>
        </w:rPr>
        <w:t>Cintura</w:t>
      </w:r>
      <w:r>
        <w:rPr>
          <w:rStyle w:val="fontstyle01"/>
          <w:rFonts w:ascii="Trebuchet MS" w:hAnsi="Trebuchet MS"/>
          <w:iCs/>
          <w:sz w:val="20"/>
          <w:szCs w:val="20"/>
        </w:rPr>
        <w:t xml:space="preserve">: </w:t>
      </w:r>
      <w:r w:rsidRPr="00660D62">
        <w:rPr>
          <w:rStyle w:val="fontstyle01"/>
          <w:rFonts w:ascii="Trebuchet MS" w:hAnsi="Trebuchet MS"/>
          <w:iCs/>
          <w:sz w:val="20"/>
          <w:szCs w:val="20"/>
        </w:rPr>
        <w:t>comune che dista dal Polo mediamente meno di 20 minuti;</w:t>
      </w:r>
    </w:p>
    <w:p w14:paraId="6D52EE05" w14:textId="77777777" w:rsidR="000812BA" w:rsidRPr="00660D62" w:rsidRDefault="000812BA" w:rsidP="000812BA">
      <w:pPr>
        <w:spacing w:after="120"/>
        <w:ind w:left="284"/>
        <w:jc w:val="both"/>
        <w:rPr>
          <w:rStyle w:val="fontstyle01"/>
          <w:rFonts w:ascii="Trebuchet MS" w:hAnsi="Trebuchet MS"/>
          <w:b w:val="0"/>
          <w:bCs w:val="0"/>
          <w:iCs/>
          <w:sz w:val="20"/>
          <w:szCs w:val="20"/>
        </w:rPr>
      </w:pPr>
      <w:r>
        <w:rPr>
          <w:rStyle w:val="fontstyle01"/>
          <w:rFonts w:ascii="Trebuchet MS" w:hAnsi="Trebuchet MS"/>
          <w:iCs/>
          <w:sz w:val="20"/>
          <w:szCs w:val="20"/>
        </w:rPr>
        <w:t xml:space="preserve">Comune Intermedio: </w:t>
      </w:r>
      <w:r w:rsidRPr="00660D62">
        <w:rPr>
          <w:rStyle w:val="fontstyle01"/>
          <w:rFonts w:ascii="Trebuchet MS" w:hAnsi="Trebuchet MS"/>
          <w:iCs/>
          <w:sz w:val="20"/>
          <w:szCs w:val="20"/>
        </w:rPr>
        <w:t>comune che dista dal Polo mediamente tra i 20 e i 40 minuti;</w:t>
      </w:r>
    </w:p>
    <w:p w14:paraId="21823AAB" w14:textId="77777777" w:rsidR="000812BA" w:rsidRDefault="000812BA" w:rsidP="000812BA">
      <w:pPr>
        <w:spacing w:after="120"/>
        <w:ind w:left="284"/>
        <w:jc w:val="both"/>
        <w:rPr>
          <w:rStyle w:val="fontstyle01"/>
          <w:rFonts w:ascii="Trebuchet MS" w:hAnsi="Trebuchet MS"/>
          <w:b w:val="0"/>
          <w:bCs w:val="0"/>
          <w:iCs/>
          <w:sz w:val="20"/>
          <w:szCs w:val="20"/>
        </w:rPr>
      </w:pPr>
      <w:r>
        <w:rPr>
          <w:rStyle w:val="fontstyle01"/>
          <w:rFonts w:ascii="Trebuchet MS" w:hAnsi="Trebuchet MS"/>
          <w:iCs/>
          <w:sz w:val="20"/>
          <w:szCs w:val="20"/>
        </w:rPr>
        <w:t xml:space="preserve">Comune Periferico: </w:t>
      </w:r>
      <w:r w:rsidRPr="00660D62">
        <w:rPr>
          <w:rStyle w:val="fontstyle01"/>
          <w:rFonts w:ascii="Trebuchet MS" w:hAnsi="Trebuchet MS"/>
          <w:iCs/>
          <w:sz w:val="20"/>
          <w:szCs w:val="20"/>
        </w:rPr>
        <w:t>comune che dista dal Polo mediamente tra i 40 e i 75 minuti;</w:t>
      </w:r>
      <w:r w:rsidRPr="001B5D93">
        <w:rPr>
          <w:rStyle w:val="fontstyle01"/>
          <w:rFonts w:ascii="Trebuchet MS" w:hAnsi="Trebuchet MS"/>
          <w:iCs/>
          <w:sz w:val="20"/>
          <w:szCs w:val="20"/>
        </w:rPr>
        <w:t xml:space="preserve"> </w:t>
      </w:r>
    </w:p>
    <w:p w14:paraId="1C11678C" w14:textId="77777777" w:rsidR="000812BA" w:rsidRPr="00660D62" w:rsidRDefault="000812BA" w:rsidP="000812BA">
      <w:pPr>
        <w:spacing w:after="120"/>
        <w:ind w:left="284"/>
        <w:jc w:val="both"/>
        <w:rPr>
          <w:rStyle w:val="fontstyle01"/>
          <w:rFonts w:ascii="Trebuchet MS" w:hAnsi="Trebuchet MS"/>
          <w:b w:val="0"/>
          <w:bCs w:val="0"/>
          <w:iCs/>
          <w:sz w:val="20"/>
          <w:szCs w:val="20"/>
        </w:rPr>
      </w:pPr>
      <w:r>
        <w:rPr>
          <w:rStyle w:val="fontstyle01"/>
          <w:rFonts w:ascii="Trebuchet MS" w:hAnsi="Trebuchet MS"/>
          <w:iCs/>
          <w:sz w:val="20"/>
          <w:szCs w:val="20"/>
        </w:rPr>
        <w:t xml:space="preserve">Comune Ultra-periferico: </w:t>
      </w:r>
      <w:r w:rsidRPr="00660D62">
        <w:rPr>
          <w:rStyle w:val="fontstyle01"/>
          <w:rFonts w:ascii="Trebuchet MS" w:hAnsi="Trebuchet MS"/>
          <w:iCs/>
          <w:sz w:val="20"/>
          <w:szCs w:val="20"/>
        </w:rPr>
        <w:t>comune che dista dal Polo mediamente oltre i 75 minuti;</w:t>
      </w:r>
    </w:p>
    <w:p w14:paraId="62BE2CE4" w14:textId="77777777" w:rsidR="000812BA" w:rsidRPr="004E2FD7" w:rsidRDefault="000812BA" w:rsidP="000812BA">
      <w:pPr>
        <w:keepNext/>
        <w:keepLines/>
        <w:spacing w:before="120"/>
        <w:jc w:val="both"/>
        <w:rPr>
          <w:rFonts w:ascii="Trebuchet MS" w:hAnsi="Trebuchet MS" w:cs="Arial"/>
          <w:bCs/>
          <w:color w:val="5F5F5F"/>
          <w:sz w:val="20"/>
          <w:szCs w:val="20"/>
        </w:rPr>
      </w:pPr>
      <w:r w:rsidRPr="004E2FD7">
        <w:rPr>
          <w:rFonts w:ascii="Trebuchet MS" w:hAnsi="Trebuchet MS" w:cs="Arial"/>
          <w:b/>
          <w:bCs/>
          <w:color w:val="5F5F5F"/>
          <w:sz w:val="20"/>
          <w:szCs w:val="20"/>
        </w:rPr>
        <w:t>Tasso migratorio netto con l’estero</w:t>
      </w:r>
      <w:r>
        <w:rPr>
          <w:rFonts w:ascii="Arial" w:hAnsi="Arial" w:cs="Arial"/>
          <w:color w:val="333333"/>
          <w:sz w:val="21"/>
          <w:szCs w:val="21"/>
        </w:rPr>
        <w:t xml:space="preserve">: </w:t>
      </w:r>
      <w:r>
        <w:rPr>
          <w:rFonts w:ascii="Trebuchet MS" w:hAnsi="Trebuchet MS" w:cs="Arial"/>
          <w:bCs/>
          <w:color w:val="5F5F5F"/>
          <w:sz w:val="20"/>
          <w:szCs w:val="20"/>
        </w:rPr>
        <w:t>d</w:t>
      </w:r>
      <w:r w:rsidRPr="004E2FD7">
        <w:rPr>
          <w:rFonts w:ascii="Trebuchet MS" w:hAnsi="Trebuchet MS" w:cs="Arial"/>
          <w:bCs/>
          <w:color w:val="5F5F5F"/>
          <w:sz w:val="20"/>
          <w:szCs w:val="20"/>
        </w:rPr>
        <w:t>ifferenza tra il tasso immigratorio dall’estero (</w:t>
      </w:r>
      <w:r>
        <w:rPr>
          <w:rFonts w:ascii="Trebuchet MS" w:hAnsi="Trebuchet MS" w:cs="Arial"/>
          <w:bCs/>
          <w:color w:val="5F5F5F"/>
          <w:sz w:val="20"/>
          <w:szCs w:val="20"/>
        </w:rPr>
        <w:t>r</w:t>
      </w:r>
      <w:r w:rsidRPr="004E2FD7">
        <w:rPr>
          <w:rFonts w:ascii="Trebuchet MS" w:hAnsi="Trebuchet MS" w:cs="Arial"/>
          <w:bCs/>
          <w:color w:val="5F5F5F"/>
          <w:sz w:val="20"/>
          <w:szCs w:val="20"/>
        </w:rPr>
        <w:t>apporto tra il numero di iscritti nei registri anagrafici dall’estero e l’ammontare medio della popolazione residente, moltiplicato per 1.000.) e il tasso emigratorio con l’estero (</w:t>
      </w:r>
      <w:r>
        <w:rPr>
          <w:rFonts w:ascii="Trebuchet MS" w:hAnsi="Trebuchet MS" w:cs="Arial"/>
          <w:bCs/>
          <w:color w:val="5F5F5F"/>
          <w:sz w:val="20"/>
          <w:szCs w:val="20"/>
        </w:rPr>
        <w:t>r</w:t>
      </w:r>
      <w:r w:rsidRPr="004E2FD7">
        <w:rPr>
          <w:rFonts w:ascii="Trebuchet MS" w:hAnsi="Trebuchet MS" w:cs="Arial"/>
          <w:bCs/>
          <w:color w:val="5F5F5F"/>
          <w:sz w:val="20"/>
          <w:szCs w:val="20"/>
        </w:rPr>
        <w:t>apporto tra il numero di cancellati dai registri anagrafici per l’estero e l’ammontare medio della popolazione residente, moltiplicato per 1.000.).</w:t>
      </w:r>
    </w:p>
    <w:p w14:paraId="34CD0829" w14:textId="77777777" w:rsidR="000812BA" w:rsidRPr="004E2FD7" w:rsidRDefault="000812BA" w:rsidP="000812BA">
      <w:pPr>
        <w:keepNext/>
        <w:keepLines/>
        <w:spacing w:before="120"/>
        <w:jc w:val="both"/>
        <w:rPr>
          <w:rFonts w:ascii="Trebuchet MS" w:hAnsi="Trebuchet MS" w:cs="Arial"/>
          <w:bCs/>
          <w:color w:val="5F5F5F"/>
          <w:sz w:val="20"/>
          <w:szCs w:val="20"/>
        </w:rPr>
      </w:pPr>
      <w:r w:rsidRPr="004E2FD7">
        <w:rPr>
          <w:rFonts w:ascii="Trebuchet MS" w:hAnsi="Trebuchet MS" w:cs="Arial"/>
          <w:b/>
          <w:bCs/>
          <w:color w:val="5F5F5F"/>
          <w:sz w:val="20"/>
          <w:szCs w:val="20"/>
        </w:rPr>
        <w:t>Tasso migratorio netto con l’interno:</w:t>
      </w:r>
      <w:r>
        <w:rPr>
          <w:rFonts w:ascii="Arial" w:hAnsi="Arial" w:cs="Arial"/>
          <w:color w:val="333333"/>
          <w:sz w:val="21"/>
          <w:szCs w:val="21"/>
        </w:rPr>
        <w:t xml:space="preserve"> </w:t>
      </w:r>
      <w:r>
        <w:rPr>
          <w:rFonts w:ascii="Trebuchet MS" w:hAnsi="Trebuchet MS" w:cs="Arial"/>
          <w:bCs/>
          <w:color w:val="5F5F5F"/>
          <w:sz w:val="20"/>
          <w:szCs w:val="20"/>
        </w:rPr>
        <w:t>d</w:t>
      </w:r>
      <w:r w:rsidRPr="004E2FD7">
        <w:rPr>
          <w:rFonts w:ascii="Trebuchet MS" w:hAnsi="Trebuchet MS" w:cs="Arial"/>
          <w:bCs/>
          <w:color w:val="5F5F5F"/>
          <w:sz w:val="20"/>
          <w:szCs w:val="20"/>
        </w:rPr>
        <w:t>ifferenza tra il tasso immigratorio dall’interno (</w:t>
      </w:r>
      <w:r>
        <w:rPr>
          <w:rFonts w:ascii="Trebuchet MS" w:hAnsi="Trebuchet MS" w:cs="Arial"/>
          <w:bCs/>
          <w:color w:val="5F5F5F"/>
          <w:sz w:val="20"/>
          <w:szCs w:val="20"/>
        </w:rPr>
        <w:t>r</w:t>
      </w:r>
      <w:r w:rsidRPr="004E2FD7">
        <w:rPr>
          <w:rFonts w:ascii="Trebuchet MS" w:hAnsi="Trebuchet MS" w:cs="Arial"/>
          <w:bCs/>
          <w:color w:val="5F5F5F"/>
          <w:sz w:val="20"/>
          <w:szCs w:val="20"/>
        </w:rPr>
        <w:t>apporto tra il numero di iscritti nei registri anagrafici dall’interno e l’ammontare medio della popolazione residente, moltiplicato per 1.000) e il tasso emigratorio per l’interno (rapporto tra il numero di cancellati dai registri anagrafici per l’interno e l’ammontare medio della popolazione residente, moltiplicato per 1.000).</w:t>
      </w:r>
    </w:p>
    <w:p w14:paraId="38BEE4DC" w14:textId="77777777" w:rsidR="000812BA" w:rsidRPr="004E2FD7" w:rsidRDefault="000812BA" w:rsidP="000812BA">
      <w:pPr>
        <w:keepNext/>
        <w:keepLines/>
        <w:spacing w:before="120"/>
        <w:jc w:val="both"/>
        <w:rPr>
          <w:rFonts w:ascii="Trebuchet MS" w:hAnsi="Trebuchet MS" w:cs="Arial"/>
          <w:bCs/>
          <w:color w:val="5F5F5F"/>
          <w:sz w:val="20"/>
          <w:szCs w:val="20"/>
        </w:rPr>
      </w:pPr>
      <w:r>
        <w:rPr>
          <w:rFonts w:ascii="Trebuchet MS" w:hAnsi="Trebuchet MS" w:cs="Arial"/>
          <w:b/>
          <w:bCs/>
          <w:color w:val="5F5F5F"/>
          <w:sz w:val="20"/>
          <w:szCs w:val="20"/>
        </w:rPr>
        <w:t xml:space="preserve">Tasso di mortalità: </w:t>
      </w:r>
      <w:r>
        <w:rPr>
          <w:rFonts w:ascii="Trebuchet MS" w:hAnsi="Trebuchet MS" w:cs="Arial"/>
          <w:bCs/>
          <w:color w:val="5F5F5F"/>
          <w:sz w:val="20"/>
          <w:szCs w:val="20"/>
        </w:rPr>
        <w:t>r</w:t>
      </w:r>
      <w:r w:rsidRPr="00AE565E">
        <w:rPr>
          <w:rFonts w:ascii="Trebuchet MS" w:hAnsi="Trebuchet MS" w:cs="Arial"/>
          <w:bCs/>
          <w:color w:val="5F5F5F"/>
          <w:sz w:val="20"/>
          <w:szCs w:val="20"/>
        </w:rPr>
        <w:t>apporto tra il numero dei decessi nell’anno e l’ammontare medio della popolazione residente, moltiplicato per 1.000.</w:t>
      </w:r>
    </w:p>
    <w:p w14:paraId="0E5EAF35" w14:textId="77777777" w:rsidR="000812BA" w:rsidRPr="004E2FD7" w:rsidRDefault="000812BA" w:rsidP="000812BA">
      <w:pPr>
        <w:keepNext/>
        <w:keepLines/>
        <w:spacing w:before="120"/>
        <w:jc w:val="both"/>
        <w:rPr>
          <w:rFonts w:ascii="Trebuchet MS" w:hAnsi="Trebuchet MS" w:cs="Arial"/>
          <w:bCs/>
          <w:color w:val="5F5F5F"/>
          <w:sz w:val="20"/>
          <w:szCs w:val="20"/>
        </w:rPr>
      </w:pPr>
      <w:r>
        <w:rPr>
          <w:rFonts w:ascii="Trebuchet MS" w:hAnsi="Trebuchet MS" w:cs="Arial"/>
          <w:b/>
          <w:bCs/>
          <w:color w:val="5F5F5F"/>
          <w:sz w:val="20"/>
          <w:szCs w:val="20"/>
        </w:rPr>
        <w:t>Tasso di natalità:</w:t>
      </w:r>
      <w:r>
        <w:rPr>
          <w:rFonts w:ascii="Arial" w:hAnsi="Arial" w:cs="Arial"/>
          <w:iCs/>
          <w:sz w:val="20"/>
          <w:szCs w:val="20"/>
        </w:rPr>
        <w:t xml:space="preserve"> </w:t>
      </w:r>
      <w:r>
        <w:rPr>
          <w:rFonts w:ascii="Trebuchet MS" w:hAnsi="Trebuchet MS" w:cs="Arial"/>
          <w:bCs/>
          <w:color w:val="5F5F5F"/>
          <w:sz w:val="20"/>
          <w:szCs w:val="20"/>
        </w:rPr>
        <w:t>r</w:t>
      </w:r>
      <w:r w:rsidRPr="004E2FD7">
        <w:rPr>
          <w:rFonts w:ascii="Trebuchet MS" w:hAnsi="Trebuchet MS" w:cs="Arial"/>
          <w:bCs/>
          <w:color w:val="5F5F5F"/>
          <w:sz w:val="20"/>
          <w:szCs w:val="20"/>
        </w:rPr>
        <w:t>apporto tra il numero di nati vivi dell’anno e l’ammontare medio della popolazione residente, moltiplicato per 1.000.</w:t>
      </w:r>
    </w:p>
    <w:p w14:paraId="6F94BFAD" w14:textId="77777777" w:rsidR="009A34C5" w:rsidRDefault="009A34C5" w:rsidP="00204DFE">
      <w:pPr>
        <w:spacing w:after="120"/>
        <w:jc w:val="both"/>
        <w:rPr>
          <w:rFonts w:ascii="Trebuchet MS" w:hAnsi="Trebuchet MS" w:cs="Arial"/>
          <w:color w:val="5F5F5F"/>
          <w:sz w:val="20"/>
          <w:szCs w:val="20"/>
        </w:rPr>
      </w:pPr>
    </w:p>
    <w:sectPr w:rsidR="009A34C5" w:rsidSect="002614AF">
      <w:headerReference w:type="default" r:id="rId14"/>
      <w:footerReference w:type="default" r:id="rId15"/>
      <w:headerReference w:type="first" r:id="rId16"/>
      <w:footerReference w:type="first" r:id="rId17"/>
      <w:pgSz w:w="11906" w:h="16838"/>
      <w:pgMar w:top="1418" w:right="1134" w:bottom="1135" w:left="1134"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5B4F3" w14:textId="77777777" w:rsidR="00546B08" w:rsidRDefault="00546B08">
      <w:r>
        <w:separator/>
      </w:r>
    </w:p>
  </w:endnote>
  <w:endnote w:type="continuationSeparator" w:id="0">
    <w:p w14:paraId="48303871" w14:textId="77777777" w:rsidR="00546B08" w:rsidRDefault="00546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ヒラギノ角ゴ Pro W3">
    <w:charset w:val="80"/>
    <w:family w:val="auto"/>
    <w:pitch w:val="variable"/>
    <w:sig w:usb0="E00002FF" w:usb1="7AC7FFFF" w:usb2="00000012" w:usb3="00000000" w:csb0="0002000D"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MS-Bold">
    <w:altName w:val="Cambria"/>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207653"/>
      <w:docPartObj>
        <w:docPartGallery w:val="Page Numbers (Bottom of Page)"/>
        <w:docPartUnique/>
      </w:docPartObj>
    </w:sdtPr>
    <w:sdtEndPr>
      <w:rPr>
        <w:rFonts w:ascii="Trebuchet MS" w:hAnsi="Trebuchet MS"/>
        <w:sz w:val="20"/>
        <w:szCs w:val="20"/>
      </w:rPr>
    </w:sdtEndPr>
    <w:sdtContent>
      <w:p w14:paraId="389215FF" w14:textId="45F43D91" w:rsidR="0096531D" w:rsidRPr="00E072ED" w:rsidRDefault="0096531D">
        <w:pPr>
          <w:pStyle w:val="Pidipagina"/>
          <w:jc w:val="right"/>
          <w:rPr>
            <w:rFonts w:ascii="Trebuchet MS" w:hAnsi="Trebuchet MS"/>
            <w:sz w:val="20"/>
            <w:szCs w:val="20"/>
          </w:rPr>
        </w:pPr>
        <w:r w:rsidRPr="00E072ED">
          <w:rPr>
            <w:rFonts w:ascii="Trebuchet MS" w:hAnsi="Trebuchet MS"/>
            <w:sz w:val="20"/>
            <w:szCs w:val="20"/>
          </w:rPr>
          <w:fldChar w:fldCharType="begin"/>
        </w:r>
        <w:r w:rsidRPr="00E072ED">
          <w:rPr>
            <w:rFonts w:ascii="Trebuchet MS" w:hAnsi="Trebuchet MS"/>
            <w:sz w:val="20"/>
            <w:szCs w:val="20"/>
          </w:rPr>
          <w:instrText>PAGE   \* MERGEFORMAT</w:instrText>
        </w:r>
        <w:r w:rsidRPr="00E072ED">
          <w:rPr>
            <w:rFonts w:ascii="Trebuchet MS" w:hAnsi="Trebuchet MS"/>
            <w:sz w:val="20"/>
            <w:szCs w:val="20"/>
          </w:rPr>
          <w:fldChar w:fldCharType="separate"/>
        </w:r>
        <w:r w:rsidR="007C3785">
          <w:rPr>
            <w:rFonts w:ascii="Trebuchet MS" w:hAnsi="Trebuchet MS"/>
            <w:noProof/>
            <w:sz w:val="20"/>
            <w:szCs w:val="20"/>
          </w:rPr>
          <w:t>13</w:t>
        </w:r>
        <w:r w:rsidRPr="00E072ED">
          <w:rPr>
            <w:rFonts w:ascii="Trebuchet MS" w:hAnsi="Trebuchet MS"/>
            <w:sz w:val="20"/>
            <w:szCs w:val="20"/>
          </w:rPr>
          <w:fldChar w:fldCharType="end"/>
        </w:r>
      </w:p>
    </w:sdtContent>
  </w:sdt>
  <w:p w14:paraId="0A1090DD" w14:textId="77777777" w:rsidR="0096531D" w:rsidRDefault="0096531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33BDD" w14:textId="4291962C" w:rsidR="0096531D" w:rsidRDefault="000812BA" w:rsidP="00786A29">
    <w:pPr>
      <w:pStyle w:val="Pidipagina"/>
      <w:ind w:left="-851"/>
    </w:pPr>
    <w:r>
      <w:rPr>
        <w:noProof/>
      </w:rPr>
      <w:drawing>
        <wp:inline distT="0" distB="0" distL="0" distR="0" wp14:anchorId="41C7CF27" wp14:editId="25EFD9AD">
          <wp:extent cx="6791636" cy="476250"/>
          <wp:effectExtent l="0" t="0" r="952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0181" cy="48035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315CF" w14:textId="77777777" w:rsidR="00546B08" w:rsidRDefault="00546B08">
      <w:r>
        <w:separator/>
      </w:r>
    </w:p>
  </w:footnote>
  <w:footnote w:type="continuationSeparator" w:id="0">
    <w:p w14:paraId="3F85A908" w14:textId="77777777" w:rsidR="00546B08" w:rsidRDefault="00546B08">
      <w:r>
        <w:continuationSeparator/>
      </w:r>
    </w:p>
  </w:footnote>
  <w:footnote w:id="1">
    <w:p w14:paraId="1B78D5C3" w14:textId="52DA42BF" w:rsidR="0096531D" w:rsidRDefault="0096531D" w:rsidP="009A1D80">
      <w:pPr>
        <w:pStyle w:val="Testonotaapidipagina"/>
        <w:spacing w:after="60"/>
      </w:pPr>
      <w:r>
        <w:rPr>
          <w:rStyle w:val="Rimandonotaapidipagina"/>
        </w:rPr>
        <w:footnoteRef/>
      </w:r>
      <w:r>
        <w:t xml:space="preserve"> </w:t>
      </w:r>
      <w:r w:rsidRPr="001B7135">
        <w:rPr>
          <w:rFonts w:ascii="Trebuchet MS" w:hAnsi="Trebuchet MS"/>
          <w:color w:val="5F5F5F"/>
          <w:sz w:val="16"/>
          <w:szCs w:val="16"/>
        </w:rPr>
        <w:t>Cfr. nota tecnica disponibile all’indirizzo https://www.istat.it/it/archivio/251687</w:t>
      </w:r>
    </w:p>
  </w:footnote>
  <w:footnote w:id="2">
    <w:p w14:paraId="59633CEF" w14:textId="77777777" w:rsidR="0096531D" w:rsidRPr="00047761" w:rsidRDefault="0096531D" w:rsidP="00E72D9C">
      <w:pPr>
        <w:pStyle w:val="Testonotaapidipagina"/>
        <w:spacing w:before="60"/>
        <w:jc w:val="both"/>
        <w:rPr>
          <w:color w:val="595959" w:themeColor="text1" w:themeTint="A6"/>
          <w:sz w:val="16"/>
          <w:szCs w:val="16"/>
        </w:rPr>
      </w:pPr>
      <w:r w:rsidRPr="00047761">
        <w:rPr>
          <w:rStyle w:val="Rimandonotaapidipagina"/>
          <w:color w:val="595959" w:themeColor="text1" w:themeTint="A6"/>
          <w:sz w:val="16"/>
          <w:szCs w:val="16"/>
        </w:rPr>
        <w:footnoteRef/>
      </w:r>
      <w:r w:rsidRPr="00047761">
        <w:rPr>
          <w:color w:val="595959" w:themeColor="text1" w:themeTint="A6"/>
          <w:sz w:val="16"/>
          <w:szCs w:val="16"/>
        </w:rPr>
        <w:t xml:space="preserve"> Comprende il diploma di qualifica professionale di 2/3 anni, l'attestato di qualifica professionale e il diploma professionale IFP, il diploma di maturità/ diploma di istruzione secondaria superiore di 4/5 anni e il Certificato di specializzazione tecnica superiore IFTS.</w:t>
      </w:r>
    </w:p>
  </w:footnote>
  <w:footnote w:id="3">
    <w:p w14:paraId="4F258499" w14:textId="1C6CF143" w:rsidR="0096531D" w:rsidRDefault="0096531D" w:rsidP="00E72D9C">
      <w:pPr>
        <w:pStyle w:val="Testonotaapidipagina"/>
        <w:spacing w:before="60"/>
        <w:jc w:val="both"/>
      </w:pPr>
      <w:r w:rsidRPr="00E72D9C">
        <w:rPr>
          <w:color w:val="595959" w:themeColor="text1" w:themeTint="A6"/>
          <w:sz w:val="16"/>
          <w:szCs w:val="16"/>
          <w:vertAlign w:val="superscript"/>
        </w:rPr>
        <w:footnoteRef/>
      </w:r>
      <w:r w:rsidRPr="00047761">
        <w:rPr>
          <w:color w:val="595959" w:themeColor="text1" w:themeTint="A6"/>
          <w:sz w:val="16"/>
          <w:szCs w:val="16"/>
        </w:rPr>
        <w:t xml:space="preserve"> La categoria ‘Terziario e superiore’ comprende</w:t>
      </w:r>
      <w:r>
        <w:rPr>
          <w:color w:val="595959" w:themeColor="text1" w:themeTint="A6"/>
          <w:sz w:val="16"/>
          <w:szCs w:val="16"/>
        </w:rPr>
        <w:t>:</w:t>
      </w:r>
      <w:r w:rsidRPr="006D2387">
        <w:rPr>
          <w:color w:val="595959" w:themeColor="text1" w:themeTint="A6"/>
          <w:sz w:val="16"/>
          <w:szCs w:val="16"/>
        </w:rPr>
        <w:t xml:space="preserve"> i titoli terziari di I livello</w:t>
      </w:r>
      <w:r>
        <w:rPr>
          <w:color w:val="595959" w:themeColor="text1" w:themeTint="A6"/>
          <w:sz w:val="16"/>
          <w:szCs w:val="16"/>
        </w:rPr>
        <w:t>,</w:t>
      </w:r>
      <w:r w:rsidRPr="006D2387">
        <w:rPr>
          <w:color w:val="595959" w:themeColor="text1" w:themeTint="A6"/>
          <w:sz w:val="16"/>
          <w:szCs w:val="16"/>
        </w:rPr>
        <w:t xml:space="preserve"> che includono il Diploma di tecnico superiore ITS, la Laurea o il Diploma accademico AFAM di I livello, il Diploma universitario (2-3 anni), la Scuola diretta a fini speciali, altro diploma terziario non universitario</w:t>
      </w:r>
      <w:r>
        <w:rPr>
          <w:color w:val="595959" w:themeColor="text1" w:themeTint="A6"/>
          <w:sz w:val="16"/>
          <w:szCs w:val="16"/>
        </w:rPr>
        <w:t xml:space="preserve">; </w:t>
      </w:r>
      <w:r w:rsidRPr="006D2387">
        <w:rPr>
          <w:color w:val="595959" w:themeColor="text1" w:themeTint="A6"/>
          <w:sz w:val="16"/>
          <w:szCs w:val="16"/>
        </w:rPr>
        <w:t>i</w:t>
      </w:r>
      <w:r>
        <w:rPr>
          <w:color w:val="595959" w:themeColor="text1" w:themeTint="A6"/>
          <w:sz w:val="16"/>
          <w:szCs w:val="16"/>
        </w:rPr>
        <w:t xml:space="preserve"> titoli terziari</w:t>
      </w:r>
      <w:r w:rsidRPr="006D2387">
        <w:rPr>
          <w:color w:val="595959" w:themeColor="text1" w:themeTint="A6"/>
          <w:sz w:val="16"/>
          <w:szCs w:val="16"/>
        </w:rPr>
        <w:t xml:space="preserve"> di II livello</w:t>
      </w:r>
      <w:r>
        <w:rPr>
          <w:color w:val="595959" w:themeColor="text1" w:themeTint="A6"/>
          <w:sz w:val="16"/>
          <w:szCs w:val="16"/>
        </w:rPr>
        <w:t>,</w:t>
      </w:r>
      <w:r w:rsidRPr="006D2387">
        <w:rPr>
          <w:color w:val="595959" w:themeColor="text1" w:themeTint="A6"/>
          <w:sz w:val="16"/>
          <w:szCs w:val="16"/>
        </w:rPr>
        <w:t xml:space="preserve"> che includono la Laurea magistrale/specialistica (biennale, a ciclo unico, diploma di laurea di 4-6</w:t>
      </w:r>
      <w:r>
        <w:rPr>
          <w:color w:val="595959" w:themeColor="text1" w:themeTint="A6"/>
          <w:sz w:val="16"/>
          <w:szCs w:val="16"/>
        </w:rPr>
        <w:t xml:space="preserve"> </w:t>
      </w:r>
      <w:r w:rsidRPr="006D2387">
        <w:rPr>
          <w:color w:val="595959" w:themeColor="text1" w:themeTint="A6"/>
          <w:sz w:val="16"/>
          <w:szCs w:val="16"/>
        </w:rPr>
        <w:t>anni), il Diploma accademico di II livello (compresi i titoli del vecchio ordinamento – livello unico)</w:t>
      </w:r>
      <w:r>
        <w:rPr>
          <w:color w:val="595959" w:themeColor="text1" w:themeTint="A6"/>
          <w:sz w:val="16"/>
          <w:szCs w:val="16"/>
        </w:rPr>
        <w:t>;</w:t>
      </w:r>
      <w:r w:rsidRPr="00047761">
        <w:rPr>
          <w:color w:val="595959" w:themeColor="text1" w:themeTint="A6"/>
          <w:sz w:val="16"/>
          <w:szCs w:val="16"/>
        </w:rPr>
        <w:t xml:space="preserve"> </w:t>
      </w:r>
      <w:r>
        <w:rPr>
          <w:color w:val="595959" w:themeColor="text1" w:themeTint="A6"/>
          <w:sz w:val="16"/>
          <w:szCs w:val="16"/>
        </w:rPr>
        <w:t xml:space="preserve">il dottorato di ricerca, che </w:t>
      </w:r>
      <w:r w:rsidRPr="00047761">
        <w:rPr>
          <w:color w:val="595959" w:themeColor="text1" w:themeTint="A6"/>
          <w:sz w:val="16"/>
          <w:szCs w:val="16"/>
        </w:rPr>
        <w:t>i</w:t>
      </w:r>
      <w:r>
        <w:rPr>
          <w:color w:val="595959" w:themeColor="text1" w:themeTint="A6"/>
          <w:sz w:val="16"/>
          <w:szCs w:val="16"/>
        </w:rPr>
        <w:t>nclude</w:t>
      </w:r>
      <w:r w:rsidRPr="00047761">
        <w:rPr>
          <w:color w:val="595959" w:themeColor="text1" w:themeTint="A6"/>
          <w:sz w:val="16"/>
          <w:szCs w:val="16"/>
        </w:rPr>
        <w:t xml:space="preserve"> il diploma accademico di formazione alla ricerca</w:t>
      </w:r>
      <w:r>
        <w:rPr>
          <w:color w:val="595959" w:themeColor="text1" w:themeTint="A6"/>
          <w:sz w:val="16"/>
          <w:szCs w:val="16"/>
        </w:rPr>
        <w:t xml:space="preserve">. </w:t>
      </w:r>
      <w:r>
        <w:t xml:space="preserve">  </w:t>
      </w:r>
    </w:p>
  </w:footnote>
  <w:footnote w:id="4">
    <w:p w14:paraId="57E34EE7" w14:textId="77777777" w:rsidR="0096531D" w:rsidRDefault="0096531D" w:rsidP="00AC43D7">
      <w:pPr>
        <w:jc w:val="both"/>
      </w:pPr>
      <w:r w:rsidRPr="00A93CA6">
        <w:rPr>
          <w:rStyle w:val="Rimandonotaapidipagina"/>
          <w:rFonts w:ascii="Trebuchet MS" w:hAnsi="Trebuchet MS"/>
          <w:color w:val="5F5F5F"/>
          <w:sz w:val="20"/>
          <w:szCs w:val="20"/>
        </w:rPr>
        <w:footnoteRef/>
      </w:r>
      <w:r w:rsidRPr="00A93CA6">
        <w:rPr>
          <w:rFonts w:ascii="Trebuchet MS" w:hAnsi="Trebuchet MS"/>
          <w:color w:val="5F5F5F"/>
        </w:rPr>
        <w:t xml:space="preserve"> </w:t>
      </w:r>
      <w:r w:rsidRPr="00A93CA6">
        <w:rPr>
          <w:rFonts w:ascii="Trebuchet MS" w:hAnsi="Trebuchet MS"/>
          <w:color w:val="5F5F5F"/>
          <w:sz w:val="18"/>
          <w:szCs w:val="18"/>
        </w:rPr>
        <w:t>DPS, Le aree interne: di quali territori parliamo? Nota esplicativa sul metodo di classificazione delle aree (</w:t>
      </w:r>
      <w:hyperlink r:id="rId1" w:history="1">
        <w:r w:rsidRPr="00A93CA6">
          <w:rPr>
            <w:rStyle w:val="Collegamentoipertestuale"/>
            <w:rFonts w:ascii="Trebuchet MS" w:hAnsi="Trebuchet MS"/>
            <w:color w:val="5F5F5F"/>
            <w:sz w:val="18"/>
            <w:szCs w:val="18"/>
          </w:rPr>
          <w:t>http://old2018.agenziacoesione.gov.it/opencms/export/sites/dps/it/documentazione/Aree_interne/Nota_metodologica_Aree_interne.pdf</w:t>
        </w:r>
      </w:hyperlink>
      <w:r w:rsidRPr="00A93CA6">
        <w:rPr>
          <w:rFonts w:ascii="Trebuchet MS" w:hAnsi="Trebuchet MS"/>
          <w:color w:val="5F5F5F"/>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FDA5D" w14:textId="07F9ED4D" w:rsidR="0096531D" w:rsidRDefault="0096531D">
    <w:pPr>
      <w:pStyle w:val="Intestazione"/>
    </w:pPr>
    <w:r w:rsidRPr="003C41E2">
      <w:rPr>
        <w:noProof/>
      </w:rPr>
      <w:drawing>
        <wp:inline distT="0" distB="0" distL="0" distR="0" wp14:anchorId="2DBE4B9D" wp14:editId="78678F16">
          <wp:extent cx="1631120" cy="609631"/>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cutivo HD:Users:Nicola:Desktop:WORK:ISTAT:GADGET:Logo censimenti.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31498" cy="609772"/>
                  </a:xfrm>
                  <a:prstGeom prst="rect">
                    <a:avLst/>
                  </a:prstGeom>
                  <a:noFill/>
                  <a:ln>
                    <a:noFill/>
                  </a:ln>
                </pic:spPr>
              </pic:pic>
            </a:graphicData>
          </a:graphic>
        </wp:inline>
      </w:drawing>
    </w:r>
  </w:p>
  <w:p w14:paraId="1A1155B4" w14:textId="77777777" w:rsidR="0096531D" w:rsidRDefault="0096531D" w:rsidP="00E072ED">
    <w:pPr>
      <w:pStyle w:val="Intestazione"/>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AA79" w14:textId="7ABB3C64" w:rsidR="0096531D" w:rsidRDefault="0096531D" w:rsidP="00BA7CD5">
    <w:pPr>
      <w:pStyle w:val="Paragrafoelenco"/>
      <w:ind w:left="0"/>
      <w:jc w:val="both"/>
    </w:pPr>
    <w:r>
      <w:rPr>
        <w:noProof/>
      </w:rPr>
      <mc:AlternateContent>
        <mc:Choice Requires="wps">
          <w:drawing>
            <wp:anchor distT="0" distB="0" distL="114300" distR="114300" simplePos="0" relativeHeight="251659776" behindDoc="0" locked="0" layoutInCell="1" hidden="0" allowOverlap="1" wp14:anchorId="0CEFB927" wp14:editId="639ED4CC">
              <wp:simplePos x="0" y="0"/>
              <wp:positionH relativeFrom="margin">
                <wp:posOffset>3175635</wp:posOffset>
              </wp:positionH>
              <wp:positionV relativeFrom="paragraph">
                <wp:posOffset>183515</wp:posOffset>
              </wp:positionV>
              <wp:extent cx="2914650" cy="428625"/>
              <wp:effectExtent l="0" t="0" r="0" b="9525"/>
              <wp:wrapSquare wrapText="bothSides" distT="0" distB="0" distL="114300" distR="114300"/>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14650" cy="428625"/>
                      </a:xfrm>
                      <a:prstGeom prst="rect">
                        <a:avLst/>
                      </a:prstGeom>
                      <a:noFill/>
                      <a:ln>
                        <a:noFill/>
                      </a:ln>
                    </wps:spPr>
                    <wps:txbx>
                      <w:txbxContent>
                        <w:p w14:paraId="3C716E71" w14:textId="07B6256B" w:rsidR="0096531D" w:rsidRPr="006254A8" w:rsidRDefault="0096531D" w:rsidP="00EB7372">
                          <w:pPr>
                            <w:jc w:val="right"/>
                            <w:rPr>
                              <w:rFonts w:ascii="Arial Narrow" w:hAnsi="Arial Narrow"/>
                              <w:b/>
                              <w:color w:val="A6A6A6" w:themeColor="background1" w:themeShade="A6"/>
                              <w:sz w:val="26"/>
                              <w:szCs w:val="26"/>
                            </w:rPr>
                          </w:pPr>
                          <w:r>
                            <w:rPr>
                              <w:rFonts w:ascii="Arial Narrow" w:hAnsi="Arial Narrow"/>
                              <w:b/>
                              <w:color w:val="A6A6A6" w:themeColor="background1" w:themeShade="A6"/>
                              <w:sz w:val="26"/>
                              <w:szCs w:val="26"/>
                            </w:rPr>
                            <w:t>2</w:t>
                          </w:r>
                          <w:r w:rsidR="00751B04">
                            <w:rPr>
                              <w:rFonts w:ascii="Arial Narrow" w:hAnsi="Arial Narrow"/>
                              <w:b/>
                              <w:color w:val="A6A6A6" w:themeColor="background1" w:themeShade="A6"/>
                              <w:sz w:val="26"/>
                              <w:szCs w:val="26"/>
                            </w:rPr>
                            <w:t>9</w:t>
                          </w:r>
                          <w:r>
                            <w:rPr>
                              <w:rFonts w:ascii="Arial Narrow" w:hAnsi="Arial Narrow"/>
                              <w:b/>
                              <w:color w:val="A6A6A6" w:themeColor="background1" w:themeShade="A6"/>
                              <w:sz w:val="26"/>
                              <w:szCs w:val="26"/>
                            </w:rPr>
                            <w:t xml:space="preserve"> marzo 2022 </w:t>
                          </w:r>
                          <w:r w:rsidRPr="006254A8">
                            <w:rPr>
                              <w:rFonts w:ascii="Arial Narrow" w:hAnsi="Arial Narrow"/>
                              <w:b/>
                              <w:color w:val="A6A6A6" w:themeColor="background1" w:themeShade="A6"/>
                              <w:sz w:val="26"/>
                              <w:szCs w:val="26"/>
                            </w:rPr>
                            <w:t xml:space="preserve"> </w:t>
                          </w:r>
                        </w:p>
                      </w:txbxContent>
                    </wps:txbx>
                    <wps:bodyPr rot="0" vert="horz" wrap="square" lIns="18000" tIns="10800" rIns="18000" bIns="1080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EFB927" id="_x0000_t202" coordsize="21600,21600" o:spt="202" path="m,l,21600r21600,l21600,xe">
              <v:stroke joinstyle="miter"/>
              <v:path gradientshapeok="t" o:connecttype="rect"/>
            </v:shapetype>
            <v:shape id="Casella di testo 3" o:spid="_x0000_s1026" type="#_x0000_t202" style="position:absolute;left:0;text-align:left;margin-left:250.05pt;margin-top:14.45pt;width:229.5pt;height:33.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" filled="f" stroked="f">
              <v:textbox inset=".5mm,.3mm,.5mm,.3mm">
                <w:txbxContent>
                  <w:p w14:paraId="3C716E71" w14:textId="07B6256B" w:rsidR="0096531D" w:rsidRPr="006254A8" w:rsidRDefault="0096531D" w:rsidP="00EB7372">
                    <w:pPr>
                      <w:jc w:val="right"/>
                      <w:rPr>
                        <w:rFonts w:ascii="Arial Narrow" w:hAnsi="Arial Narrow"/>
                        <w:b/>
                        <w:color w:val="A6A6A6" w:themeColor="background1" w:themeShade="A6"/>
                        <w:sz w:val="26"/>
                        <w:szCs w:val="26"/>
                      </w:rPr>
                    </w:pPr>
                    <w:r>
                      <w:rPr>
                        <w:rFonts w:ascii="Arial Narrow" w:hAnsi="Arial Narrow"/>
                        <w:b/>
                        <w:color w:val="A6A6A6" w:themeColor="background1" w:themeShade="A6"/>
                        <w:sz w:val="26"/>
                        <w:szCs w:val="26"/>
                      </w:rPr>
                      <w:t>2</w:t>
                    </w:r>
                    <w:r w:rsidR="00751B04">
                      <w:rPr>
                        <w:rFonts w:ascii="Arial Narrow" w:hAnsi="Arial Narrow"/>
                        <w:b/>
                        <w:color w:val="A6A6A6" w:themeColor="background1" w:themeShade="A6"/>
                        <w:sz w:val="26"/>
                        <w:szCs w:val="26"/>
                      </w:rPr>
                      <w:t>9</w:t>
                    </w:r>
                    <w:r>
                      <w:rPr>
                        <w:rFonts w:ascii="Arial Narrow" w:hAnsi="Arial Narrow"/>
                        <w:b/>
                        <w:color w:val="A6A6A6" w:themeColor="background1" w:themeShade="A6"/>
                        <w:sz w:val="26"/>
                        <w:szCs w:val="26"/>
                      </w:rPr>
                      <w:t xml:space="preserve"> marzo 2022 </w:t>
                    </w:r>
                    <w:r w:rsidRPr="006254A8">
                      <w:rPr>
                        <w:rFonts w:ascii="Arial Narrow" w:hAnsi="Arial Narrow"/>
                        <w:b/>
                        <w:color w:val="A6A6A6" w:themeColor="background1" w:themeShade="A6"/>
                        <w:sz w:val="26"/>
                        <w:szCs w:val="26"/>
                      </w:rPr>
                      <w:t xml:space="preserve"> </w:t>
                    </w:r>
                  </w:p>
                </w:txbxContent>
              </v:textbox>
              <w10:wrap type="square" anchorx="margin"/>
            </v:shape>
          </w:pict>
        </mc:Fallback>
      </mc:AlternateContent>
    </w:r>
    <w:r w:rsidRPr="00A815C7">
      <w:rPr>
        <w:noProof/>
        <w:color w:val="000000"/>
      </w:rPr>
      <w:drawing>
        <wp:inline distT="0" distB="0" distL="0" distR="0" wp14:anchorId="287E7308" wp14:editId="160FD014">
          <wp:extent cx="2694342" cy="568569"/>
          <wp:effectExtent l="0" t="0" r="0" b="3175"/>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700000" cy="5697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5446"/>
    <w:multiLevelType w:val="hybridMultilevel"/>
    <w:tmpl w:val="86308360"/>
    <w:lvl w:ilvl="0" w:tplc="58F07F4A">
      <w:start w:val="1"/>
      <w:numFmt w:val="decimal"/>
      <w:pStyle w:val="01Titolocapitolo"/>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 w15:restartNumberingAfterBreak="0">
    <w:nsid w:val="0F1250D1"/>
    <w:multiLevelType w:val="hybridMultilevel"/>
    <w:tmpl w:val="78D4C65E"/>
    <w:lvl w:ilvl="0" w:tplc="B128F748">
      <w:start w:val="1"/>
      <w:numFmt w:val="bullet"/>
      <w:pStyle w:val="04Elencopuntato"/>
      <w:lvlText w:val=""/>
      <w:lvlJc w:val="left"/>
      <w:pPr>
        <w:ind w:left="502" w:hanging="360"/>
      </w:pPr>
      <w:rPr>
        <w:rFonts w:ascii="Wingdings 2" w:hAnsi="Wingdings 2" w:hint="default"/>
        <w:color w:val="CC0000"/>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2" w15:restartNumberingAfterBreak="0">
    <w:nsid w:val="10937E31"/>
    <w:multiLevelType w:val="hybridMultilevel"/>
    <w:tmpl w:val="7D4AF5A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4AE0B8D"/>
    <w:multiLevelType w:val="multilevel"/>
    <w:tmpl w:val="57164C58"/>
    <w:lvl w:ilvl="0">
      <w:start w:val="3"/>
      <w:numFmt w:val="decimal"/>
      <w:lvlText w:val="%1."/>
      <w:lvlJc w:val="left"/>
      <w:pPr>
        <w:ind w:left="1778" w:hanging="360"/>
      </w:pPr>
      <w:rPr>
        <w:rFonts w:hint="default"/>
      </w:rPr>
    </w:lvl>
    <w:lvl w:ilvl="1">
      <w:start w:val="1"/>
      <w:numFmt w:val="decimal"/>
      <w:lvlText w:val="%1.%2."/>
      <w:lvlJc w:val="left"/>
      <w:pPr>
        <w:ind w:left="2276" w:hanging="432"/>
      </w:pPr>
      <w:rPr>
        <w:rFonts w:hint="default"/>
      </w:rPr>
    </w:lvl>
    <w:lvl w:ilvl="2">
      <w:start w:val="1"/>
      <w:numFmt w:val="decimal"/>
      <w:lvlText w:val="%1.%2.%3."/>
      <w:lvlJc w:val="left"/>
      <w:pPr>
        <w:ind w:left="2642" w:hanging="504"/>
      </w:pPr>
      <w:rPr>
        <w:rFonts w:hint="default"/>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4" w15:restartNumberingAfterBreak="0">
    <w:nsid w:val="19923909"/>
    <w:multiLevelType w:val="hybridMultilevel"/>
    <w:tmpl w:val="9F10C7A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4D07FB8"/>
    <w:multiLevelType w:val="hybridMultilevel"/>
    <w:tmpl w:val="7B3AFD20"/>
    <w:lvl w:ilvl="0" w:tplc="52D2C02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7EC4727"/>
    <w:multiLevelType w:val="hybridMultilevel"/>
    <w:tmpl w:val="F64E9172"/>
    <w:lvl w:ilvl="0" w:tplc="9DAC7DEA">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CE635FA"/>
    <w:multiLevelType w:val="hybridMultilevel"/>
    <w:tmpl w:val="4B9E4FFA"/>
    <w:lvl w:ilvl="0" w:tplc="EA045662">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A226446"/>
    <w:multiLevelType w:val="hybridMultilevel"/>
    <w:tmpl w:val="8596417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D906BB9"/>
    <w:multiLevelType w:val="hybridMultilevel"/>
    <w:tmpl w:val="4D54F07A"/>
    <w:lvl w:ilvl="0" w:tplc="3AFA0340">
      <w:start w:val="1"/>
      <w:numFmt w:val="lowerLetter"/>
      <w:lvlText w:val="(%1)"/>
      <w:lvlJc w:val="left"/>
      <w:pPr>
        <w:ind w:left="2345" w:hanging="360"/>
      </w:pPr>
      <w:rPr>
        <w:rFonts w:hint="default"/>
        <w:vertAlign w:val="superscript"/>
      </w:rPr>
    </w:lvl>
    <w:lvl w:ilvl="1" w:tplc="04100019" w:tentative="1">
      <w:start w:val="1"/>
      <w:numFmt w:val="lowerLetter"/>
      <w:lvlText w:val="%2."/>
      <w:lvlJc w:val="left"/>
      <w:pPr>
        <w:ind w:left="3065" w:hanging="360"/>
      </w:pPr>
    </w:lvl>
    <w:lvl w:ilvl="2" w:tplc="0410001B" w:tentative="1">
      <w:start w:val="1"/>
      <w:numFmt w:val="lowerRoman"/>
      <w:lvlText w:val="%3."/>
      <w:lvlJc w:val="right"/>
      <w:pPr>
        <w:ind w:left="3785" w:hanging="180"/>
      </w:pPr>
    </w:lvl>
    <w:lvl w:ilvl="3" w:tplc="0410000F" w:tentative="1">
      <w:start w:val="1"/>
      <w:numFmt w:val="decimal"/>
      <w:lvlText w:val="%4."/>
      <w:lvlJc w:val="left"/>
      <w:pPr>
        <w:ind w:left="4505" w:hanging="360"/>
      </w:pPr>
    </w:lvl>
    <w:lvl w:ilvl="4" w:tplc="04100019" w:tentative="1">
      <w:start w:val="1"/>
      <w:numFmt w:val="lowerLetter"/>
      <w:lvlText w:val="%5."/>
      <w:lvlJc w:val="left"/>
      <w:pPr>
        <w:ind w:left="5225" w:hanging="360"/>
      </w:pPr>
    </w:lvl>
    <w:lvl w:ilvl="5" w:tplc="0410001B" w:tentative="1">
      <w:start w:val="1"/>
      <w:numFmt w:val="lowerRoman"/>
      <w:lvlText w:val="%6."/>
      <w:lvlJc w:val="right"/>
      <w:pPr>
        <w:ind w:left="5945" w:hanging="180"/>
      </w:pPr>
    </w:lvl>
    <w:lvl w:ilvl="6" w:tplc="0410000F" w:tentative="1">
      <w:start w:val="1"/>
      <w:numFmt w:val="decimal"/>
      <w:lvlText w:val="%7."/>
      <w:lvlJc w:val="left"/>
      <w:pPr>
        <w:ind w:left="6665" w:hanging="360"/>
      </w:pPr>
    </w:lvl>
    <w:lvl w:ilvl="7" w:tplc="04100019" w:tentative="1">
      <w:start w:val="1"/>
      <w:numFmt w:val="lowerLetter"/>
      <w:lvlText w:val="%8."/>
      <w:lvlJc w:val="left"/>
      <w:pPr>
        <w:ind w:left="7385" w:hanging="360"/>
      </w:pPr>
    </w:lvl>
    <w:lvl w:ilvl="8" w:tplc="0410001B" w:tentative="1">
      <w:start w:val="1"/>
      <w:numFmt w:val="lowerRoman"/>
      <w:lvlText w:val="%9."/>
      <w:lvlJc w:val="right"/>
      <w:pPr>
        <w:ind w:left="8105" w:hanging="180"/>
      </w:pPr>
    </w:lvl>
  </w:abstractNum>
  <w:abstractNum w:abstractNumId="10" w15:restartNumberingAfterBreak="0">
    <w:nsid w:val="3EE10808"/>
    <w:multiLevelType w:val="hybridMultilevel"/>
    <w:tmpl w:val="A704BB72"/>
    <w:lvl w:ilvl="0" w:tplc="66DA58E4">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0CC13B7"/>
    <w:multiLevelType w:val="hybridMultilevel"/>
    <w:tmpl w:val="F6A83AF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2266111"/>
    <w:multiLevelType w:val="hybridMultilevel"/>
    <w:tmpl w:val="9F3C5F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2FD1582"/>
    <w:multiLevelType w:val="multilevel"/>
    <w:tmpl w:val="B0C879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8192CC4"/>
    <w:multiLevelType w:val="multilevel"/>
    <w:tmpl w:val="F7B0E23E"/>
    <w:styleLink w:val="Ann07Testoelencopuntato"/>
    <w:lvl w:ilvl="0">
      <w:start w:val="1"/>
      <w:numFmt w:val="bullet"/>
      <w:lvlText w:val=""/>
      <w:lvlJc w:val="left"/>
      <w:pPr>
        <w:tabs>
          <w:tab w:val="num" w:pos="794"/>
        </w:tabs>
        <w:ind w:left="794" w:hanging="397"/>
      </w:pPr>
      <w:rPr>
        <w:rFonts w:ascii="Symbol" w:hAnsi="Symbol" w:hint="default"/>
        <w:sz w:val="22"/>
        <w:szCs w:val="22"/>
      </w:rPr>
    </w:lvl>
    <w:lvl w:ilvl="1">
      <w:start w:val="1"/>
      <w:numFmt w:val="bullet"/>
      <w:lvlText w:val=""/>
      <w:lvlJc w:val="left"/>
      <w:pPr>
        <w:tabs>
          <w:tab w:val="num" w:pos="680"/>
        </w:tabs>
        <w:ind w:left="680" w:hanging="28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48E110FC"/>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92B405F"/>
    <w:multiLevelType w:val="hybridMultilevel"/>
    <w:tmpl w:val="841C86A0"/>
    <w:lvl w:ilvl="0" w:tplc="EA045662">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D322B64"/>
    <w:multiLevelType w:val="hybridMultilevel"/>
    <w:tmpl w:val="064876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FC205D5"/>
    <w:multiLevelType w:val="multilevel"/>
    <w:tmpl w:val="E26492C2"/>
    <w:lvl w:ilvl="0">
      <w:start w:val="2"/>
      <w:numFmt w:val="decimal"/>
      <w:lvlText w:val="%1."/>
      <w:lvlJc w:val="left"/>
      <w:pPr>
        <w:ind w:left="1778" w:hanging="360"/>
      </w:pPr>
      <w:rPr>
        <w:rFonts w:hint="default"/>
      </w:rPr>
    </w:lvl>
    <w:lvl w:ilvl="1">
      <w:start w:val="1"/>
      <w:numFmt w:val="decimal"/>
      <w:lvlText w:val="%1.%2."/>
      <w:lvlJc w:val="left"/>
      <w:pPr>
        <w:ind w:left="2276" w:hanging="432"/>
      </w:pPr>
      <w:rPr>
        <w:rFonts w:hint="default"/>
      </w:rPr>
    </w:lvl>
    <w:lvl w:ilvl="2">
      <w:start w:val="1"/>
      <w:numFmt w:val="decimal"/>
      <w:lvlText w:val="%1.%2.%3."/>
      <w:lvlJc w:val="left"/>
      <w:pPr>
        <w:ind w:left="2642" w:hanging="504"/>
      </w:pPr>
      <w:rPr>
        <w:rFonts w:hint="default"/>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19" w15:restartNumberingAfterBreak="0">
    <w:nsid w:val="4FE66AB6"/>
    <w:multiLevelType w:val="hybridMultilevel"/>
    <w:tmpl w:val="FECED2AC"/>
    <w:lvl w:ilvl="0" w:tplc="9D8EC270">
      <w:numFmt w:val="bullet"/>
      <w:lvlText w:val="-"/>
      <w:lvlJc w:val="left"/>
      <w:pPr>
        <w:ind w:left="720" w:hanging="360"/>
      </w:pPr>
      <w:rPr>
        <w:rFonts w:ascii="Trebuchet MS" w:eastAsia="Times New Roman" w:hAnsi="Trebuchet MS"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53D2615D"/>
    <w:multiLevelType w:val="multilevel"/>
    <w:tmpl w:val="015A15DE"/>
    <w:styleLink w:val="Ann05Testoelenconumerico"/>
    <w:lvl w:ilvl="0">
      <w:start w:val="1"/>
      <w:numFmt w:val="decimal"/>
      <w:lvlText w:val="%1)"/>
      <w:lvlJc w:val="left"/>
      <w:pPr>
        <w:tabs>
          <w:tab w:val="num" w:pos="794"/>
        </w:tabs>
        <w:ind w:left="794" w:hanging="397"/>
      </w:pPr>
      <w:rPr>
        <w:rFonts w:hint="default"/>
      </w:rPr>
    </w:lvl>
    <w:lvl w:ilvl="1">
      <w:start w:val="1"/>
      <w:numFmt w:val="decimal"/>
      <w:lvlText w:val="%2)"/>
      <w:lvlJc w:val="left"/>
      <w:pPr>
        <w:tabs>
          <w:tab w:val="num" w:pos="964"/>
        </w:tabs>
        <w:ind w:left="964" w:hanging="284"/>
      </w:pPr>
      <w:rPr>
        <w:rFonts w:ascii="Times New Roman" w:hAnsi="Times New Roman" w:hint="default"/>
        <w:b w:val="0"/>
        <w:i w:val="0"/>
        <w:sz w:val="22"/>
        <w:szCs w:val="22"/>
      </w:rPr>
    </w:lvl>
    <w:lvl w:ilvl="2">
      <w:start w:val="1"/>
      <w:numFmt w:val="decimal"/>
      <w:lvlText w:val="%3)"/>
      <w:lvlJc w:val="left"/>
      <w:pPr>
        <w:tabs>
          <w:tab w:val="num" w:pos="964"/>
        </w:tabs>
        <w:ind w:left="964" w:hanging="284"/>
      </w:pPr>
      <w:rPr>
        <w:rFonts w:hint="default"/>
      </w:rPr>
    </w:lvl>
    <w:lvl w:ilvl="3">
      <w:start w:val="1"/>
      <w:numFmt w:val="decimal"/>
      <w:lvlText w:val="%4)"/>
      <w:lvlJc w:val="left"/>
      <w:pPr>
        <w:tabs>
          <w:tab w:val="num" w:pos="964"/>
        </w:tabs>
        <w:ind w:left="964" w:hanging="284"/>
      </w:pPr>
      <w:rPr>
        <w:rFonts w:ascii="Times New Roman" w:hAnsi="Times New Roman" w:hint="default"/>
        <w:b w:val="0"/>
        <w:i w:val="0"/>
        <w:sz w:val="22"/>
        <w:szCs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53F51C35"/>
    <w:multiLevelType w:val="multilevel"/>
    <w:tmpl w:val="858854B2"/>
    <w:lvl w:ilvl="0">
      <w:start w:val="2"/>
      <w:numFmt w:val="decimal"/>
      <w:lvlText w:val="%1"/>
      <w:lvlJc w:val="left"/>
      <w:pPr>
        <w:ind w:left="644" w:hanging="36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6533" w:hanging="720"/>
      </w:pPr>
      <w:rPr>
        <w:rFonts w:hint="default"/>
      </w:rPr>
    </w:lvl>
    <w:lvl w:ilvl="4">
      <w:start w:val="1"/>
      <w:numFmt w:val="decimal"/>
      <w:lvlText w:val="%1.%2.%3.%4.%5"/>
      <w:lvlJc w:val="left"/>
      <w:pPr>
        <w:ind w:left="8736" w:hanging="1080"/>
      </w:pPr>
      <w:rPr>
        <w:rFonts w:hint="default"/>
      </w:rPr>
    </w:lvl>
    <w:lvl w:ilvl="5">
      <w:start w:val="1"/>
      <w:numFmt w:val="decimal"/>
      <w:lvlText w:val="%1.%2.%3.%4.%5.%6"/>
      <w:lvlJc w:val="left"/>
      <w:pPr>
        <w:ind w:left="10579" w:hanging="1080"/>
      </w:pPr>
      <w:rPr>
        <w:rFonts w:hint="default"/>
      </w:rPr>
    </w:lvl>
    <w:lvl w:ilvl="6">
      <w:start w:val="1"/>
      <w:numFmt w:val="decimal"/>
      <w:lvlText w:val="%1.%2.%3.%4.%5.%6.%7"/>
      <w:lvlJc w:val="left"/>
      <w:pPr>
        <w:ind w:left="12782" w:hanging="1440"/>
      </w:pPr>
      <w:rPr>
        <w:rFonts w:hint="default"/>
      </w:rPr>
    </w:lvl>
    <w:lvl w:ilvl="7">
      <w:start w:val="1"/>
      <w:numFmt w:val="decimal"/>
      <w:lvlText w:val="%1.%2.%3.%4.%5.%6.%7.%8"/>
      <w:lvlJc w:val="left"/>
      <w:pPr>
        <w:ind w:left="14625" w:hanging="1440"/>
      </w:pPr>
      <w:rPr>
        <w:rFonts w:hint="default"/>
      </w:rPr>
    </w:lvl>
    <w:lvl w:ilvl="8">
      <w:start w:val="1"/>
      <w:numFmt w:val="decimal"/>
      <w:lvlText w:val="%1.%2.%3.%4.%5.%6.%7.%8.%9"/>
      <w:lvlJc w:val="left"/>
      <w:pPr>
        <w:ind w:left="16828" w:hanging="1800"/>
      </w:pPr>
      <w:rPr>
        <w:rFonts w:hint="default"/>
      </w:rPr>
    </w:lvl>
  </w:abstractNum>
  <w:abstractNum w:abstractNumId="22" w15:restartNumberingAfterBreak="0">
    <w:nsid w:val="57331640"/>
    <w:multiLevelType w:val="multilevel"/>
    <w:tmpl w:val="42787A64"/>
    <w:lvl w:ilvl="0">
      <w:start w:val="1"/>
      <w:numFmt w:val="decimal"/>
      <w:lvlText w:val="%1."/>
      <w:lvlJc w:val="left"/>
      <w:pPr>
        <w:ind w:left="1778" w:hanging="360"/>
      </w:pPr>
      <w:rPr>
        <w:rFonts w:hint="default"/>
      </w:rPr>
    </w:lvl>
    <w:lvl w:ilvl="1">
      <w:start w:val="2"/>
      <w:numFmt w:val="decimal"/>
      <w:lvlText w:val="%1.%2."/>
      <w:lvlJc w:val="left"/>
      <w:pPr>
        <w:ind w:left="2276" w:hanging="432"/>
      </w:pPr>
      <w:rPr>
        <w:rFonts w:hint="default"/>
      </w:rPr>
    </w:lvl>
    <w:lvl w:ilvl="2">
      <w:start w:val="1"/>
      <w:numFmt w:val="decimal"/>
      <w:lvlText w:val="%1.%2.%3."/>
      <w:lvlJc w:val="left"/>
      <w:pPr>
        <w:ind w:left="2642" w:hanging="504"/>
      </w:pPr>
      <w:rPr>
        <w:rFonts w:hint="default"/>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23" w15:restartNumberingAfterBreak="0">
    <w:nsid w:val="578962D3"/>
    <w:multiLevelType w:val="hybridMultilevel"/>
    <w:tmpl w:val="4D54F07A"/>
    <w:lvl w:ilvl="0" w:tplc="3AFA0340">
      <w:start w:val="1"/>
      <w:numFmt w:val="lowerLetter"/>
      <w:lvlText w:val="(%1)"/>
      <w:lvlJc w:val="left"/>
      <w:pPr>
        <w:ind w:left="2345" w:hanging="360"/>
      </w:pPr>
      <w:rPr>
        <w:rFonts w:hint="default"/>
        <w:vertAlign w:val="superscript"/>
      </w:rPr>
    </w:lvl>
    <w:lvl w:ilvl="1" w:tplc="04100019" w:tentative="1">
      <w:start w:val="1"/>
      <w:numFmt w:val="lowerLetter"/>
      <w:lvlText w:val="%2."/>
      <w:lvlJc w:val="left"/>
      <w:pPr>
        <w:ind w:left="3065" w:hanging="360"/>
      </w:pPr>
    </w:lvl>
    <w:lvl w:ilvl="2" w:tplc="0410001B" w:tentative="1">
      <w:start w:val="1"/>
      <w:numFmt w:val="lowerRoman"/>
      <w:lvlText w:val="%3."/>
      <w:lvlJc w:val="right"/>
      <w:pPr>
        <w:ind w:left="3785" w:hanging="180"/>
      </w:pPr>
    </w:lvl>
    <w:lvl w:ilvl="3" w:tplc="0410000F" w:tentative="1">
      <w:start w:val="1"/>
      <w:numFmt w:val="decimal"/>
      <w:lvlText w:val="%4."/>
      <w:lvlJc w:val="left"/>
      <w:pPr>
        <w:ind w:left="4505" w:hanging="360"/>
      </w:pPr>
    </w:lvl>
    <w:lvl w:ilvl="4" w:tplc="04100019" w:tentative="1">
      <w:start w:val="1"/>
      <w:numFmt w:val="lowerLetter"/>
      <w:lvlText w:val="%5."/>
      <w:lvlJc w:val="left"/>
      <w:pPr>
        <w:ind w:left="5225" w:hanging="360"/>
      </w:pPr>
    </w:lvl>
    <w:lvl w:ilvl="5" w:tplc="0410001B" w:tentative="1">
      <w:start w:val="1"/>
      <w:numFmt w:val="lowerRoman"/>
      <w:lvlText w:val="%6."/>
      <w:lvlJc w:val="right"/>
      <w:pPr>
        <w:ind w:left="5945" w:hanging="180"/>
      </w:pPr>
    </w:lvl>
    <w:lvl w:ilvl="6" w:tplc="0410000F" w:tentative="1">
      <w:start w:val="1"/>
      <w:numFmt w:val="decimal"/>
      <w:lvlText w:val="%7."/>
      <w:lvlJc w:val="left"/>
      <w:pPr>
        <w:ind w:left="6665" w:hanging="360"/>
      </w:pPr>
    </w:lvl>
    <w:lvl w:ilvl="7" w:tplc="04100019" w:tentative="1">
      <w:start w:val="1"/>
      <w:numFmt w:val="lowerLetter"/>
      <w:lvlText w:val="%8."/>
      <w:lvlJc w:val="left"/>
      <w:pPr>
        <w:ind w:left="7385" w:hanging="360"/>
      </w:pPr>
    </w:lvl>
    <w:lvl w:ilvl="8" w:tplc="0410001B" w:tentative="1">
      <w:start w:val="1"/>
      <w:numFmt w:val="lowerRoman"/>
      <w:lvlText w:val="%9."/>
      <w:lvlJc w:val="right"/>
      <w:pPr>
        <w:ind w:left="8105" w:hanging="180"/>
      </w:pPr>
    </w:lvl>
  </w:abstractNum>
  <w:abstractNum w:abstractNumId="24" w15:restartNumberingAfterBreak="0">
    <w:nsid w:val="589212EE"/>
    <w:multiLevelType w:val="hybridMultilevel"/>
    <w:tmpl w:val="4D54F07A"/>
    <w:lvl w:ilvl="0" w:tplc="3AFA0340">
      <w:start w:val="1"/>
      <w:numFmt w:val="lowerLetter"/>
      <w:lvlText w:val="(%1)"/>
      <w:lvlJc w:val="left"/>
      <w:pPr>
        <w:ind w:left="2345" w:hanging="360"/>
      </w:pPr>
      <w:rPr>
        <w:rFonts w:hint="default"/>
        <w:vertAlign w:val="superscript"/>
      </w:rPr>
    </w:lvl>
    <w:lvl w:ilvl="1" w:tplc="04100019" w:tentative="1">
      <w:start w:val="1"/>
      <w:numFmt w:val="lowerLetter"/>
      <w:lvlText w:val="%2."/>
      <w:lvlJc w:val="left"/>
      <w:pPr>
        <w:ind w:left="3065" w:hanging="360"/>
      </w:pPr>
    </w:lvl>
    <w:lvl w:ilvl="2" w:tplc="0410001B" w:tentative="1">
      <w:start w:val="1"/>
      <w:numFmt w:val="lowerRoman"/>
      <w:lvlText w:val="%3."/>
      <w:lvlJc w:val="right"/>
      <w:pPr>
        <w:ind w:left="3785" w:hanging="180"/>
      </w:pPr>
    </w:lvl>
    <w:lvl w:ilvl="3" w:tplc="0410000F" w:tentative="1">
      <w:start w:val="1"/>
      <w:numFmt w:val="decimal"/>
      <w:lvlText w:val="%4."/>
      <w:lvlJc w:val="left"/>
      <w:pPr>
        <w:ind w:left="4505" w:hanging="360"/>
      </w:pPr>
    </w:lvl>
    <w:lvl w:ilvl="4" w:tplc="04100019" w:tentative="1">
      <w:start w:val="1"/>
      <w:numFmt w:val="lowerLetter"/>
      <w:lvlText w:val="%5."/>
      <w:lvlJc w:val="left"/>
      <w:pPr>
        <w:ind w:left="5225" w:hanging="360"/>
      </w:pPr>
    </w:lvl>
    <w:lvl w:ilvl="5" w:tplc="0410001B" w:tentative="1">
      <w:start w:val="1"/>
      <w:numFmt w:val="lowerRoman"/>
      <w:lvlText w:val="%6."/>
      <w:lvlJc w:val="right"/>
      <w:pPr>
        <w:ind w:left="5945" w:hanging="180"/>
      </w:pPr>
    </w:lvl>
    <w:lvl w:ilvl="6" w:tplc="0410000F" w:tentative="1">
      <w:start w:val="1"/>
      <w:numFmt w:val="decimal"/>
      <w:lvlText w:val="%7."/>
      <w:lvlJc w:val="left"/>
      <w:pPr>
        <w:ind w:left="6665" w:hanging="360"/>
      </w:pPr>
    </w:lvl>
    <w:lvl w:ilvl="7" w:tplc="04100019" w:tentative="1">
      <w:start w:val="1"/>
      <w:numFmt w:val="lowerLetter"/>
      <w:lvlText w:val="%8."/>
      <w:lvlJc w:val="left"/>
      <w:pPr>
        <w:ind w:left="7385" w:hanging="360"/>
      </w:pPr>
    </w:lvl>
    <w:lvl w:ilvl="8" w:tplc="0410001B" w:tentative="1">
      <w:start w:val="1"/>
      <w:numFmt w:val="lowerRoman"/>
      <w:lvlText w:val="%9."/>
      <w:lvlJc w:val="right"/>
      <w:pPr>
        <w:ind w:left="8105" w:hanging="180"/>
      </w:pPr>
    </w:lvl>
  </w:abstractNum>
  <w:abstractNum w:abstractNumId="25" w15:restartNumberingAfterBreak="0">
    <w:nsid w:val="5C1020E1"/>
    <w:multiLevelType w:val="multilevel"/>
    <w:tmpl w:val="4B20980C"/>
    <w:lvl w:ilvl="0">
      <w:start w:val="1"/>
      <w:numFmt w:val="decimal"/>
      <w:pStyle w:val="00Titoloparagrnumerato"/>
      <w:lvlText w:val="%1."/>
      <w:lvlJc w:val="left"/>
      <w:pPr>
        <w:ind w:left="1778" w:hanging="360"/>
      </w:pPr>
      <w:rPr>
        <w:rFonts w:hint="default"/>
      </w:rPr>
    </w:lvl>
    <w:lvl w:ilvl="1">
      <w:start w:val="1"/>
      <w:numFmt w:val="decimal"/>
      <w:pStyle w:val="00Titolosottoparnumerato"/>
      <w:lvlText w:val="%1.%2."/>
      <w:lvlJc w:val="left"/>
      <w:pPr>
        <w:ind w:left="3694" w:hanging="432"/>
      </w:pPr>
    </w:lvl>
    <w:lvl w:ilvl="2">
      <w:start w:val="1"/>
      <w:numFmt w:val="decimal"/>
      <w:lvlText w:val="%1.%2.%3."/>
      <w:lvlJc w:val="left"/>
      <w:pPr>
        <w:ind w:left="2642" w:hanging="504"/>
      </w:pPr>
    </w:lvl>
    <w:lvl w:ilvl="3">
      <w:start w:val="1"/>
      <w:numFmt w:val="decimal"/>
      <w:lvlText w:val="%1.%2.%3.%4."/>
      <w:lvlJc w:val="left"/>
      <w:pPr>
        <w:ind w:left="3146" w:hanging="648"/>
      </w:pPr>
    </w:lvl>
    <w:lvl w:ilvl="4">
      <w:start w:val="1"/>
      <w:numFmt w:val="decimal"/>
      <w:lvlText w:val="%1.%2.%3.%4.%5."/>
      <w:lvlJc w:val="left"/>
      <w:pPr>
        <w:ind w:left="3650" w:hanging="792"/>
      </w:pPr>
    </w:lvl>
    <w:lvl w:ilvl="5">
      <w:start w:val="1"/>
      <w:numFmt w:val="decimal"/>
      <w:lvlText w:val="%1.%2.%3.%4.%5.%6."/>
      <w:lvlJc w:val="left"/>
      <w:pPr>
        <w:ind w:left="4154" w:hanging="936"/>
      </w:pPr>
    </w:lvl>
    <w:lvl w:ilvl="6">
      <w:start w:val="1"/>
      <w:numFmt w:val="decimal"/>
      <w:lvlText w:val="%1.%2.%3.%4.%5.%6.%7."/>
      <w:lvlJc w:val="left"/>
      <w:pPr>
        <w:ind w:left="4658" w:hanging="1080"/>
      </w:pPr>
    </w:lvl>
    <w:lvl w:ilvl="7">
      <w:start w:val="1"/>
      <w:numFmt w:val="decimal"/>
      <w:lvlText w:val="%1.%2.%3.%4.%5.%6.%7.%8."/>
      <w:lvlJc w:val="left"/>
      <w:pPr>
        <w:ind w:left="5162" w:hanging="1224"/>
      </w:pPr>
    </w:lvl>
    <w:lvl w:ilvl="8">
      <w:start w:val="1"/>
      <w:numFmt w:val="decimal"/>
      <w:lvlText w:val="%1.%2.%3.%4.%5.%6.%7.%8.%9."/>
      <w:lvlJc w:val="left"/>
      <w:pPr>
        <w:ind w:left="5738" w:hanging="1440"/>
      </w:pPr>
    </w:lvl>
  </w:abstractNum>
  <w:abstractNum w:abstractNumId="26" w15:restartNumberingAfterBreak="0">
    <w:nsid w:val="5CE51398"/>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548495C"/>
    <w:multiLevelType w:val="hybridMultilevel"/>
    <w:tmpl w:val="FFACFD0E"/>
    <w:lvl w:ilvl="0" w:tplc="BACA52E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6F80855"/>
    <w:multiLevelType w:val="multilevel"/>
    <w:tmpl w:val="2CE26776"/>
    <w:styleLink w:val="Ann06Testoelencoalfabetico"/>
    <w:lvl w:ilvl="0">
      <w:start w:val="1"/>
      <w:numFmt w:val="lowerLetter"/>
      <w:lvlText w:val="%1)"/>
      <w:lvlJc w:val="left"/>
      <w:pPr>
        <w:tabs>
          <w:tab w:val="num" w:pos="794"/>
        </w:tabs>
        <w:ind w:left="794" w:hanging="397"/>
      </w:pPr>
      <w:rPr>
        <w:rFonts w:ascii="Times New Roman" w:hAnsi="Times New Roman" w:hint="default"/>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6A796152"/>
    <w:multiLevelType w:val="multilevel"/>
    <w:tmpl w:val="A9CA27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B58556E"/>
    <w:multiLevelType w:val="hybridMultilevel"/>
    <w:tmpl w:val="4D54F07A"/>
    <w:lvl w:ilvl="0" w:tplc="3AFA0340">
      <w:start w:val="1"/>
      <w:numFmt w:val="lowerLetter"/>
      <w:lvlText w:val="(%1)"/>
      <w:lvlJc w:val="left"/>
      <w:pPr>
        <w:ind w:left="2345" w:hanging="360"/>
      </w:pPr>
      <w:rPr>
        <w:rFonts w:hint="default"/>
        <w:vertAlign w:val="superscript"/>
      </w:rPr>
    </w:lvl>
    <w:lvl w:ilvl="1" w:tplc="04100019" w:tentative="1">
      <w:start w:val="1"/>
      <w:numFmt w:val="lowerLetter"/>
      <w:lvlText w:val="%2."/>
      <w:lvlJc w:val="left"/>
      <w:pPr>
        <w:ind w:left="3065" w:hanging="360"/>
      </w:pPr>
    </w:lvl>
    <w:lvl w:ilvl="2" w:tplc="0410001B" w:tentative="1">
      <w:start w:val="1"/>
      <w:numFmt w:val="lowerRoman"/>
      <w:lvlText w:val="%3."/>
      <w:lvlJc w:val="right"/>
      <w:pPr>
        <w:ind w:left="3785" w:hanging="180"/>
      </w:pPr>
    </w:lvl>
    <w:lvl w:ilvl="3" w:tplc="0410000F" w:tentative="1">
      <w:start w:val="1"/>
      <w:numFmt w:val="decimal"/>
      <w:lvlText w:val="%4."/>
      <w:lvlJc w:val="left"/>
      <w:pPr>
        <w:ind w:left="4505" w:hanging="360"/>
      </w:pPr>
    </w:lvl>
    <w:lvl w:ilvl="4" w:tplc="04100019" w:tentative="1">
      <w:start w:val="1"/>
      <w:numFmt w:val="lowerLetter"/>
      <w:lvlText w:val="%5."/>
      <w:lvlJc w:val="left"/>
      <w:pPr>
        <w:ind w:left="5225" w:hanging="360"/>
      </w:pPr>
    </w:lvl>
    <w:lvl w:ilvl="5" w:tplc="0410001B" w:tentative="1">
      <w:start w:val="1"/>
      <w:numFmt w:val="lowerRoman"/>
      <w:lvlText w:val="%6."/>
      <w:lvlJc w:val="right"/>
      <w:pPr>
        <w:ind w:left="5945" w:hanging="180"/>
      </w:pPr>
    </w:lvl>
    <w:lvl w:ilvl="6" w:tplc="0410000F" w:tentative="1">
      <w:start w:val="1"/>
      <w:numFmt w:val="decimal"/>
      <w:lvlText w:val="%7."/>
      <w:lvlJc w:val="left"/>
      <w:pPr>
        <w:ind w:left="6665" w:hanging="360"/>
      </w:pPr>
    </w:lvl>
    <w:lvl w:ilvl="7" w:tplc="04100019" w:tentative="1">
      <w:start w:val="1"/>
      <w:numFmt w:val="lowerLetter"/>
      <w:lvlText w:val="%8."/>
      <w:lvlJc w:val="left"/>
      <w:pPr>
        <w:ind w:left="7385" w:hanging="360"/>
      </w:pPr>
    </w:lvl>
    <w:lvl w:ilvl="8" w:tplc="0410001B" w:tentative="1">
      <w:start w:val="1"/>
      <w:numFmt w:val="lowerRoman"/>
      <w:lvlText w:val="%9."/>
      <w:lvlJc w:val="right"/>
      <w:pPr>
        <w:ind w:left="8105" w:hanging="180"/>
      </w:pPr>
    </w:lvl>
  </w:abstractNum>
  <w:abstractNum w:abstractNumId="31" w15:restartNumberingAfterBreak="0">
    <w:nsid w:val="7090013A"/>
    <w:multiLevelType w:val="hybridMultilevel"/>
    <w:tmpl w:val="5BB234B0"/>
    <w:lvl w:ilvl="0" w:tplc="0410000D">
      <w:start w:val="1"/>
      <w:numFmt w:val="bullet"/>
      <w:lvlText w:val=""/>
      <w:lvlJc w:val="left"/>
      <w:pPr>
        <w:ind w:left="1632" w:hanging="360"/>
      </w:pPr>
      <w:rPr>
        <w:rFonts w:ascii="Wingdings" w:hAnsi="Wingdings" w:hint="default"/>
      </w:rPr>
    </w:lvl>
    <w:lvl w:ilvl="1" w:tplc="04100003" w:tentative="1">
      <w:start w:val="1"/>
      <w:numFmt w:val="bullet"/>
      <w:lvlText w:val="o"/>
      <w:lvlJc w:val="left"/>
      <w:pPr>
        <w:ind w:left="2352" w:hanging="360"/>
      </w:pPr>
      <w:rPr>
        <w:rFonts w:ascii="Courier New" w:hAnsi="Courier New" w:cs="Courier New" w:hint="default"/>
      </w:rPr>
    </w:lvl>
    <w:lvl w:ilvl="2" w:tplc="04100005" w:tentative="1">
      <w:start w:val="1"/>
      <w:numFmt w:val="bullet"/>
      <w:lvlText w:val=""/>
      <w:lvlJc w:val="left"/>
      <w:pPr>
        <w:ind w:left="3072" w:hanging="360"/>
      </w:pPr>
      <w:rPr>
        <w:rFonts w:ascii="Wingdings" w:hAnsi="Wingdings" w:hint="default"/>
      </w:rPr>
    </w:lvl>
    <w:lvl w:ilvl="3" w:tplc="04100001" w:tentative="1">
      <w:start w:val="1"/>
      <w:numFmt w:val="bullet"/>
      <w:lvlText w:val=""/>
      <w:lvlJc w:val="left"/>
      <w:pPr>
        <w:ind w:left="3792" w:hanging="360"/>
      </w:pPr>
      <w:rPr>
        <w:rFonts w:ascii="Symbol" w:hAnsi="Symbol" w:hint="default"/>
      </w:rPr>
    </w:lvl>
    <w:lvl w:ilvl="4" w:tplc="04100003" w:tentative="1">
      <w:start w:val="1"/>
      <w:numFmt w:val="bullet"/>
      <w:lvlText w:val="o"/>
      <w:lvlJc w:val="left"/>
      <w:pPr>
        <w:ind w:left="4512" w:hanging="360"/>
      </w:pPr>
      <w:rPr>
        <w:rFonts w:ascii="Courier New" w:hAnsi="Courier New" w:cs="Courier New" w:hint="default"/>
      </w:rPr>
    </w:lvl>
    <w:lvl w:ilvl="5" w:tplc="04100005" w:tentative="1">
      <w:start w:val="1"/>
      <w:numFmt w:val="bullet"/>
      <w:lvlText w:val=""/>
      <w:lvlJc w:val="left"/>
      <w:pPr>
        <w:ind w:left="5232" w:hanging="360"/>
      </w:pPr>
      <w:rPr>
        <w:rFonts w:ascii="Wingdings" w:hAnsi="Wingdings" w:hint="default"/>
      </w:rPr>
    </w:lvl>
    <w:lvl w:ilvl="6" w:tplc="04100001" w:tentative="1">
      <w:start w:val="1"/>
      <w:numFmt w:val="bullet"/>
      <w:lvlText w:val=""/>
      <w:lvlJc w:val="left"/>
      <w:pPr>
        <w:ind w:left="5952" w:hanging="360"/>
      </w:pPr>
      <w:rPr>
        <w:rFonts w:ascii="Symbol" w:hAnsi="Symbol" w:hint="default"/>
      </w:rPr>
    </w:lvl>
    <w:lvl w:ilvl="7" w:tplc="04100003" w:tentative="1">
      <w:start w:val="1"/>
      <w:numFmt w:val="bullet"/>
      <w:lvlText w:val="o"/>
      <w:lvlJc w:val="left"/>
      <w:pPr>
        <w:ind w:left="6672" w:hanging="360"/>
      </w:pPr>
      <w:rPr>
        <w:rFonts w:ascii="Courier New" w:hAnsi="Courier New" w:cs="Courier New" w:hint="default"/>
      </w:rPr>
    </w:lvl>
    <w:lvl w:ilvl="8" w:tplc="04100005" w:tentative="1">
      <w:start w:val="1"/>
      <w:numFmt w:val="bullet"/>
      <w:lvlText w:val=""/>
      <w:lvlJc w:val="left"/>
      <w:pPr>
        <w:ind w:left="7392" w:hanging="360"/>
      </w:pPr>
      <w:rPr>
        <w:rFonts w:ascii="Wingdings" w:hAnsi="Wingdings" w:hint="default"/>
      </w:rPr>
    </w:lvl>
  </w:abstractNum>
  <w:abstractNum w:abstractNumId="32" w15:restartNumberingAfterBreak="0">
    <w:nsid w:val="7A4A4395"/>
    <w:multiLevelType w:val="hybridMultilevel"/>
    <w:tmpl w:val="8DD2154A"/>
    <w:lvl w:ilvl="0" w:tplc="0410000D">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num w:numId="1">
    <w:abstractNumId w:val="20"/>
  </w:num>
  <w:num w:numId="2">
    <w:abstractNumId w:val="28"/>
  </w:num>
  <w:num w:numId="3">
    <w:abstractNumId w:val="14"/>
  </w:num>
  <w:num w:numId="4">
    <w:abstractNumId w:val="0"/>
  </w:num>
  <w:num w:numId="5">
    <w:abstractNumId w:val="1"/>
  </w:num>
  <w:num w:numId="6">
    <w:abstractNumId w:val="25"/>
  </w:num>
  <w:num w:numId="7">
    <w:abstractNumId w:val="9"/>
  </w:num>
  <w:num w:numId="8">
    <w:abstractNumId w:val="24"/>
  </w:num>
  <w:num w:numId="9">
    <w:abstractNumId w:val="30"/>
  </w:num>
  <w:num w:numId="10">
    <w:abstractNumId w:val="23"/>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13"/>
  </w:num>
  <w:num w:numId="14">
    <w:abstractNumId w:val="21"/>
  </w:num>
  <w:num w:numId="15">
    <w:abstractNumId w:val="32"/>
  </w:num>
  <w:num w:numId="16">
    <w:abstractNumId w:val="32"/>
  </w:num>
  <w:num w:numId="17">
    <w:abstractNumId w:val="26"/>
  </w:num>
  <w:num w:numId="18">
    <w:abstractNumId w:val="15"/>
  </w:num>
  <w:num w:numId="19">
    <w:abstractNumId w:val="22"/>
  </w:num>
  <w:num w:numId="20">
    <w:abstractNumId w:val="18"/>
  </w:num>
  <w:num w:numId="21">
    <w:abstractNumId w:val="3"/>
  </w:num>
  <w:num w:numId="22">
    <w:abstractNumId w:val="8"/>
  </w:num>
  <w:num w:numId="23">
    <w:abstractNumId w:val="4"/>
  </w:num>
  <w:num w:numId="24">
    <w:abstractNumId w:val="6"/>
  </w:num>
  <w:num w:numId="25">
    <w:abstractNumId w:val="7"/>
  </w:num>
  <w:num w:numId="26">
    <w:abstractNumId w:val="16"/>
  </w:num>
  <w:num w:numId="27">
    <w:abstractNumId w:val="10"/>
  </w:num>
  <w:num w:numId="28">
    <w:abstractNumId w:val="31"/>
  </w:num>
  <w:num w:numId="29">
    <w:abstractNumId w:val="11"/>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2"/>
  </w:num>
  <w:num w:numId="34">
    <w:abstractNumId w:val="12"/>
  </w:num>
  <w:num w:numId="35">
    <w:abstractNumId w:val="5"/>
  </w:num>
  <w:num w:numId="36">
    <w:abstractNumId w:val="17"/>
  </w:num>
  <w:num w:numId="37">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it-IT" w:vendorID="64" w:dllVersion="6" w:nlCheck="1" w:checkStyle="0"/>
  <w:activeWritingStyle w:appName="MSWord" w:lang="it-IT" w:vendorID="64" w:dllVersion="4096" w:nlCheck="1" w:checkStyle="0"/>
  <w:activeWritingStyle w:appName="MSWord" w:lang="it-IT"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969"/>
    <w:rsid w:val="000003C9"/>
    <w:rsid w:val="00000DE6"/>
    <w:rsid w:val="00000F03"/>
    <w:rsid w:val="0000116C"/>
    <w:rsid w:val="000011C5"/>
    <w:rsid w:val="00002435"/>
    <w:rsid w:val="00002614"/>
    <w:rsid w:val="00002922"/>
    <w:rsid w:val="00002A61"/>
    <w:rsid w:val="000030F5"/>
    <w:rsid w:val="0000326A"/>
    <w:rsid w:val="000037F1"/>
    <w:rsid w:val="000040B8"/>
    <w:rsid w:val="000041E1"/>
    <w:rsid w:val="00004635"/>
    <w:rsid w:val="00004B93"/>
    <w:rsid w:val="000051F4"/>
    <w:rsid w:val="00005AAE"/>
    <w:rsid w:val="00005F85"/>
    <w:rsid w:val="00006003"/>
    <w:rsid w:val="0000612B"/>
    <w:rsid w:val="000063C2"/>
    <w:rsid w:val="00006524"/>
    <w:rsid w:val="00006CED"/>
    <w:rsid w:val="0000755C"/>
    <w:rsid w:val="00007B66"/>
    <w:rsid w:val="00011848"/>
    <w:rsid w:val="00011C81"/>
    <w:rsid w:val="000125E3"/>
    <w:rsid w:val="0001267D"/>
    <w:rsid w:val="00012895"/>
    <w:rsid w:val="00012DB8"/>
    <w:rsid w:val="00013457"/>
    <w:rsid w:val="00013603"/>
    <w:rsid w:val="00013C34"/>
    <w:rsid w:val="00013E6D"/>
    <w:rsid w:val="00013E73"/>
    <w:rsid w:val="00014076"/>
    <w:rsid w:val="0001411E"/>
    <w:rsid w:val="000145FF"/>
    <w:rsid w:val="00015250"/>
    <w:rsid w:val="000157D0"/>
    <w:rsid w:val="00015C82"/>
    <w:rsid w:val="0001704F"/>
    <w:rsid w:val="00017595"/>
    <w:rsid w:val="00017D4B"/>
    <w:rsid w:val="00017FA8"/>
    <w:rsid w:val="00020238"/>
    <w:rsid w:val="00020C53"/>
    <w:rsid w:val="00020E92"/>
    <w:rsid w:val="00021346"/>
    <w:rsid w:val="0002160C"/>
    <w:rsid w:val="00021EFB"/>
    <w:rsid w:val="000221F6"/>
    <w:rsid w:val="00022809"/>
    <w:rsid w:val="00023302"/>
    <w:rsid w:val="00023484"/>
    <w:rsid w:val="000234B7"/>
    <w:rsid w:val="000239E2"/>
    <w:rsid w:val="00024F86"/>
    <w:rsid w:val="000264A7"/>
    <w:rsid w:val="0002743D"/>
    <w:rsid w:val="00027A66"/>
    <w:rsid w:val="000301D4"/>
    <w:rsid w:val="000307C0"/>
    <w:rsid w:val="000309E0"/>
    <w:rsid w:val="00030CB4"/>
    <w:rsid w:val="0003132E"/>
    <w:rsid w:val="0003164A"/>
    <w:rsid w:val="00031A25"/>
    <w:rsid w:val="00031B49"/>
    <w:rsid w:val="000320E2"/>
    <w:rsid w:val="00033218"/>
    <w:rsid w:val="0003345A"/>
    <w:rsid w:val="00033ECD"/>
    <w:rsid w:val="00035A52"/>
    <w:rsid w:val="0003613B"/>
    <w:rsid w:val="000368AB"/>
    <w:rsid w:val="00037098"/>
    <w:rsid w:val="00037177"/>
    <w:rsid w:val="000379F3"/>
    <w:rsid w:val="0004036C"/>
    <w:rsid w:val="00040AE0"/>
    <w:rsid w:val="00040C60"/>
    <w:rsid w:val="00040DD7"/>
    <w:rsid w:val="000413C6"/>
    <w:rsid w:val="0004157C"/>
    <w:rsid w:val="00041692"/>
    <w:rsid w:val="000417E6"/>
    <w:rsid w:val="00041D14"/>
    <w:rsid w:val="00042264"/>
    <w:rsid w:val="00042480"/>
    <w:rsid w:val="00044DFC"/>
    <w:rsid w:val="00046858"/>
    <w:rsid w:val="00047251"/>
    <w:rsid w:val="0004732F"/>
    <w:rsid w:val="0004755B"/>
    <w:rsid w:val="00047761"/>
    <w:rsid w:val="00047873"/>
    <w:rsid w:val="00047DAC"/>
    <w:rsid w:val="00047F02"/>
    <w:rsid w:val="0005142D"/>
    <w:rsid w:val="00051D1A"/>
    <w:rsid w:val="000531BF"/>
    <w:rsid w:val="000543B1"/>
    <w:rsid w:val="00054676"/>
    <w:rsid w:val="00055034"/>
    <w:rsid w:val="0005511D"/>
    <w:rsid w:val="00055B69"/>
    <w:rsid w:val="00055BF3"/>
    <w:rsid w:val="0005680D"/>
    <w:rsid w:val="00057394"/>
    <w:rsid w:val="00057A47"/>
    <w:rsid w:val="00060D51"/>
    <w:rsid w:val="000612A8"/>
    <w:rsid w:val="0006138E"/>
    <w:rsid w:val="0006176B"/>
    <w:rsid w:val="00061774"/>
    <w:rsid w:val="000621A2"/>
    <w:rsid w:val="00062A2F"/>
    <w:rsid w:val="00062AC3"/>
    <w:rsid w:val="00062C72"/>
    <w:rsid w:val="00062E75"/>
    <w:rsid w:val="0006428F"/>
    <w:rsid w:val="00065B84"/>
    <w:rsid w:val="0006622B"/>
    <w:rsid w:val="00066278"/>
    <w:rsid w:val="00066472"/>
    <w:rsid w:val="00066A42"/>
    <w:rsid w:val="00066BDD"/>
    <w:rsid w:val="00067650"/>
    <w:rsid w:val="00067BDE"/>
    <w:rsid w:val="00070AC5"/>
    <w:rsid w:val="00071152"/>
    <w:rsid w:val="000711AB"/>
    <w:rsid w:val="00072640"/>
    <w:rsid w:val="00072CF2"/>
    <w:rsid w:val="00072F3A"/>
    <w:rsid w:val="000736C9"/>
    <w:rsid w:val="000745AE"/>
    <w:rsid w:val="0007491F"/>
    <w:rsid w:val="00074BBD"/>
    <w:rsid w:val="000755AC"/>
    <w:rsid w:val="00075ACB"/>
    <w:rsid w:val="00075D30"/>
    <w:rsid w:val="00075D8C"/>
    <w:rsid w:val="000760DD"/>
    <w:rsid w:val="0007668A"/>
    <w:rsid w:val="000769C6"/>
    <w:rsid w:val="00076A51"/>
    <w:rsid w:val="00077434"/>
    <w:rsid w:val="000806FC"/>
    <w:rsid w:val="00080CB8"/>
    <w:rsid w:val="000812BA"/>
    <w:rsid w:val="000827EB"/>
    <w:rsid w:val="000834C9"/>
    <w:rsid w:val="00083963"/>
    <w:rsid w:val="000853C6"/>
    <w:rsid w:val="00085583"/>
    <w:rsid w:val="0008658A"/>
    <w:rsid w:val="00086CA3"/>
    <w:rsid w:val="00086CF0"/>
    <w:rsid w:val="000876F4"/>
    <w:rsid w:val="00090546"/>
    <w:rsid w:val="000907AD"/>
    <w:rsid w:val="000910B3"/>
    <w:rsid w:val="000926AD"/>
    <w:rsid w:val="00092F0B"/>
    <w:rsid w:val="00092F18"/>
    <w:rsid w:val="00093E74"/>
    <w:rsid w:val="000946DA"/>
    <w:rsid w:val="00095560"/>
    <w:rsid w:val="00095953"/>
    <w:rsid w:val="00095C82"/>
    <w:rsid w:val="00096585"/>
    <w:rsid w:val="000966D0"/>
    <w:rsid w:val="000966D2"/>
    <w:rsid w:val="000966FE"/>
    <w:rsid w:val="0009672A"/>
    <w:rsid w:val="000969E3"/>
    <w:rsid w:val="000976BD"/>
    <w:rsid w:val="0009777E"/>
    <w:rsid w:val="000A0813"/>
    <w:rsid w:val="000A19F2"/>
    <w:rsid w:val="000A1AFB"/>
    <w:rsid w:val="000A205D"/>
    <w:rsid w:val="000A23B4"/>
    <w:rsid w:val="000A2408"/>
    <w:rsid w:val="000A2603"/>
    <w:rsid w:val="000A26A6"/>
    <w:rsid w:val="000A3016"/>
    <w:rsid w:val="000A313B"/>
    <w:rsid w:val="000A329C"/>
    <w:rsid w:val="000A3352"/>
    <w:rsid w:val="000A33A1"/>
    <w:rsid w:val="000A3921"/>
    <w:rsid w:val="000A3BD6"/>
    <w:rsid w:val="000A42EE"/>
    <w:rsid w:val="000A438A"/>
    <w:rsid w:val="000A4608"/>
    <w:rsid w:val="000A4678"/>
    <w:rsid w:val="000A57EB"/>
    <w:rsid w:val="000A5A87"/>
    <w:rsid w:val="000A5AB0"/>
    <w:rsid w:val="000A65D6"/>
    <w:rsid w:val="000A6767"/>
    <w:rsid w:val="000A6814"/>
    <w:rsid w:val="000A6AE2"/>
    <w:rsid w:val="000A6F81"/>
    <w:rsid w:val="000A7767"/>
    <w:rsid w:val="000A7E3F"/>
    <w:rsid w:val="000B0741"/>
    <w:rsid w:val="000B08AB"/>
    <w:rsid w:val="000B0DAF"/>
    <w:rsid w:val="000B1658"/>
    <w:rsid w:val="000B2456"/>
    <w:rsid w:val="000B25DE"/>
    <w:rsid w:val="000B289F"/>
    <w:rsid w:val="000B30B7"/>
    <w:rsid w:val="000B3280"/>
    <w:rsid w:val="000B34C2"/>
    <w:rsid w:val="000B3AB5"/>
    <w:rsid w:val="000B4861"/>
    <w:rsid w:val="000B4A31"/>
    <w:rsid w:val="000B4B56"/>
    <w:rsid w:val="000B5618"/>
    <w:rsid w:val="000B5E74"/>
    <w:rsid w:val="000B6317"/>
    <w:rsid w:val="000B66E4"/>
    <w:rsid w:val="000B6DF6"/>
    <w:rsid w:val="000B79B7"/>
    <w:rsid w:val="000B7B7B"/>
    <w:rsid w:val="000C024E"/>
    <w:rsid w:val="000C0528"/>
    <w:rsid w:val="000C0801"/>
    <w:rsid w:val="000C0DF8"/>
    <w:rsid w:val="000C11D6"/>
    <w:rsid w:val="000C121E"/>
    <w:rsid w:val="000C13AF"/>
    <w:rsid w:val="000C1C82"/>
    <w:rsid w:val="000C222D"/>
    <w:rsid w:val="000C3D43"/>
    <w:rsid w:val="000C42CC"/>
    <w:rsid w:val="000C4327"/>
    <w:rsid w:val="000C4833"/>
    <w:rsid w:val="000C4A81"/>
    <w:rsid w:val="000C4F90"/>
    <w:rsid w:val="000C523A"/>
    <w:rsid w:val="000C6C65"/>
    <w:rsid w:val="000C772A"/>
    <w:rsid w:val="000C7D28"/>
    <w:rsid w:val="000C7DA2"/>
    <w:rsid w:val="000C7F32"/>
    <w:rsid w:val="000D072C"/>
    <w:rsid w:val="000D0F8E"/>
    <w:rsid w:val="000D1095"/>
    <w:rsid w:val="000D150A"/>
    <w:rsid w:val="000D1758"/>
    <w:rsid w:val="000D289A"/>
    <w:rsid w:val="000D31D9"/>
    <w:rsid w:val="000D3FD0"/>
    <w:rsid w:val="000D478F"/>
    <w:rsid w:val="000D4B82"/>
    <w:rsid w:val="000D4F23"/>
    <w:rsid w:val="000D5745"/>
    <w:rsid w:val="000D5768"/>
    <w:rsid w:val="000D5F47"/>
    <w:rsid w:val="000D682D"/>
    <w:rsid w:val="000D6D4C"/>
    <w:rsid w:val="000D777A"/>
    <w:rsid w:val="000D7B9A"/>
    <w:rsid w:val="000E07E0"/>
    <w:rsid w:val="000E0867"/>
    <w:rsid w:val="000E20E7"/>
    <w:rsid w:val="000E2676"/>
    <w:rsid w:val="000E28D6"/>
    <w:rsid w:val="000E3B22"/>
    <w:rsid w:val="000E4AD7"/>
    <w:rsid w:val="000E4D56"/>
    <w:rsid w:val="000E610C"/>
    <w:rsid w:val="000E65F1"/>
    <w:rsid w:val="000E69AD"/>
    <w:rsid w:val="000E6D7C"/>
    <w:rsid w:val="000E74DA"/>
    <w:rsid w:val="000E7527"/>
    <w:rsid w:val="000E773C"/>
    <w:rsid w:val="000E7781"/>
    <w:rsid w:val="000E7A84"/>
    <w:rsid w:val="000E7CDD"/>
    <w:rsid w:val="000F0677"/>
    <w:rsid w:val="000F0D04"/>
    <w:rsid w:val="000F0DE8"/>
    <w:rsid w:val="000F183C"/>
    <w:rsid w:val="000F1D5E"/>
    <w:rsid w:val="000F225D"/>
    <w:rsid w:val="000F2DED"/>
    <w:rsid w:val="000F3035"/>
    <w:rsid w:val="000F35AC"/>
    <w:rsid w:val="000F4030"/>
    <w:rsid w:val="000F4131"/>
    <w:rsid w:val="000F44BE"/>
    <w:rsid w:val="000F5639"/>
    <w:rsid w:val="000F6320"/>
    <w:rsid w:val="000F6325"/>
    <w:rsid w:val="000F6A22"/>
    <w:rsid w:val="000F6BD4"/>
    <w:rsid w:val="000F7247"/>
    <w:rsid w:val="000F7524"/>
    <w:rsid w:val="000F7CA5"/>
    <w:rsid w:val="000F7CC5"/>
    <w:rsid w:val="0010027F"/>
    <w:rsid w:val="00100AAE"/>
    <w:rsid w:val="00100C8C"/>
    <w:rsid w:val="00101679"/>
    <w:rsid w:val="00102224"/>
    <w:rsid w:val="00103179"/>
    <w:rsid w:val="0010371E"/>
    <w:rsid w:val="00103D49"/>
    <w:rsid w:val="00104ABF"/>
    <w:rsid w:val="001057BE"/>
    <w:rsid w:val="00106021"/>
    <w:rsid w:val="001065AE"/>
    <w:rsid w:val="00106668"/>
    <w:rsid w:val="0010707E"/>
    <w:rsid w:val="00107A5A"/>
    <w:rsid w:val="00110309"/>
    <w:rsid w:val="00110BBC"/>
    <w:rsid w:val="0011181F"/>
    <w:rsid w:val="00111845"/>
    <w:rsid w:val="00112985"/>
    <w:rsid w:val="00113439"/>
    <w:rsid w:val="001139C7"/>
    <w:rsid w:val="00115D6A"/>
    <w:rsid w:val="00115EBC"/>
    <w:rsid w:val="0011669B"/>
    <w:rsid w:val="00116F41"/>
    <w:rsid w:val="00117112"/>
    <w:rsid w:val="00117832"/>
    <w:rsid w:val="00117A62"/>
    <w:rsid w:val="00117F80"/>
    <w:rsid w:val="001204AE"/>
    <w:rsid w:val="001205B8"/>
    <w:rsid w:val="001209B7"/>
    <w:rsid w:val="00120CEA"/>
    <w:rsid w:val="0012134C"/>
    <w:rsid w:val="00121BFC"/>
    <w:rsid w:val="00121C9D"/>
    <w:rsid w:val="00121DB7"/>
    <w:rsid w:val="00122115"/>
    <w:rsid w:val="0012212C"/>
    <w:rsid w:val="00122827"/>
    <w:rsid w:val="00122951"/>
    <w:rsid w:val="00122FCD"/>
    <w:rsid w:val="001232D0"/>
    <w:rsid w:val="0012362F"/>
    <w:rsid w:val="00123B21"/>
    <w:rsid w:val="0012406F"/>
    <w:rsid w:val="00124A6C"/>
    <w:rsid w:val="00124EA0"/>
    <w:rsid w:val="00125566"/>
    <w:rsid w:val="00125C45"/>
    <w:rsid w:val="00125FC4"/>
    <w:rsid w:val="0012602C"/>
    <w:rsid w:val="0012614D"/>
    <w:rsid w:val="0012668F"/>
    <w:rsid w:val="00126919"/>
    <w:rsid w:val="00127E3F"/>
    <w:rsid w:val="00127EC0"/>
    <w:rsid w:val="00127F85"/>
    <w:rsid w:val="00127FF1"/>
    <w:rsid w:val="00130095"/>
    <w:rsid w:val="00130127"/>
    <w:rsid w:val="001307DA"/>
    <w:rsid w:val="00131814"/>
    <w:rsid w:val="00131982"/>
    <w:rsid w:val="00131B7F"/>
    <w:rsid w:val="001322AF"/>
    <w:rsid w:val="00132D98"/>
    <w:rsid w:val="00134118"/>
    <w:rsid w:val="0013413B"/>
    <w:rsid w:val="0013445F"/>
    <w:rsid w:val="0013537E"/>
    <w:rsid w:val="0013576D"/>
    <w:rsid w:val="00135791"/>
    <w:rsid w:val="00136D64"/>
    <w:rsid w:val="001373B4"/>
    <w:rsid w:val="0013753C"/>
    <w:rsid w:val="001401F2"/>
    <w:rsid w:val="0014039E"/>
    <w:rsid w:val="001410AD"/>
    <w:rsid w:val="001411BC"/>
    <w:rsid w:val="001412DE"/>
    <w:rsid w:val="00141B34"/>
    <w:rsid w:val="00142377"/>
    <w:rsid w:val="0014258C"/>
    <w:rsid w:val="001425FF"/>
    <w:rsid w:val="0014284F"/>
    <w:rsid w:val="00142DA3"/>
    <w:rsid w:val="00143210"/>
    <w:rsid w:val="0014380D"/>
    <w:rsid w:val="00143D92"/>
    <w:rsid w:val="00144384"/>
    <w:rsid w:val="00144953"/>
    <w:rsid w:val="001449D9"/>
    <w:rsid w:val="001454E1"/>
    <w:rsid w:val="00145D52"/>
    <w:rsid w:val="00146166"/>
    <w:rsid w:val="00146237"/>
    <w:rsid w:val="001462DF"/>
    <w:rsid w:val="0014654F"/>
    <w:rsid w:val="001467BF"/>
    <w:rsid w:val="0014762F"/>
    <w:rsid w:val="00147895"/>
    <w:rsid w:val="00147C7C"/>
    <w:rsid w:val="00147EE4"/>
    <w:rsid w:val="0015001C"/>
    <w:rsid w:val="001507FB"/>
    <w:rsid w:val="001509FA"/>
    <w:rsid w:val="00150E01"/>
    <w:rsid w:val="001510C9"/>
    <w:rsid w:val="00153499"/>
    <w:rsid w:val="00153D5A"/>
    <w:rsid w:val="00155291"/>
    <w:rsid w:val="00155359"/>
    <w:rsid w:val="001556F0"/>
    <w:rsid w:val="00156220"/>
    <w:rsid w:val="00156A14"/>
    <w:rsid w:val="00156E12"/>
    <w:rsid w:val="001574A6"/>
    <w:rsid w:val="00157A5E"/>
    <w:rsid w:val="001606AB"/>
    <w:rsid w:val="00160A06"/>
    <w:rsid w:val="00160CD7"/>
    <w:rsid w:val="00161574"/>
    <w:rsid w:val="0016168B"/>
    <w:rsid w:val="001617A9"/>
    <w:rsid w:val="0016217E"/>
    <w:rsid w:val="0016245C"/>
    <w:rsid w:val="0016246D"/>
    <w:rsid w:val="00162E69"/>
    <w:rsid w:val="0016353E"/>
    <w:rsid w:val="001636BA"/>
    <w:rsid w:val="001639BC"/>
    <w:rsid w:val="00164880"/>
    <w:rsid w:val="0016511E"/>
    <w:rsid w:val="00165E97"/>
    <w:rsid w:val="00165FC5"/>
    <w:rsid w:val="0016622F"/>
    <w:rsid w:val="0016641C"/>
    <w:rsid w:val="00166420"/>
    <w:rsid w:val="00166EBE"/>
    <w:rsid w:val="0016706D"/>
    <w:rsid w:val="001671F8"/>
    <w:rsid w:val="0016779C"/>
    <w:rsid w:val="0017045D"/>
    <w:rsid w:val="001708ED"/>
    <w:rsid w:val="00171407"/>
    <w:rsid w:val="0017337D"/>
    <w:rsid w:val="00173913"/>
    <w:rsid w:val="00174256"/>
    <w:rsid w:val="0017437A"/>
    <w:rsid w:val="00174FAA"/>
    <w:rsid w:val="00175C3A"/>
    <w:rsid w:val="00175F2A"/>
    <w:rsid w:val="00176180"/>
    <w:rsid w:val="00176425"/>
    <w:rsid w:val="00176864"/>
    <w:rsid w:val="001779E2"/>
    <w:rsid w:val="00180510"/>
    <w:rsid w:val="00180612"/>
    <w:rsid w:val="00180E2D"/>
    <w:rsid w:val="0018123A"/>
    <w:rsid w:val="00181407"/>
    <w:rsid w:val="00181C73"/>
    <w:rsid w:val="001824A1"/>
    <w:rsid w:val="00182C27"/>
    <w:rsid w:val="00182EB3"/>
    <w:rsid w:val="00182EF9"/>
    <w:rsid w:val="00183005"/>
    <w:rsid w:val="0018329D"/>
    <w:rsid w:val="00183453"/>
    <w:rsid w:val="00183CE1"/>
    <w:rsid w:val="00183DA6"/>
    <w:rsid w:val="001847B2"/>
    <w:rsid w:val="00184E92"/>
    <w:rsid w:val="0018541B"/>
    <w:rsid w:val="00185F2C"/>
    <w:rsid w:val="00185F66"/>
    <w:rsid w:val="0018734F"/>
    <w:rsid w:val="001875BF"/>
    <w:rsid w:val="00190433"/>
    <w:rsid w:val="00191211"/>
    <w:rsid w:val="0019166E"/>
    <w:rsid w:val="00191F41"/>
    <w:rsid w:val="001921C2"/>
    <w:rsid w:val="001925B7"/>
    <w:rsid w:val="00192815"/>
    <w:rsid w:val="00192B30"/>
    <w:rsid w:val="00192C95"/>
    <w:rsid w:val="00193F35"/>
    <w:rsid w:val="00194752"/>
    <w:rsid w:val="001956B1"/>
    <w:rsid w:val="00195769"/>
    <w:rsid w:val="001958E9"/>
    <w:rsid w:val="00195B2B"/>
    <w:rsid w:val="001961B4"/>
    <w:rsid w:val="00196250"/>
    <w:rsid w:val="00196258"/>
    <w:rsid w:val="0019625F"/>
    <w:rsid w:val="001966F9"/>
    <w:rsid w:val="001A04C4"/>
    <w:rsid w:val="001A04C7"/>
    <w:rsid w:val="001A092A"/>
    <w:rsid w:val="001A0D13"/>
    <w:rsid w:val="001A120C"/>
    <w:rsid w:val="001A1289"/>
    <w:rsid w:val="001A1B10"/>
    <w:rsid w:val="001A1CC3"/>
    <w:rsid w:val="001A1E2F"/>
    <w:rsid w:val="001A23E5"/>
    <w:rsid w:val="001A25C8"/>
    <w:rsid w:val="001A2D95"/>
    <w:rsid w:val="001A3152"/>
    <w:rsid w:val="001A3412"/>
    <w:rsid w:val="001A3739"/>
    <w:rsid w:val="001A417E"/>
    <w:rsid w:val="001A4322"/>
    <w:rsid w:val="001A476C"/>
    <w:rsid w:val="001A4BF0"/>
    <w:rsid w:val="001A589C"/>
    <w:rsid w:val="001A5E19"/>
    <w:rsid w:val="001A6042"/>
    <w:rsid w:val="001A6091"/>
    <w:rsid w:val="001A61E6"/>
    <w:rsid w:val="001A6793"/>
    <w:rsid w:val="001A7137"/>
    <w:rsid w:val="001A7E4C"/>
    <w:rsid w:val="001B00B4"/>
    <w:rsid w:val="001B0457"/>
    <w:rsid w:val="001B053E"/>
    <w:rsid w:val="001B1B83"/>
    <w:rsid w:val="001B2516"/>
    <w:rsid w:val="001B27A6"/>
    <w:rsid w:val="001B2B56"/>
    <w:rsid w:val="001B2BDC"/>
    <w:rsid w:val="001B2E96"/>
    <w:rsid w:val="001B32BD"/>
    <w:rsid w:val="001B3348"/>
    <w:rsid w:val="001B3554"/>
    <w:rsid w:val="001B36FC"/>
    <w:rsid w:val="001B4FC9"/>
    <w:rsid w:val="001B53D0"/>
    <w:rsid w:val="001B5D1B"/>
    <w:rsid w:val="001B60CE"/>
    <w:rsid w:val="001B6B85"/>
    <w:rsid w:val="001B7135"/>
    <w:rsid w:val="001B74BC"/>
    <w:rsid w:val="001B768B"/>
    <w:rsid w:val="001B7A88"/>
    <w:rsid w:val="001B7D9E"/>
    <w:rsid w:val="001C0C96"/>
    <w:rsid w:val="001C0DBB"/>
    <w:rsid w:val="001C1533"/>
    <w:rsid w:val="001C1593"/>
    <w:rsid w:val="001C1CC9"/>
    <w:rsid w:val="001C1F50"/>
    <w:rsid w:val="001C23C4"/>
    <w:rsid w:val="001C2733"/>
    <w:rsid w:val="001C2BC0"/>
    <w:rsid w:val="001C2F0B"/>
    <w:rsid w:val="001C3A0F"/>
    <w:rsid w:val="001C3F32"/>
    <w:rsid w:val="001C482D"/>
    <w:rsid w:val="001C49A0"/>
    <w:rsid w:val="001C49C0"/>
    <w:rsid w:val="001C4AB0"/>
    <w:rsid w:val="001C4AF3"/>
    <w:rsid w:val="001C5510"/>
    <w:rsid w:val="001C5604"/>
    <w:rsid w:val="001C587F"/>
    <w:rsid w:val="001C591E"/>
    <w:rsid w:val="001C5A69"/>
    <w:rsid w:val="001C6CA6"/>
    <w:rsid w:val="001C7248"/>
    <w:rsid w:val="001C766E"/>
    <w:rsid w:val="001D0834"/>
    <w:rsid w:val="001D0D0C"/>
    <w:rsid w:val="001D0F13"/>
    <w:rsid w:val="001D1D6D"/>
    <w:rsid w:val="001D2468"/>
    <w:rsid w:val="001D2A62"/>
    <w:rsid w:val="001D3B72"/>
    <w:rsid w:val="001D4247"/>
    <w:rsid w:val="001D48A3"/>
    <w:rsid w:val="001D54E5"/>
    <w:rsid w:val="001D554F"/>
    <w:rsid w:val="001D6572"/>
    <w:rsid w:val="001D6A64"/>
    <w:rsid w:val="001D6CA6"/>
    <w:rsid w:val="001E065B"/>
    <w:rsid w:val="001E0DB2"/>
    <w:rsid w:val="001E252A"/>
    <w:rsid w:val="001E25FB"/>
    <w:rsid w:val="001E267F"/>
    <w:rsid w:val="001E30ED"/>
    <w:rsid w:val="001E36F3"/>
    <w:rsid w:val="001E4049"/>
    <w:rsid w:val="001E4511"/>
    <w:rsid w:val="001E4BB6"/>
    <w:rsid w:val="001E4C12"/>
    <w:rsid w:val="001E4E8A"/>
    <w:rsid w:val="001E4F43"/>
    <w:rsid w:val="001E50C0"/>
    <w:rsid w:val="001E5340"/>
    <w:rsid w:val="001E6116"/>
    <w:rsid w:val="001E6346"/>
    <w:rsid w:val="001E6EEB"/>
    <w:rsid w:val="001E74DF"/>
    <w:rsid w:val="001E7EC2"/>
    <w:rsid w:val="001F0878"/>
    <w:rsid w:val="001F0B11"/>
    <w:rsid w:val="001F10FF"/>
    <w:rsid w:val="001F2815"/>
    <w:rsid w:val="001F29D2"/>
    <w:rsid w:val="001F29E6"/>
    <w:rsid w:val="001F2F32"/>
    <w:rsid w:val="001F31ED"/>
    <w:rsid w:val="001F4E04"/>
    <w:rsid w:val="001F51FE"/>
    <w:rsid w:val="001F5668"/>
    <w:rsid w:val="001F66FD"/>
    <w:rsid w:val="001F689F"/>
    <w:rsid w:val="001F6DF2"/>
    <w:rsid w:val="001F7162"/>
    <w:rsid w:val="001F76D0"/>
    <w:rsid w:val="002001A8"/>
    <w:rsid w:val="002005E9"/>
    <w:rsid w:val="00200B31"/>
    <w:rsid w:val="00200E92"/>
    <w:rsid w:val="00200EB9"/>
    <w:rsid w:val="002014A0"/>
    <w:rsid w:val="00201FF2"/>
    <w:rsid w:val="002026F2"/>
    <w:rsid w:val="002029E9"/>
    <w:rsid w:val="00202A0D"/>
    <w:rsid w:val="00202BD9"/>
    <w:rsid w:val="00203812"/>
    <w:rsid w:val="00203912"/>
    <w:rsid w:val="00203D0B"/>
    <w:rsid w:val="00203E97"/>
    <w:rsid w:val="002043CE"/>
    <w:rsid w:val="00204DFE"/>
    <w:rsid w:val="00206F1B"/>
    <w:rsid w:val="0020741C"/>
    <w:rsid w:val="00207E5B"/>
    <w:rsid w:val="00210E30"/>
    <w:rsid w:val="002110CA"/>
    <w:rsid w:val="00211991"/>
    <w:rsid w:val="00211E74"/>
    <w:rsid w:val="00212041"/>
    <w:rsid w:val="00212101"/>
    <w:rsid w:val="002125CB"/>
    <w:rsid w:val="00212606"/>
    <w:rsid w:val="002129D9"/>
    <w:rsid w:val="00213271"/>
    <w:rsid w:val="002135C9"/>
    <w:rsid w:val="002139F3"/>
    <w:rsid w:val="00213AD7"/>
    <w:rsid w:val="0021437F"/>
    <w:rsid w:val="00214633"/>
    <w:rsid w:val="0021490C"/>
    <w:rsid w:val="00214BC8"/>
    <w:rsid w:val="00214C52"/>
    <w:rsid w:val="00214F0C"/>
    <w:rsid w:val="00215579"/>
    <w:rsid w:val="002159EA"/>
    <w:rsid w:val="00216020"/>
    <w:rsid w:val="00216740"/>
    <w:rsid w:val="00217121"/>
    <w:rsid w:val="0021782A"/>
    <w:rsid w:val="00217F66"/>
    <w:rsid w:val="002203C1"/>
    <w:rsid w:val="0022053F"/>
    <w:rsid w:val="002206BA"/>
    <w:rsid w:val="00221237"/>
    <w:rsid w:val="00221CDE"/>
    <w:rsid w:val="00222A64"/>
    <w:rsid w:val="00222A76"/>
    <w:rsid w:val="0022336E"/>
    <w:rsid w:val="00223DE7"/>
    <w:rsid w:val="002245A1"/>
    <w:rsid w:val="00224D53"/>
    <w:rsid w:val="00224DC4"/>
    <w:rsid w:val="002258F2"/>
    <w:rsid w:val="00225CAB"/>
    <w:rsid w:val="00226E23"/>
    <w:rsid w:val="00226E35"/>
    <w:rsid w:val="002279A2"/>
    <w:rsid w:val="0023036C"/>
    <w:rsid w:val="002306C4"/>
    <w:rsid w:val="002322F7"/>
    <w:rsid w:val="0023273E"/>
    <w:rsid w:val="002329EB"/>
    <w:rsid w:val="00232EE9"/>
    <w:rsid w:val="0023362E"/>
    <w:rsid w:val="002336F3"/>
    <w:rsid w:val="0023472B"/>
    <w:rsid w:val="00234761"/>
    <w:rsid w:val="00234872"/>
    <w:rsid w:val="002349B6"/>
    <w:rsid w:val="0023599F"/>
    <w:rsid w:val="00237362"/>
    <w:rsid w:val="00237437"/>
    <w:rsid w:val="0023756D"/>
    <w:rsid w:val="00237A6A"/>
    <w:rsid w:val="00237D36"/>
    <w:rsid w:val="00237F3A"/>
    <w:rsid w:val="002406CF"/>
    <w:rsid w:val="00240733"/>
    <w:rsid w:val="00240996"/>
    <w:rsid w:val="0024144F"/>
    <w:rsid w:val="00241BF8"/>
    <w:rsid w:val="00241C04"/>
    <w:rsid w:val="00241C27"/>
    <w:rsid w:val="00241F03"/>
    <w:rsid w:val="002420CD"/>
    <w:rsid w:val="002421A8"/>
    <w:rsid w:val="002425B4"/>
    <w:rsid w:val="00242E3A"/>
    <w:rsid w:val="00242F70"/>
    <w:rsid w:val="00243689"/>
    <w:rsid w:val="00243954"/>
    <w:rsid w:val="00243B64"/>
    <w:rsid w:val="0024412A"/>
    <w:rsid w:val="002445BA"/>
    <w:rsid w:val="00244684"/>
    <w:rsid w:val="00244AB5"/>
    <w:rsid w:val="00244BEE"/>
    <w:rsid w:val="00245ECE"/>
    <w:rsid w:val="0024698A"/>
    <w:rsid w:val="00246AB7"/>
    <w:rsid w:val="0024737D"/>
    <w:rsid w:val="00251AAA"/>
    <w:rsid w:val="00252150"/>
    <w:rsid w:val="002548B6"/>
    <w:rsid w:val="00255344"/>
    <w:rsid w:val="00255DFE"/>
    <w:rsid w:val="00255FB4"/>
    <w:rsid w:val="0025686E"/>
    <w:rsid w:val="00257294"/>
    <w:rsid w:val="002577CA"/>
    <w:rsid w:val="00257ABB"/>
    <w:rsid w:val="002611C0"/>
    <w:rsid w:val="002614AF"/>
    <w:rsid w:val="002616CA"/>
    <w:rsid w:val="00261D8D"/>
    <w:rsid w:val="00261FEB"/>
    <w:rsid w:val="00262926"/>
    <w:rsid w:val="0026296A"/>
    <w:rsid w:val="00262E21"/>
    <w:rsid w:val="00262EA3"/>
    <w:rsid w:val="00263DF9"/>
    <w:rsid w:val="002655BB"/>
    <w:rsid w:val="002661A3"/>
    <w:rsid w:val="00266715"/>
    <w:rsid w:val="00266B69"/>
    <w:rsid w:val="002675CF"/>
    <w:rsid w:val="00267756"/>
    <w:rsid w:val="0027008D"/>
    <w:rsid w:val="00270611"/>
    <w:rsid w:val="002716C5"/>
    <w:rsid w:val="002727BF"/>
    <w:rsid w:val="00272EA3"/>
    <w:rsid w:val="00273C76"/>
    <w:rsid w:val="00273EFD"/>
    <w:rsid w:val="00273FBA"/>
    <w:rsid w:val="00274150"/>
    <w:rsid w:val="00274297"/>
    <w:rsid w:val="0027458B"/>
    <w:rsid w:val="00275285"/>
    <w:rsid w:val="002752FA"/>
    <w:rsid w:val="00275474"/>
    <w:rsid w:val="00275956"/>
    <w:rsid w:val="00275C93"/>
    <w:rsid w:val="0027600F"/>
    <w:rsid w:val="002763F7"/>
    <w:rsid w:val="00277511"/>
    <w:rsid w:val="0027751D"/>
    <w:rsid w:val="0027772F"/>
    <w:rsid w:val="0027779D"/>
    <w:rsid w:val="00277D09"/>
    <w:rsid w:val="002817A4"/>
    <w:rsid w:val="00282F17"/>
    <w:rsid w:val="002831B3"/>
    <w:rsid w:val="002833E4"/>
    <w:rsid w:val="00283D7B"/>
    <w:rsid w:val="00284D0D"/>
    <w:rsid w:val="00284E53"/>
    <w:rsid w:val="0028607E"/>
    <w:rsid w:val="00286B1A"/>
    <w:rsid w:val="00286E27"/>
    <w:rsid w:val="00287306"/>
    <w:rsid w:val="00290387"/>
    <w:rsid w:val="0029038A"/>
    <w:rsid w:val="002903E1"/>
    <w:rsid w:val="00290520"/>
    <w:rsid w:val="002908E9"/>
    <w:rsid w:val="002914F1"/>
    <w:rsid w:val="00291547"/>
    <w:rsid w:val="002923E6"/>
    <w:rsid w:val="002924EC"/>
    <w:rsid w:val="00292DC1"/>
    <w:rsid w:val="00293897"/>
    <w:rsid w:val="00293C55"/>
    <w:rsid w:val="00293C76"/>
    <w:rsid w:val="002948CB"/>
    <w:rsid w:val="00294EB1"/>
    <w:rsid w:val="00295769"/>
    <w:rsid w:val="00295F92"/>
    <w:rsid w:val="002962F9"/>
    <w:rsid w:val="00296CA8"/>
    <w:rsid w:val="002A026B"/>
    <w:rsid w:val="002A0AF3"/>
    <w:rsid w:val="002A106B"/>
    <w:rsid w:val="002A111F"/>
    <w:rsid w:val="002A1870"/>
    <w:rsid w:val="002A248F"/>
    <w:rsid w:val="002A397C"/>
    <w:rsid w:val="002A3B6A"/>
    <w:rsid w:val="002A3C2E"/>
    <w:rsid w:val="002A4527"/>
    <w:rsid w:val="002A454E"/>
    <w:rsid w:val="002A5316"/>
    <w:rsid w:val="002A5348"/>
    <w:rsid w:val="002A53A9"/>
    <w:rsid w:val="002A53B0"/>
    <w:rsid w:val="002A54C7"/>
    <w:rsid w:val="002A61CF"/>
    <w:rsid w:val="002A6271"/>
    <w:rsid w:val="002A6992"/>
    <w:rsid w:val="002B0332"/>
    <w:rsid w:val="002B03A1"/>
    <w:rsid w:val="002B057F"/>
    <w:rsid w:val="002B066C"/>
    <w:rsid w:val="002B09F3"/>
    <w:rsid w:val="002B0A21"/>
    <w:rsid w:val="002B0CB4"/>
    <w:rsid w:val="002B13EC"/>
    <w:rsid w:val="002B170B"/>
    <w:rsid w:val="002B1B23"/>
    <w:rsid w:val="002B1E2B"/>
    <w:rsid w:val="002B26CE"/>
    <w:rsid w:val="002B284F"/>
    <w:rsid w:val="002B2C92"/>
    <w:rsid w:val="002B3BC9"/>
    <w:rsid w:val="002B41B9"/>
    <w:rsid w:val="002B493C"/>
    <w:rsid w:val="002B4A4E"/>
    <w:rsid w:val="002B4A7D"/>
    <w:rsid w:val="002B5454"/>
    <w:rsid w:val="002B5627"/>
    <w:rsid w:val="002B5719"/>
    <w:rsid w:val="002B6FB2"/>
    <w:rsid w:val="002B787C"/>
    <w:rsid w:val="002B7B0E"/>
    <w:rsid w:val="002C0504"/>
    <w:rsid w:val="002C066A"/>
    <w:rsid w:val="002C1403"/>
    <w:rsid w:val="002C1D88"/>
    <w:rsid w:val="002C1E32"/>
    <w:rsid w:val="002C1F94"/>
    <w:rsid w:val="002C338D"/>
    <w:rsid w:val="002C373E"/>
    <w:rsid w:val="002C3882"/>
    <w:rsid w:val="002C3FEF"/>
    <w:rsid w:val="002C4D8B"/>
    <w:rsid w:val="002C4DB2"/>
    <w:rsid w:val="002C56ED"/>
    <w:rsid w:val="002C57DC"/>
    <w:rsid w:val="002C6097"/>
    <w:rsid w:val="002C6272"/>
    <w:rsid w:val="002C6D10"/>
    <w:rsid w:val="002C7422"/>
    <w:rsid w:val="002C781A"/>
    <w:rsid w:val="002C7918"/>
    <w:rsid w:val="002D03AA"/>
    <w:rsid w:val="002D0CA3"/>
    <w:rsid w:val="002D1F33"/>
    <w:rsid w:val="002D22F7"/>
    <w:rsid w:val="002D2B9F"/>
    <w:rsid w:val="002D3944"/>
    <w:rsid w:val="002D436A"/>
    <w:rsid w:val="002D4A13"/>
    <w:rsid w:val="002D5404"/>
    <w:rsid w:val="002D6303"/>
    <w:rsid w:val="002D66A5"/>
    <w:rsid w:val="002D6D16"/>
    <w:rsid w:val="002D71E2"/>
    <w:rsid w:val="002D737A"/>
    <w:rsid w:val="002D75B8"/>
    <w:rsid w:val="002D7D3D"/>
    <w:rsid w:val="002E00EA"/>
    <w:rsid w:val="002E05F6"/>
    <w:rsid w:val="002E06AA"/>
    <w:rsid w:val="002E0B9B"/>
    <w:rsid w:val="002E0EC2"/>
    <w:rsid w:val="002E1C1B"/>
    <w:rsid w:val="002E1F47"/>
    <w:rsid w:val="002E2188"/>
    <w:rsid w:val="002E2E62"/>
    <w:rsid w:val="002E31EC"/>
    <w:rsid w:val="002E349B"/>
    <w:rsid w:val="002E373C"/>
    <w:rsid w:val="002E3FB0"/>
    <w:rsid w:val="002E49AB"/>
    <w:rsid w:val="002E5113"/>
    <w:rsid w:val="002E529A"/>
    <w:rsid w:val="002E56D3"/>
    <w:rsid w:val="002E5811"/>
    <w:rsid w:val="002E5A87"/>
    <w:rsid w:val="002E6A64"/>
    <w:rsid w:val="002E7A77"/>
    <w:rsid w:val="002E7DC4"/>
    <w:rsid w:val="002F0270"/>
    <w:rsid w:val="002F0D8B"/>
    <w:rsid w:val="002F1BB1"/>
    <w:rsid w:val="002F2439"/>
    <w:rsid w:val="002F311B"/>
    <w:rsid w:val="002F371B"/>
    <w:rsid w:val="002F41E9"/>
    <w:rsid w:val="002F6311"/>
    <w:rsid w:val="002F6732"/>
    <w:rsid w:val="002F712F"/>
    <w:rsid w:val="002F7166"/>
    <w:rsid w:val="002F7CB5"/>
    <w:rsid w:val="003011D1"/>
    <w:rsid w:val="0030156D"/>
    <w:rsid w:val="0030164D"/>
    <w:rsid w:val="00302060"/>
    <w:rsid w:val="0030210A"/>
    <w:rsid w:val="003026C6"/>
    <w:rsid w:val="0030298E"/>
    <w:rsid w:val="0030304A"/>
    <w:rsid w:val="003031EC"/>
    <w:rsid w:val="003032E5"/>
    <w:rsid w:val="0030355B"/>
    <w:rsid w:val="0030385D"/>
    <w:rsid w:val="00303874"/>
    <w:rsid w:val="00303FEF"/>
    <w:rsid w:val="003043C4"/>
    <w:rsid w:val="003048FB"/>
    <w:rsid w:val="00304BDF"/>
    <w:rsid w:val="00305ABE"/>
    <w:rsid w:val="00305CAC"/>
    <w:rsid w:val="00305D10"/>
    <w:rsid w:val="003060B1"/>
    <w:rsid w:val="0030736F"/>
    <w:rsid w:val="00307371"/>
    <w:rsid w:val="00310BDF"/>
    <w:rsid w:val="003113F5"/>
    <w:rsid w:val="00311413"/>
    <w:rsid w:val="00311858"/>
    <w:rsid w:val="00311ED7"/>
    <w:rsid w:val="0031229F"/>
    <w:rsid w:val="0031244C"/>
    <w:rsid w:val="00312584"/>
    <w:rsid w:val="00312726"/>
    <w:rsid w:val="003134DF"/>
    <w:rsid w:val="003145B6"/>
    <w:rsid w:val="00314A23"/>
    <w:rsid w:val="00314A70"/>
    <w:rsid w:val="0031605B"/>
    <w:rsid w:val="00316D04"/>
    <w:rsid w:val="00317246"/>
    <w:rsid w:val="00317526"/>
    <w:rsid w:val="00317BA5"/>
    <w:rsid w:val="0032019D"/>
    <w:rsid w:val="00320DA6"/>
    <w:rsid w:val="00320EDF"/>
    <w:rsid w:val="003228B6"/>
    <w:rsid w:val="00322E2D"/>
    <w:rsid w:val="00322EED"/>
    <w:rsid w:val="00322F8C"/>
    <w:rsid w:val="003232EC"/>
    <w:rsid w:val="00324919"/>
    <w:rsid w:val="00324EC4"/>
    <w:rsid w:val="003250DE"/>
    <w:rsid w:val="00325116"/>
    <w:rsid w:val="00325AAA"/>
    <w:rsid w:val="00326CEE"/>
    <w:rsid w:val="0032786C"/>
    <w:rsid w:val="00327BC8"/>
    <w:rsid w:val="00330387"/>
    <w:rsid w:val="0033086A"/>
    <w:rsid w:val="00330ACC"/>
    <w:rsid w:val="00330ED2"/>
    <w:rsid w:val="00330F0B"/>
    <w:rsid w:val="00331594"/>
    <w:rsid w:val="00331BA4"/>
    <w:rsid w:val="0033215A"/>
    <w:rsid w:val="00332716"/>
    <w:rsid w:val="0033324A"/>
    <w:rsid w:val="00333384"/>
    <w:rsid w:val="00334440"/>
    <w:rsid w:val="003349E2"/>
    <w:rsid w:val="00334A3E"/>
    <w:rsid w:val="00334A4C"/>
    <w:rsid w:val="0033524D"/>
    <w:rsid w:val="00335516"/>
    <w:rsid w:val="003358DE"/>
    <w:rsid w:val="003359D8"/>
    <w:rsid w:val="00336870"/>
    <w:rsid w:val="00336B87"/>
    <w:rsid w:val="00336B9E"/>
    <w:rsid w:val="00337D92"/>
    <w:rsid w:val="0034002C"/>
    <w:rsid w:val="00340608"/>
    <w:rsid w:val="00340CA4"/>
    <w:rsid w:val="003410DD"/>
    <w:rsid w:val="003414FC"/>
    <w:rsid w:val="00341EF9"/>
    <w:rsid w:val="00342629"/>
    <w:rsid w:val="00342902"/>
    <w:rsid w:val="00342D5C"/>
    <w:rsid w:val="00343212"/>
    <w:rsid w:val="00343C18"/>
    <w:rsid w:val="00343F31"/>
    <w:rsid w:val="003445A4"/>
    <w:rsid w:val="003449A0"/>
    <w:rsid w:val="00345069"/>
    <w:rsid w:val="00345074"/>
    <w:rsid w:val="00345238"/>
    <w:rsid w:val="00345CDF"/>
    <w:rsid w:val="00345D2E"/>
    <w:rsid w:val="0034612B"/>
    <w:rsid w:val="00346359"/>
    <w:rsid w:val="00346846"/>
    <w:rsid w:val="00346D93"/>
    <w:rsid w:val="00347B4C"/>
    <w:rsid w:val="00347E2D"/>
    <w:rsid w:val="00350521"/>
    <w:rsid w:val="00350541"/>
    <w:rsid w:val="003508B6"/>
    <w:rsid w:val="00350E1D"/>
    <w:rsid w:val="003512DE"/>
    <w:rsid w:val="00352040"/>
    <w:rsid w:val="003520F3"/>
    <w:rsid w:val="00352419"/>
    <w:rsid w:val="003529A6"/>
    <w:rsid w:val="003531FD"/>
    <w:rsid w:val="003532A0"/>
    <w:rsid w:val="00353651"/>
    <w:rsid w:val="0035382E"/>
    <w:rsid w:val="0035399E"/>
    <w:rsid w:val="00353B70"/>
    <w:rsid w:val="003546B5"/>
    <w:rsid w:val="00354820"/>
    <w:rsid w:val="0035540D"/>
    <w:rsid w:val="003554EA"/>
    <w:rsid w:val="0035550A"/>
    <w:rsid w:val="00356DE1"/>
    <w:rsid w:val="00360A45"/>
    <w:rsid w:val="00360C11"/>
    <w:rsid w:val="00361741"/>
    <w:rsid w:val="00361F16"/>
    <w:rsid w:val="00361FEB"/>
    <w:rsid w:val="0036249F"/>
    <w:rsid w:val="00362769"/>
    <w:rsid w:val="00362A60"/>
    <w:rsid w:val="00362AD8"/>
    <w:rsid w:val="00362F7C"/>
    <w:rsid w:val="0036329A"/>
    <w:rsid w:val="00363569"/>
    <w:rsid w:val="00363C25"/>
    <w:rsid w:val="0036423C"/>
    <w:rsid w:val="0036495C"/>
    <w:rsid w:val="00364977"/>
    <w:rsid w:val="00365019"/>
    <w:rsid w:val="00366221"/>
    <w:rsid w:val="00366609"/>
    <w:rsid w:val="00366BDE"/>
    <w:rsid w:val="00366E8D"/>
    <w:rsid w:val="00371056"/>
    <w:rsid w:val="003717FC"/>
    <w:rsid w:val="003718B1"/>
    <w:rsid w:val="00371920"/>
    <w:rsid w:val="00372894"/>
    <w:rsid w:val="00372DD6"/>
    <w:rsid w:val="00373C25"/>
    <w:rsid w:val="00373CFC"/>
    <w:rsid w:val="003745FC"/>
    <w:rsid w:val="00374F14"/>
    <w:rsid w:val="0037565C"/>
    <w:rsid w:val="00376201"/>
    <w:rsid w:val="0037660A"/>
    <w:rsid w:val="00376921"/>
    <w:rsid w:val="00376960"/>
    <w:rsid w:val="003769D1"/>
    <w:rsid w:val="00376F14"/>
    <w:rsid w:val="00380256"/>
    <w:rsid w:val="003816F8"/>
    <w:rsid w:val="00381C21"/>
    <w:rsid w:val="0038223B"/>
    <w:rsid w:val="003825C5"/>
    <w:rsid w:val="00383B46"/>
    <w:rsid w:val="0038401B"/>
    <w:rsid w:val="00384AA9"/>
    <w:rsid w:val="00386025"/>
    <w:rsid w:val="00386944"/>
    <w:rsid w:val="00386A18"/>
    <w:rsid w:val="00387204"/>
    <w:rsid w:val="00390077"/>
    <w:rsid w:val="003901EB"/>
    <w:rsid w:val="00390458"/>
    <w:rsid w:val="003907BA"/>
    <w:rsid w:val="00390A48"/>
    <w:rsid w:val="00391002"/>
    <w:rsid w:val="0039112C"/>
    <w:rsid w:val="00391630"/>
    <w:rsid w:val="00391692"/>
    <w:rsid w:val="00391BC8"/>
    <w:rsid w:val="0039225F"/>
    <w:rsid w:val="003929FE"/>
    <w:rsid w:val="00392BE8"/>
    <w:rsid w:val="00392F39"/>
    <w:rsid w:val="00394AA4"/>
    <w:rsid w:val="00395920"/>
    <w:rsid w:val="003959C9"/>
    <w:rsid w:val="00396489"/>
    <w:rsid w:val="00397219"/>
    <w:rsid w:val="00397AF0"/>
    <w:rsid w:val="003A0B92"/>
    <w:rsid w:val="003A1209"/>
    <w:rsid w:val="003A14B7"/>
    <w:rsid w:val="003A1648"/>
    <w:rsid w:val="003A180F"/>
    <w:rsid w:val="003A1A91"/>
    <w:rsid w:val="003A22CB"/>
    <w:rsid w:val="003A3C1C"/>
    <w:rsid w:val="003A4C28"/>
    <w:rsid w:val="003A4EE0"/>
    <w:rsid w:val="003A51B3"/>
    <w:rsid w:val="003A5E1C"/>
    <w:rsid w:val="003A6021"/>
    <w:rsid w:val="003A609A"/>
    <w:rsid w:val="003B027C"/>
    <w:rsid w:val="003B0E0A"/>
    <w:rsid w:val="003B1050"/>
    <w:rsid w:val="003B1461"/>
    <w:rsid w:val="003B17A4"/>
    <w:rsid w:val="003B22B2"/>
    <w:rsid w:val="003B2396"/>
    <w:rsid w:val="003B2A02"/>
    <w:rsid w:val="003B5059"/>
    <w:rsid w:val="003B5097"/>
    <w:rsid w:val="003B64A5"/>
    <w:rsid w:val="003B694E"/>
    <w:rsid w:val="003B6B1A"/>
    <w:rsid w:val="003B6BB1"/>
    <w:rsid w:val="003B7009"/>
    <w:rsid w:val="003B71FA"/>
    <w:rsid w:val="003B7ED5"/>
    <w:rsid w:val="003C0847"/>
    <w:rsid w:val="003C17B6"/>
    <w:rsid w:val="003C1BD3"/>
    <w:rsid w:val="003C1EDD"/>
    <w:rsid w:val="003C24BB"/>
    <w:rsid w:val="003C24CC"/>
    <w:rsid w:val="003C2C0B"/>
    <w:rsid w:val="003C344E"/>
    <w:rsid w:val="003C4806"/>
    <w:rsid w:val="003C4B63"/>
    <w:rsid w:val="003C5237"/>
    <w:rsid w:val="003C559B"/>
    <w:rsid w:val="003C5A34"/>
    <w:rsid w:val="003C5C26"/>
    <w:rsid w:val="003C6670"/>
    <w:rsid w:val="003C69B8"/>
    <w:rsid w:val="003C7AE4"/>
    <w:rsid w:val="003D012C"/>
    <w:rsid w:val="003D01E4"/>
    <w:rsid w:val="003D0E67"/>
    <w:rsid w:val="003D0F88"/>
    <w:rsid w:val="003D1D77"/>
    <w:rsid w:val="003D1E6C"/>
    <w:rsid w:val="003D2966"/>
    <w:rsid w:val="003D2D75"/>
    <w:rsid w:val="003D3260"/>
    <w:rsid w:val="003D37B9"/>
    <w:rsid w:val="003D3D70"/>
    <w:rsid w:val="003D40CE"/>
    <w:rsid w:val="003D508B"/>
    <w:rsid w:val="003D54DC"/>
    <w:rsid w:val="003D5CB5"/>
    <w:rsid w:val="003D67B1"/>
    <w:rsid w:val="003D70C4"/>
    <w:rsid w:val="003E0391"/>
    <w:rsid w:val="003E04D5"/>
    <w:rsid w:val="003E092A"/>
    <w:rsid w:val="003E09EC"/>
    <w:rsid w:val="003E1B58"/>
    <w:rsid w:val="003E2663"/>
    <w:rsid w:val="003E2B9A"/>
    <w:rsid w:val="003E2FAE"/>
    <w:rsid w:val="003E372A"/>
    <w:rsid w:val="003E3848"/>
    <w:rsid w:val="003E39AB"/>
    <w:rsid w:val="003E3CCB"/>
    <w:rsid w:val="003E3CF5"/>
    <w:rsid w:val="003E4040"/>
    <w:rsid w:val="003E44DB"/>
    <w:rsid w:val="003E4594"/>
    <w:rsid w:val="003E47B4"/>
    <w:rsid w:val="003E4B74"/>
    <w:rsid w:val="003E5F3B"/>
    <w:rsid w:val="003E6938"/>
    <w:rsid w:val="003E6A06"/>
    <w:rsid w:val="003E6D1E"/>
    <w:rsid w:val="003E6F45"/>
    <w:rsid w:val="003E713B"/>
    <w:rsid w:val="003E790B"/>
    <w:rsid w:val="003F03D0"/>
    <w:rsid w:val="003F04D2"/>
    <w:rsid w:val="003F0BC0"/>
    <w:rsid w:val="003F1629"/>
    <w:rsid w:val="003F1922"/>
    <w:rsid w:val="003F24FE"/>
    <w:rsid w:val="003F2502"/>
    <w:rsid w:val="003F2A28"/>
    <w:rsid w:val="003F303B"/>
    <w:rsid w:val="003F3F5A"/>
    <w:rsid w:val="003F4622"/>
    <w:rsid w:val="003F4C3A"/>
    <w:rsid w:val="003F4E04"/>
    <w:rsid w:val="003F5096"/>
    <w:rsid w:val="003F6028"/>
    <w:rsid w:val="003F6686"/>
    <w:rsid w:val="003F6715"/>
    <w:rsid w:val="003F6752"/>
    <w:rsid w:val="003F6A6F"/>
    <w:rsid w:val="003F6AA0"/>
    <w:rsid w:val="003F6EFC"/>
    <w:rsid w:val="003F75C3"/>
    <w:rsid w:val="003F7CF5"/>
    <w:rsid w:val="00400038"/>
    <w:rsid w:val="004000E7"/>
    <w:rsid w:val="0040024B"/>
    <w:rsid w:val="00400E2F"/>
    <w:rsid w:val="00401CE4"/>
    <w:rsid w:val="00401DA6"/>
    <w:rsid w:val="0040227E"/>
    <w:rsid w:val="00402364"/>
    <w:rsid w:val="00402376"/>
    <w:rsid w:val="00403213"/>
    <w:rsid w:val="0040351B"/>
    <w:rsid w:val="00403AC3"/>
    <w:rsid w:val="00403E65"/>
    <w:rsid w:val="00403FC9"/>
    <w:rsid w:val="0040401A"/>
    <w:rsid w:val="0040688F"/>
    <w:rsid w:val="00406E2F"/>
    <w:rsid w:val="00407D95"/>
    <w:rsid w:val="00407E12"/>
    <w:rsid w:val="004107C7"/>
    <w:rsid w:val="00410831"/>
    <w:rsid w:val="004115A6"/>
    <w:rsid w:val="00411F90"/>
    <w:rsid w:val="00412517"/>
    <w:rsid w:val="0041266C"/>
    <w:rsid w:val="004129C0"/>
    <w:rsid w:val="00412D3D"/>
    <w:rsid w:val="004135A6"/>
    <w:rsid w:val="004139B7"/>
    <w:rsid w:val="00413F0B"/>
    <w:rsid w:val="00413FC4"/>
    <w:rsid w:val="004147A2"/>
    <w:rsid w:val="00414A8E"/>
    <w:rsid w:val="004154E3"/>
    <w:rsid w:val="00415808"/>
    <w:rsid w:val="00415C89"/>
    <w:rsid w:val="004161EB"/>
    <w:rsid w:val="004162C3"/>
    <w:rsid w:val="004171CA"/>
    <w:rsid w:val="004175AD"/>
    <w:rsid w:val="00420B43"/>
    <w:rsid w:val="00420F6C"/>
    <w:rsid w:val="00421D6C"/>
    <w:rsid w:val="004226D1"/>
    <w:rsid w:val="00422B63"/>
    <w:rsid w:val="00424E74"/>
    <w:rsid w:val="00424F5D"/>
    <w:rsid w:val="0042501B"/>
    <w:rsid w:val="0042512A"/>
    <w:rsid w:val="004252C3"/>
    <w:rsid w:val="0042533C"/>
    <w:rsid w:val="00425EBC"/>
    <w:rsid w:val="0042636F"/>
    <w:rsid w:val="00426AD5"/>
    <w:rsid w:val="00426DEB"/>
    <w:rsid w:val="0042729C"/>
    <w:rsid w:val="0042750A"/>
    <w:rsid w:val="00427BE1"/>
    <w:rsid w:val="00427E93"/>
    <w:rsid w:val="00430811"/>
    <w:rsid w:val="00430AD5"/>
    <w:rsid w:val="00430DAE"/>
    <w:rsid w:val="00431AA0"/>
    <w:rsid w:val="00431EB3"/>
    <w:rsid w:val="00432549"/>
    <w:rsid w:val="00432DA9"/>
    <w:rsid w:val="004342C2"/>
    <w:rsid w:val="004348AB"/>
    <w:rsid w:val="00434D21"/>
    <w:rsid w:val="00434EBB"/>
    <w:rsid w:val="004352C4"/>
    <w:rsid w:val="0043544C"/>
    <w:rsid w:val="004354C0"/>
    <w:rsid w:val="00436213"/>
    <w:rsid w:val="00436409"/>
    <w:rsid w:val="00437568"/>
    <w:rsid w:val="00437D9A"/>
    <w:rsid w:val="00437DF2"/>
    <w:rsid w:val="00440354"/>
    <w:rsid w:val="004407DA"/>
    <w:rsid w:val="00440CB8"/>
    <w:rsid w:val="004414C6"/>
    <w:rsid w:val="004414D7"/>
    <w:rsid w:val="004418B4"/>
    <w:rsid w:val="00441995"/>
    <w:rsid w:val="00441A1E"/>
    <w:rsid w:val="00442929"/>
    <w:rsid w:val="00443080"/>
    <w:rsid w:val="00443827"/>
    <w:rsid w:val="00443903"/>
    <w:rsid w:val="00444678"/>
    <w:rsid w:val="00444754"/>
    <w:rsid w:val="00445DAC"/>
    <w:rsid w:val="00446629"/>
    <w:rsid w:val="00446A44"/>
    <w:rsid w:val="00446BC1"/>
    <w:rsid w:val="0044726E"/>
    <w:rsid w:val="00447751"/>
    <w:rsid w:val="00447D3A"/>
    <w:rsid w:val="00450532"/>
    <w:rsid w:val="004513B8"/>
    <w:rsid w:val="00452638"/>
    <w:rsid w:val="004530C4"/>
    <w:rsid w:val="0045322B"/>
    <w:rsid w:val="00453744"/>
    <w:rsid w:val="004537A7"/>
    <w:rsid w:val="00454972"/>
    <w:rsid w:val="00455A35"/>
    <w:rsid w:val="00455CF8"/>
    <w:rsid w:val="004579DE"/>
    <w:rsid w:val="00457B5A"/>
    <w:rsid w:val="00457E28"/>
    <w:rsid w:val="00460101"/>
    <w:rsid w:val="0046041E"/>
    <w:rsid w:val="00460589"/>
    <w:rsid w:val="004605AB"/>
    <w:rsid w:val="00460EFC"/>
    <w:rsid w:val="004619C5"/>
    <w:rsid w:val="00461BC0"/>
    <w:rsid w:val="004625C1"/>
    <w:rsid w:val="004626A3"/>
    <w:rsid w:val="00462E43"/>
    <w:rsid w:val="00463183"/>
    <w:rsid w:val="00463945"/>
    <w:rsid w:val="00463F21"/>
    <w:rsid w:val="00463F94"/>
    <w:rsid w:val="00464F79"/>
    <w:rsid w:val="00465052"/>
    <w:rsid w:val="00465146"/>
    <w:rsid w:val="00465515"/>
    <w:rsid w:val="00465C44"/>
    <w:rsid w:val="004666B9"/>
    <w:rsid w:val="00467340"/>
    <w:rsid w:val="004676B0"/>
    <w:rsid w:val="00470404"/>
    <w:rsid w:val="004707D2"/>
    <w:rsid w:val="00470E5E"/>
    <w:rsid w:val="00470F1E"/>
    <w:rsid w:val="004724A6"/>
    <w:rsid w:val="00472D4D"/>
    <w:rsid w:val="004733A6"/>
    <w:rsid w:val="004739F9"/>
    <w:rsid w:val="00473E3D"/>
    <w:rsid w:val="00474FD8"/>
    <w:rsid w:val="00476347"/>
    <w:rsid w:val="00477C05"/>
    <w:rsid w:val="00480020"/>
    <w:rsid w:val="00480791"/>
    <w:rsid w:val="00480B0F"/>
    <w:rsid w:val="00481686"/>
    <w:rsid w:val="004816D0"/>
    <w:rsid w:val="0048283D"/>
    <w:rsid w:val="00483C57"/>
    <w:rsid w:val="004845D3"/>
    <w:rsid w:val="00484EDC"/>
    <w:rsid w:val="00485005"/>
    <w:rsid w:val="0048596B"/>
    <w:rsid w:val="00486175"/>
    <w:rsid w:val="0048673C"/>
    <w:rsid w:val="00486A61"/>
    <w:rsid w:val="00486D84"/>
    <w:rsid w:val="004873DD"/>
    <w:rsid w:val="00487F2D"/>
    <w:rsid w:val="004902BB"/>
    <w:rsid w:val="00490FE4"/>
    <w:rsid w:val="00491520"/>
    <w:rsid w:val="00491543"/>
    <w:rsid w:val="00491B13"/>
    <w:rsid w:val="00492532"/>
    <w:rsid w:val="00492A34"/>
    <w:rsid w:val="00494F05"/>
    <w:rsid w:val="00494FD2"/>
    <w:rsid w:val="0049690B"/>
    <w:rsid w:val="00496FF4"/>
    <w:rsid w:val="004970A1"/>
    <w:rsid w:val="0049735D"/>
    <w:rsid w:val="00497381"/>
    <w:rsid w:val="004A09DF"/>
    <w:rsid w:val="004A0F10"/>
    <w:rsid w:val="004A0F18"/>
    <w:rsid w:val="004A12B0"/>
    <w:rsid w:val="004A12D7"/>
    <w:rsid w:val="004A1C6C"/>
    <w:rsid w:val="004A220A"/>
    <w:rsid w:val="004A25DC"/>
    <w:rsid w:val="004A2B97"/>
    <w:rsid w:val="004A34C9"/>
    <w:rsid w:val="004A38E7"/>
    <w:rsid w:val="004A3B0D"/>
    <w:rsid w:val="004A5411"/>
    <w:rsid w:val="004A61FA"/>
    <w:rsid w:val="004A636D"/>
    <w:rsid w:val="004A7239"/>
    <w:rsid w:val="004A73CB"/>
    <w:rsid w:val="004A7BEA"/>
    <w:rsid w:val="004B0488"/>
    <w:rsid w:val="004B04C4"/>
    <w:rsid w:val="004B04C7"/>
    <w:rsid w:val="004B0E90"/>
    <w:rsid w:val="004B1A75"/>
    <w:rsid w:val="004B2D91"/>
    <w:rsid w:val="004B30B5"/>
    <w:rsid w:val="004B32ED"/>
    <w:rsid w:val="004B3449"/>
    <w:rsid w:val="004B3BDE"/>
    <w:rsid w:val="004B3CD2"/>
    <w:rsid w:val="004B3CED"/>
    <w:rsid w:val="004B4182"/>
    <w:rsid w:val="004B45F6"/>
    <w:rsid w:val="004B4628"/>
    <w:rsid w:val="004B4A2F"/>
    <w:rsid w:val="004B544F"/>
    <w:rsid w:val="004B6614"/>
    <w:rsid w:val="004B67A8"/>
    <w:rsid w:val="004B67FA"/>
    <w:rsid w:val="004B6D6E"/>
    <w:rsid w:val="004B7B1B"/>
    <w:rsid w:val="004C01AE"/>
    <w:rsid w:val="004C02F9"/>
    <w:rsid w:val="004C1C69"/>
    <w:rsid w:val="004C2844"/>
    <w:rsid w:val="004C2903"/>
    <w:rsid w:val="004C31B9"/>
    <w:rsid w:val="004C4399"/>
    <w:rsid w:val="004C4592"/>
    <w:rsid w:val="004C4875"/>
    <w:rsid w:val="004C4EE1"/>
    <w:rsid w:val="004C51C0"/>
    <w:rsid w:val="004C5A95"/>
    <w:rsid w:val="004C6278"/>
    <w:rsid w:val="004C667A"/>
    <w:rsid w:val="004C6D74"/>
    <w:rsid w:val="004D0250"/>
    <w:rsid w:val="004D09F8"/>
    <w:rsid w:val="004D0A48"/>
    <w:rsid w:val="004D10C6"/>
    <w:rsid w:val="004D1E5D"/>
    <w:rsid w:val="004D1E8C"/>
    <w:rsid w:val="004D290B"/>
    <w:rsid w:val="004D2A4E"/>
    <w:rsid w:val="004D2C16"/>
    <w:rsid w:val="004D2C8D"/>
    <w:rsid w:val="004D2F67"/>
    <w:rsid w:val="004D33D4"/>
    <w:rsid w:val="004D36BB"/>
    <w:rsid w:val="004D3CA7"/>
    <w:rsid w:val="004D3EA8"/>
    <w:rsid w:val="004D4515"/>
    <w:rsid w:val="004D5648"/>
    <w:rsid w:val="004D758B"/>
    <w:rsid w:val="004D7790"/>
    <w:rsid w:val="004D785A"/>
    <w:rsid w:val="004E04D1"/>
    <w:rsid w:val="004E0541"/>
    <w:rsid w:val="004E1C4B"/>
    <w:rsid w:val="004E2082"/>
    <w:rsid w:val="004E2739"/>
    <w:rsid w:val="004E2C6E"/>
    <w:rsid w:val="004E378B"/>
    <w:rsid w:val="004E3938"/>
    <w:rsid w:val="004E4320"/>
    <w:rsid w:val="004E47A8"/>
    <w:rsid w:val="004E498F"/>
    <w:rsid w:val="004E4AD3"/>
    <w:rsid w:val="004E4F60"/>
    <w:rsid w:val="004E526C"/>
    <w:rsid w:val="004E53F1"/>
    <w:rsid w:val="004E5762"/>
    <w:rsid w:val="004E59A7"/>
    <w:rsid w:val="004E5A0F"/>
    <w:rsid w:val="004E5CF6"/>
    <w:rsid w:val="004E61B8"/>
    <w:rsid w:val="004E627D"/>
    <w:rsid w:val="004E62DC"/>
    <w:rsid w:val="004E65A5"/>
    <w:rsid w:val="004E6611"/>
    <w:rsid w:val="004E724B"/>
    <w:rsid w:val="004E7455"/>
    <w:rsid w:val="004E7CF5"/>
    <w:rsid w:val="004F0627"/>
    <w:rsid w:val="004F14BC"/>
    <w:rsid w:val="004F17E7"/>
    <w:rsid w:val="004F18C3"/>
    <w:rsid w:val="004F352D"/>
    <w:rsid w:val="004F387C"/>
    <w:rsid w:val="004F3BDD"/>
    <w:rsid w:val="004F3D51"/>
    <w:rsid w:val="004F3DE7"/>
    <w:rsid w:val="004F485B"/>
    <w:rsid w:val="004F4A85"/>
    <w:rsid w:val="004F5935"/>
    <w:rsid w:val="004F61A8"/>
    <w:rsid w:val="004F6764"/>
    <w:rsid w:val="004F6C75"/>
    <w:rsid w:val="004F6EA6"/>
    <w:rsid w:val="004F6F76"/>
    <w:rsid w:val="004F7104"/>
    <w:rsid w:val="004F7189"/>
    <w:rsid w:val="004F7E1B"/>
    <w:rsid w:val="0050033F"/>
    <w:rsid w:val="0050086C"/>
    <w:rsid w:val="00500B04"/>
    <w:rsid w:val="00500E00"/>
    <w:rsid w:val="005012F3"/>
    <w:rsid w:val="00501524"/>
    <w:rsid w:val="00501A51"/>
    <w:rsid w:val="00501F76"/>
    <w:rsid w:val="005021EB"/>
    <w:rsid w:val="00502280"/>
    <w:rsid w:val="005031A4"/>
    <w:rsid w:val="00503652"/>
    <w:rsid w:val="0050386D"/>
    <w:rsid w:val="00503997"/>
    <w:rsid w:val="005039B9"/>
    <w:rsid w:val="0050403C"/>
    <w:rsid w:val="00504ED1"/>
    <w:rsid w:val="005050D2"/>
    <w:rsid w:val="00505463"/>
    <w:rsid w:val="00505E40"/>
    <w:rsid w:val="00505FD6"/>
    <w:rsid w:val="005062C2"/>
    <w:rsid w:val="005067A5"/>
    <w:rsid w:val="00506D3A"/>
    <w:rsid w:val="00506DC3"/>
    <w:rsid w:val="00507213"/>
    <w:rsid w:val="00507AE0"/>
    <w:rsid w:val="00510A58"/>
    <w:rsid w:val="0051127D"/>
    <w:rsid w:val="0051160B"/>
    <w:rsid w:val="00511FDA"/>
    <w:rsid w:val="00512544"/>
    <w:rsid w:val="005128E8"/>
    <w:rsid w:val="00512BD0"/>
    <w:rsid w:val="0051346A"/>
    <w:rsid w:val="00513B32"/>
    <w:rsid w:val="00513BB3"/>
    <w:rsid w:val="005141D1"/>
    <w:rsid w:val="00514736"/>
    <w:rsid w:val="00514CEF"/>
    <w:rsid w:val="005150B5"/>
    <w:rsid w:val="005154F5"/>
    <w:rsid w:val="00515987"/>
    <w:rsid w:val="00515F6C"/>
    <w:rsid w:val="005168F8"/>
    <w:rsid w:val="005173E2"/>
    <w:rsid w:val="005175F6"/>
    <w:rsid w:val="005176CB"/>
    <w:rsid w:val="00520637"/>
    <w:rsid w:val="00520C0A"/>
    <w:rsid w:val="00520CEE"/>
    <w:rsid w:val="00520D9E"/>
    <w:rsid w:val="00521AA3"/>
    <w:rsid w:val="00521E5F"/>
    <w:rsid w:val="00522157"/>
    <w:rsid w:val="005221D3"/>
    <w:rsid w:val="005226D9"/>
    <w:rsid w:val="00522D7A"/>
    <w:rsid w:val="00522EDE"/>
    <w:rsid w:val="00522F5B"/>
    <w:rsid w:val="00524540"/>
    <w:rsid w:val="00524630"/>
    <w:rsid w:val="005248C4"/>
    <w:rsid w:val="00524D8D"/>
    <w:rsid w:val="005251C0"/>
    <w:rsid w:val="00525D4F"/>
    <w:rsid w:val="00525D63"/>
    <w:rsid w:val="0052623B"/>
    <w:rsid w:val="005268EA"/>
    <w:rsid w:val="00527827"/>
    <w:rsid w:val="005278F6"/>
    <w:rsid w:val="00530774"/>
    <w:rsid w:val="00530A39"/>
    <w:rsid w:val="00530D49"/>
    <w:rsid w:val="00532415"/>
    <w:rsid w:val="00532C35"/>
    <w:rsid w:val="00533B8E"/>
    <w:rsid w:val="00534288"/>
    <w:rsid w:val="00534937"/>
    <w:rsid w:val="00534B76"/>
    <w:rsid w:val="00534CE6"/>
    <w:rsid w:val="00535072"/>
    <w:rsid w:val="00535126"/>
    <w:rsid w:val="00535D7B"/>
    <w:rsid w:val="00536462"/>
    <w:rsid w:val="005366A9"/>
    <w:rsid w:val="0053672B"/>
    <w:rsid w:val="00536C5B"/>
    <w:rsid w:val="00536E02"/>
    <w:rsid w:val="00536EDE"/>
    <w:rsid w:val="00537287"/>
    <w:rsid w:val="00537347"/>
    <w:rsid w:val="005374B7"/>
    <w:rsid w:val="00537820"/>
    <w:rsid w:val="00537BA1"/>
    <w:rsid w:val="00540CE0"/>
    <w:rsid w:val="005418C4"/>
    <w:rsid w:val="0054222D"/>
    <w:rsid w:val="00542729"/>
    <w:rsid w:val="00543807"/>
    <w:rsid w:val="00544A04"/>
    <w:rsid w:val="00544BC1"/>
    <w:rsid w:val="00544CC1"/>
    <w:rsid w:val="00545436"/>
    <w:rsid w:val="0054548B"/>
    <w:rsid w:val="005455EF"/>
    <w:rsid w:val="00545714"/>
    <w:rsid w:val="0054574C"/>
    <w:rsid w:val="00546B08"/>
    <w:rsid w:val="00546E7A"/>
    <w:rsid w:val="00546FA1"/>
    <w:rsid w:val="0054706B"/>
    <w:rsid w:val="00547AC7"/>
    <w:rsid w:val="0055011C"/>
    <w:rsid w:val="0055181B"/>
    <w:rsid w:val="005523DF"/>
    <w:rsid w:val="00552E5D"/>
    <w:rsid w:val="00552F03"/>
    <w:rsid w:val="00553B88"/>
    <w:rsid w:val="00553FF9"/>
    <w:rsid w:val="00554062"/>
    <w:rsid w:val="00554234"/>
    <w:rsid w:val="00554616"/>
    <w:rsid w:val="00554927"/>
    <w:rsid w:val="00555A61"/>
    <w:rsid w:val="00555ACF"/>
    <w:rsid w:val="00555BE8"/>
    <w:rsid w:val="005565AB"/>
    <w:rsid w:val="005569D9"/>
    <w:rsid w:val="00557436"/>
    <w:rsid w:val="005578DB"/>
    <w:rsid w:val="00557A09"/>
    <w:rsid w:val="00557D1A"/>
    <w:rsid w:val="0056058D"/>
    <w:rsid w:val="0056085F"/>
    <w:rsid w:val="00560B90"/>
    <w:rsid w:val="0056181E"/>
    <w:rsid w:val="00561A2A"/>
    <w:rsid w:val="005622D0"/>
    <w:rsid w:val="0056318E"/>
    <w:rsid w:val="00563742"/>
    <w:rsid w:val="0056381C"/>
    <w:rsid w:val="00563D0E"/>
    <w:rsid w:val="00564282"/>
    <w:rsid w:val="005642C8"/>
    <w:rsid w:val="00564BDB"/>
    <w:rsid w:val="005653B4"/>
    <w:rsid w:val="005662C1"/>
    <w:rsid w:val="00566722"/>
    <w:rsid w:val="005667FC"/>
    <w:rsid w:val="00566D80"/>
    <w:rsid w:val="00566E83"/>
    <w:rsid w:val="0056733F"/>
    <w:rsid w:val="005675FF"/>
    <w:rsid w:val="00567914"/>
    <w:rsid w:val="00567D81"/>
    <w:rsid w:val="00567EBA"/>
    <w:rsid w:val="005700CC"/>
    <w:rsid w:val="005705BC"/>
    <w:rsid w:val="00570A8C"/>
    <w:rsid w:val="00570E3E"/>
    <w:rsid w:val="0057134D"/>
    <w:rsid w:val="005717A3"/>
    <w:rsid w:val="00571CBE"/>
    <w:rsid w:val="00571F4C"/>
    <w:rsid w:val="00572462"/>
    <w:rsid w:val="00572AE8"/>
    <w:rsid w:val="00572ED0"/>
    <w:rsid w:val="00573587"/>
    <w:rsid w:val="00573FE0"/>
    <w:rsid w:val="0057437C"/>
    <w:rsid w:val="0057466A"/>
    <w:rsid w:val="00574907"/>
    <w:rsid w:val="00574B7B"/>
    <w:rsid w:val="005757C5"/>
    <w:rsid w:val="0057628E"/>
    <w:rsid w:val="005774B5"/>
    <w:rsid w:val="00577941"/>
    <w:rsid w:val="005802D5"/>
    <w:rsid w:val="005806FD"/>
    <w:rsid w:val="0058085F"/>
    <w:rsid w:val="00580D68"/>
    <w:rsid w:val="00580F07"/>
    <w:rsid w:val="00581469"/>
    <w:rsid w:val="005837FD"/>
    <w:rsid w:val="00583853"/>
    <w:rsid w:val="00583EC9"/>
    <w:rsid w:val="00584E0F"/>
    <w:rsid w:val="0058554D"/>
    <w:rsid w:val="005857AA"/>
    <w:rsid w:val="00585B7B"/>
    <w:rsid w:val="00586CAC"/>
    <w:rsid w:val="005874EC"/>
    <w:rsid w:val="005877DD"/>
    <w:rsid w:val="005913FE"/>
    <w:rsid w:val="005916FB"/>
    <w:rsid w:val="00592093"/>
    <w:rsid w:val="005923E1"/>
    <w:rsid w:val="00593094"/>
    <w:rsid w:val="005933AC"/>
    <w:rsid w:val="0059345B"/>
    <w:rsid w:val="0059435D"/>
    <w:rsid w:val="00594500"/>
    <w:rsid w:val="00594558"/>
    <w:rsid w:val="0059535B"/>
    <w:rsid w:val="005954FA"/>
    <w:rsid w:val="005959D2"/>
    <w:rsid w:val="00596375"/>
    <w:rsid w:val="00596C26"/>
    <w:rsid w:val="00596C94"/>
    <w:rsid w:val="00597E6B"/>
    <w:rsid w:val="005A10A8"/>
    <w:rsid w:val="005A141C"/>
    <w:rsid w:val="005A19B2"/>
    <w:rsid w:val="005A1D82"/>
    <w:rsid w:val="005A244C"/>
    <w:rsid w:val="005A388E"/>
    <w:rsid w:val="005A3F5E"/>
    <w:rsid w:val="005A4401"/>
    <w:rsid w:val="005A44F3"/>
    <w:rsid w:val="005A54C5"/>
    <w:rsid w:val="005A626B"/>
    <w:rsid w:val="005A6CEA"/>
    <w:rsid w:val="005A6DF6"/>
    <w:rsid w:val="005A6E0F"/>
    <w:rsid w:val="005A72F1"/>
    <w:rsid w:val="005A7590"/>
    <w:rsid w:val="005A7CFF"/>
    <w:rsid w:val="005A7DC2"/>
    <w:rsid w:val="005B00FD"/>
    <w:rsid w:val="005B0531"/>
    <w:rsid w:val="005B0778"/>
    <w:rsid w:val="005B08BC"/>
    <w:rsid w:val="005B18CC"/>
    <w:rsid w:val="005B291F"/>
    <w:rsid w:val="005B29C6"/>
    <w:rsid w:val="005B2D5B"/>
    <w:rsid w:val="005B3426"/>
    <w:rsid w:val="005B38A1"/>
    <w:rsid w:val="005B4D11"/>
    <w:rsid w:val="005B4F10"/>
    <w:rsid w:val="005B5164"/>
    <w:rsid w:val="005B51BD"/>
    <w:rsid w:val="005B53C1"/>
    <w:rsid w:val="005B5882"/>
    <w:rsid w:val="005B5C71"/>
    <w:rsid w:val="005B63E8"/>
    <w:rsid w:val="005B6568"/>
    <w:rsid w:val="005B6B1C"/>
    <w:rsid w:val="005B70FC"/>
    <w:rsid w:val="005B796F"/>
    <w:rsid w:val="005B7EF3"/>
    <w:rsid w:val="005C04A5"/>
    <w:rsid w:val="005C0783"/>
    <w:rsid w:val="005C0B9E"/>
    <w:rsid w:val="005C0E7F"/>
    <w:rsid w:val="005C182F"/>
    <w:rsid w:val="005C1A1B"/>
    <w:rsid w:val="005C2B22"/>
    <w:rsid w:val="005C2D15"/>
    <w:rsid w:val="005C39B1"/>
    <w:rsid w:val="005C3FD0"/>
    <w:rsid w:val="005C44AD"/>
    <w:rsid w:val="005C4CBB"/>
    <w:rsid w:val="005C526E"/>
    <w:rsid w:val="005C57C8"/>
    <w:rsid w:val="005C6868"/>
    <w:rsid w:val="005C6B2C"/>
    <w:rsid w:val="005C6E56"/>
    <w:rsid w:val="005C70EB"/>
    <w:rsid w:val="005C7A9E"/>
    <w:rsid w:val="005D0914"/>
    <w:rsid w:val="005D0EE1"/>
    <w:rsid w:val="005D1C7B"/>
    <w:rsid w:val="005D2C58"/>
    <w:rsid w:val="005D3148"/>
    <w:rsid w:val="005D47AC"/>
    <w:rsid w:val="005D5246"/>
    <w:rsid w:val="005D58AF"/>
    <w:rsid w:val="005D5912"/>
    <w:rsid w:val="005D5F8D"/>
    <w:rsid w:val="005D5F9C"/>
    <w:rsid w:val="005D6256"/>
    <w:rsid w:val="005D67F6"/>
    <w:rsid w:val="005D6F70"/>
    <w:rsid w:val="005D768A"/>
    <w:rsid w:val="005D78AB"/>
    <w:rsid w:val="005D7A1A"/>
    <w:rsid w:val="005E0216"/>
    <w:rsid w:val="005E0308"/>
    <w:rsid w:val="005E1483"/>
    <w:rsid w:val="005E1E5E"/>
    <w:rsid w:val="005E271D"/>
    <w:rsid w:val="005E2836"/>
    <w:rsid w:val="005E2A23"/>
    <w:rsid w:val="005E2C23"/>
    <w:rsid w:val="005E2E65"/>
    <w:rsid w:val="005E30E7"/>
    <w:rsid w:val="005E339D"/>
    <w:rsid w:val="005E341C"/>
    <w:rsid w:val="005E367C"/>
    <w:rsid w:val="005E4509"/>
    <w:rsid w:val="005E453A"/>
    <w:rsid w:val="005E6644"/>
    <w:rsid w:val="005E66F8"/>
    <w:rsid w:val="005E673C"/>
    <w:rsid w:val="005E6786"/>
    <w:rsid w:val="005E6E1A"/>
    <w:rsid w:val="005E74A0"/>
    <w:rsid w:val="005E763C"/>
    <w:rsid w:val="005E7951"/>
    <w:rsid w:val="005F1342"/>
    <w:rsid w:val="005F1509"/>
    <w:rsid w:val="005F192A"/>
    <w:rsid w:val="005F1E60"/>
    <w:rsid w:val="005F1E8C"/>
    <w:rsid w:val="005F1EF2"/>
    <w:rsid w:val="005F35CA"/>
    <w:rsid w:val="005F4B80"/>
    <w:rsid w:val="005F529B"/>
    <w:rsid w:val="005F5B33"/>
    <w:rsid w:val="005F66E3"/>
    <w:rsid w:val="005F73BB"/>
    <w:rsid w:val="005F7ABE"/>
    <w:rsid w:val="0060174B"/>
    <w:rsid w:val="00601E08"/>
    <w:rsid w:val="00601E51"/>
    <w:rsid w:val="0060203D"/>
    <w:rsid w:val="00602111"/>
    <w:rsid w:val="00602C20"/>
    <w:rsid w:val="00603047"/>
    <w:rsid w:val="0060366A"/>
    <w:rsid w:val="006037FD"/>
    <w:rsid w:val="00603B71"/>
    <w:rsid w:val="00603C00"/>
    <w:rsid w:val="00603CFE"/>
    <w:rsid w:val="00604A04"/>
    <w:rsid w:val="00604A51"/>
    <w:rsid w:val="00605272"/>
    <w:rsid w:val="00605282"/>
    <w:rsid w:val="00605709"/>
    <w:rsid w:val="00605D8F"/>
    <w:rsid w:val="006060AE"/>
    <w:rsid w:val="006063A7"/>
    <w:rsid w:val="006065A9"/>
    <w:rsid w:val="00607777"/>
    <w:rsid w:val="00607C26"/>
    <w:rsid w:val="00607C36"/>
    <w:rsid w:val="006109FA"/>
    <w:rsid w:val="00610E12"/>
    <w:rsid w:val="00612457"/>
    <w:rsid w:val="0061249C"/>
    <w:rsid w:val="00612BBA"/>
    <w:rsid w:val="00612EFD"/>
    <w:rsid w:val="006130FA"/>
    <w:rsid w:val="00614004"/>
    <w:rsid w:val="00614EA2"/>
    <w:rsid w:val="00615774"/>
    <w:rsid w:val="0061598A"/>
    <w:rsid w:val="00616250"/>
    <w:rsid w:val="0061646A"/>
    <w:rsid w:val="00616814"/>
    <w:rsid w:val="00616A07"/>
    <w:rsid w:val="00616C35"/>
    <w:rsid w:val="00616E1F"/>
    <w:rsid w:val="0061753F"/>
    <w:rsid w:val="00617BA3"/>
    <w:rsid w:val="00620388"/>
    <w:rsid w:val="006204E4"/>
    <w:rsid w:val="0062059D"/>
    <w:rsid w:val="00620A75"/>
    <w:rsid w:val="00621129"/>
    <w:rsid w:val="00621157"/>
    <w:rsid w:val="0062133B"/>
    <w:rsid w:val="0062176A"/>
    <w:rsid w:val="0062223F"/>
    <w:rsid w:val="00622609"/>
    <w:rsid w:val="006227A3"/>
    <w:rsid w:val="006228C7"/>
    <w:rsid w:val="00622C39"/>
    <w:rsid w:val="00623558"/>
    <w:rsid w:val="00623F4D"/>
    <w:rsid w:val="006247DD"/>
    <w:rsid w:val="00625035"/>
    <w:rsid w:val="006253B4"/>
    <w:rsid w:val="006254A8"/>
    <w:rsid w:val="00625CDF"/>
    <w:rsid w:val="00626658"/>
    <w:rsid w:val="0062765B"/>
    <w:rsid w:val="00627743"/>
    <w:rsid w:val="0062774D"/>
    <w:rsid w:val="006302C6"/>
    <w:rsid w:val="00630368"/>
    <w:rsid w:val="00630A0F"/>
    <w:rsid w:val="00630E8F"/>
    <w:rsid w:val="0063116B"/>
    <w:rsid w:val="00631A81"/>
    <w:rsid w:val="00631AC8"/>
    <w:rsid w:val="00631B74"/>
    <w:rsid w:val="006322CC"/>
    <w:rsid w:val="00632924"/>
    <w:rsid w:val="00632AB5"/>
    <w:rsid w:val="00632D85"/>
    <w:rsid w:val="00633124"/>
    <w:rsid w:val="00633144"/>
    <w:rsid w:val="00634328"/>
    <w:rsid w:val="00634912"/>
    <w:rsid w:val="00634C5D"/>
    <w:rsid w:val="00635226"/>
    <w:rsid w:val="00636FAA"/>
    <w:rsid w:val="006371BC"/>
    <w:rsid w:val="00637261"/>
    <w:rsid w:val="00637359"/>
    <w:rsid w:val="006373C3"/>
    <w:rsid w:val="00637B8C"/>
    <w:rsid w:val="00637DB7"/>
    <w:rsid w:val="006404A6"/>
    <w:rsid w:val="00640FAD"/>
    <w:rsid w:val="0064134C"/>
    <w:rsid w:val="006419B5"/>
    <w:rsid w:val="006419B9"/>
    <w:rsid w:val="00641D71"/>
    <w:rsid w:val="00642AF0"/>
    <w:rsid w:val="00642C31"/>
    <w:rsid w:val="00642E25"/>
    <w:rsid w:val="00643405"/>
    <w:rsid w:val="0064375A"/>
    <w:rsid w:val="00643AE7"/>
    <w:rsid w:val="00644028"/>
    <w:rsid w:val="00644A02"/>
    <w:rsid w:val="006457C4"/>
    <w:rsid w:val="00645BA0"/>
    <w:rsid w:val="006464A1"/>
    <w:rsid w:val="00647C98"/>
    <w:rsid w:val="006500EC"/>
    <w:rsid w:val="006513D6"/>
    <w:rsid w:val="00651E72"/>
    <w:rsid w:val="0065211E"/>
    <w:rsid w:val="0065278D"/>
    <w:rsid w:val="00652E84"/>
    <w:rsid w:val="00653181"/>
    <w:rsid w:val="0065365A"/>
    <w:rsid w:val="00654282"/>
    <w:rsid w:val="0065435A"/>
    <w:rsid w:val="00654F6B"/>
    <w:rsid w:val="006554F0"/>
    <w:rsid w:val="006557AD"/>
    <w:rsid w:val="00655B38"/>
    <w:rsid w:val="00655F2F"/>
    <w:rsid w:val="00656737"/>
    <w:rsid w:val="0065769E"/>
    <w:rsid w:val="006577DF"/>
    <w:rsid w:val="0065783E"/>
    <w:rsid w:val="006600DB"/>
    <w:rsid w:val="0066082A"/>
    <w:rsid w:val="00661DD8"/>
    <w:rsid w:val="00661F02"/>
    <w:rsid w:val="00662128"/>
    <w:rsid w:val="00662AAF"/>
    <w:rsid w:val="00662BEA"/>
    <w:rsid w:val="00663131"/>
    <w:rsid w:val="006632FB"/>
    <w:rsid w:val="006634B5"/>
    <w:rsid w:val="0066386C"/>
    <w:rsid w:val="00663BB7"/>
    <w:rsid w:val="00664228"/>
    <w:rsid w:val="006647D4"/>
    <w:rsid w:val="00665457"/>
    <w:rsid w:val="006663F9"/>
    <w:rsid w:val="006663FC"/>
    <w:rsid w:val="00666553"/>
    <w:rsid w:val="00667480"/>
    <w:rsid w:val="00670760"/>
    <w:rsid w:val="0067087F"/>
    <w:rsid w:val="006708E1"/>
    <w:rsid w:val="00670B37"/>
    <w:rsid w:val="00670D7A"/>
    <w:rsid w:val="00670DBB"/>
    <w:rsid w:val="00671C6C"/>
    <w:rsid w:val="006725C1"/>
    <w:rsid w:val="00672FB8"/>
    <w:rsid w:val="00673467"/>
    <w:rsid w:val="0067410D"/>
    <w:rsid w:val="006741D0"/>
    <w:rsid w:val="00674762"/>
    <w:rsid w:val="006747A1"/>
    <w:rsid w:val="00675214"/>
    <w:rsid w:val="0067576D"/>
    <w:rsid w:val="00675943"/>
    <w:rsid w:val="00675AE9"/>
    <w:rsid w:val="00675B0C"/>
    <w:rsid w:val="00675F3F"/>
    <w:rsid w:val="006761D2"/>
    <w:rsid w:val="00676DD7"/>
    <w:rsid w:val="00676F2D"/>
    <w:rsid w:val="006778F1"/>
    <w:rsid w:val="00677B45"/>
    <w:rsid w:val="00677F8D"/>
    <w:rsid w:val="00680A27"/>
    <w:rsid w:val="00680E9F"/>
    <w:rsid w:val="00681038"/>
    <w:rsid w:val="00681101"/>
    <w:rsid w:val="00681478"/>
    <w:rsid w:val="00681666"/>
    <w:rsid w:val="00682498"/>
    <w:rsid w:val="00682B08"/>
    <w:rsid w:val="00682D8C"/>
    <w:rsid w:val="006830EB"/>
    <w:rsid w:val="006832B3"/>
    <w:rsid w:val="006834E9"/>
    <w:rsid w:val="006839F9"/>
    <w:rsid w:val="00684533"/>
    <w:rsid w:val="00684C6F"/>
    <w:rsid w:val="00685560"/>
    <w:rsid w:val="00685702"/>
    <w:rsid w:val="00685717"/>
    <w:rsid w:val="0068586C"/>
    <w:rsid w:val="00685B13"/>
    <w:rsid w:val="00686061"/>
    <w:rsid w:val="006861B5"/>
    <w:rsid w:val="00686CDA"/>
    <w:rsid w:val="006877E2"/>
    <w:rsid w:val="00687A93"/>
    <w:rsid w:val="00687ACD"/>
    <w:rsid w:val="00690044"/>
    <w:rsid w:val="00690109"/>
    <w:rsid w:val="00690557"/>
    <w:rsid w:val="006912AB"/>
    <w:rsid w:val="0069134D"/>
    <w:rsid w:val="006913B4"/>
    <w:rsid w:val="0069155A"/>
    <w:rsid w:val="00691DF7"/>
    <w:rsid w:val="0069241F"/>
    <w:rsid w:val="00692DAD"/>
    <w:rsid w:val="00693394"/>
    <w:rsid w:val="006934F8"/>
    <w:rsid w:val="00694B0E"/>
    <w:rsid w:val="00695039"/>
    <w:rsid w:val="0069509A"/>
    <w:rsid w:val="00695F37"/>
    <w:rsid w:val="0069632E"/>
    <w:rsid w:val="00696979"/>
    <w:rsid w:val="006975E0"/>
    <w:rsid w:val="006A015F"/>
    <w:rsid w:val="006A07C6"/>
    <w:rsid w:val="006A0C13"/>
    <w:rsid w:val="006A1AC5"/>
    <w:rsid w:val="006A25CC"/>
    <w:rsid w:val="006A2923"/>
    <w:rsid w:val="006A2BDA"/>
    <w:rsid w:val="006A39C6"/>
    <w:rsid w:val="006A3C6C"/>
    <w:rsid w:val="006A3FF5"/>
    <w:rsid w:val="006A524A"/>
    <w:rsid w:val="006A5278"/>
    <w:rsid w:val="006A57F8"/>
    <w:rsid w:val="006A5A96"/>
    <w:rsid w:val="006A659E"/>
    <w:rsid w:val="006A684F"/>
    <w:rsid w:val="006A7437"/>
    <w:rsid w:val="006A7443"/>
    <w:rsid w:val="006A74FF"/>
    <w:rsid w:val="006A78AD"/>
    <w:rsid w:val="006A78EE"/>
    <w:rsid w:val="006B011E"/>
    <w:rsid w:val="006B0129"/>
    <w:rsid w:val="006B0995"/>
    <w:rsid w:val="006B0997"/>
    <w:rsid w:val="006B0EEC"/>
    <w:rsid w:val="006B24AB"/>
    <w:rsid w:val="006B26EA"/>
    <w:rsid w:val="006B2965"/>
    <w:rsid w:val="006B2C06"/>
    <w:rsid w:val="006B3180"/>
    <w:rsid w:val="006B3C1C"/>
    <w:rsid w:val="006B4163"/>
    <w:rsid w:val="006B4812"/>
    <w:rsid w:val="006B4A87"/>
    <w:rsid w:val="006B4FF6"/>
    <w:rsid w:val="006B534D"/>
    <w:rsid w:val="006B5DC1"/>
    <w:rsid w:val="006B60EC"/>
    <w:rsid w:val="006B6607"/>
    <w:rsid w:val="006B7532"/>
    <w:rsid w:val="006B762F"/>
    <w:rsid w:val="006B7DD6"/>
    <w:rsid w:val="006C0B66"/>
    <w:rsid w:val="006C13DA"/>
    <w:rsid w:val="006C264D"/>
    <w:rsid w:val="006C30A2"/>
    <w:rsid w:val="006C34C6"/>
    <w:rsid w:val="006C394E"/>
    <w:rsid w:val="006C3DC3"/>
    <w:rsid w:val="006C5386"/>
    <w:rsid w:val="006C56CD"/>
    <w:rsid w:val="006C5B55"/>
    <w:rsid w:val="006C5FAF"/>
    <w:rsid w:val="006C62D1"/>
    <w:rsid w:val="006C739F"/>
    <w:rsid w:val="006C7928"/>
    <w:rsid w:val="006C7939"/>
    <w:rsid w:val="006C7C72"/>
    <w:rsid w:val="006D03D7"/>
    <w:rsid w:val="006D042E"/>
    <w:rsid w:val="006D0612"/>
    <w:rsid w:val="006D074D"/>
    <w:rsid w:val="006D1943"/>
    <w:rsid w:val="006D2263"/>
    <w:rsid w:val="006D296C"/>
    <w:rsid w:val="006D2AF6"/>
    <w:rsid w:val="006D2BD4"/>
    <w:rsid w:val="006D35F6"/>
    <w:rsid w:val="006D3FB6"/>
    <w:rsid w:val="006D4716"/>
    <w:rsid w:val="006D5A26"/>
    <w:rsid w:val="006D5FEA"/>
    <w:rsid w:val="006D61AC"/>
    <w:rsid w:val="006D7677"/>
    <w:rsid w:val="006E14CC"/>
    <w:rsid w:val="006E1D0B"/>
    <w:rsid w:val="006E1DB7"/>
    <w:rsid w:val="006E24E1"/>
    <w:rsid w:val="006E2C0A"/>
    <w:rsid w:val="006E3176"/>
    <w:rsid w:val="006E33EE"/>
    <w:rsid w:val="006E3B0C"/>
    <w:rsid w:val="006E4093"/>
    <w:rsid w:val="006E4370"/>
    <w:rsid w:val="006E48E9"/>
    <w:rsid w:val="006E4A0B"/>
    <w:rsid w:val="006E5CAD"/>
    <w:rsid w:val="006E64C7"/>
    <w:rsid w:val="006E721C"/>
    <w:rsid w:val="006E78A0"/>
    <w:rsid w:val="006E7A88"/>
    <w:rsid w:val="006E7FDB"/>
    <w:rsid w:val="006F08F8"/>
    <w:rsid w:val="006F093B"/>
    <w:rsid w:val="006F0B43"/>
    <w:rsid w:val="006F0CA6"/>
    <w:rsid w:val="006F1C5F"/>
    <w:rsid w:val="006F29EC"/>
    <w:rsid w:val="006F3D40"/>
    <w:rsid w:val="006F4BC3"/>
    <w:rsid w:val="006F4D91"/>
    <w:rsid w:val="006F4DD2"/>
    <w:rsid w:val="006F4E7B"/>
    <w:rsid w:val="006F6CA6"/>
    <w:rsid w:val="006F7484"/>
    <w:rsid w:val="006F74A7"/>
    <w:rsid w:val="006F7549"/>
    <w:rsid w:val="006F7863"/>
    <w:rsid w:val="007002DF"/>
    <w:rsid w:val="00700B8B"/>
    <w:rsid w:val="00700F79"/>
    <w:rsid w:val="00701260"/>
    <w:rsid w:val="00701FE0"/>
    <w:rsid w:val="00702149"/>
    <w:rsid w:val="0070214C"/>
    <w:rsid w:val="00702A63"/>
    <w:rsid w:val="007034B4"/>
    <w:rsid w:val="00703628"/>
    <w:rsid w:val="007038A4"/>
    <w:rsid w:val="00703D22"/>
    <w:rsid w:val="00703DC9"/>
    <w:rsid w:val="007042D9"/>
    <w:rsid w:val="00704425"/>
    <w:rsid w:val="007048B1"/>
    <w:rsid w:val="00704B1C"/>
    <w:rsid w:val="00704B70"/>
    <w:rsid w:val="007054B5"/>
    <w:rsid w:val="0070605A"/>
    <w:rsid w:val="00706F24"/>
    <w:rsid w:val="007073E4"/>
    <w:rsid w:val="00707DA1"/>
    <w:rsid w:val="00707E7F"/>
    <w:rsid w:val="007101E8"/>
    <w:rsid w:val="00710A87"/>
    <w:rsid w:val="00710C34"/>
    <w:rsid w:val="00711BE0"/>
    <w:rsid w:val="0071209C"/>
    <w:rsid w:val="00712755"/>
    <w:rsid w:val="007131A5"/>
    <w:rsid w:val="007131C8"/>
    <w:rsid w:val="007135C5"/>
    <w:rsid w:val="00713DEC"/>
    <w:rsid w:val="00715720"/>
    <w:rsid w:val="0071599F"/>
    <w:rsid w:val="00716AFB"/>
    <w:rsid w:val="007177F4"/>
    <w:rsid w:val="00717818"/>
    <w:rsid w:val="00717EB3"/>
    <w:rsid w:val="0072134A"/>
    <w:rsid w:val="0072244C"/>
    <w:rsid w:val="00722C8E"/>
    <w:rsid w:val="007239AE"/>
    <w:rsid w:val="00723DC4"/>
    <w:rsid w:val="00723E5F"/>
    <w:rsid w:val="00723EBF"/>
    <w:rsid w:val="00724186"/>
    <w:rsid w:val="007245E1"/>
    <w:rsid w:val="00725031"/>
    <w:rsid w:val="00725A9B"/>
    <w:rsid w:val="00725AAF"/>
    <w:rsid w:val="00727776"/>
    <w:rsid w:val="007279CE"/>
    <w:rsid w:val="007303C8"/>
    <w:rsid w:val="00730964"/>
    <w:rsid w:val="0073096F"/>
    <w:rsid w:val="00730DEC"/>
    <w:rsid w:val="00730E8B"/>
    <w:rsid w:val="00731050"/>
    <w:rsid w:val="0073180B"/>
    <w:rsid w:val="007319C3"/>
    <w:rsid w:val="007334CA"/>
    <w:rsid w:val="007342A5"/>
    <w:rsid w:val="007343F1"/>
    <w:rsid w:val="00735152"/>
    <w:rsid w:val="00735264"/>
    <w:rsid w:val="00735487"/>
    <w:rsid w:val="007355A3"/>
    <w:rsid w:val="00735E50"/>
    <w:rsid w:val="00736B00"/>
    <w:rsid w:val="00736B83"/>
    <w:rsid w:val="00740E4E"/>
    <w:rsid w:val="0074109C"/>
    <w:rsid w:val="00741411"/>
    <w:rsid w:val="007426D9"/>
    <w:rsid w:val="00743BAB"/>
    <w:rsid w:val="0074458C"/>
    <w:rsid w:val="007446C2"/>
    <w:rsid w:val="00744A03"/>
    <w:rsid w:val="00744E3D"/>
    <w:rsid w:val="007451FB"/>
    <w:rsid w:val="007459FE"/>
    <w:rsid w:val="00745FAC"/>
    <w:rsid w:val="007466D7"/>
    <w:rsid w:val="00747463"/>
    <w:rsid w:val="00747551"/>
    <w:rsid w:val="00747A4D"/>
    <w:rsid w:val="00750678"/>
    <w:rsid w:val="00751B04"/>
    <w:rsid w:val="00751E82"/>
    <w:rsid w:val="00752247"/>
    <w:rsid w:val="007529CE"/>
    <w:rsid w:val="00753AE0"/>
    <w:rsid w:val="007566A6"/>
    <w:rsid w:val="00757620"/>
    <w:rsid w:val="0076037D"/>
    <w:rsid w:val="00760538"/>
    <w:rsid w:val="007605A2"/>
    <w:rsid w:val="00760D92"/>
    <w:rsid w:val="0076122F"/>
    <w:rsid w:val="0076123A"/>
    <w:rsid w:val="007619F7"/>
    <w:rsid w:val="00762039"/>
    <w:rsid w:val="00762347"/>
    <w:rsid w:val="00762B3B"/>
    <w:rsid w:val="00762F15"/>
    <w:rsid w:val="00763F69"/>
    <w:rsid w:val="00764840"/>
    <w:rsid w:val="00765A27"/>
    <w:rsid w:val="007660FF"/>
    <w:rsid w:val="007666DE"/>
    <w:rsid w:val="0076694A"/>
    <w:rsid w:val="00766CDA"/>
    <w:rsid w:val="00767610"/>
    <w:rsid w:val="00770623"/>
    <w:rsid w:val="0077073A"/>
    <w:rsid w:val="00770DC1"/>
    <w:rsid w:val="00770E6E"/>
    <w:rsid w:val="0077137A"/>
    <w:rsid w:val="00771E7B"/>
    <w:rsid w:val="00772549"/>
    <w:rsid w:val="007735A7"/>
    <w:rsid w:val="00773F45"/>
    <w:rsid w:val="00773F69"/>
    <w:rsid w:val="00773F9B"/>
    <w:rsid w:val="007740C1"/>
    <w:rsid w:val="00774A4F"/>
    <w:rsid w:val="00775877"/>
    <w:rsid w:val="00775C92"/>
    <w:rsid w:val="00775DB1"/>
    <w:rsid w:val="0077621B"/>
    <w:rsid w:val="00777133"/>
    <w:rsid w:val="00777D2E"/>
    <w:rsid w:val="00780707"/>
    <w:rsid w:val="00780C19"/>
    <w:rsid w:val="0078116D"/>
    <w:rsid w:val="007813B1"/>
    <w:rsid w:val="007817A5"/>
    <w:rsid w:val="007825A4"/>
    <w:rsid w:val="007832AF"/>
    <w:rsid w:val="0078365D"/>
    <w:rsid w:val="0078395B"/>
    <w:rsid w:val="00784D25"/>
    <w:rsid w:val="0078547C"/>
    <w:rsid w:val="007855B5"/>
    <w:rsid w:val="00785E08"/>
    <w:rsid w:val="007869ED"/>
    <w:rsid w:val="00786A29"/>
    <w:rsid w:val="00786A60"/>
    <w:rsid w:val="00786FBD"/>
    <w:rsid w:val="00787571"/>
    <w:rsid w:val="00787737"/>
    <w:rsid w:val="007902A4"/>
    <w:rsid w:val="007905BD"/>
    <w:rsid w:val="0079125E"/>
    <w:rsid w:val="00791377"/>
    <w:rsid w:val="0079169B"/>
    <w:rsid w:val="00792089"/>
    <w:rsid w:val="007923A3"/>
    <w:rsid w:val="00792928"/>
    <w:rsid w:val="00792C62"/>
    <w:rsid w:val="00793E69"/>
    <w:rsid w:val="00793FC1"/>
    <w:rsid w:val="00795686"/>
    <w:rsid w:val="007965CE"/>
    <w:rsid w:val="00796B7F"/>
    <w:rsid w:val="007A0094"/>
    <w:rsid w:val="007A0237"/>
    <w:rsid w:val="007A0353"/>
    <w:rsid w:val="007A0D51"/>
    <w:rsid w:val="007A0FA3"/>
    <w:rsid w:val="007A0FAB"/>
    <w:rsid w:val="007A1835"/>
    <w:rsid w:val="007A18A2"/>
    <w:rsid w:val="007A1FA8"/>
    <w:rsid w:val="007A2251"/>
    <w:rsid w:val="007A226C"/>
    <w:rsid w:val="007A2583"/>
    <w:rsid w:val="007A2BAC"/>
    <w:rsid w:val="007A3629"/>
    <w:rsid w:val="007A38D5"/>
    <w:rsid w:val="007A3F76"/>
    <w:rsid w:val="007A4570"/>
    <w:rsid w:val="007A4D87"/>
    <w:rsid w:val="007A5218"/>
    <w:rsid w:val="007A5978"/>
    <w:rsid w:val="007A613A"/>
    <w:rsid w:val="007A6EBF"/>
    <w:rsid w:val="007A741C"/>
    <w:rsid w:val="007A79FF"/>
    <w:rsid w:val="007B028F"/>
    <w:rsid w:val="007B05AE"/>
    <w:rsid w:val="007B0B27"/>
    <w:rsid w:val="007B119A"/>
    <w:rsid w:val="007B20D9"/>
    <w:rsid w:val="007B219E"/>
    <w:rsid w:val="007B2F52"/>
    <w:rsid w:val="007B2F7B"/>
    <w:rsid w:val="007B3943"/>
    <w:rsid w:val="007B3BA5"/>
    <w:rsid w:val="007B4B80"/>
    <w:rsid w:val="007B4BC4"/>
    <w:rsid w:val="007B4E52"/>
    <w:rsid w:val="007B4FEB"/>
    <w:rsid w:val="007B5408"/>
    <w:rsid w:val="007B551F"/>
    <w:rsid w:val="007B737A"/>
    <w:rsid w:val="007B73EB"/>
    <w:rsid w:val="007B762B"/>
    <w:rsid w:val="007B7663"/>
    <w:rsid w:val="007B78B2"/>
    <w:rsid w:val="007B7939"/>
    <w:rsid w:val="007B796A"/>
    <w:rsid w:val="007C0287"/>
    <w:rsid w:val="007C04A3"/>
    <w:rsid w:val="007C0755"/>
    <w:rsid w:val="007C1454"/>
    <w:rsid w:val="007C16CB"/>
    <w:rsid w:val="007C1733"/>
    <w:rsid w:val="007C180E"/>
    <w:rsid w:val="007C19CF"/>
    <w:rsid w:val="007C1CA8"/>
    <w:rsid w:val="007C2929"/>
    <w:rsid w:val="007C2B63"/>
    <w:rsid w:val="007C2B66"/>
    <w:rsid w:val="007C2F7B"/>
    <w:rsid w:val="007C2FFF"/>
    <w:rsid w:val="007C3785"/>
    <w:rsid w:val="007C3FB4"/>
    <w:rsid w:val="007C416A"/>
    <w:rsid w:val="007C4CC8"/>
    <w:rsid w:val="007C5114"/>
    <w:rsid w:val="007C51C9"/>
    <w:rsid w:val="007C56DA"/>
    <w:rsid w:val="007C5CED"/>
    <w:rsid w:val="007C63C2"/>
    <w:rsid w:val="007C69EE"/>
    <w:rsid w:val="007C7477"/>
    <w:rsid w:val="007C777A"/>
    <w:rsid w:val="007C7F2E"/>
    <w:rsid w:val="007D0579"/>
    <w:rsid w:val="007D066C"/>
    <w:rsid w:val="007D0709"/>
    <w:rsid w:val="007D0EF1"/>
    <w:rsid w:val="007D18D2"/>
    <w:rsid w:val="007D21C1"/>
    <w:rsid w:val="007D2BC1"/>
    <w:rsid w:val="007D2BFC"/>
    <w:rsid w:val="007D321F"/>
    <w:rsid w:val="007D340F"/>
    <w:rsid w:val="007D38BD"/>
    <w:rsid w:val="007D4BF2"/>
    <w:rsid w:val="007D5828"/>
    <w:rsid w:val="007D5BB1"/>
    <w:rsid w:val="007D5D76"/>
    <w:rsid w:val="007D6762"/>
    <w:rsid w:val="007D6891"/>
    <w:rsid w:val="007D6944"/>
    <w:rsid w:val="007D6F84"/>
    <w:rsid w:val="007D7325"/>
    <w:rsid w:val="007D7603"/>
    <w:rsid w:val="007D7682"/>
    <w:rsid w:val="007D7806"/>
    <w:rsid w:val="007E05E1"/>
    <w:rsid w:val="007E0795"/>
    <w:rsid w:val="007E0AE2"/>
    <w:rsid w:val="007E0F01"/>
    <w:rsid w:val="007E104C"/>
    <w:rsid w:val="007E19FD"/>
    <w:rsid w:val="007E236D"/>
    <w:rsid w:val="007E29E5"/>
    <w:rsid w:val="007E3E54"/>
    <w:rsid w:val="007E4DB9"/>
    <w:rsid w:val="007E5084"/>
    <w:rsid w:val="007E5442"/>
    <w:rsid w:val="007E56F4"/>
    <w:rsid w:val="007E6018"/>
    <w:rsid w:val="007E61ED"/>
    <w:rsid w:val="007E670E"/>
    <w:rsid w:val="007E6DA2"/>
    <w:rsid w:val="007E6E7F"/>
    <w:rsid w:val="007E70FB"/>
    <w:rsid w:val="007E74BE"/>
    <w:rsid w:val="007E75DD"/>
    <w:rsid w:val="007F035C"/>
    <w:rsid w:val="007F1866"/>
    <w:rsid w:val="007F1882"/>
    <w:rsid w:val="007F1E77"/>
    <w:rsid w:val="007F1FAC"/>
    <w:rsid w:val="007F20D2"/>
    <w:rsid w:val="007F2B65"/>
    <w:rsid w:val="007F2F06"/>
    <w:rsid w:val="007F3154"/>
    <w:rsid w:val="007F3279"/>
    <w:rsid w:val="007F3371"/>
    <w:rsid w:val="007F3545"/>
    <w:rsid w:val="007F47AF"/>
    <w:rsid w:val="007F4A7E"/>
    <w:rsid w:val="007F4E3E"/>
    <w:rsid w:val="007F5937"/>
    <w:rsid w:val="007F5C51"/>
    <w:rsid w:val="007F6067"/>
    <w:rsid w:val="007F6B2A"/>
    <w:rsid w:val="0080030B"/>
    <w:rsid w:val="00800687"/>
    <w:rsid w:val="00801BC0"/>
    <w:rsid w:val="008024A6"/>
    <w:rsid w:val="00802CAE"/>
    <w:rsid w:val="00803386"/>
    <w:rsid w:val="00803A2D"/>
    <w:rsid w:val="008042B5"/>
    <w:rsid w:val="008046BA"/>
    <w:rsid w:val="008050F2"/>
    <w:rsid w:val="00805244"/>
    <w:rsid w:val="00805346"/>
    <w:rsid w:val="00805601"/>
    <w:rsid w:val="0080644C"/>
    <w:rsid w:val="008066EE"/>
    <w:rsid w:val="00807195"/>
    <w:rsid w:val="0080768C"/>
    <w:rsid w:val="00807E9F"/>
    <w:rsid w:val="008102C8"/>
    <w:rsid w:val="0081068B"/>
    <w:rsid w:val="00810EBA"/>
    <w:rsid w:val="00811004"/>
    <w:rsid w:val="00811AFC"/>
    <w:rsid w:val="00812E24"/>
    <w:rsid w:val="00812EE5"/>
    <w:rsid w:val="00817018"/>
    <w:rsid w:val="00817818"/>
    <w:rsid w:val="00820600"/>
    <w:rsid w:val="00820799"/>
    <w:rsid w:val="00820E74"/>
    <w:rsid w:val="008214E7"/>
    <w:rsid w:val="00821CE9"/>
    <w:rsid w:val="008221AE"/>
    <w:rsid w:val="0082249F"/>
    <w:rsid w:val="00822724"/>
    <w:rsid w:val="008227A1"/>
    <w:rsid w:val="008227BB"/>
    <w:rsid w:val="00822EDB"/>
    <w:rsid w:val="00822F4A"/>
    <w:rsid w:val="008237B8"/>
    <w:rsid w:val="00824032"/>
    <w:rsid w:val="008245D2"/>
    <w:rsid w:val="008246C4"/>
    <w:rsid w:val="00825407"/>
    <w:rsid w:val="00826FD1"/>
    <w:rsid w:val="008278C4"/>
    <w:rsid w:val="00827AAE"/>
    <w:rsid w:val="00827FAB"/>
    <w:rsid w:val="00831173"/>
    <w:rsid w:val="00831562"/>
    <w:rsid w:val="00831B29"/>
    <w:rsid w:val="00831EC4"/>
    <w:rsid w:val="00832242"/>
    <w:rsid w:val="00832353"/>
    <w:rsid w:val="008328F1"/>
    <w:rsid w:val="00832B6B"/>
    <w:rsid w:val="0083327A"/>
    <w:rsid w:val="00833459"/>
    <w:rsid w:val="0083349C"/>
    <w:rsid w:val="008340B2"/>
    <w:rsid w:val="008348DD"/>
    <w:rsid w:val="00834BD6"/>
    <w:rsid w:val="0083537A"/>
    <w:rsid w:val="0083569D"/>
    <w:rsid w:val="00835D73"/>
    <w:rsid w:val="00836A9A"/>
    <w:rsid w:val="00836C92"/>
    <w:rsid w:val="0083735E"/>
    <w:rsid w:val="00837C76"/>
    <w:rsid w:val="00840862"/>
    <w:rsid w:val="00840DAA"/>
    <w:rsid w:val="0084154D"/>
    <w:rsid w:val="008415FC"/>
    <w:rsid w:val="008418F8"/>
    <w:rsid w:val="00842573"/>
    <w:rsid w:val="008427F5"/>
    <w:rsid w:val="00842B67"/>
    <w:rsid w:val="0084428C"/>
    <w:rsid w:val="00844661"/>
    <w:rsid w:val="00844F04"/>
    <w:rsid w:val="00845285"/>
    <w:rsid w:val="00845754"/>
    <w:rsid w:val="00845AB7"/>
    <w:rsid w:val="00845BDF"/>
    <w:rsid w:val="00845E1B"/>
    <w:rsid w:val="008460FB"/>
    <w:rsid w:val="008466D7"/>
    <w:rsid w:val="00846D0C"/>
    <w:rsid w:val="00847510"/>
    <w:rsid w:val="0085034C"/>
    <w:rsid w:val="0085098C"/>
    <w:rsid w:val="0085168A"/>
    <w:rsid w:val="00851B2A"/>
    <w:rsid w:val="00851E63"/>
    <w:rsid w:val="008526EB"/>
    <w:rsid w:val="00852E79"/>
    <w:rsid w:val="008547E6"/>
    <w:rsid w:val="00854FC6"/>
    <w:rsid w:val="008550DF"/>
    <w:rsid w:val="00855657"/>
    <w:rsid w:val="008558FC"/>
    <w:rsid w:val="0085597A"/>
    <w:rsid w:val="00856419"/>
    <w:rsid w:val="00857D3B"/>
    <w:rsid w:val="00860AF6"/>
    <w:rsid w:val="00860EAB"/>
    <w:rsid w:val="00860F8A"/>
    <w:rsid w:val="00861285"/>
    <w:rsid w:val="0086139A"/>
    <w:rsid w:val="00862306"/>
    <w:rsid w:val="0086265E"/>
    <w:rsid w:val="008626B8"/>
    <w:rsid w:val="0086275B"/>
    <w:rsid w:val="00862DDA"/>
    <w:rsid w:val="00863384"/>
    <w:rsid w:val="00863947"/>
    <w:rsid w:val="00864603"/>
    <w:rsid w:val="0086469D"/>
    <w:rsid w:val="00865AA9"/>
    <w:rsid w:val="00865D68"/>
    <w:rsid w:val="00866349"/>
    <w:rsid w:val="008665CC"/>
    <w:rsid w:val="00866749"/>
    <w:rsid w:val="0086674E"/>
    <w:rsid w:val="00867998"/>
    <w:rsid w:val="00867A7C"/>
    <w:rsid w:val="008707B0"/>
    <w:rsid w:val="0087127D"/>
    <w:rsid w:val="008712E1"/>
    <w:rsid w:val="00871B82"/>
    <w:rsid w:val="008721FB"/>
    <w:rsid w:val="008724AF"/>
    <w:rsid w:val="008724F6"/>
    <w:rsid w:val="00873109"/>
    <w:rsid w:val="00873608"/>
    <w:rsid w:val="00875453"/>
    <w:rsid w:val="0087545C"/>
    <w:rsid w:val="0087662D"/>
    <w:rsid w:val="0087690A"/>
    <w:rsid w:val="00876E52"/>
    <w:rsid w:val="0087718A"/>
    <w:rsid w:val="0087748C"/>
    <w:rsid w:val="008777EA"/>
    <w:rsid w:val="00877B27"/>
    <w:rsid w:val="00880064"/>
    <w:rsid w:val="008807E4"/>
    <w:rsid w:val="00880F31"/>
    <w:rsid w:val="00880FBF"/>
    <w:rsid w:val="008812E9"/>
    <w:rsid w:val="00881528"/>
    <w:rsid w:val="008816FC"/>
    <w:rsid w:val="00882147"/>
    <w:rsid w:val="008824C9"/>
    <w:rsid w:val="008827B2"/>
    <w:rsid w:val="008828E4"/>
    <w:rsid w:val="0088321E"/>
    <w:rsid w:val="00883728"/>
    <w:rsid w:val="00883779"/>
    <w:rsid w:val="00884A03"/>
    <w:rsid w:val="008853E5"/>
    <w:rsid w:val="00885434"/>
    <w:rsid w:val="008855FA"/>
    <w:rsid w:val="0088617C"/>
    <w:rsid w:val="00887068"/>
    <w:rsid w:val="00887AA2"/>
    <w:rsid w:val="008903D9"/>
    <w:rsid w:val="00890A05"/>
    <w:rsid w:val="00890B8F"/>
    <w:rsid w:val="00890FB9"/>
    <w:rsid w:val="0089115C"/>
    <w:rsid w:val="0089118E"/>
    <w:rsid w:val="00891F38"/>
    <w:rsid w:val="008927F4"/>
    <w:rsid w:val="0089295B"/>
    <w:rsid w:val="00892CB9"/>
    <w:rsid w:val="00892DCD"/>
    <w:rsid w:val="00893465"/>
    <w:rsid w:val="00893708"/>
    <w:rsid w:val="00894694"/>
    <w:rsid w:val="0089523C"/>
    <w:rsid w:val="0089568C"/>
    <w:rsid w:val="00895923"/>
    <w:rsid w:val="00895A58"/>
    <w:rsid w:val="00895E41"/>
    <w:rsid w:val="0089623E"/>
    <w:rsid w:val="008968CF"/>
    <w:rsid w:val="00896E86"/>
    <w:rsid w:val="00897516"/>
    <w:rsid w:val="0089756E"/>
    <w:rsid w:val="008A0357"/>
    <w:rsid w:val="008A0B35"/>
    <w:rsid w:val="008A30D3"/>
    <w:rsid w:val="008A4521"/>
    <w:rsid w:val="008A4654"/>
    <w:rsid w:val="008A4CCA"/>
    <w:rsid w:val="008A4D66"/>
    <w:rsid w:val="008A521C"/>
    <w:rsid w:val="008A559C"/>
    <w:rsid w:val="008A55FF"/>
    <w:rsid w:val="008A5F67"/>
    <w:rsid w:val="008A695F"/>
    <w:rsid w:val="008A6C36"/>
    <w:rsid w:val="008A6D47"/>
    <w:rsid w:val="008A7998"/>
    <w:rsid w:val="008A7D89"/>
    <w:rsid w:val="008B05FD"/>
    <w:rsid w:val="008B0A85"/>
    <w:rsid w:val="008B0C82"/>
    <w:rsid w:val="008B0E5C"/>
    <w:rsid w:val="008B0FA6"/>
    <w:rsid w:val="008B1170"/>
    <w:rsid w:val="008B19BC"/>
    <w:rsid w:val="008B1CCC"/>
    <w:rsid w:val="008B2AAE"/>
    <w:rsid w:val="008B3345"/>
    <w:rsid w:val="008B34C5"/>
    <w:rsid w:val="008B3DA3"/>
    <w:rsid w:val="008B4712"/>
    <w:rsid w:val="008B48CC"/>
    <w:rsid w:val="008B51F1"/>
    <w:rsid w:val="008B6183"/>
    <w:rsid w:val="008B7172"/>
    <w:rsid w:val="008C0254"/>
    <w:rsid w:val="008C077D"/>
    <w:rsid w:val="008C098A"/>
    <w:rsid w:val="008C15E9"/>
    <w:rsid w:val="008C21F2"/>
    <w:rsid w:val="008C2234"/>
    <w:rsid w:val="008C2462"/>
    <w:rsid w:val="008C284C"/>
    <w:rsid w:val="008C2A39"/>
    <w:rsid w:val="008C2A50"/>
    <w:rsid w:val="008C3D94"/>
    <w:rsid w:val="008C3F76"/>
    <w:rsid w:val="008C413A"/>
    <w:rsid w:val="008C4389"/>
    <w:rsid w:val="008C46EE"/>
    <w:rsid w:val="008C4A49"/>
    <w:rsid w:val="008C5DF1"/>
    <w:rsid w:val="008C5F0F"/>
    <w:rsid w:val="008C6193"/>
    <w:rsid w:val="008C6E65"/>
    <w:rsid w:val="008C751A"/>
    <w:rsid w:val="008C7804"/>
    <w:rsid w:val="008C7887"/>
    <w:rsid w:val="008C7A9E"/>
    <w:rsid w:val="008C7BC5"/>
    <w:rsid w:val="008C7E86"/>
    <w:rsid w:val="008D0230"/>
    <w:rsid w:val="008D0E6A"/>
    <w:rsid w:val="008D0ECC"/>
    <w:rsid w:val="008D1604"/>
    <w:rsid w:val="008D1801"/>
    <w:rsid w:val="008D1E8B"/>
    <w:rsid w:val="008D217C"/>
    <w:rsid w:val="008D2208"/>
    <w:rsid w:val="008D264E"/>
    <w:rsid w:val="008D2705"/>
    <w:rsid w:val="008D3674"/>
    <w:rsid w:val="008D4314"/>
    <w:rsid w:val="008D4A2B"/>
    <w:rsid w:val="008D6445"/>
    <w:rsid w:val="008D697C"/>
    <w:rsid w:val="008D79C8"/>
    <w:rsid w:val="008E011C"/>
    <w:rsid w:val="008E02A3"/>
    <w:rsid w:val="008E02BF"/>
    <w:rsid w:val="008E0346"/>
    <w:rsid w:val="008E0FC2"/>
    <w:rsid w:val="008E1419"/>
    <w:rsid w:val="008E14C7"/>
    <w:rsid w:val="008E18C5"/>
    <w:rsid w:val="008E1E91"/>
    <w:rsid w:val="008E212B"/>
    <w:rsid w:val="008E35A9"/>
    <w:rsid w:val="008E38D6"/>
    <w:rsid w:val="008E3C45"/>
    <w:rsid w:val="008E49EB"/>
    <w:rsid w:val="008E50C6"/>
    <w:rsid w:val="008E5186"/>
    <w:rsid w:val="008E585F"/>
    <w:rsid w:val="008E5B77"/>
    <w:rsid w:val="008E6A8A"/>
    <w:rsid w:val="008E71E4"/>
    <w:rsid w:val="008E771A"/>
    <w:rsid w:val="008E7A1B"/>
    <w:rsid w:val="008F0162"/>
    <w:rsid w:val="008F0615"/>
    <w:rsid w:val="008F0859"/>
    <w:rsid w:val="008F0E5F"/>
    <w:rsid w:val="008F116B"/>
    <w:rsid w:val="008F1514"/>
    <w:rsid w:val="008F21FA"/>
    <w:rsid w:val="008F2FD6"/>
    <w:rsid w:val="008F4661"/>
    <w:rsid w:val="008F58E9"/>
    <w:rsid w:val="008F639E"/>
    <w:rsid w:val="008F65B0"/>
    <w:rsid w:val="008F6772"/>
    <w:rsid w:val="008F69C6"/>
    <w:rsid w:val="008F6E52"/>
    <w:rsid w:val="008F7105"/>
    <w:rsid w:val="008F78D0"/>
    <w:rsid w:val="008F7A34"/>
    <w:rsid w:val="00900210"/>
    <w:rsid w:val="0090050E"/>
    <w:rsid w:val="0090084B"/>
    <w:rsid w:val="0090088B"/>
    <w:rsid w:val="0090158B"/>
    <w:rsid w:val="00901611"/>
    <w:rsid w:val="009022E9"/>
    <w:rsid w:val="009023F6"/>
    <w:rsid w:val="009025E5"/>
    <w:rsid w:val="00903180"/>
    <w:rsid w:val="00904690"/>
    <w:rsid w:val="0090549F"/>
    <w:rsid w:val="00905A86"/>
    <w:rsid w:val="00905EC5"/>
    <w:rsid w:val="009062D0"/>
    <w:rsid w:val="009064B4"/>
    <w:rsid w:val="00906878"/>
    <w:rsid w:val="009101E6"/>
    <w:rsid w:val="00911CBC"/>
    <w:rsid w:val="009125DD"/>
    <w:rsid w:val="0091287E"/>
    <w:rsid w:val="00913315"/>
    <w:rsid w:val="009134FB"/>
    <w:rsid w:val="00913665"/>
    <w:rsid w:val="0091367B"/>
    <w:rsid w:val="00913E49"/>
    <w:rsid w:val="0091407B"/>
    <w:rsid w:val="0091497B"/>
    <w:rsid w:val="00914B37"/>
    <w:rsid w:val="00914D16"/>
    <w:rsid w:val="00914D68"/>
    <w:rsid w:val="009155A4"/>
    <w:rsid w:val="00915762"/>
    <w:rsid w:val="00915A10"/>
    <w:rsid w:val="00916B26"/>
    <w:rsid w:val="00916B86"/>
    <w:rsid w:val="00916E11"/>
    <w:rsid w:val="0091731B"/>
    <w:rsid w:val="00917FCF"/>
    <w:rsid w:val="009204D3"/>
    <w:rsid w:val="00920844"/>
    <w:rsid w:val="0092147B"/>
    <w:rsid w:val="00921728"/>
    <w:rsid w:val="00921B8C"/>
    <w:rsid w:val="00921D94"/>
    <w:rsid w:val="009222FB"/>
    <w:rsid w:val="00922545"/>
    <w:rsid w:val="00922B24"/>
    <w:rsid w:val="00922C17"/>
    <w:rsid w:val="00922F68"/>
    <w:rsid w:val="00923D64"/>
    <w:rsid w:val="00923E7F"/>
    <w:rsid w:val="00924CCC"/>
    <w:rsid w:val="0092504B"/>
    <w:rsid w:val="0092612B"/>
    <w:rsid w:val="0092625D"/>
    <w:rsid w:val="00926459"/>
    <w:rsid w:val="00926768"/>
    <w:rsid w:val="0092696B"/>
    <w:rsid w:val="00926E7E"/>
    <w:rsid w:val="0092727E"/>
    <w:rsid w:val="00927FC3"/>
    <w:rsid w:val="00930354"/>
    <w:rsid w:val="00930A8B"/>
    <w:rsid w:val="009312A7"/>
    <w:rsid w:val="00931838"/>
    <w:rsid w:val="00931A6F"/>
    <w:rsid w:val="00931CEF"/>
    <w:rsid w:val="009322C7"/>
    <w:rsid w:val="0093293F"/>
    <w:rsid w:val="00932F72"/>
    <w:rsid w:val="00932FBB"/>
    <w:rsid w:val="00933242"/>
    <w:rsid w:val="00933842"/>
    <w:rsid w:val="00933885"/>
    <w:rsid w:val="00933DD4"/>
    <w:rsid w:val="0093419C"/>
    <w:rsid w:val="00934DC0"/>
    <w:rsid w:val="009354DF"/>
    <w:rsid w:val="009358D7"/>
    <w:rsid w:val="00935F57"/>
    <w:rsid w:val="00935FDE"/>
    <w:rsid w:val="00937019"/>
    <w:rsid w:val="009373B0"/>
    <w:rsid w:val="009403F8"/>
    <w:rsid w:val="00941115"/>
    <w:rsid w:val="00941478"/>
    <w:rsid w:val="0094162A"/>
    <w:rsid w:val="00941A76"/>
    <w:rsid w:val="0094203C"/>
    <w:rsid w:val="009422C6"/>
    <w:rsid w:val="00942B9D"/>
    <w:rsid w:val="00943600"/>
    <w:rsid w:val="009438F9"/>
    <w:rsid w:val="0094397C"/>
    <w:rsid w:val="00943E78"/>
    <w:rsid w:val="0094429D"/>
    <w:rsid w:val="00944C51"/>
    <w:rsid w:val="00944E1A"/>
    <w:rsid w:val="009457D2"/>
    <w:rsid w:val="0094580E"/>
    <w:rsid w:val="00946972"/>
    <w:rsid w:val="00946F5C"/>
    <w:rsid w:val="00947A6A"/>
    <w:rsid w:val="00947AF6"/>
    <w:rsid w:val="0095070B"/>
    <w:rsid w:val="00951074"/>
    <w:rsid w:val="00951A26"/>
    <w:rsid w:val="00951E6D"/>
    <w:rsid w:val="00952331"/>
    <w:rsid w:val="009523B5"/>
    <w:rsid w:val="00952681"/>
    <w:rsid w:val="00953BB8"/>
    <w:rsid w:val="00953F92"/>
    <w:rsid w:val="00954237"/>
    <w:rsid w:val="0095489F"/>
    <w:rsid w:val="009549F5"/>
    <w:rsid w:val="00954BA3"/>
    <w:rsid w:val="00954FD1"/>
    <w:rsid w:val="009554CE"/>
    <w:rsid w:val="00955FCD"/>
    <w:rsid w:val="009561F9"/>
    <w:rsid w:val="0095651F"/>
    <w:rsid w:val="00956E5F"/>
    <w:rsid w:val="00957F01"/>
    <w:rsid w:val="009604F7"/>
    <w:rsid w:val="009613F8"/>
    <w:rsid w:val="00961473"/>
    <w:rsid w:val="0096149C"/>
    <w:rsid w:val="00961E6F"/>
    <w:rsid w:val="00961EB8"/>
    <w:rsid w:val="009622AA"/>
    <w:rsid w:val="00962680"/>
    <w:rsid w:val="009629A2"/>
    <w:rsid w:val="00963029"/>
    <w:rsid w:val="00963D4E"/>
    <w:rsid w:val="00964017"/>
    <w:rsid w:val="00964AB5"/>
    <w:rsid w:val="00964EA3"/>
    <w:rsid w:val="0096531D"/>
    <w:rsid w:val="00965711"/>
    <w:rsid w:val="00965750"/>
    <w:rsid w:val="00966004"/>
    <w:rsid w:val="009671B4"/>
    <w:rsid w:val="009704B5"/>
    <w:rsid w:val="009704D9"/>
    <w:rsid w:val="00970815"/>
    <w:rsid w:val="009713AD"/>
    <w:rsid w:val="009714BB"/>
    <w:rsid w:val="00971889"/>
    <w:rsid w:val="009719DD"/>
    <w:rsid w:val="00971A2F"/>
    <w:rsid w:val="00972351"/>
    <w:rsid w:val="00972D94"/>
    <w:rsid w:val="00973657"/>
    <w:rsid w:val="009740B3"/>
    <w:rsid w:val="00974895"/>
    <w:rsid w:val="009748FA"/>
    <w:rsid w:val="00974DD2"/>
    <w:rsid w:val="00974E04"/>
    <w:rsid w:val="00976DD3"/>
    <w:rsid w:val="009772AD"/>
    <w:rsid w:val="00977886"/>
    <w:rsid w:val="00977C7B"/>
    <w:rsid w:val="00977EBA"/>
    <w:rsid w:val="00981201"/>
    <w:rsid w:val="00981220"/>
    <w:rsid w:val="0098161A"/>
    <w:rsid w:val="009816DA"/>
    <w:rsid w:val="00981758"/>
    <w:rsid w:val="009819EA"/>
    <w:rsid w:val="009833F3"/>
    <w:rsid w:val="0098348D"/>
    <w:rsid w:val="00984BB8"/>
    <w:rsid w:val="00984F03"/>
    <w:rsid w:val="00985175"/>
    <w:rsid w:val="00985906"/>
    <w:rsid w:val="00985908"/>
    <w:rsid w:val="00985A2A"/>
    <w:rsid w:val="00985B52"/>
    <w:rsid w:val="00986123"/>
    <w:rsid w:val="00987681"/>
    <w:rsid w:val="00987BDA"/>
    <w:rsid w:val="00987F47"/>
    <w:rsid w:val="00987FFC"/>
    <w:rsid w:val="009903B2"/>
    <w:rsid w:val="00990C9A"/>
    <w:rsid w:val="00990D43"/>
    <w:rsid w:val="009910D6"/>
    <w:rsid w:val="00991A90"/>
    <w:rsid w:val="0099216F"/>
    <w:rsid w:val="0099231C"/>
    <w:rsid w:val="00992917"/>
    <w:rsid w:val="00994121"/>
    <w:rsid w:val="009941F6"/>
    <w:rsid w:val="00994FA4"/>
    <w:rsid w:val="009950E0"/>
    <w:rsid w:val="009950EF"/>
    <w:rsid w:val="00995CA5"/>
    <w:rsid w:val="00995F2A"/>
    <w:rsid w:val="0099730A"/>
    <w:rsid w:val="009976CE"/>
    <w:rsid w:val="00997B8E"/>
    <w:rsid w:val="009A010D"/>
    <w:rsid w:val="009A0124"/>
    <w:rsid w:val="009A022D"/>
    <w:rsid w:val="009A07FA"/>
    <w:rsid w:val="009A0A34"/>
    <w:rsid w:val="009A0BF6"/>
    <w:rsid w:val="009A0C12"/>
    <w:rsid w:val="009A1362"/>
    <w:rsid w:val="009A1650"/>
    <w:rsid w:val="009A1D80"/>
    <w:rsid w:val="009A27BB"/>
    <w:rsid w:val="009A27E8"/>
    <w:rsid w:val="009A28EB"/>
    <w:rsid w:val="009A2F23"/>
    <w:rsid w:val="009A34C5"/>
    <w:rsid w:val="009A3D29"/>
    <w:rsid w:val="009A4211"/>
    <w:rsid w:val="009A43A3"/>
    <w:rsid w:val="009A45DD"/>
    <w:rsid w:val="009A4909"/>
    <w:rsid w:val="009A491D"/>
    <w:rsid w:val="009A49B3"/>
    <w:rsid w:val="009A5101"/>
    <w:rsid w:val="009A5713"/>
    <w:rsid w:val="009A5B6E"/>
    <w:rsid w:val="009A6123"/>
    <w:rsid w:val="009A66E6"/>
    <w:rsid w:val="009A6A8A"/>
    <w:rsid w:val="009A6C91"/>
    <w:rsid w:val="009A721E"/>
    <w:rsid w:val="009A7695"/>
    <w:rsid w:val="009A774A"/>
    <w:rsid w:val="009A7B22"/>
    <w:rsid w:val="009A7B83"/>
    <w:rsid w:val="009A7C30"/>
    <w:rsid w:val="009B0089"/>
    <w:rsid w:val="009B01D9"/>
    <w:rsid w:val="009B0238"/>
    <w:rsid w:val="009B0FAF"/>
    <w:rsid w:val="009B3585"/>
    <w:rsid w:val="009B3759"/>
    <w:rsid w:val="009B3D91"/>
    <w:rsid w:val="009B3E48"/>
    <w:rsid w:val="009B3F62"/>
    <w:rsid w:val="009B4336"/>
    <w:rsid w:val="009B452B"/>
    <w:rsid w:val="009B4983"/>
    <w:rsid w:val="009B50C8"/>
    <w:rsid w:val="009B5FD9"/>
    <w:rsid w:val="009B601E"/>
    <w:rsid w:val="009B7570"/>
    <w:rsid w:val="009B7767"/>
    <w:rsid w:val="009B77D6"/>
    <w:rsid w:val="009C0439"/>
    <w:rsid w:val="009C045D"/>
    <w:rsid w:val="009C143C"/>
    <w:rsid w:val="009C1AD3"/>
    <w:rsid w:val="009C23E6"/>
    <w:rsid w:val="009C25F1"/>
    <w:rsid w:val="009C27AF"/>
    <w:rsid w:val="009C30E6"/>
    <w:rsid w:val="009C31F4"/>
    <w:rsid w:val="009C328E"/>
    <w:rsid w:val="009C3D65"/>
    <w:rsid w:val="009C4D31"/>
    <w:rsid w:val="009C4EA5"/>
    <w:rsid w:val="009C56D9"/>
    <w:rsid w:val="009C668D"/>
    <w:rsid w:val="009C6E30"/>
    <w:rsid w:val="009C6F19"/>
    <w:rsid w:val="009C763E"/>
    <w:rsid w:val="009C7655"/>
    <w:rsid w:val="009C7DE1"/>
    <w:rsid w:val="009D0336"/>
    <w:rsid w:val="009D07A3"/>
    <w:rsid w:val="009D0B1D"/>
    <w:rsid w:val="009D111F"/>
    <w:rsid w:val="009D1741"/>
    <w:rsid w:val="009D1CB3"/>
    <w:rsid w:val="009D41ED"/>
    <w:rsid w:val="009D4225"/>
    <w:rsid w:val="009D6A7D"/>
    <w:rsid w:val="009D6E1F"/>
    <w:rsid w:val="009E1340"/>
    <w:rsid w:val="009E13B8"/>
    <w:rsid w:val="009E1C88"/>
    <w:rsid w:val="009E2076"/>
    <w:rsid w:val="009E20DE"/>
    <w:rsid w:val="009E2C4E"/>
    <w:rsid w:val="009E3639"/>
    <w:rsid w:val="009E370E"/>
    <w:rsid w:val="009E4835"/>
    <w:rsid w:val="009E4A3A"/>
    <w:rsid w:val="009E4F20"/>
    <w:rsid w:val="009E546A"/>
    <w:rsid w:val="009E55D6"/>
    <w:rsid w:val="009E64D4"/>
    <w:rsid w:val="009E6C34"/>
    <w:rsid w:val="009E70A8"/>
    <w:rsid w:val="009E786D"/>
    <w:rsid w:val="009E7B39"/>
    <w:rsid w:val="009E7F97"/>
    <w:rsid w:val="009F00C6"/>
    <w:rsid w:val="009F03FD"/>
    <w:rsid w:val="009F1E26"/>
    <w:rsid w:val="009F2195"/>
    <w:rsid w:val="009F233C"/>
    <w:rsid w:val="009F2EDE"/>
    <w:rsid w:val="009F2F26"/>
    <w:rsid w:val="009F484B"/>
    <w:rsid w:val="009F4935"/>
    <w:rsid w:val="009F4AA1"/>
    <w:rsid w:val="009F4F76"/>
    <w:rsid w:val="009F52A7"/>
    <w:rsid w:val="009F5304"/>
    <w:rsid w:val="009F5890"/>
    <w:rsid w:val="009F5D5D"/>
    <w:rsid w:val="009F67C5"/>
    <w:rsid w:val="009F68C2"/>
    <w:rsid w:val="009F6C23"/>
    <w:rsid w:val="009F6D95"/>
    <w:rsid w:val="009F6F13"/>
    <w:rsid w:val="009F702E"/>
    <w:rsid w:val="009F7C9E"/>
    <w:rsid w:val="00A00075"/>
    <w:rsid w:val="00A00FC2"/>
    <w:rsid w:val="00A014E2"/>
    <w:rsid w:val="00A017EA"/>
    <w:rsid w:val="00A01BA6"/>
    <w:rsid w:val="00A01D7E"/>
    <w:rsid w:val="00A01F8C"/>
    <w:rsid w:val="00A02025"/>
    <w:rsid w:val="00A021F7"/>
    <w:rsid w:val="00A024D3"/>
    <w:rsid w:val="00A0270A"/>
    <w:rsid w:val="00A02968"/>
    <w:rsid w:val="00A02CA4"/>
    <w:rsid w:val="00A046A3"/>
    <w:rsid w:val="00A0574B"/>
    <w:rsid w:val="00A05AB0"/>
    <w:rsid w:val="00A06A21"/>
    <w:rsid w:val="00A06BE4"/>
    <w:rsid w:val="00A06CCC"/>
    <w:rsid w:val="00A079FE"/>
    <w:rsid w:val="00A07E8A"/>
    <w:rsid w:val="00A100CC"/>
    <w:rsid w:val="00A11607"/>
    <w:rsid w:val="00A11703"/>
    <w:rsid w:val="00A117E8"/>
    <w:rsid w:val="00A11D0B"/>
    <w:rsid w:val="00A129E2"/>
    <w:rsid w:val="00A12EF1"/>
    <w:rsid w:val="00A1334C"/>
    <w:rsid w:val="00A13955"/>
    <w:rsid w:val="00A13D06"/>
    <w:rsid w:val="00A13E0D"/>
    <w:rsid w:val="00A145F0"/>
    <w:rsid w:val="00A163A0"/>
    <w:rsid w:val="00A16EEC"/>
    <w:rsid w:val="00A17725"/>
    <w:rsid w:val="00A17866"/>
    <w:rsid w:val="00A206DC"/>
    <w:rsid w:val="00A20995"/>
    <w:rsid w:val="00A21393"/>
    <w:rsid w:val="00A218EF"/>
    <w:rsid w:val="00A2195F"/>
    <w:rsid w:val="00A21CCC"/>
    <w:rsid w:val="00A2232B"/>
    <w:rsid w:val="00A23926"/>
    <w:rsid w:val="00A23A6A"/>
    <w:rsid w:val="00A2425F"/>
    <w:rsid w:val="00A24EA8"/>
    <w:rsid w:val="00A25E3D"/>
    <w:rsid w:val="00A267E8"/>
    <w:rsid w:val="00A30747"/>
    <w:rsid w:val="00A30CDB"/>
    <w:rsid w:val="00A311FB"/>
    <w:rsid w:val="00A31E5F"/>
    <w:rsid w:val="00A33251"/>
    <w:rsid w:val="00A33895"/>
    <w:rsid w:val="00A33B88"/>
    <w:rsid w:val="00A346DF"/>
    <w:rsid w:val="00A34B58"/>
    <w:rsid w:val="00A34ECA"/>
    <w:rsid w:val="00A35860"/>
    <w:rsid w:val="00A35895"/>
    <w:rsid w:val="00A35C43"/>
    <w:rsid w:val="00A35D8A"/>
    <w:rsid w:val="00A36FC5"/>
    <w:rsid w:val="00A3795F"/>
    <w:rsid w:val="00A401CA"/>
    <w:rsid w:val="00A40239"/>
    <w:rsid w:val="00A419EB"/>
    <w:rsid w:val="00A41C43"/>
    <w:rsid w:val="00A420B2"/>
    <w:rsid w:val="00A43494"/>
    <w:rsid w:val="00A43834"/>
    <w:rsid w:val="00A43C3C"/>
    <w:rsid w:val="00A445FC"/>
    <w:rsid w:val="00A44A35"/>
    <w:rsid w:val="00A45532"/>
    <w:rsid w:val="00A45A78"/>
    <w:rsid w:val="00A45E8C"/>
    <w:rsid w:val="00A4604C"/>
    <w:rsid w:val="00A468F4"/>
    <w:rsid w:val="00A47100"/>
    <w:rsid w:val="00A472CA"/>
    <w:rsid w:val="00A473FF"/>
    <w:rsid w:val="00A47F8A"/>
    <w:rsid w:val="00A503BD"/>
    <w:rsid w:val="00A50D16"/>
    <w:rsid w:val="00A5103A"/>
    <w:rsid w:val="00A51583"/>
    <w:rsid w:val="00A515D3"/>
    <w:rsid w:val="00A51E1B"/>
    <w:rsid w:val="00A52049"/>
    <w:rsid w:val="00A527C1"/>
    <w:rsid w:val="00A529A1"/>
    <w:rsid w:val="00A531C7"/>
    <w:rsid w:val="00A53621"/>
    <w:rsid w:val="00A53899"/>
    <w:rsid w:val="00A53A64"/>
    <w:rsid w:val="00A53F8D"/>
    <w:rsid w:val="00A54505"/>
    <w:rsid w:val="00A5552F"/>
    <w:rsid w:val="00A55D69"/>
    <w:rsid w:val="00A5616E"/>
    <w:rsid w:val="00A5672E"/>
    <w:rsid w:val="00A5696D"/>
    <w:rsid w:val="00A56C03"/>
    <w:rsid w:val="00A579C7"/>
    <w:rsid w:val="00A579E4"/>
    <w:rsid w:val="00A61A04"/>
    <w:rsid w:val="00A61CAF"/>
    <w:rsid w:val="00A62E8D"/>
    <w:rsid w:val="00A63907"/>
    <w:rsid w:val="00A63D7F"/>
    <w:rsid w:val="00A63F85"/>
    <w:rsid w:val="00A644C0"/>
    <w:rsid w:val="00A645B7"/>
    <w:rsid w:val="00A64DD5"/>
    <w:rsid w:val="00A64DF4"/>
    <w:rsid w:val="00A64E1F"/>
    <w:rsid w:val="00A65AB7"/>
    <w:rsid w:val="00A65B5F"/>
    <w:rsid w:val="00A65FE3"/>
    <w:rsid w:val="00A663E5"/>
    <w:rsid w:val="00A66AEA"/>
    <w:rsid w:val="00A66AEC"/>
    <w:rsid w:val="00A66F47"/>
    <w:rsid w:val="00A67344"/>
    <w:rsid w:val="00A67362"/>
    <w:rsid w:val="00A677A9"/>
    <w:rsid w:val="00A67872"/>
    <w:rsid w:val="00A678C3"/>
    <w:rsid w:val="00A67B7D"/>
    <w:rsid w:val="00A7016E"/>
    <w:rsid w:val="00A7043C"/>
    <w:rsid w:val="00A712C4"/>
    <w:rsid w:val="00A714F9"/>
    <w:rsid w:val="00A71D18"/>
    <w:rsid w:val="00A72CB2"/>
    <w:rsid w:val="00A732AB"/>
    <w:rsid w:val="00A74AD5"/>
    <w:rsid w:val="00A74E11"/>
    <w:rsid w:val="00A75BA7"/>
    <w:rsid w:val="00A75C7F"/>
    <w:rsid w:val="00A75CB4"/>
    <w:rsid w:val="00A765A1"/>
    <w:rsid w:val="00A77CCD"/>
    <w:rsid w:val="00A805D4"/>
    <w:rsid w:val="00A8090D"/>
    <w:rsid w:val="00A811D9"/>
    <w:rsid w:val="00A81235"/>
    <w:rsid w:val="00A814B1"/>
    <w:rsid w:val="00A815F2"/>
    <w:rsid w:val="00A8183A"/>
    <w:rsid w:val="00A829EC"/>
    <w:rsid w:val="00A82A54"/>
    <w:rsid w:val="00A82DE3"/>
    <w:rsid w:val="00A833D0"/>
    <w:rsid w:val="00A83A0F"/>
    <w:rsid w:val="00A850F3"/>
    <w:rsid w:val="00A85631"/>
    <w:rsid w:val="00A8579A"/>
    <w:rsid w:val="00A866FF"/>
    <w:rsid w:val="00A867AF"/>
    <w:rsid w:val="00A86CDC"/>
    <w:rsid w:val="00A877D1"/>
    <w:rsid w:val="00A87971"/>
    <w:rsid w:val="00A87FC9"/>
    <w:rsid w:val="00A90213"/>
    <w:rsid w:val="00A9022B"/>
    <w:rsid w:val="00A90802"/>
    <w:rsid w:val="00A909C0"/>
    <w:rsid w:val="00A90BAE"/>
    <w:rsid w:val="00A912A4"/>
    <w:rsid w:val="00A919A8"/>
    <w:rsid w:val="00A927A1"/>
    <w:rsid w:val="00A92B24"/>
    <w:rsid w:val="00A930CE"/>
    <w:rsid w:val="00A9331C"/>
    <w:rsid w:val="00A93A9C"/>
    <w:rsid w:val="00A93BF4"/>
    <w:rsid w:val="00A93CA6"/>
    <w:rsid w:val="00A94319"/>
    <w:rsid w:val="00A947BF"/>
    <w:rsid w:val="00A9500A"/>
    <w:rsid w:val="00A95880"/>
    <w:rsid w:val="00A95BF5"/>
    <w:rsid w:val="00A96240"/>
    <w:rsid w:val="00A96859"/>
    <w:rsid w:val="00A971B9"/>
    <w:rsid w:val="00A9761E"/>
    <w:rsid w:val="00A97D23"/>
    <w:rsid w:val="00AA0D56"/>
    <w:rsid w:val="00AA12F3"/>
    <w:rsid w:val="00AA1398"/>
    <w:rsid w:val="00AA1B2A"/>
    <w:rsid w:val="00AA1F8E"/>
    <w:rsid w:val="00AA1F92"/>
    <w:rsid w:val="00AA2CF6"/>
    <w:rsid w:val="00AA30F8"/>
    <w:rsid w:val="00AA32EC"/>
    <w:rsid w:val="00AA380C"/>
    <w:rsid w:val="00AA5724"/>
    <w:rsid w:val="00AA58D0"/>
    <w:rsid w:val="00AA6294"/>
    <w:rsid w:val="00AA630B"/>
    <w:rsid w:val="00AA6660"/>
    <w:rsid w:val="00AA67B7"/>
    <w:rsid w:val="00AB0363"/>
    <w:rsid w:val="00AB04A3"/>
    <w:rsid w:val="00AB10C4"/>
    <w:rsid w:val="00AB140E"/>
    <w:rsid w:val="00AB177E"/>
    <w:rsid w:val="00AB2833"/>
    <w:rsid w:val="00AB2E47"/>
    <w:rsid w:val="00AB3024"/>
    <w:rsid w:val="00AB3081"/>
    <w:rsid w:val="00AB33C6"/>
    <w:rsid w:val="00AB3B7E"/>
    <w:rsid w:val="00AB4C20"/>
    <w:rsid w:val="00AB5D2E"/>
    <w:rsid w:val="00AB6CB1"/>
    <w:rsid w:val="00AB71F0"/>
    <w:rsid w:val="00AB7370"/>
    <w:rsid w:val="00AB7B4F"/>
    <w:rsid w:val="00AC006F"/>
    <w:rsid w:val="00AC0626"/>
    <w:rsid w:val="00AC12E0"/>
    <w:rsid w:val="00AC1383"/>
    <w:rsid w:val="00AC1BDE"/>
    <w:rsid w:val="00AC269E"/>
    <w:rsid w:val="00AC2D76"/>
    <w:rsid w:val="00AC38C3"/>
    <w:rsid w:val="00AC38D7"/>
    <w:rsid w:val="00AC3E27"/>
    <w:rsid w:val="00AC4134"/>
    <w:rsid w:val="00AC42BA"/>
    <w:rsid w:val="00AC43D7"/>
    <w:rsid w:val="00AC4D20"/>
    <w:rsid w:val="00AD13E0"/>
    <w:rsid w:val="00AD29FF"/>
    <w:rsid w:val="00AD352E"/>
    <w:rsid w:val="00AD38A7"/>
    <w:rsid w:val="00AD40E7"/>
    <w:rsid w:val="00AD4EF4"/>
    <w:rsid w:val="00AD4F9D"/>
    <w:rsid w:val="00AD527A"/>
    <w:rsid w:val="00AD64C1"/>
    <w:rsid w:val="00AD6520"/>
    <w:rsid w:val="00AD7936"/>
    <w:rsid w:val="00AD7A14"/>
    <w:rsid w:val="00AE0183"/>
    <w:rsid w:val="00AE1C2C"/>
    <w:rsid w:val="00AE1D98"/>
    <w:rsid w:val="00AE2240"/>
    <w:rsid w:val="00AE320C"/>
    <w:rsid w:val="00AE3B06"/>
    <w:rsid w:val="00AE3BC9"/>
    <w:rsid w:val="00AE3CD1"/>
    <w:rsid w:val="00AE3F83"/>
    <w:rsid w:val="00AE59C4"/>
    <w:rsid w:val="00AE622B"/>
    <w:rsid w:val="00AE6668"/>
    <w:rsid w:val="00AE66D7"/>
    <w:rsid w:val="00AE688B"/>
    <w:rsid w:val="00AE6A39"/>
    <w:rsid w:val="00AE6C77"/>
    <w:rsid w:val="00AE7BD7"/>
    <w:rsid w:val="00AF04FF"/>
    <w:rsid w:val="00AF06BA"/>
    <w:rsid w:val="00AF1B4D"/>
    <w:rsid w:val="00AF393C"/>
    <w:rsid w:val="00AF4D0C"/>
    <w:rsid w:val="00AF4DD9"/>
    <w:rsid w:val="00AF4E28"/>
    <w:rsid w:val="00AF508B"/>
    <w:rsid w:val="00AF5DDA"/>
    <w:rsid w:val="00AF5F49"/>
    <w:rsid w:val="00AF6446"/>
    <w:rsid w:val="00AF671D"/>
    <w:rsid w:val="00AF6C5F"/>
    <w:rsid w:val="00AF6D41"/>
    <w:rsid w:val="00AF7165"/>
    <w:rsid w:val="00AF71DD"/>
    <w:rsid w:val="00B009EE"/>
    <w:rsid w:val="00B00B74"/>
    <w:rsid w:val="00B00C21"/>
    <w:rsid w:val="00B00D28"/>
    <w:rsid w:val="00B0128A"/>
    <w:rsid w:val="00B01602"/>
    <w:rsid w:val="00B04394"/>
    <w:rsid w:val="00B04E27"/>
    <w:rsid w:val="00B05030"/>
    <w:rsid w:val="00B052DE"/>
    <w:rsid w:val="00B05CEC"/>
    <w:rsid w:val="00B05E06"/>
    <w:rsid w:val="00B060FB"/>
    <w:rsid w:val="00B06DDE"/>
    <w:rsid w:val="00B07267"/>
    <w:rsid w:val="00B07272"/>
    <w:rsid w:val="00B073B4"/>
    <w:rsid w:val="00B073C3"/>
    <w:rsid w:val="00B0768C"/>
    <w:rsid w:val="00B10173"/>
    <w:rsid w:val="00B10277"/>
    <w:rsid w:val="00B104B1"/>
    <w:rsid w:val="00B11515"/>
    <w:rsid w:val="00B1153D"/>
    <w:rsid w:val="00B116BE"/>
    <w:rsid w:val="00B11794"/>
    <w:rsid w:val="00B11804"/>
    <w:rsid w:val="00B11949"/>
    <w:rsid w:val="00B11D3A"/>
    <w:rsid w:val="00B11EA0"/>
    <w:rsid w:val="00B11F1B"/>
    <w:rsid w:val="00B1214C"/>
    <w:rsid w:val="00B12C33"/>
    <w:rsid w:val="00B12C39"/>
    <w:rsid w:val="00B139EF"/>
    <w:rsid w:val="00B13ADF"/>
    <w:rsid w:val="00B13BFA"/>
    <w:rsid w:val="00B14535"/>
    <w:rsid w:val="00B14D34"/>
    <w:rsid w:val="00B15337"/>
    <w:rsid w:val="00B15FCA"/>
    <w:rsid w:val="00B1604F"/>
    <w:rsid w:val="00B162C7"/>
    <w:rsid w:val="00B1642F"/>
    <w:rsid w:val="00B16DBB"/>
    <w:rsid w:val="00B17B02"/>
    <w:rsid w:val="00B17BE0"/>
    <w:rsid w:val="00B17CF3"/>
    <w:rsid w:val="00B205F6"/>
    <w:rsid w:val="00B209A4"/>
    <w:rsid w:val="00B20CF3"/>
    <w:rsid w:val="00B21AF0"/>
    <w:rsid w:val="00B21E7F"/>
    <w:rsid w:val="00B21F20"/>
    <w:rsid w:val="00B22ACC"/>
    <w:rsid w:val="00B22AD8"/>
    <w:rsid w:val="00B23B22"/>
    <w:rsid w:val="00B23E06"/>
    <w:rsid w:val="00B244F9"/>
    <w:rsid w:val="00B24DBB"/>
    <w:rsid w:val="00B25828"/>
    <w:rsid w:val="00B25D1A"/>
    <w:rsid w:val="00B25F7F"/>
    <w:rsid w:val="00B25FDE"/>
    <w:rsid w:val="00B26C5B"/>
    <w:rsid w:val="00B27048"/>
    <w:rsid w:val="00B27130"/>
    <w:rsid w:val="00B278C3"/>
    <w:rsid w:val="00B30DAA"/>
    <w:rsid w:val="00B318D5"/>
    <w:rsid w:val="00B32120"/>
    <w:rsid w:val="00B3333D"/>
    <w:rsid w:val="00B33A95"/>
    <w:rsid w:val="00B33CF1"/>
    <w:rsid w:val="00B33D09"/>
    <w:rsid w:val="00B34354"/>
    <w:rsid w:val="00B34522"/>
    <w:rsid w:val="00B345E4"/>
    <w:rsid w:val="00B3472D"/>
    <w:rsid w:val="00B347C3"/>
    <w:rsid w:val="00B34E4B"/>
    <w:rsid w:val="00B35794"/>
    <w:rsid w:val="00B35BA6"/>
    <w:rsid w:val="00B36584"/>
    <w:rsid w:val="00B36880"/>
    <w:rsid w:val="00B40022"/>
    <w:rsid w:val="00B41177"/>
    <w:rsid w:val="00B4135C"/>
    <w:rsid w:val="00B41FA0"/>
    <w:rsid w:val="00B42157"/>
    <w:rsid w:val="00B434AA"/>
    <w:rsid w:val="00B44002"/>
    <w:rsid w:val="00B44AA1"/>
    <w:rsid w:val="00B4680C"/>
    <w:rsid w:val="00B468D6"/>
    <w:rsid w:val="00B46FA2"/>
    <w:rsid w:val="00B47693"/>
    <w:rsid w:val="00B47BCF"/>
    <w:rsid w:val="00B47EC0"/>
    <w:rsid w:val="00B51F44"/>
    <w:rsid w:val="00B52CE5"/>
    <w:rsid w:val="00B52D92"/>
    <w:rsid w:val="00B52E0B"/>
    <w:rsid w:val="00B53CA9"/>
    <w:rsid w:val="00B54384"/>
    <w:rsid w:val="00B54454"/>
    <w:rsid w:val="00B54793"/>
    <w:rsid w:val="00B555AD"/>
    <w:rsid w:val="00B5578A"/>
    <w:rsid w:val="00B55851"/>
    <w:rsid w:val="00B565E0"/>
    <w:rsid w:val="00B5664A"/>
    <w:rsid w:val="00B5664B"/>
    <w:rsid w:val="00B56B89"/>
    <w:rsid w:val="00B5743C"/>
    <w:rsid w:val="00B60342"/>
    <w:rsid w:val="00B610E6"/>
    <w:rsid w:val="00B613C0"/>
    <w:rsid w:val="00B6223E"/>
    <w:rsid w:val="00B62D44"/>
    <w:rsid w:val="00B6325F"/>
    <w:rsid w:val="00B63FFE"/>
    <w:rsid w:val="00B64E51"/>
    <w:rsid w:val="00B67BFA"/>
    <w:rsid w:val="00B67C36"/>
    <w:rsid w:val="00B67EE6"/>
    <w:rsid w:val="00B71327"/>
    <w:rsid w:val="00B71ACB"/>
    <w:rsid w:val="00B721FE"/>
    <w:rsid w:val="00B72889"/>
    <w:rsid w:val="00B730EC"/>
    <w:rsid w:val="00B733A5"/>
    <w:rsid w:val="00B73CBF"/>
    <w:rsid w:val="00B73D82"/>
    <w:rsid w:val="00B74044"/>
    <w:rsid w:val="00B74468"/>
    <w:rsid w:val="00B74758"/>
    <w:rsid w:val="00B748A2"/>
    <w:rsid w:val="00B7501A"/>
    <w:rsid w:val="00B7555D"/>
    <w:rsid w:val="00B7557A"/>
    <w:rsid w:val="00B75787"/>
    <w:rsid w:val="00B75ADF"/>
    <w:rsid w:val="00B76298"/>
    <w:rsid w:val="00B762A1"/>
    <w:rsid w:val="00B76419"/>
    <w:rsid w:val="00B76A68"/>
    <w:rsid w:val="00B77074"/>
    <w:rsid w:val="00B770C3"/>
    <w:rsid w:val="00B7785E"/>
    <w:rsid w:val="00B77A91"/>
    <w:rsid w:val="00B80D56"/>
    <w:rsid w:val="00B81269"/>
    <w:rsid w:val="00B818FD"/>
    <w:rsid w:val="00B822A0"/>
    <w:rsid w:val="00B82610"/>
    <w:rsid w:val="00B8280A"/>
    <w:rsid w:val="00B82878"/>
    <w:rsid w:val="00B82A79"/>
    <w:rsid w:val="00B82FE1"/>
    <w:rsid w:val="00B8317E"/>
    <w:rsid w:val="00B836DD"/>
    <w:rsid w:val="00B84964"/>
    <w:rsid w:val="00B84989"/>
    <w:rsid w:val="00B849F6"/>
    <w:rsid w:val="00B85600"/>
    <w:rsid w:val="00B85EC8"/>
    <w:rsid w:val="00B86136"/>
    <w:rsid w:val="00B86E86"/>
    <w:rsid w:val="00B86ED3"/>
    <w:rsid w:val="00B870BB"/>
    <w:rsid w:val="00B90674"/>
    <w:rsid w:val="00B90BBA"/>
    <w:rsid w:val="00B90CDD"/>
    <w:rsid w:val="00B91FD9"/>
    <w:rsid w:val="00B94469"/>
    <w:rsid w:val="00B949B2"/>
    <w:rsid w:val="00B94CD1"/>
    <w:rsid w:val="00B94ED9"/>
    <w:rsid w:val="00B960CC"/>
    <w:rsid w:val="00B96638"/>
    <w:rsid w:val="00B97F30"/>
    <w:rsid w:val="00B97F96"/>
    <w:rsid w:val="00BA00DB"/>
    <w:rsid w:val="00BA0284"/>
    <w:rsid w:val="00BA0327"/>
    <w:rsid w:val="00BA0397"/>
    <w:rsid w:val="00BA206B"/>
    <w:rsid w:val="00BA24AA"/>
    <w:rsid w:val="00BA266B"/>
    <w:rsid w:val="00BA2AFA"/>
    <w:rsid w:val="00BA2F01"/>
    <w:rsid w:val="00BA3C2A"/>
    <w:rsid w:val="00BA4082"/>
    <w:rsid w:val="00BA5AEE"/>
    <w:rsid w:val="00BA5C8C"/>
    <w:rsid w:val="00BA6217"/>
    <w:rsid w:val="00BA6EE7"/>
    <w:rsid w:val="00BA6F20"/>
    <w:rsid w:val="00BA70E0"/>
    <w:rsid w:val="00BA75A7"/>
    <w:rsid w:val="00BA769C"/>
    <w:rsid w:val="00BA7CD5"/>
    <w:rsid w:val="00BB076E"/>
    <w:rsid w:val="00BB0803"/>
    <w:rsid w:val="00BB0936"/>
    <w:rsid w:val="00BB0B19"/>
    <w:rsid w:val="00BB139C"/>
    <w:rsid w:val="00BB1CD0"/>
    <w:rsid w:val="00BB1D10"/>
    <w:rsid w:val="00BB2B61"/>
    <w:rsid w:val="00BB2BD8"/>
    <w:rsid w:val="00BB34F8"/>
    <w:rsid w:val="00BB36E1"/>
    <w:rsid w:val="00BB3799"/>
    <w:rsid w:val="00BB3E4A"/>
    <w:rsid w:val="00BB4264"/>
    <w:rsid w:val="00BB432E"/>
    <w:rsid w:val="00BB4431"/>
    <w:rsid w:val="00BB5446"/>
    <w:rsid w:val="00BB55C5"/>
    <w:rsid w:val="00BB58AF"/>
    <w:rsid w:val="00BB5AC6"/>
    <w:rsid w:val="00BB5C4D"/>
    <w:rsid w:val="00BB6321"/>
    <w:rsid w:val="00BB6C49"/>
    <w:rsid w:val="00BB7A8D"/>
    <w:rsid w:val="00BC0292"/>
    <w:rsid w:val="00BC02C9"/>
    <w:rsid w:val="00BC13F5"/>
    <w:rsid w:val="00BC19F2"/>
    <w:rsid w:val="00BC1C6D"/>
    <w:rsid w:val="00BC1E0A"/>
    <w:rsid w:val="00BC200F"/>
    <w:rsid w:val="00BC2451"/>
    <w:rsid w:val="00BC29B0"/>
    <w:rsid w:val="00BC2CC6"/>
    <w:rsid w:val="00BC35D1"/>
    <w:rsid w:val="00BC37D9"/>
    <w:rsid w:val="00BC390D"/>
    <w:rsid w:val="00BC3952"/>
    <w:rsid w:val="00BC3CFF"/>
    <w:rsid w:val="00BC3F50"/>
    <w:rsid w:val="00BC4504"/>
    <w:rsid w:val="00BC4EE3"/>
    <w:rsid w:val="00BC5470"/>
    <w:rsid w:val="00BC551A"/>
    <w:rsid w:val="00BC5664"/>
    <w:rsid w:val="00BC5BB8"/>
    <w:rsid w:val="00BC5BDA"/>
    <w:rsid w:val="00BC5E34"/>
    <w:rsid w:val="00BC609C"/>
    <w:rsid w:val="00BC62D8"/>
    <w:rsid w:val="00BC6AFE"/>
    <w:rsid w:val="00BC700A"/>
    <w:rsid w:val="00BC76F3"/>
    <w:rsid w:val="00BD01A9"/>
    <w:rsid w:val="00BD02BF"/>
    <w:rsid w:val="00BD0895"/>
    <w:rsid w:val="00BD08BF"/>
    <w:rsid w:val="00BD0E29"/>
    <w:rsid w:val="00BD0EE8"/>
    <w:rsid w:val="00BD1535"/>
    <w:rsid w:val="00BD2035"/>
    <w:rsid w:val="00BD2729"/>
    <w:rsid w:val="00BD2762"/>
    <w:rsid w:val="00BD2C75"/>
    <w:rsid w:val="00BD36C6"/>
    <w:rsid w:val="00BD455F"/>
    <w:rsid w:val="00BD4889"/>
    <w:rsid w:val="00BD52DE"/>
    <w:rsid w:val="00BD547D"/>
    <w:rsid w:val="00BD613B"/>
    <w:rsid w:val="00BD61F9"/>
    <w:rsid w:val="00BD624B"/>
    <w:rsid w:val="00BE015D"/>
    <w:rsid w:val="00BE0AE0"/>
    <w:rsid w:val="00BE1741"/>
    <w:rsid w:val="00BE1780"/>
    <w:rsid w:val="00BE243E"/>
    <w:rsid w:val="00BE2604"/>
    <w:rsid w:val="00BE27DF"/>
    <w:rsid w:val="00BE2863"/>
    <w:rsid w:val="00BE3100"/>
    <w:rsid w:val="00BE3774"/>
    <w:rsid w:val="00BE4DAE"/>
    <w:rsid w:val="00BE5096"/>
    <w:rsid w:val="00BE6744"/>
    <w:rsid w:val="00BE6C60"/>
    <w:rsid w:val="00BE6DC1"/>
    <w:rsid w:val="00BE708D"/>
    <w:rsid w:val="00BE7275"/>
    <w:rsid w:val="00BE72E3"/>
    <w:rsid w:val="00BE747D"/>
    <w:rsid w:val="00BE77AF"/>
    <w:rsid w:val="00BF033F"/>
    <w:rsid w:val="00BF049E"/>
    <w:rsid w:val="00BF0C12"/>
    <w:rsid w:val="00BF0ED9"/>
    <w:rsid w:val="00BF11AF"/>
    <w:rsid w:val="00BF1551"/>
    <w:rsid w:val="00BF15F0"/>
    <w:rsid w:val="00BF1A72"/>
    <w:rsid w:val="00BF21E7"/>
    <w:rsid w:val="00BF2A09"/>
    <w:rsid w:val="00BF3775"/>
    <w:rsid w:val="00BF3889"/>
    <w:rsid w:val="00BF45E2"/>
    <w:rsid w:val="00BF4B69"/>
    <w:rsid w:val="00BF4B72"/>
    <w:rsid w:val="00BF4F25"/>
    <w:rsid w:val="00BF4FEC"/>
    <w:rsid w:val="00BF509B"/>
    <w:rsid w:val="00BF5F73"/>
    <w:rsid w:val="00BF64DA"/>
    <w:rsid w:val="00BF6A2F"/>
    <w:rsid w:val="00BF6BEA"/>
    <w:rsid w:val="00BF7C94"/>
    <w:rsid w:val="00C00597"/>
    <w:rsid w:val="00C01042"/>
    <w:rsid w:val="00C0179E"/>
    <w:rsid w:val="00C0217B"/>
    <w:rsid w:val="00C0293C"/>
    <w:rsid w:val="00C02CA0"/>
    <w:rsid w:val="00C02EE2"/>
    <w:rsid w:val="00C02F95"/>
    <w:rsid w:val="00C032EB"/>
    <w:rsid w:val="00C03931"/>
    <w:rsid w:val="00C0442E"/>
    <w:rsid w:val="00C04919"/>
    <w:rsid w:val="00C04ACE"/>
    <w:rsid w:val="00C058EA"/>
    <w:rsid w:val="00C07161"/>
    <w:rsid w:val="00C07212"/>
    <w:rsid w:val="00C07593"/>
    <w:rsid w:val="00C07721"/>
    <w:rsid w:val="00C07A7E"/>
    <w:rsid w:val="00C07B35"/>
    <w:rsid w:val="00C110C3"/>
    <w:rsid w:val="00C1135B"/>
    <w:rsid w:val="00C11F84"/>
    <w:rsid w:val="00C12599"/>
    <w:rsid w:val="00C12A4C"/>
    <w:rsid w:val="00C12B05"/>
    <w:rsid w:val="00C12E5E"/>
    <w:rsid w:val="00C13162"/>
    <w:rsid w:val="00C1369D"/>
    <w:rsid w:val="00C13C1A"/>
    <w:rsid w:val="00C13CC1"/>
    <w:rsid w:val="00C14845"/>
    <w:rsid w:val="00C14AD0"/>
    <w:rsid w:val="00C151EB"/>
    <w:rsid w:val="00C1595A"/>
    <w:rsid w:val="00C15C8D"/>
    <w:rsid w:val="00C15CE1"/>
    <w:rsid w:val="00C15DEE"/>
    <w:rsid w:val="00C15EF5"/>
    <w:rsid w:val="00C1602F"/>
    <w:rsid w:val="00C167C3"/>
    <w:rsid w:val="00C16FA1"/>
    <w:rsid w:val="00C17A65"/>
    <w:rsid w:val="00C17C92"/>
    <w:rsid w:val="00C20B26"/>
    <w:rsid w:val="00C2111B"/>
    <w:rsid w:val="00C21B90"/>
    <w:rsid w:val="00C227B0"/>
    <w:rsid w:val="00C22824"/>
    <w:rsid w:val="00C2292C"/>
    <w:rsid w:val="00C23394"/>
    <w:rsid w:val="00C23AB8"/>
    <w:rsid w:val="00C2434E"/>
    <w:rsid w:val="00C24796"/>
    <w:rsid w:val="00C256A8"/>
    <w:rsid w:val="00C25911"/>
    <w:rsid w:val="00C25BB3"/>
    <w:rsid w:val="00C25E49"/>
    <w:rsid w:val="00C26C5C"/>
    <w:rsid w:val="00C271E8"/>
    <w:rsid w:val="00C2763B"/>
    <w:rsid w:val="00C301BE"/>
    <w:rsid w:val="00C307B8"/>
    <w:rsid w:val="00C317C1"/>
    <w:rsid w:val="00C318C7"/>
    <w:rsid w:val="00C31DB0"/>
    <w:rsid w:val="00C32319"/>
    <w:rsid w:val="00C32624"/>
    <w:rsid w:val="00C32DCE"/>
    <w:rsid w:val="00C33206"/>
    <w:rsid w:val="00C33343"/>
    <w:rsid w:val="00C334A4"/>
    <w:rsid w:val="00C338B0"/>
    <w:rsid w:val="00C33C5A"/>
    <w:rsid w:val="00C34030"/>
    <w:rsid w:val="00C34A25"/>
    <w:rsid w:val="00C34A28"/>
    <w:rsid w:val="00C35586"/>
    <w:rsid w:val="00C3570E"/>
    <w:rsid w:val="00C359B4"/>
    <w:rsid w:val="00C35A2A"/>
    <w:rsid w:val="00C36551"/>
    <w:rsid w:val="00C40D44"/>
    <w:rsid w:val="00C40E84"/>
    <w:rsid w:val="00C411BF"/>
    <w:rsid w:val="00C413E6"/>
    <w:rsid w:val="00C4161E"/>
    <w:rsid w:val="00C41758"/>
    <w:rsid w:val="00C4181B"/>
    <w:rsid w:val="00C41A08"/>
    <w:rsid w:val="00C41FAC"/>
    <w:rsid w:val="00C42078"/>
    <w:rsid w:val="00C42B74"/>
    <w:rsid w:val="00C42BE8"/>
    <w:rsid w:val="00C43B5F"/>
    <w:rsid w:val="00C43F80"/>
    <w:rsid w:val="00C443FD"/>
    <w:rsid w:val="00C445DD"/>
    <w:rsid w:val="00C44C9B"/>
    <w:rsid w:val="00C451A6"/>
    <w:rsid w:val="00C4528B"/>
    <w:rsid w:val="00C45F83"/>
    <w:rsid w:val="00C4679F"/>
    <w:rsid w:val="00C46E21"/>
    <w:rsid w:val="00C472CC"/>
    <w:rsid w:val="00C473DF"/>
    <w:rsid w:val="00C4786B"/>
    <w:rsid w:val="00C479AD"/>
    <w:rsid w:val="00C47DCA"/>
    <w:rsid w:val="00C47F10"/>
    <w:rsid w:val="00C51BFB"/>
    <w:rsid w:val="00C5209F"/>
    <w:rsid w:val="00C52546"/>
    <w:rsid w:val="00C52762"/>
    <w:rsid w:val="00C559FB"/>
    <w:rsid w:val="00C564A1"/>
    <w:rsid w:val="00C56563"/>
    <w:rsid w:val="00C571E6"/>
    <w:rsid w:val="00C576A7"/>
    <w:rsid w:val="00C57706"/>
    <w:rsid w:val="00C60667"/>
    <w:rsid w:val="00C60E75"/>
    <w:rsid w:val="00C61744"/>
    <w:rsid w:val="00C61A29"/>
    <w:rsid w:val="00C6239C"/>
    <w:rsid w:val="00C62A02"/>
    <w:rsid w:val="00C63478"/>
    <w:rsid w:val="00C63F8F"/>
    <w:rsid w:val="00C64212"/>
    <w:rsid w:val="00C64391"/>
    <w:rsid w:val="00C661E2"/>
    <w:rsid w:val="00C66AA6"/>
    <w:rsid w:val="00C67421"/>
    <w:rsid w:val="00C677AD"/>
    <w:rsid w:val="00C67B10"/>
    <w:rsid w:val="00C67E8C"/>
    <w:rsid w:val="00C70C80"/>
    <w:rsid w:val="00C71B14"/>
    <w:rsid w:val="00C72477"/>
    <w:rsid w:val="00C72875"/>
    <w:rsid w:val="00C72BD8"/>
    <w:rsid w:val="00C73192"/>
    <w:rsid w:val="00C73A3F"/>
    <w:rsid w:val="00C74BD1"/>
    <w:rsid w:val="00C74FBA"/>
    <w:rsid w:val="00C77D93"/>
    <w:rsid w:val="00C77DC5"/>
    <w:rsid w:val="00C808A1"/>
    <w:rsid w:val="00C80E41"/>
    <w:rsid w:val="00C8148F"/>
    <w:rsid w:val="00C81F90"/>
    <w:rsid w:val="00C83137"/>
    <w:rsid w:val="00C835FF"/>
    <w:rsid w:val="00C8399D"/>
    <w:rsid w:val="00C8515C"/>
    <w:rsid w:val="00C8544F"/>
    <w:rsid w:val="00C85612"/>
    <w:rsid w:val="00C85C8C"/>
    <w:rsid w:val="00C864AD"/>
    <w:rsid w:val="00C8662A"/>
    <w:rsid w:val="00C86946"/>
    <w:rsid w:val="00C87708"/>
    <w:rsid w:val="00C87D17"/>
    <w:rsid w:val="00C87E27"/>
    <w:rsid w:val="00C901A8"/>
    <w:rsid w:val="00C912A5"/>
    <w:rsid w:val="00C91A15"/>
    <w:rsid w:val="00C921C0"/>
    <w:rsid w:val="00C923EE"/>
    <w:rsid w:val="00C92971"/>
    <w:rsid w:val="00C9422F"/>
    <w:rsid w:val="00C950EA"/>
    <w:rsid w:val="00C95182"/>
    <w:rsid w:val="00C952E3"/>
    <w:rsid w:val="00C958D0"/>
    <w:rsid w:val="00C95939"/>
    <w:rsid w:val="00C96469"/>
    <w:rsid w:val="00C975E9"/>
    <w:rsid w:val="00C97CC0"/>
    <w:rsid w:val="00CA00E5"/>
    <w:rsid w:val="00CA07B5"/>
    <w:rsid w:val="00CA10AA"/>
    <w:rsid w:val="00CA1891"/>
    <w:rsid w:val="00CA1ACD"/>
    <w:rsid w:val="00CA1F64"/>
    <w:rsid w:val="00CA27F5"/>
    <w:rsid w:val="00CA2931"/>
    <w:rsid w:val="00CA2CC0"/>
    <w:rsid w:val="00CA331B"/>
    <w:rsid w:val="00CA3D2C"/>
    <w:rsid w:val="00CA3F38"/>
    <w:rsid w:val="00CA4384"/>
    <w:rsid w:val="00CA4395"/>
    <w:rsid w:val="00CA4A49"/>
    <w:rsid w:val="00CA4B4F"/>
    <w:rsid w:val="00CA544F"/>
    <w:rsid w:val="00CA54A3"/>
    <w:rsid w:val="00CA5567"/>
    <w:rsid w:val="00CA58F7"/>
    <w:rsid w:val="00CA5997"/>
    <w:rsid w:val="00CA5C46"/>
    <w:rsid w:val="00CA5C95"/>
    <w:rsid w:val="00CA62BD"/>
    <w:rsid w:val="00CA6632"/>
    <w:rsid w:val="00CA6D78"/>
    <w:rsid w:val="00CA738F"/>
    <w:rsid w:val="00CA7583"/>
    <w:rsid w:val="00CA7891"/>
    <w:rsid w:val="00CA7B53"/>
    <w:rsid w:val="00CB0C12"/>
    <w:rsid w:val="00CB1526"/>
    <w:rsid w:val="00CB19CD"/>
    <w:rsid w:val="00CB1A41"/>
    <w:rsid w:val="00CB23D7"/>
    <w:rsid w:val="00CB2853"/>
    <w:rsid w:val="00CB2AF1"/>
    <w:rsid w:val="00CB3A51"/>
    <w:rsid w:val="00CB3DDD"/>
    <w:rsid w:val="00CB3F03"/>
    <w:rsid w:val="00CB4333"/>
    <w:rsid w:val="00CB5323"/>
    <w:rsid w:val="00CB56C9"/>
    <w:rsid w:val="00CB5911"/>
    <w:rsid w:val="00CB6DCC"/>
    <w:rsid w:val="00CB74B3"/>
    <w:rsid w:val="00CB7CAD"/>
    <w:rsid w:val="00CC02BC"/>
    <w:rsid w:val="00CC0307"/>
    <w:rsid w:val="00CC0867"/>
    <w:rsid w:val="00CC08E5"/>
    <w:rsid w:val="00CC0BA2"/>
    <w:rsid w:val="00CC0F82"/>
    <w:rsid w:val="00CC2256"/>
    <w:rsid w:val="00CC22F6"/>
    <w:rsid w:val="00CC267A"/>
    <w:rsid w:val="00CC2734"/>
    <w:rsid w:val="00CC2BDC"/>
    <w:rsid w:val="00CC31FB"/>
    <w:rsid w:val="00CC32EA"/>
    <w:rsid w:val="00CC461C"/>
    <w:rsid w:val="00CC49DF"/>
    <w:rsid w:val="00CC4F56"/>
    <w:rsid w:val="00CC4FCA"/>
    <w:rsid w:val="00CC5138"/>
    <w:rsid w:val="00CC52D6"/>
    <w:rsid w:val="00CC55CE"/>
    <w:rsid w:val="00CC5916"/>
    <w:rsid w:val="00CC64A9"/>
    <w:rsid w:val="00CC6D6A"/>
    <w:rsid w:val="00CC73EF"/>
    <w:rsid w:val="00CC7700"/>
    <w:rsid w:val="00CC7819"/>
    <w:rsid w:val="00CC7F86"/>
    <w:rsid w:val="00CC7FF3"/>
    <w:rsid w:val="00CD0DD9"/>
    <w:rsid w:val="00CD11A2"/>
    <w:rsid w:val="00CD173B"/>
    <w:rsid w:val="00CD2938"/>
    <w:rsid w:val="00CD3542"/>
    <w:rsid w:val="00CD5370"/>
    <w:rsid w:val="00CD57EC"/>
    <w:rsid w:val="00CD5947"/>
    <w:rsid w:val="00CD5A26"/>
    <w:rsid w:val="00CD5F76"/>
    <w:rsid w:val="00CD6697"/>
    <w:rsid w:val="00CD6FC7"/>
    <w:rsid w:val="00CE0229"/>
    <w:rsid w:val="00CE045C"/>
    <w:rsid w:val="00CE070C"/>
    <w:rsid w:val="00CE0DF5"/>
    <w:rsid w:val="00CE10EB"/>
    <w:rsid w:val="00CE1100"/>
    <w:rsid w:val="00CE1991"/>
    <w:rsid w:val="00CE1D1C"/>
    <w:rsid w:val="00CE24D3"/>
    <w:rsid w:val="00CE291D"/>
    <w:rsid w:val="00CE369B"/>
    <w:rsid w:val="00CE3B0A"/>
    <w:rsid w:val="00CE42BA"/>
    <w:rsid w:val="00CE4B1A"/>
    <w:rsid w:val="00CE5458"/>
    <w:rsid w:val="00CE5469"/>
    <w:rsid w:val="00CE5798"/>
    <w:rsid w:val="00CE5BB6"/>
    <w:rsid w:val="00CE5C05"/>
    <w:rsid w:val="00CE5CFB"/>
    <w:rsid w:val="00CE6812"/>
    <w:rsid w:val="00CE6C46"/>
    <w:rsid w:val="00CE6D7E"/>
    <w:rsid w:val="00CE70F7"/>
    <w:rsid w:val="00CE7795"/>
    <w:rsid w:val="00CE78C2"/>
    <w:rsid w:val="00CE7919"/>
    <w:rsid w:val="00CF005F"/>
    <w:rsid w:val="00CF095E"/>
    <w:rsid w:val="00CF0D51"/>
    <w:rsid w:val="00CF10DB"/>
    <w:rsid w:val="00CF113C"/>
    <w:rsid w:val="00CF17C1"/>
    <w:rsid w:val="00CF1AAE"/>
    <w:rsid w:val="00CF1D6A"/>
    <w:rsid w:val="00CF1FCA"/>
    <w:rsid w:val="00CF2591"/>
    <w:rsid w:val="00CF29F0"/>
    <w:rsid w:val="00CF355B"/>
    <w:rsid w:val="00CF37A5"/>
    <w:rsid w:val="00CF4087"/>
    <w:rsid w:val="00CF47A4"/>
    <w:rsid w:val="00CF494C"/>
    <w:rsid w:val="00CF4F02"/>
    <w:rsid w:val="00CF584F"/>
    <w:rsid w:val="00CF60FD"/>
    <w:rsid w:val="00CF6339"/>
    <w:rsid w:val="00CF6E4A"/>
    <w:rsid w:val="00CF7364"/>
    <w:rsid w:val="00CF7FD8"/>
    <w:rsid w:val="00D0009A"/>
    <w:rsid w:val="00D0031D"/>
    <w:rsid w:val="00D015AF"/>
    <w:rsid w:val="00D01646"/>
    <w:rsid w:val="00D02404"/>
    <w:rsid w:val="00D02982"/>
    <w:rsid w:val="00D02FDC"/>
    <w:rsid w:val="00D034DD"/>
    <w:rsid w:val="00D03ED0"/>
    <w:rsid w:val="00D04708"/>
    <w:rsid w:val="00D050C4"/>
    <w:rsid w:val="00D0586A"/>
    <w:rsid w:val="00D06950"/>
    <w:rsid w:val="00D07130"/>
    <w:rsid w:val="00D1062F"/>
    <w:rsid w:val="00D1147B"/>
    <w:rsid w:val="00D11955"/>
    <w:rsid w:val="00D1218C"/>
    <w:rsid w:val="00D1269D"/>
    <w:rsid w:val="00D13838"/>
    <w:rsid w:val="00D13A3D"/>
    <w:rsid w:val="00D14371"/>
    <w:rsid w:val="00D148B7"/>
    <w:rsid w:val="00D14C5F"/>
    <w:rsid w:val="00D15518"/>
    <w:rsid w:val="00D15884"/>
    <w:rsid w:val="00D16116"/>
    <w:rsid w:val="00D16530"/>
    <w:rsid w:val="00D16D24"/>
    <w:rsid w:val="00D16FC6"/>
    <w:rsid w:val="00D1718B"/>
    <w:rsid w:val="00D17275"/>
    <w:rsid w:val="00D17A8D"/>
    <w:rsid w:val="00D203BA"/>
    <w:rsid w:val="00D20428"/>
    <w:rsid w:val="00D21DA2"/>
    <w:rsid w:val="00D21E5C"/>
    <w:rsid w:val="00D227A3"/>
    <w:rsid w:val="00D22AA3"/>
    <w:rsid w:val="00D22D89"/>
    <w:rsid w:val="00D23D88"/>
    <w:rsid w:val="00D23DE6"/>
    <w:rsid w:val="00D23F93"/>
    <w:rsid w:val="00D245E1"/>
    <w:rsid w:val="00D25941"/>
    <w:rsid w:val="00D25946"/>
    <w:rsid w:val="00D2646B"/>
    <w:rsid w:val="00D26C74"/>
    <w:rsid w:val="00D26E12"/>
    <w:rsid w:val="00D26F23"/>
    <w:rsid w:val="00D30259"/>
    <w:rsid w:val="00D30829"/>
    <w:rsid w:val="00D309BF"/>
    <w:rsid w:val="00D31139"/>
    <w:rsid w:val="00D31726"/>
    <w:rsid w:val="00D31C39"/>
    <w:rsid w:val="00D331EC"/>
    <w:rsid w:val="00D3387E"/>
    <w:rsid w:val="00D33F4F"/>
    <w:rsid w:val="00D34874"/>
    <w:rsid w:val="00D34DFE"/>
    <w:rsid w:val="00D351F5"/>
    <w:rsid w:val="00D35203"/>
    <w:rsid w:val="00D3637C"/>
    <w:rsid w:val="00D36580"/>
    <w:rsid w:val="00D36ACA"/>
    <w:rsid w:val="00D376F2"/>
    <w:rsid w:val="00D377AB"/>
    <w:rsid w:val="00D37AEC"/>
    <w:rsid w:val="00D42698"/>
    <w:rsid w:val="00D42B8C"/>
    <w:rsid w:val="00D4339C"/>
    <w:rsid w:val="00D437CB"/>
    <w:rsid w:val="00D43C4C"/>
    <w:rsid w:val="00D43D15"/>
    <w:rsid w:val="00D44C58"/>
    <w:rsid w:val="00D44C6E"/>
    <w:rsid w:val="00D4522D"/>
    <w:rsid w:val="00D45A16"/>
    <w:rsid w:val="00D45ABA"/>
    <w:rsid w:val="00D47324"/>
    <w:rsid w:val="00D47507"/>
    <w:rsid w:val="00D4755B"/>
    <w:rsid w:val="00D50945"/>
    <w:rsid w:val="00D51713"/>
    <w:rsid w:val="00D51851"/>
    <w:rsid w:val="00D523D5"/>
    <w:rsid w:val="00D526EA"/>
    <w:rsid w:val="00D52796"/>
    <w:rsid w:val="00D5293D"/>
    <w:rsid w:val="00D52AAC"/>
    <w:rsid w:val="00D531E0"/>
    <w:rsid w:val="00D533FA"/>
    <w:rsid w:val="00D540D6"/>
    <w:rsid w:val="00D543BC"/>
    <w:rsid w:val="00D54ED3"/>
    <w:rsid w:val="00D55192"/>
    <w:rsid w:val="00D55774"/>
    <w:rsid w:val="00D561BB"/>
    <w:rsid w:val="00D565AA"/>
    <w:rsid w:val="00D57494"/>
    <w:rsid w:val="00D60498"/>
    <w:rsid w:val="00D61786"/>
    <w:rsid w:val="00D61838"/>
    <w:rsid w:val="00D61AA7"/>
    <w:rsid w:val="00D61FA4"/>
    <w:rsid w:val="00D61FB3"/>
    <w:rsid w:val="00D621C4"/>
    <w:rsid w:val="00D62A07"/>
    <w:rsid w:val="00D62A33"/>
    <w:rsid w:val="00D62BC5"/>
    <w:rsid w:val="00D62ED8"/>
    <w:rsid w:val="00D62EE2"/>
    <w:rsid w:val="00D6328F"/>
    <w:rsid w:val="00D63B39"/>
    <w:rsid w:val="00D642F8"/>
    <w:rsid w:val="00D64EE4"/>
    <w:rsid w:val="00D66928"/>
    <w:rsid w:val="00D66CDE"/>
    <w:rsid w:val="00D677F7"/>
    <w:rsid w:val="00D7062E"/>
    <w:rsid w:val="00D70843"/>
    <w:rsid w:val="00D70AA1"/>
    <w:rsid w:val="00D70DD7"/>
    <w:rsid w:val="00D7125C"/>
    <w:rsid w:val="00D71468"/>
    <w:rsid w:val="00D71F79"/>
    <w:rsid w:val="00D724FB"/>
    <w:rsid w:val="00D72ABF"/>
    <w:rsid w:val="00D72D86"/>
    <w:rsid w:val="00D7325C"/>
    <w:rsid w:val="00D74732"/>
    <w:rsid w:val="00D74C95"/>
    <w:rsid w:val="00D75758"/>
    <w:rsid w:val="00D757C9"/>
    <w:rsid w:val="00D75A10"/>
    <w:rsid w:val="00D76359"/>
    <w:rsid w:val="00D766DF"/>
    <w:rsid w:val="00D76BD4"/>
    <w:rsid w:val="00D76C7D"/>
    <w:rsid w:val="00D7746E"/>
    <w:rsid w:val="00D806F4"/>
    <w:rsid w:val="00D80723"/>
    <w:rsid w:val="00D80819"/>
    <w:rsid w:val="00D80B56"/>
    <w:rsid w:val="00D835D9"/>
    <w:rsid w:val="00D84715"/>
    <w:rsid w:val="00D847FD"/>
    <w:rsid w:val="00D849A3"/>
    <w:rsid w:val="00D8650F"/>
    <w:rsid w:val="00D867AA"/>
    <w:rsid w:val="00D86A20"/>
    <w:rsid w:val="00D86A55"/>
    <w:rsid w:val="00D86A7E"/>
    <w:rsid w:val="00D86C28"/>
    <w:rsid w:val="00D87149"/>
    <w:rsid w:val="00D87264"/>
    <w:rsid w:val="00D87BF6"/>
    <w:rsid w:val="00D87D53"/>
    <w:rsid w:val="00D90791"/>
    <w:rsid w:val="00D9093A"/>
    <w:rsid w:val="00D90C3D"/>
    <w:rsid w:val="00D9185A"/>
    <w:rsid w:val="00D918DF"/>
    <w:rsid w:val="00D91F73"/>
    <w:rsid w:val="00D93196"/>
    <w:rsid w:val="00D95435"/>
    <w:rsid w:val="00D95BF8"/>
    <w:rsid w:val="00D962E8"/>
    <w:rsid w:val="00D96408"/>
    <w:rsid w:val="00D96D64"/>
    <w:rsid w:val="00D9714A"/>
    <w:rsid w:val="00D97A7E"/>
    <w:rsid w:val="00DA0141"/>
    <w:rsid w:val="00DA0365"/>
    <w:rsid w:val="00DA0423"/>
    <w:rsid w:val="00DA11FB"/>
    <w:rsid w:val="00DA1454"/>
    <w:rsid w:val="00DA19E9"/>
    <w:rsid w:val="00DA27E3"/>
    <w:rsid w:val="00DA2FBE"/>
    <w:rsid w:val="00DA437B"/>
    <w:rsid w:val="00DA463E"/>
    <w:rsid w:val="00DA4722"/>
    <w:rsid w:val="00DA4C5B"/>
    <w:rsid w:val="00DA4F65"/>
    <w:rsid w:val="00DA52CC"/>
    <w:rsid w:val="00DA64C4"/>
    <w:rsid w:val="00DA72DA"/>
    <w:rsid w:val="00DB08CD"/>
    <w:rsid w:val="00DB0A95"/>
    <w:rsid w:val="00DB0D63"/>
    <w:rsid w:val="00DB0F55"/>
    <w:rsid w:val="00DB1496"/>
    <w:rsid w:val="00DB1F61"/>
    <w:rsid w:val="00DB1F6F"/>
    <w:rsid w:val="00DB2A65"/>
    <w:rsid w:val="00DB312F"/>
    <w:rsid w:val="00DB3BA9"/>
    <w:rsid w:val="00DB3D1E"/>
    <w:rsid w:val="00DB3FAD"/>
    <w:rsid w:val="00DB47AB"/>
    <w:rsid w:val="00DB62D2"/>
    <w:rsid w:val="00DB66CA"/>
    <w:rsid w:val="00DB67E7"/>
    <w:rsid w:val="00DB6AC9"/>
    <w:rsid w:val="00DB6B02"/>
    <w:rsid w:val="00DB70B1"/>
    <w:rsid w:val="00DB7117"/>
    <w:rsid w:val="00DB7152"/>
    <w:rsid w:val="00DB74BD"/>
    <w:rsid w:val="00DC09DF"/>
    <w:rsid w:val="00DC0BDB"/>
    <w:rsid w:val="00DC168F"/>
    <w:rsid w:val="00DC1AD3"/>
    <w:rsid w:val="00DC1DA0"/>
    <w:rsid w:val="00DC26A3"/>
    <w:rsid w:val="00DC2EEB"/>
    <w:rsid w:val="00DC4741"/>
    <w:rsid w:val="00DC4E17"/>
    <w:rsid w:val="00DC5AAB"/>
    <w:rsid w:val="00DC5B84"/>
    <w:rsid w:val="00DC62E0"/>
    <w:rsid w:val="00DD00FD"/>
    <w:rsid w:val="00DD03B0"/>
    <w:rsid w:val="00DD1263"/>
    <w:rsid w:val="00DD1778"/>
    <w:rsid w:val="00DD1DFD"/>
    <w:rsid w:val="00DD2892"/>
    <w:rsid w:val="00DD2FBF"/>
    <w:rsid w:val="00DD3594"/>
    <w:rsid w:val="00DD3EE2"/>
    <w:rsid w:val="00DD41DB"/>
    <w:rsid w:val="00DD485C"/>
    <w:rsid w:val="00DD5127"/>
    <w:rsid w:val="00DD54BA"/>
    <w:rsid w:val="00DD583E"/>
    <w:rsid w:val="00DD5AB9"/>
    <w:rsid w:val="00DD5F09"/>
    <w:rsid w:val="00DD67D6"/>
    <w:rsid w:val="00DD67E0"/>
    <w:rsid w:val="00DD7227"/>
    <w:rsid w:val="00DD72CB"/>
    <w:rsid w:val="00DD7FF7"/>
    <w:rsid w:val="00DE0080"/>
    <w:rsid w:val="00DE06E6"/>
    <w:rsid w:val="00DE0EA0"/>
    <w:rsid w:val="00DE10D6"/>
    <w:rsid w:val="00DE1665"/>
    <w:rsid w:val="00DE17F9"/>
    <w:rsid w:val="00DE1814"/>
    <w:rsid w:val="00DE18B7"/>
    <w:rsid w:val="00DE308A"/>
    <w:rsid w:val="00DE3C00"/>
    <w:rsid w:val="00DE3CC0"/>
    <w:rsid w:val="00DE450F"/>
    <w:rsid w:val="00DE471A"/>
    <w:rsid w:val="00DE5B4A"/>
    <w:rsid w:val="00DE6606"/>
    <w:rsid w:val="00DE6AD7"/>
    <w:rsid w:val="00DE6B0A"/>
    <w:rsid w:val="00DE6CC2"/>
    <w:rsid w:val="00DE714E"/>
    <w:rsid w:val="00DE75BF"/>
    <w:rsid w:val="00DE76B8"/>
    <w:rsid w:val="00DE7C91"/>
    <w:rsid w:val="00DF04BD"/>
    <w:rsid w:val="00DF0B08"/>
    <w:rsid w:val="00DF16F9"/>
    <w:rsid w:val="00DF1E37"/>
    <w:rsid w:val="00DF1E3C"/>
    <w:rsid w:val="00DF1FB2"/>
    <w:rsid w:val="00DF292F"/>
    <w:rsid w:val="00DF2E86"/>
    <w:rsid w:val="00DF409F"/>
    <w:rsid w:val="00DF49E3"/>
    <w:rsid w:val="00DF5039"/>
    <w:rsid w:val="00DF53FE"/>
    <w:rsid w:val="00DF5BC7"/>
    <w:rsid w:val="00DF6248"/>
    <w:rsid w:val="00DF6398"/>
    <w:rsid w:val="00DF63A0"/>
    <w:rsid w:val="00DF643B"/>
    <w:rsid w:val="00DF685A"/>
    <w:rsid w:val="00DF7176"/>
    <w:rsid w:val="00DF7490"/>
    <w:rsid w:val="00DF7978"/>
    <w:rsid w:val="00E009D8"/>
    <w:rsid w:val="00E01A37"/>
    <w:rsid w:val="00E01EA6"/>
    <w:rsid w:val="00E0207A"/>
    <w:rsid w:val="00E025E3"/>
    <w:rsid w:val="00E0369F"/>
    <w:rsid w:val="00E0435C"/>
    <w:rsid w:val="00E04520"/>
    <w:rsid w:val="00E047BF"/>
    <w:rsid w:val="00E0596A"/>
    <w:rsid w:val="00E05B08"/>
    <w:rsid w:val="00E05FB0"/>
    <w:rsid w:val="00E06098"/>
    <w:rsid w:val="00E060DB"/>
    <w:rsid w:val="00E06773"/>
    <w:rsid w:val="00E072ED"/>
    <w:rsid w:val="00E07447"/>
    <w:rsid w:val="00E075E9"/>
    <w:rsid w:val="00E0773D"/>
    <w:rsid w:val="00E07970"/>
    <w:rsid w:val="00E07C00"/>
    <w:rsid w:val="00E07CC1"/>
    <w:rsid w:val="00E119CE"/>
    <w:rsid w:val="00E11A27"/>
    <w:rsid w:val="00E11E8B"/>
    <w:rsid w:val="00E12462"/>
    <w:rsid w:val="00E12610"/>
    <w:rsid w:val="00E12767"/>
    <w:rsid w:val="00E1281C"/>
    <w:rsid w:val="00E12B0C"/>
    <w:rsid w:val="00E13344"/>
    <w:rsid w:val="00E13487"/>
    <w:rsid w:val="00E1350E"/>
    <w:rsid w:val="00E14379"/>
    <w:rsid w:val="00E14E62"/>
    <w:rsid w:val="00E1566C"/>
    <w:rsid w:val="00E15A33"/>
    <w:rsid w:val="00E15A80"/>
    <w:rsid w:val="00E15D0B"/>
    <w:rsid w:val="00E1610A"/>
    <w:rsid w:val="00E17E76"/>
    <w:rsid w:val="00E201AC"/>
    <w:rsid w:val="00E20654"/>
    <w:rsid w:val="00E20BE1"/>
    <w:rsid w:val="00E20E0B"/>
    <w:rsid w:val="00E212D7"/>
    <w:rsid w:val="00E2199A"/>
    <w:rsid w:val="00E21BE2"/>
    <w:rsid w:val="00E227CF"/>
    <w:rsid w:val="00E22918"/>
    <w:rsid w:val="00E23135"/>
    <w:rsid w:val="00E232C4"/>
    <w:rsid w:val="00E2340C"/>
    <w:rsid w:val="00E23ECC"/>
    <w:rsid w:val="00E26757"/>
    <w:rsid w:val="00E26B6D"/>
    <w:rsid w:val="00E26CCE"/>
    <w:rsid w:val="00E27307"/>
    <w:rsid w:val="00E27361"/>
    <w:rsid w:val="00E279D8"/>
    <w:rsid w:val="00E30284"/>
    <w:rsid w:val="00E30648"/>
    <w:rsid w:val="00E30ECA"/>
    <w:rsid w:val="00E3137A"/>
    <w:rsid w:val="00E31FAE"/>
    <w:rsid w:val="00E32ADE"/>
    <w:rsid w:val="00E32C1A"/>
    <w:rsid w:val="00E32D6A"/>
    <w:rsid w:val="00E32FA8"/>
    <w:rsid w:val="00E33217"/>
    <w:rsid w:val="00E338CB"/>
    <w:rsid w:val="00E342E7"/>
    <w:rsid w:val="00E34611"/>
    <w:rsid w:val="00E35208"/>
    <w:rsid w:val="00E356C4"/>
    <w:rsid w:val="00E36006"/>
    <w:rsid w:val="00E3633A"/>
    <w:rsid w:val="00E36733"/>
    <w:rsid w:val="00E368A1"/>
    <w:rsid w:val="00E36C1E"/>
    <w:rsid w:val="00E373D9"/>
    <w:rsid w:val="00E378F2"/>
    <w:rsid w:val="00E37B78"/>
    <w:rsid w:val="00E400C6"/>
    <w:rsid w:val="00E4065D"/>
    <w:rsid w:val="00E41C88"/>
    <w:rsid w:val="00E41FCD"/>
    <w:rsid w:val="00E42B3D"/>
    <w:rsid w:val="00E42B4D"/>
    <w:rsid w:val="00E43348"/>
    <w:rsid w:val="00E43477"/>
    <w:rsid w:val="00E4471F"/>
    <w:rsid w:val="00E448BB"/>
    <w:rsid w:val="00E456E4"/>
    <w:rsid w:val="00E45A6F"/>
    <w:rsid w:val="00E460CB"/>
    <w:rsid w:val="00E462E9"/>
    <w:rsid w:val="00E46755"/>
    <w:rsid w:val="00E46EDD"/>
    <w:rsid w:val="00E47009"/>
    <w:rsid w:val="00E470F7"/>
    <w:rsid w:val="00E47277"/>
    <w:rsid w:val="00E477D2"/>
    <w:rsid w:val="00E47BA5"/>
    <w:rsid w:val="00E47E14"/>
    <w:rsid w:val="00E50071"/>
    <w:rsid w:val="00E50574"/>
    <w:rsid w:val="00E50682"/>
    <w:rsid w:val="00E5232F"/>
    <w:rsid w:val="00E53553"/>
    <w:rsid w:val="00E5443B"/>
    <w:rsid w:val="00E55669"/>
    <w:rsid w:val="00E55836"/>
    <w:rsid w:val="00E56801"/>
    <w:rsid w:val="00E56BB9"/>
    <w:rsid w:val="00E6070C"/>
    <w:rsid w:val="00E612C6"/>
    <w:rsid w:val="00E61CC4"/>
    <w:rsid w:val="00E62420"/>
    <w:rsid w:val="00E62B8D"/>
    <w:rsid w:val="00E62C64"/>
    <w:rsid w:val="00E63E4A"/>
    <w:rsid w:val="00E64170"/>
    <w:rsid w:val="00E64430"/>
    <w:rsid w:val="00E64866"/>
    <w:rsid w:val="00E64E2D"/>
    <w:rsid w:val="00E650EC"/>
    <w:rsid w:val="00E6534A"/>
    <w:rsid w:val="00E6554A"/>
    <w:rsid w:val="00E65C32"/>
    <w:rsid w:val="00E65F77"/>
    <w:rsid w:val="00E665D0"/>
    <w:rsid w:val="00E6759D"/>
    <w:rsid w:val="00E67618"/>
    <w:rsid w:val="00E67929"/>
    <w:rsid w:val="00E704F3"/>
    <w:rsid w:val="00E70799"/>
    <w:rsid w:val="00E71A62"/>
    <w:rsid w:val="00E71BD3"/>
    <w:rsid w:val="00E71F11"/>
    <w:rsid w:val="00E72580"/>
    <w:rsid w:val="00E729FD"/>
    <w:rsid w:val="00E72D8A"/>
    <w:rsid w:val="00E72D9C"/>
    <w:rsid w:val="00E732C4"/>
    <w:rsid w:val="00E73D4D"/>
    <w:rsid w:val="00E7416F"/>
    <w:rsid w:val="00E74EA5"/>
    <w:rsid w:val="00E75142"/>
    <w:rsid w:val="00E753DC"/>
    <w:rsid w:val="00E7642B"/>
    <w:rsid w:val="00E76527"/>
    <w:rsid w:val="00E766AF"/>
    <w:rsid w:val="00E77827"/>
    <w:rsid w:val="00E77DFD"/>
    <w:rsid w:val="00E808D9"/>
    <w:rsid w:val="00E83596"/>
    <w:rsid w:val="00E83CFA"/>
    <w:rsid w:val="00E84D44"/>
    <w:rsid w:val="00E84E78"/>
    <w:rsid w:val="00E8562C"/>
    <w:rsid w:val="00E8667C"/>
    <w:rsid w:val="00E868E0"/>
    <w:rsid w:val="00E8697A"/>
    <w:rsid w:val="00E874A2"/>
    <w:rsid w:val="00E876D0"/>
    <w:rsid w:val="00E9099D"/>
    <w:rsid w:val="00E912C9"/>
    <w:rsid w:val="00E91973"/>
    <w:rsid w:val="00E92283"/>
    <w:rsid w:val="00E928E5"/>
    <w:rsid w:val="00E92B6D"/>
    <w:rsid w:val="00E9339B"/>
    <w:rsid w:val="00E93600"/>
    <w:rsid w:val="00E941D9"/>
    <w:rsid w:val="00E945DA"/>
    <w:rsid w:val="00E94640"/>
    <w:rsid w:val="00E94DA4"/>
    <w:rsid w:val="00E950BE"/>
    <w:rsid w:val="00E953E7"/>
    <w:rsid w:val="00E959DC"/>
    <w:rsid w:val="00E959E8"/>
    <w:rsid w:val="00E95BFE"/>
    <w:rsid w:val="00E95F32"/>
    <w:rsid w:val="00E9617D"/>
    <w:rsid w:val="00E96AB2"/>
    <w:rsid w:val="00E9775A"/>
    <w:rsid w:val="00EA06EE"/>
    <w:rsid w:val="00EA152F"/>
    <w:rsid w:val="00EA1555"/>
    <w:rsid w:val="00EA2758"/>
    <w:rsid w:val="00EA2ACD"/>
    <w:rsid w:val="00EA2CE6"/>
    <w:rsid w:val="00EA2D4E"/>
    <w:rsid w:val="00EA2E78"/>
    <w:rsid w:val="00EA33F6"/>
    <w:rsid w:val="00EA3C02"/>
    <w:rsid w:val="00EA3E8C"/>
    <w:rsid w:val="00EA3FF5"/>
    <w:rsid w:val="00EA40F1"/>
    <w:rsid w:val="00EA4150"/>
    <w:rsid w:val="00EA59A6"/>
    <w:rsid w:val="00EA5F7B"/>
    <w:rsid w:val="00EA67D5"/>
    <w:rsid w:val="00EA6B28"/>
    <w:rsid w:val="00EA7D77"/>
    <w:rsid w:val="00EB010C"/>
    <w:rsid w:val="00EB05F4"/>
    <w:rsid w:val="00EB0B15"/>
    <w:rsid w:val="00EB0EFB"/>
    <w:rsid w:val="00EB2DE2"/>
    <w:rsid w:val="00EB3039"/>
    <w:rsid w:val="00EB3172"/>
    <w:rsid w:val="00EB3373"/>
    <w:rsid w:val="00EB3834"/>
    <w:rsid w:val="00EB3F88"/>
    <w:rsid w:val="00EB4ED3"/>
    <w:rsid w:val="00EB5566"/>
    <w:rsid w:val="00EB58F0"/>
    <w:rsid w:val="00EB5EBD"/>
    <w:rsid w:val="00EB6284"/>
    <w:rsid w:val="00EB67D8"/>
    <w:rsid w:val="00EB706B"/>
    <w:rsid w:val="00EB7372"/>
    <w:rsid w:val="00EB757E"/>
    <w:rsid w:val="00EB7A4F"/>
    <w:rsid w:val="00EC0703"/>
    <w:rsid w:val="00EC08CF"/>
    <w:rsid w:val="00EC0CDC"/>
    <w:rsid w:val="00EC1332"/>
    <w:rsid w:val="00EC2639"/>
    <w:rsid w:val="00EC2671"/>
    <w:rsid w:val="00EC276F"/>
    <w:rsid w:val="00EC2F73"/>
    <w:rsid w:val="00EC33E1"/>
    <w:rsid w:val="00EC39EF"/>
    <w:rsid w:val="00EC485D"/>
    <w:rsid w:val="00EC4AA8"/>
    <w:rsid w:val="00EC67D2"/>
    <w:rsid w:val="00EC79CC"/>
    <w:rsid w:val="00EC7E5B"/>
    <w:rsid w:val="00ED139A"/>
    <w:rsid w:val="00ED14CE"/>
    <w:rsid w:val="00ED1E09"/>
    <w:rsid w:val="00ED201F"/>
    <w:rsid w:val="00ED22C3"/>
    <w:rsid w:val="00ED2AF4"/>
    <w:rsid w:val="00ED2D40"/>
    <w:rsid w:val="00ED325E"/>
    <w:rsid w:val="00ED337F"/>
    <w:rsid w:val="00ED34A7"/>
    <w:rsid w:val="00ED4C10"/>
    <w:rsid w:val="00ED5A61"/>
    <w:rsid w:val="00ED5A6C"/>
    <w:rsid w:val="00ED6632"/>
    <w:rsid w:val="00ED668C"/>
    <w:rsid w:val="00ED6BF6"/>
    <w:rsid w:val="00ED6C7A"/>
    <w:rsid w:val="00ED749B"/>
    <w:rsid w:val="00ED7591"/>
    <w:rsid w:val="00EE0183"/>
    <w:rsid w:val="00EE0AC7"/>
    <w:rsid w:val="00EE120E"/>
    <w:rsid w:val="00EE176C"/>
    <w:rsid w:val="00EE289E"/>
    <w:rsid w:val="00EE2B69"/>
    <w:rsid w:val="00EE3466"/>
    <w:rsid w:val="00EE34F2"/>
    <w:rsid w:val="00EE43C8"/>
    <w:rsid w:val="00EE446B"/>
    <w:rsid w:val="00EE44AB"/>
    <w:rsid w:val="00EE4599"/>
    <w:rsid w:val="00EE478B"/>
    <w:rsid w:val="00EE54C4"/>
    <w:rsid w:val="00EE6370"/>
    <w:rsid w:val="00EE751C"/>
    <w:rsid w:val="00EE756B"/>
    <w:rsid w:val="00EE78F6"/>
    <w:rsid w:val="00EF0357"/>
    <w:rsid w:val="00EF04A6"/>
    <w:rsid w:val="00EF0711"/>
    <w:rsid w:val="00EF1C40"/>
    <w:rsid w:val="00EF22C8"/>
    <w:rsid w:val="00EF2635"/>
    <w:rsid w:val="00EF26D5"/>
    <w:rsid w:val="00EF27CD"/>
    <w:rsid w:val="00EF4262"/>
    <w:rsid w:val="00EF466D"/>
    <w:rsid w:val="00EF4BBF"/>
    <w:rsid w:val="00EF4E2B"/>
    <w:rsid w:val="00EF5C3F"/>
    <w:rsid w:val="00EF5E40"/>
    <w:rsid w:val="00EF604F"/>
    <w:rsid w:val="00EF686C"/>
    <w:rsid w:val="00EF74B2"/>
    <w:rsid w:val="00EF7753"/>
    <w:rsid w:val="00EF7F10"/>
    <w:rsid w:val="00F006F6"/>
    <w:rsid w:val="00F01834"/>
    <w:rsid w:val="00F024BD"/>
    <w:rsid w:val="00F026BD"/>
    <w:rsid w:val="00F02A05"/>
    <w:rsid w:val="00F02B8F"/>
    <w:rsid w:val="00F039FC"/>
    <w:rsid w:val="00F0403A"/>
    <w:rsid w:val="00F04198"/>
    <w:rsid w:val="00F04D1D"/>
    <w:rsid w:val="00F0590D"/>
    <w:rsid w:val="00F061C4"/>
    <w:rsid w:val="00F0661A"/>
    <w:rsid w:val="00F0703C"/>
    <w:rsid w:val="00F10124"/>
    <w:rsid w:val="00F106DC"/>
    <w:rsid w:val="00F10C31"/>
    <w:rsid w:val="00F10EF2"/>
    <w:rsid w:val="00F11053"/>
    <w:rsid w:val="00F1194B"/>
    <w:rsid w:val="00F119CF"/>
    <w:rsid w:val="00F11B71"/>
    <w:rsid w:val="00F120EB"/>
    <w:rsid w:val="00F1220B"/>
    <w:rsid w:val="00F1357D"/>
    <w:rsid w:val="00F13765"/>
    <w:rsid w:val="00F13BC3"/>
    <w:rsid w:val="00F13D9F"/>
    <w:rsid w:val="00F147DC"/>
    <w:rsid w:val="00F15133"/>
    <w:rsid w:val="00F15166"/>
    <w:rsid w:val="00F15B11"/>
    <w:rsid w:val="00F15E67"/>
    <w:rsid w:val="00F16259"/>
    <w:rsid w:val="00F16341"/>
    <w:rsid w:val="00F20733"/>
    <w:rsid w:val="00F20979"/>
    <w:rsid w:val="00F222DC"/>
    <w:rsid w:val="00F223D7"/>
    <w:rsid w:val="00F22784"/>
    <w:rsid w:val="00F22F29"/>
    <w:rsid w:val="00F23263"/>
    <w:rsid w:val="00F2354F"/>
    <w:rsid w:val="00F237BA"/>
    <w:rsid w:val="00F24ABF"/>
    <w:rsid w:val="00F24B12"/>
    <w:rsid w:val="00F24B9A"/>
    <w:rsid w:val="00F252DB"/>
    <w:rsid w:val="00F25679"/>
    <w:rsid w:val="00F2567E"/>
    <w:rsid w:val="00F26105"/>
    <w:rsid w:val="00F26369"/>
    <w:rsid w:val="00F26B57"/>
    <w:rsid w:val="00F26DB5"/>
    <w:rsid w:val="00F27068"/>
    <w:rsid w:val="00F27865"/>
    <w:rsid w:val="00F27875"/>
    <w:rsid w:val="00F30B2E"/>
    <w:rsid w:val="00F30E75"/>
    <w:rsid w:val="00F30E8D"/>
    <w:rsid w:val="00F31A44"/>
    <w:rsid w:val="00F31FFD"/>
    <w:rsid w:val="00F336E0"/>
    <w:rsid w:val="00F33AC7"/>
    <w:rsid w:val="00F34694"/>
    <w:rsid w:val="00F34BD5"/>
    <w:rsid w:val="00F34C96"/>
    <w:rsid w:val="00F34D19"/>
    <w:rsid w:val="00F3502C"/>
    <w:rsid w:val="00F365C2"/>
    <w:rsid w:val="00F36C98"/>
    <w:rsid w:val="00F37EC9"/>
    <w:rsid w:val="00F400E9"/>
    <w:rsid w:val="00F40E28"/>
    <w:rsid w:val="00F41A58"/>
    <w:rsid w:val="00F423FA"/>
    <w:rsid w:val="00F43490"/>
    <w:rsid w:val="00F43F34"/>
    <w:rsid w:val="00F441C1"/>
    <w:rsid w:val="00F4466C"/>
    <w:rsid w:val="00F44678"/>
    <w:rsid w:val="00F45E4D"/>
    <w:rsid w:val="00F468A2"/>
    <w:rsid w:val="00F5025A"/>
    <w:rsid w:val="00F5082F"/>
    <w:rsid w:val="00F5170C"/>
    <w:rsid w:val="00F51C32"/>
    <w:rsid w:val="00F51E32"/>
    <w:rsid w:val="00F52177"/>
    <w:rsid w:val="00F53F22"/>
    <w:rsid w:val="00F54CF5"/>
    <w:rsid w:val="00F55714"/>
    <w:rsid w:val="00F55F73"/>
    <w:rsid w:val="00F57025"/>
    <w:rsid w:val="00F57487"/>
    <w:rsid w:val="00F60229"/>
    <w:rsid w:val="00F60887"/>
    <w:rsid w:val="00F61DDA"/>
    <w:rsid w:val="00F635A6"/>
    <w:rsid w:val="00F63D9C"/>
    <w:rsid w:val="00F64EEF"/>
    <w:rsid w:val="00F654F9"/>
    <w:rsid w:val="00F65BCD"/>
    <w:rsid w:val="00F66863"/>
    <w:rsid w:val="00F66F10"/>
    <w:rsid w:val="00F67046"/>
    <w:rsid w:val="00F6741B"/>
    <w:rsid w:val="00F67956"/>
    <w:rsid w:val="00F67D09"/>
    <w:rsid w:val="00F7023C"/>
    <w:rsid w:val="00F70E31"/>
    <w:rsid w:val="00F712D0"/>
    <w:rsid w:val="00F7136A"/>
    <w:rsid w:val="00F723A2"/>
    <w:rsid w:val="00F724AC"/>
    <w:rsid w:val="00F72E09"/>
    <w:rsid w:val="00F74A14"/>
    <w:rsid w:val="00F74BF2"/>
    <w:rsid w:val="00F74C35"/>
    <w:rsid w:val="00F74FBC"/>
    <w:rsid w:val="00F74FDE"/>
    <w:rsid w:val="00F750EB"/>
    <w:rsid w:val="00F76B7B"/>
    <w:rsid w:val="00F76C92"/>
    <w:rsid w:val="00F773B7"/>
    <w:rsid w:val="00F77BE9"/>
    <w:rsid w:val="00F77D6E"/>
    <w:rsid w:val="00F77F9F"/>
    <w:rsid w:val="00F802B6"/>
    <w:rsid w:val="00F80491"/>
    <w:rsid w:val="00F808CD"/>
    <w:rsid w:val="00F80C9F"/>
    <w:rsid w:val="00F811CC"/>
    <w:rsid w:val="00F815CF"/>
    <w:rsid w:val="00F81771"/>
    <w:rsid w:val="00F81B14"/>
    <w:rsid w:val="00F82028"/>
    <w:rsid w:val="00F826D9"/>
    <w:rsid w:val="00F82A44"/>
    <w:rsid w:val="00F82E01"/>
    <w:rsid w:val="00F8327E"/>
    <w:rsid w:val="00F8389C"/>
    <w:rsid w:val="00F83EC2"/>
    <w:rsid w:val="00F84A63"/>
    <w:rsid w:val="00F84BB3"/>
    <w:rsid w:val="00F85BF0"/>
    <w:rsid w:val="00F85CEB"/>
    <w:rsid w:val="00F86AF8"/>
    <w:rsid w:val="00F87300"/>
    <w:rsid w:val="00F877FB"/>
    <w:rsid w:val="00F91A29"/>
    <w:rsid w:val="00F91A7D"/>
    <w:rsid w:val="00F92224"/>
    <w:rsid w:val="00F928A0"/>
    <w:rsid w:val="00F934AE"/>
    <w:rsid w:val="00F93779"/>
    <w:rsid w:val="00F937F1"/>
    <w:rsid w:val="00F94718"/>
    <w:rsid w:val="00F9499A"/>
    <w:rsid w:val="00F956FD"/>
    <w:rsid w:val="00F9631F"/>
    <w:rsid w:val="00F96AFE"/>
    <w:rsid w:val="00F96E4E"/>
    <w:rsid w:val="00F97324"/>
    <w:rsid w:val="00F97B06"/>
    <w:rsid w:val="00FA0583"/>
    <w:rsid w:val="00FA1360"/>
    <w:rsid w:val="00FA2069"/>
    <w:rsid w:val="00FA2972"/>
    <w:rsid w:val="00FA2B60"/>
    <w:rsid w:val="00FA2CC6"/>
    <w:rsid w:val="00FA2E57"/>
    <w:rsid w:val="00FA33C5"/>
    <w:rsid w:val="00FA3991"/>
    <w:rsid w:val="00FA4AF3"/>
    <w:rsid w:val="00FA4C70"/>
    <w:rsid w:val="00FA5F42"/>
    <w:rsid w:val="00FA6234"/>
    <w:rsid w:val="00FA644E"/>
    <w:rsid w:val="00FA65EA"/>
    <w:rsid w:val="00FA7DE1"/>
    <w:rsid w:val="00FB0488"/>
    <w:rsid w:val="00FB0A42"/>
    <w:rsid w:val="00FB0E17"/>
    <w:rsid w:val="00FB0F26"/>
    <w:rsid w:val="00FB16DD"/>
    <w:rsid w:val="00FB1D74"/>
    <w:rsid w:val="00FB1F78"/>
    <w:rsid w:val="00FB22EC"/>
    <w:rsid w:val="00FB2FA6"/>
    <w:rsid w:val="00FB3172"/>
    <w:rsid w:val="00FB352A"/>
    <w:rsid w:val="00FB37AE"/>
    <w:rsid w:val="00FB3C89"/>
    <w:rsid w:val="00FB44E9"/>
    <w:rsid w:val="00FB47C4"/>
    <w:rsid w:val="00FB49DD"/>
    <w:rsid w:val="00FB51B9"/>
    <w:rsid w:val="00FB58A6"/>
    <w:rsid w:val="00FB63D9"/>
    <w:rsid w:val="00FB6828"/>
    <w:rsid w:val="00FB6A5E"/>
    <w:rsid w:val="00FB74CC"/>
    <w:rsid w:val="00FB74D8"/>
    <w:rsid w:val="00FB7515"/>
    <w:rsid w:val="00FB7A2C"/>
    <w:rsid w:val="00FB7A7B"/>
    <w:rsid w:val="00FC01AA"/>
    <w:rsid w:val="00FC0355"/>
    <w:rsid w:val="00FC0B20"/>
    <w:rsid w:val="00FC0F5D"/>
    <w:rsid w:val="00FC0FAA"/>
    <w:rsid w:val="00FC12A8"/>
    <w:rsid w:val="00FC137A"/>
    <w:rsid w:val="00FC16D3"/>
    <w:rsid w:val="00FC25A4"/>
    <w:rsid w:val="00FC2992"/>
    <w:rsid w:val="00FC2CDF"/>
    <w:rsid w:val="00FC3515"/>
    <w:rsid w:val="00FC3BE5"/>
    <w:rsid w:val="00FC41E7"/>
    <w:rsid w:val="00FC44DF"/>
    <w:rsid w:val="00FC4C43"/>
    <w:rsid w:val="00FC50D9"/>
    <w:rsid w:val="00FC5A2B"/>
    <w:rsid w:val="00FC6722"/>
    <w:rsid w:val="00FC772B"/>
    <w:rsid w:val="00FC7CE8"/>
    <w:rsid w:val="00FD0133"/>
    <w:rsid w:val="00FD0291"/>
    <w:rsid w:val="00FD05AC"/>
    <w:rsid w:val="00FD0B92"/>
    <w:rsid w:val="00FD1233"/>
    <w:rsid w:val="00FD13A5"/>
    <w:rsid w:val="00FD1874"/>
    <w:rsid w:val="00FD2851"/>
    <w:rsid w:val="00FD3301"/>
    <w:rsid w:val="00FD3DE9"/>
    <w:rsid w:val="00FD4215"/>
    <w:rsid w:val="00FD4F30"/>
    <w:rsid w:val="00FD6346"/>
    <w:rsid w:val="00FD6885"/>
    <w:rsid w:val="00FD7477"/>
    <w:rsid w:val="00FD7EF3"/>
    <w:rsid w:val="00FE011A"/>
    <w:rsid w:val="00FE01F7"/>
    <w:rsid w:val="00FE0746"/>
    <w:rsid w:val="00FE0870"/>
    <w:rsid w:val="00FE1AED"/>
    <w:rsid w:val="00FE24AB"/>
    <w:rsid w:val="00FE261F"/>
    <w:rsid w:val="00FE30E5"/>
    <w:rsid w:val="00FE33C6"/>
    <w:rsid w:val="00FE3BF9"/>
    <w:rsid w:val="00FE41EC"/>
    <w:rsid w:val="00FE43D4"/>
    <w:rsid w:val="00FE44A2"/>
    <w:rsid w:val="00FE4631"/>
    <w:rsid w:val="00FE507C"/>
    <w:rsid w:val="00FE5B7D"/>
    <w:rsid w:val="00FE62EA"/>
    <w:rsid w:val="00FE648C"/>
    <w:rsid w:val="00FE67AB"/>
    <w:rsid w:val="00FE6F1D"/>
    <w:rsid w:val="00FE7046"/>
    <w:rsid w:val="00FE76D0"/>
    <w:rsid w:val="00FE77B2"/>
    <w:rsid w:val="00FF098E"/>
    <w:rsid w:val="00FF0C58"/>
    <w:rsid w:val="00FF13AB"/>
    <w:rsid w:val="00FF13CA"/>
    <w:rsid w:val="00FF1455"/>
    <w:rsid w:val="00FF14C6"/>
    <w:rsid w:val="00FF1969"/>
    <w:rsid w:val="00FF19BD"/>
    <w:rsid w:val="00FF2627"/>
    <w:rsid w:val="00FF2CC9"/>
    <w:rsid w:val="00FF3A5A"/>
    <w:rsid w:val="00FF41FD"/>
    <w:rsid w:val="00FF4EB5"/>
    <w:rsid w:val="00FF531C"/>
    <w:rsid w:val="00FF54A8"/>
    <w:rsid w:val="00FF54F2"/>
    <w:rsid w:val="00FF5646"/>
    <w:rsid w:val="00FF6008"/>
    <w:rsid w:val="00FF69AC"/>
    <w:rsid w:val="00FF6E05"/>
    <w:rsid w:val="00FF7DC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66ABAD"/>
  <w15:docId w15:val="{E223160B-0EA7-489B-8BE3-74E8017B9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812E9"/>
    <w:rPr>
      <w:sz w:val="24"/>
      <w:szCs w:val="24"/>
    </w:rPr>
  </w:style>
  <w:style w:type="paragraph" w:styleId="Titolo1">
    <w:name w:val="heading 1"/>
    <w:aliases w:val=" Carattere"/>
    <w:basedOn w:val="Normale"/>
    <w:link w:val="Titolo1Carattere1"/>
    <w:qFormat/>
    <w:rsid w:val="00FF1969"/>
    <w:pPr>
      <w:spacing w:before="100" w:beforeAutospacing="1" w:after="100" w:afterAutospacing="1"/>
      <w:outlineLvl w:val="0"/>
    </w:pPr>
    <w:rPr>
      <w:b/>
      <w:bCs/>
      <w:kern w:val="36"/>
      <w:sz w:val="48"/>
      <w:szCs w:val="48"/>
    </w:rPr>
  </w:style>
  <w:style w:type="paragraph" w:styleId="Titolo2">
    <w:name w:val="heading 2"/>
    <w:basedOn w:val="Normale"/>
    <w:next w:val="Normale"/>
    <w:link w:val="Titolo2Carattere"/>
    <w:unhideWhenUsed/>
    <w:qFormat/>
    <w:rsid w:val="00890A05"/>
    <w:pPr>
      <w:keepNext/>
      <w:spacing w:before="240" w:after="60"/>
      <w:outlineLvl w:val="1"/>
    </w:pPr>
    <w:rPr>
      <w:rFonts w:ascii="Cambria" w:hAnsi="Cambria"/>
      <w:b/>
      <w:bCs/>
      <w:i/>
      <w:iCs/>
      <w:sz w:val="28"/>
      <w:szCs w:val="28"/>
    </w:rPr>
  </w:style>
  <w:style w:type="paragraph" w:styleId="Titolo3">
    <w:name w:val="heading 3"/>
    <w:basedOn w:val="Normale"/>
    <w:link w:val="Titolo3Carattere"/>
    <w:qFormat/>
    <w:rsid w:val="00FF1969"/>
    <w:pPr>
      <w:spacing w:before="100" w:beforeAutospacing="1" w:after="100" w:afterAutospacing="1"/>
      <w:outlineLvl w:val="2"/>
    </w:pPr>
    <w:rPr>
      <w:b/>
      <w:bCs/>
      <w:sz w:val="27"/>
      <w:szCs w:val="27"/>
    </w:rPr>
  </w:style>
  <w:style w:type="paragraph" w:styleId="Titolo4">
    <w:name w:val="heading 4"/>
    <w:basedOn w:val="Normale"/>
    <w:next w:val="Normale"/>
    <w:link w:val="Titolo4Carattere"/>
    <w:qFormat/>
    <w:rsid w:val="003113F5"/>
    <w:pPr>
      <w:keepNext/>
      <w:tabs>
        <w:tab w:val="right" w:leader="dot" w:pos="7371"/>
      </w:tabs>
      <w:spacing w:before="240" w:after="60"/>
      <w:outlineLvl w:val="3"/>
    </w:pPr>
    <w:rPr>
      <w:b/>
      <w:bCs/>
      <w:sz w:val="28"/>
      <w:szCs w:val="28"/>
    </w:rPr>
  </w:style>
  <w:style w:type="paragraph" w:styleId="Titolo5">
    <w:name w:val="heading 5"/>
    <w:basedOn w:val="Normale"/>
    <w:next w:val="Normale"/>
    <w:link w:val="Titolo5Carattere"/>
    <w:qFormat/>
    <w:rsid w:val="003113F5"/>
    <w:pPr>
      <w:tabs>
        <w:tab w:val="right" w:leader="dot" w:pos="7371"/>
      </w:tabs>
      <w:spacing w:before="240" w:after="60"/>
      <w:outlineLvl w:val="4"/>
    </w:pPr>
    <w:rPr>
      <w:b/>
      <w:bCs/>
      <w:i/>
      <w:iCs/>
      <w:sz w:val="26"/>
      <w:szCs w:val="26"/>
    </w:rPr>
  </w:style>
  <w:style w:type="paragraph" w:styleId="Titolo6">
    <w:name w:val="heading 6"/>
    <w:basedOn w:val="Normale"/>
    <w:next w:val="Normale"/>
    <w:link w:val="Titolo6Carattere"/>
    <w:qFormat/>
    <w:rsid w:val="003113F5"/>
    <w:pPr>
      <w:keepNext/>
      <w:tabs>
        <w:tab w:val="right" w:leader="dot" w:pos="7371"/>
      </w:tabs>
      <w:outlineLvl w:val="5"/>
    </w:pPr>
    <w:rPr>
      <w:rFonts w:ascii="Arial" w:hAnsi="Arial"/>
      <w:b/>
      <w:color w:val="000000"/>
      <w:sz w:val="14"/>
      <w:szCs w:val="20"/>
    </w:rPr>
  </w:style>
  <w:style w:type="paragraph" w:styleId="Titolo7">
    <w:name w:val="heading 7"/>
    <w:basedOn w:val="Normale"/>
    <w:next w:val="Normale"/>
    <w:link w:val="Titolo7Carattere"/>
    <w:qFormat/>
    <w:rsid w:val="003113F5"/>
    <w:pPr>
      <w:keepNext/>
      <w:tabs>
        <w:tab w:val="right" w:leader="dot" w:pos="7371"/>
      </w:tabs>
      <w:spacing w:after="120"/>
      <w:ind w:left="284" w:right="284"/>
      <w:jc w:val="both"/>
      <w:outlineLvl w:val="6"/>
    </w:pPr>
    <w:rPr>
      <w:rFonts w:ascii="Arial" w:hAnsi="Arial"/>
      <w:b/>
      <w:color w:val="000000"/>
      <w:sz w:val="18"/>
      <w:szCs w:val="20"/>
    </w:rPr>
  </w:style>
  <w:style w:type="paragraph" w:styleId="Titolo8">
    <w:name w:val="heading 8"/>
    <w:basedOn w:val="Normale"/>
    <w:next w:val="Normale"/>
    <w:link w:val="Titolo8Carattere"/>
    <w:qFormat/>
    <w:rsid w:val="003113F5"/>
    <w:pPr>
      <w:keepNext/>
      <w:tabs>
        <w:tab w:val="right" w:leader="dot" w:pos="7371"/>
      </w:tabs>
      <w:ind w:left="284" w:right="284"/>
      <w:jc w:val="both"/>
      <w:outlineLvl w:val="7"/>
    </w:pPr>
    <w:rPr>
      <w:rFonts w:ascii="Arial" w:hAnsi="Arial"/>
      <w:b/>
      <w:sz w:val="18"/>
      <w:szCs w:val="20"/>
    </w:rPr>
  </w:style>
  <w:style w:type="paragraph" w:styleId="Titolo9">
    <w:name w:val="heading 9"/>
    <w:basedOn w:val="Normale"/>
    <w:next w:val="Normale"/>
    <w:link w:val="Titolo9Carattere"/>
    <w:qFormat/>
    <w:rsid w:val="003113F5"/>
    <w:pPr>
      <w:keepNext/>
      <w:tabs>
        <w:tab w:val="right" w:leader="dot" w:pos="7371"/>
      </w:tabs>
      <w:ind w:left="-70"/>
      <w:outlineLvl w:val="8"/>
    </w:pPr>
    <w:rPr>
      <w:rFonts w:ascii="Arial" w:hAnsi="Arial"/>
      <w:b/>
      <w:sz w:val="1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style-span">
    <w:name w:val="apple-style-span"/>
    <w:basedOn w:val="Carpredefinitoparagrafo"/>
    <w:rsid w:val="00FF1969"/>
  </w:style>
  <w:style w:type="paragraph" w:styleId="NormaleWeb">
    <w:name w:val="Normal (Web)"/>
    <w:basedOn w:val="Normale"/>
    <w:uiPriority w:val="99"/>
    <w:rsid w:val="00FF1969"/>
    <w:pPr>
      <w:spacing w:before="100" w:beforeAutospacing="1" w:after="100" w:afterAutospacing="1"/>
    </w:pPr>
  </w:style>
  <w:style w:type="character" w:customStyle="1" w:styleId="apple-converted-space">
    <w:name w:val="apple-converted-space"/>
    <w:basedOn w:val="Carpredefinitoparagrafo"/>
    <w:rsid w:val="00FF1969"/>
  </w:style>
  <w:style w:type="paragraph" w:styleId="Testonotaapidipagina">
    <w:name w:val="footnote text"/>
    <w:aliases w:val="Footnote,Footnote1,Footnote2,Footnote3,Footnote4,Footnote5,Footnote6,Footnote7,Footnote8,Footnote9,Footnote10,Footnote11,Footnote21,Footnote31,Footnote41,Footnote51,Footnote61,Footnote71,Footnote81,Footnote91,Footnote12"/>
    <w:basedOn w:val="Normale"/>
    <w:link w:val="TestonotaapidipaginaCarattere"/>
    <w:uiPriority w:val="99"/>
    <w:rsid w:val="00E9099D"/>
    <w:rPr>
      <w:rFonts w:ascii="Arial" w:hAnsi="Arial" w:cs="Arial"/>
      <w:color w:val="000000"/>
      <w:sz w:val="20"/>
      <w:szCs w:val="20"/>
    </w:rPr>
  </w:style>
  <w:style w:type="character" w:styleId="Rimandonotaapidipagina">
    <w:name w:val="footnote reference"/>
    <w:aliases w:val="Inf_Note a piè di pagina"/>
    <w:uiPriority w:val="99"/>
    <w:rsid w:val="00E9099D"/>
    <w:rPr>
      <w:vertAlign w:val="superscript"/>
    </w:rPr>
  </w:style>
  <w:style w:type="paragraph" w:customStyle="1" w:styleId="Default">
    <w:name w:val="Default"/>
    <w:link w:val="DefaultCarattere"/>
    <w:rsid w:val="00E9099D"/>
    <w:pPr>
      <w:autoSpaceDE w:val="0"/>
      <w:autoSpaceDN w:val="0"/>
      <w:adjustRightInd w:val="0"/>
    </w:pPr>
    <w:rPr>
      <w:rFonts w:ascii="Arial" w:hAnsi="Arial" w:cs="Arial"/>
      <w:color w:val="000000"/>
      <w:sz w:val="24"/>
      <w:szCs w:val="24"/>
    </w:rPr>
  </w:style>
  <w:style w:type="character" w:customStyle="1" w:styleId="testo1">
    <w:name w:val="testo1"/>
    <w:rsid w:val="00E9099D"/>
    <w:rPr>
      <w:rFonts w:ascii="Verdana" w:hAnsi="Verdana" w:cs="Verdana"/>
      <w:color w:val="000000"/>
      <w:sz w:val="21"/>
      <w:szCs w:val="21"/>
    </w:rPr>
  </w:style>
  <w:style w:type="character" w:styleId="Collegamentoipertestuale">
    <w:name w:val="Hyperlink"/>
    <w:rsid w:val="00441A1E"/>
    <w:rPr>
      <w:color w:val="0000FF"/>
      <w:u w:val="single"/>
    </w:rPr>
  </w:style>
  <w:style w:type="paragraph" w:styleId="Pidipagina">
    <w:name w:val="footer"/>
    <w:basedOn w:val="Normale"/>
    <w:link w:val="PidipaginaCarattere"/>
    <w:uiPriority w:val="99"/>
    <w:rsid w:val="00104ABF"/>
    <w:pPr>
      <w:tabs>
        <w:tab w:val="center" w:pos="4819"/>
        <w:tab w:val="right" w:pos="9638"/>
      </w:tabs>
    </w:pPr>
  </w:style>
  <w:style w:type="character" w:styleId="Numeropagina">
    <w:name w:val="page number"/>
    <w:basedOn w:val="Carpredefinitoparagrafo"/>
    <w:rsid w:val="00104ABF"/>
  </w:style>
  <w:style w:type="paragraph" w:styleId="Intestazione">
    <w:name w:val="header"/>
    <w:basedOn w:val="Normale"/>
    <w:link w:val="IntestazioneCarattere"/>
    <w:rsid w:val="00633124"/>
    <w:pPr>
      <w:tabs>
        <w:tab w:val="center" w:pos="4819"/>
        <w:tab w:val="right" w:pos="9638"/>
      </w:tabs>
    </w:pPr>
  </w:style>
  <w:style w:type="paragraph" w:styleId="Didascalia">
    <w:name w:val="caption"/>
    <w:basedOn w:val="Normale"/>
    <w:next w:val="Normale"/>
    <w:unhideWhenUsed/>
    <w:qFormat/>
    <w:rsid w:val="003959C9"/>
    <w:rPr>
      <w:b/>
      <w:bCs/>
      <w:sz w:val="20"/>
      <w:szCs w:val="20"/>
    </w:rPr>
  </w:style>
  <w:style w:type="character" w:customStyle="1" w:styleId="PidipaginaCarattere">
    <w:name w:val="Piè di pagina Carattere"/>
    <w:basedOn w:val="Carpredefinitoparagrafo"/>
    <w:link w:val="Pidipagina"/>
    <w:uiPriority w:val="99"/>
    <w:rsid w:val="0086275B"/>
    <w:rPr>
      <w:sz w:val="24"/>
      <w:szCs w:val="24"/>
    </w:rPr>
  </w:style>
  <w:style w:type="character" w:customStyle="1" w:styleId="Titolo2Carattere">
    <w:name w:val="Titolo 2 Carattere"/>
    <w:basedOn w:val="Carpredefinitoparagrafo"/>
    <w:link w:val="Titolo2"/>
    <w:semiHidden/>
    <w:rsid w:val="00890A05"/>
    <w:rPr>
      <w:rFonts w:ascii="Cambria" w:eastAsia="Times New Roman" w:hAnsi="Cambria" w:cs="Times New Roman"/>
      <w:b/>
      <w:bCs/>
      <w:i/>
      <w:iCs/>
      <w:sz w:val="28"/>
      <w:szCs w:val="28"/>
    </w:rPr>
  </w:style>
  <w:style w:type="paragraph" w:styleId="Rientrocorpodeltesto">
    <w:name w:val="Body Text Indent"/>
    <w:basedOn w:val="Normale"/>
    <w:link w:val="RientrocorpodeltestoCarattere"/>
    <w:rsid w:val="00200B31"/>
    <w:pPr>
      <w:widowControl w:val="0"/>
      <w:tabs>
        <w:tab w:val="left" w:pos="-1800"/>
        <w:tab w:val="left" w:pos="-1092"/>
        <w:tab w:val="left" w:pos="-384"/>
        <w:tab w:val="left" w:pos="324"/>
        <w:tab w:val="left" w:pos="1032"/>
        <w:tab w:val="left" w:pos="1740"/>
        <w:tab w:val="left" w:pos="2454"/>
        <w:tab w:val="left" w:pos="3162"/>
        <w:tab w:val="left" w:pos="3870"/>
        <w:tab w:val="left" w:pos="4578"/>
        <w:tab w:val="left" w:pos="5286"/>
        <w:tab w:val="left" w:pos="5994"/>
        <w:tab w:val="left" w:pos="6708"/>
        <w:tab w:val="left" w:pos="7416"/>
        <w:tab w:val="left" w:pos="8124"/>
      </w:tabs>
      <w:ind w:firstLine="323"/>
      <w:jc w:val="both"/>
    </w:pPr>
    <w:rPr>
      <w:rFonts w:ascii="Arial" w:hAnsi="Arial"/>
      <w:sz w:val="20"/>
      <w:szCs w:val="20"/>
    </w:rPr>
  </w:style>
  <w:style w:type="character" w:customStyle="1" w:styleId="RientrocorpodeltestoCarattere">
    <w:name w:val="Rientro corpo del testo Carattere"/>
    <w:basedOn w:val="Carpredefinitoparagrafo"/>
    <w:link w:val="Rientrocorpodeltesto"/>
    <w:rsid w:val="00200B31"/>
    <w:rPr>
      <w:rFonts w:ascii="Arial" w:hAnsi="Arial"/>
    </w:rPr>
  </w:style>
  <w:style w:type="paragraph" w:styleId="Rientrocorpodeltesto3">
    <w:name w:val="Body Text Indent 3"/>
    <w:basedOn w:val="Normale"/>
    <w:link w:val="Rientrocorpodeltesto3Carattere"/>
    <w:rsid w:val="00200B31"/>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200B31"/>
    <w:rPr>
      <w:sz w:val="16"/>
      <w:szCs w:val="16"/>
    </w:rPr>
  </w:style>
  <w:style w:type="character" w:customStyle="1" w:styleId="Titolo4Carattere">
    <w:name w:val="Titolo 4 Carattere"/>
    <w:basedOn w:val="Carpredefinitoparagrafo"/>
    <w:link w:val="Titolo4"/>
    <w:rsid w:val="003113F5"/>
    <w:rPr>
      <w:b/>
      <w:bCs/>
      <w:sz w:val="28"/>
      <w:szCs w:val="28"/>
    </w:rPr>
  </w:style>
  <w:style w:type="character" w:customStyle="1" w:styleId="Titolo5Carattere">
    <w:name w:val="Titolo 5 Carattere"/>
    <w:basedOn w:val="Carpredefinitoparagrafo"/>
    <w:link w:val="Titolo5"/>
    <w:rsid w:val="003113F5"/>
    <w:rPr>
      <w:b/>
      <w:bCs/>
      <w:i/>
      <w:iCs/>
      <w:sz w:val="26"/>
      <w:szCs w:val="26"/>
    </w:rPr>
  </w:style>
  <w:style w:type="character" w:customStyle="1" w:styleId="Titolo6Carattere">
    <w:name w:val="Titolo 6 Carattere"/>
    <w:basedOn w:val="Carpredefinitoparagrafo"/>
    <w:link w:val="Titolo6"/>
    <w:rsid w:val="003113F5"/>
    <w:rPr>
      <w:rFonts w:ascii="Arial" w:hAnsi="Arial"/>
      <w:b/>
      <w:color w:val="000000"/>
      <w:sz w:val="14"/>
    </w:rPr>
  </w:style>
  <w:style w:type="character" w:customStyle="1" w:styleId="Titolo7Carattere">
    <w:name w:val="Titolo 7 Carattere"/>
    <w:basedOn w:val="Carpredefinitoparagrafo"/>
    <w:link w:val="Titolo7"/>
    <w:rsid w:val="003113F5"/>
    <w:rPr>
      <w:rFonts w:ascii="Arial" w:hAnsi="Arial"/>
      <w:b/>
      <w:color w:val="000000"/>
      <w:sz w:val="18"/>
    </w:rPr>
  </w:style>
  <w:style w:type="character" w:customStyle="1" w:styleId="Titolo8Carattere">
    <w:name w:val="Titolo 8 Carattere"/>
    <w:basedOn w:val="Carpredefinitoparagrafo"/>
    <w:link w:val="Titolo8"/>
    <w:rsid w:val="003113F5"/>
    <w:rPr>
      <w:rFonts w:ascii="Arial" w:hAnsi="Arial"/>
      <w:b/>
      <w:sz w:val="18"/>
    </w:rPr>
  </w:style>
  <w:style w:type="character" w:customStyle="1" w:styleId="Titolo9Carattere">
    <w:name w:val="Titolo 9 Carattere"/>
    <w:basedOn w:val="Carpredefinitoparagrafo"/>
    <w:link w:val="Titolo9"/>
    <w:rsid w:val="003113F5"/>
    <w:rPr>
      <w:rFonts w:ascii="Arial" w:hAnsi="Arial"/>
      <w:b/>
      <w:sz w:val="14"/>
    </w:rPr>
  </w:style>
  <w:style w:type="paragraph" w:styleId="Puntoelenco">
    <w:name w:val="List Bullet"/>
    <w:basedOn w:val="Normale"/>
    <w:autoRedefine/>
    <w:rsid w:val="003113F5"/>
    <w:pPr>
      <w:tabs>
        <w:tab w:val="num" w:pos="360"/>
        <w:tab w:val="right" w:leader="dot" w:pos="7371"/>
      </w:tabs>
      <w:ind w:left="360" w:hanging="360"/>
      <w:jc w:val="both"/>
    </w:pPr>
    <w:rPr>
      <w:rFonts w:ascii="Arial" w:hAnsi="Arial"/>
      <w:sz w:val="22"/>
      <w:szCs w:val="22"/>
    </w:rPr>
  </w:style>
  <w:style w:type="paragraph" w:styleId="Puntoelenco2">
    <w:name w:val="List Bullet 2"/>
    <w:basedOn w:val="Normale"/>
    <w:autoRedefine/>
    <w:rsid w:val="003113F5"/>
    <w:pPr>
      <w:tabs>
        <w:tab w:val="num" w:pos="360"/>
        <w:tab w:val="right" w:leader="dot" w:pos="7371"/>
      </w:tabs>
      <w:ind w:left="360" w:hanging="360"/>
      <w:jc w:val="both"/>
    </w:pPr>
    <w:rPr>
      <w:rFonts w:ascii="Arial" w:hAnsi="Arial"/>
      <w:sz w:val="22"/>
      <w:szCs w:val="22"/>
    </w:rPr>
  </w:style>
  <w:style w:type="paragraph" w:styleId="Puntoelenco3">
    <w:name w:val="List Bullet 3"/>
    <w:basedOn w:val="Normale"/>
    <w:autoRedefine/>
    <w:rsid w:val="003113F5"/>
    <w:pPr>
      <w:keepNext/>
      <w:keepLines/>
      <w:widowControl w:val="0"/>
      <w:tabs>
        <w:tab w:val="right" w:leader="dot" w:pos="7371"/>
      </w:tabs>
      <w:spacing w:before="20" w:after="20"/>
      <w:jc w:val="both"/>
    </w:pPr>
    <w:rPr>
      <w:rFonts w:ascii="Arial" w:hAnsi="Arial"/>
      <w:sz w:val="14"/>
      <w:szCs w:val="22"/>
    </w:rPr>
  </w:style>
  <w:style w:type="paragraph" w:customStyle="1" w:styleId="tittav">
    <w:name w:val="tit_tav"/>
    <w:basedOn w:val="Normale"/>
    <w:semiHidden/>
    <w:rsid w:val="003113F5"/>
    <w:pPr>
      <w:tabs>
        <w:tab w:val="right" w:leader="dot" w:pos="7371"/>
      </w:tabs>
      <w:spacing w:after="120"/>
      <w:jc w:val="both"/>
    </w:pPr>
    <w:rPr>
      <w:rFonts w:ascii="Arial" w:hAnsi="Arial"/>
      <w:b/>
      <w:i/>
      <w:sz w:val="20"/>
      <w:szCs w:val="22"/>
    </w:rPr>
  </w:style>
  <w:style w:type="paragraph" w:styleId="Titolo">
    <w:name w:val="Title"/>
    <w:basedOn w:val="Normale"/>
    <w:link w:val="TitoloCarattere"/>
    <w:qFormat/>
    <w:rsid w:val="003113F5"/>
    <w:pPr>
      <w:tabs>
        <w:tab w:val="right" w:leader="dot" w:pos="7371"/>
      </w:tabs>
      <w:jc w:val="center"/>
    </w:pPr>
    <w:rPr>
      <w:b/>
      <w:sz w:val="22"/>
      <w:szCs w:val="20"/>
    </w:rPr>
  </w:style>
  <w:style w:type="character" w:customStyle="1" w:styleId="TitoloCarattere">
    <w:name w:val="Titolo Carattere"/>
    <w:basedOn w:val="Carpredefinitoparagrafo"/>
    <w:link w:val="Titolo"/>
    <w:rsid w:val="003113F5"/>
    <w:rPr>
      <w:b/>
      <w:sz w:val="22"/>
    </w:rPr>
  </w:style>
  <w:style w:type="paragraph" w:customStyle="1" w:styleId="xl43">
    <w:name w:val="xl43"/>
    <w:basedOn w:val="Normale"/>
    <w:semiHidden/>
    <w:rsid w:val="003113F5"/>
    <w:pPr>
      <w:tabs>
        <w:tab w:val="right" w:leader="dot" w:pos="7371"/>
      </w:tabs>
      <w:spacing w:before="100" w:beforeAutospacing="1" w:after="100" w:afterAutospacing="1"/>
      <w:jc w:val="center"/>
    </w:pPr>
    <w:rPr>
      <w:rFonts w:ascii="Arial" w:eastAsia="Arial Unicode MS" w:hAnsi="Arial" w:cs="Arial"/>
      <w:sz w:val="14"/>
      <w:szCs w:val="14"/>
    </w:rPr>
  </w:style>
  <w:style w:type="paragraph" w:styleId="Testonormale">
    <w:name w:val="Plain Text"/>
    <w:basedOn w:val="Normale"/>
    <w:link w:val="TestonormaleCarattere"/>
    <w:rsid w:val="003113F5"/>
    <w:pPr>
      <w:tabs>
        <w:tab w:val="right" w:leader="dot" w:pos="7371"/>
      </w:tabs>
    </w:pPr>
    <w:rPr>
      <w:rFonts w:ascii="Courier New" w:hAnsi="Courier New"/>
      <w:sz w:val="20"/>
      <w:szCs w:val="20"/>
    </w:rPr>
  </w:style>
  <w:style w:type="character" w:customStyle="1" w:styleId="TestonormaleCarattere">
    <w:name w:val="Testo normale Carattere"/>
    <w:basedOn w:val="Carpredefinitoparagrafo"/>
    <w:link w:val="Testonormale"/>
    <w:rsid w:val="003113F5"/>
    <w:rPr>
      <w:rFonts w:ascii="Courier New" w:hAnsi="Courier New"/>
    </w:rPr>
  </w:style>
  <w:style w:type="paragraph" w:customStyle="1" w:styleId="xl22">
    <w:name w:val="xl22"/>
    <w:basedOn w:val="Normale"/>
    <w:semiHidden/>
    <w:rsid w:val="003113F5"/>
    <w:pPr>
      <w:tabs>
        <w:tab w:val="right" w:leader="dot" w:pos="7371"/>
      </w:tabs>
      <w:spacing w:before="100" w:beforeAutospacing="1" w:after="100" w:afterAutospacing="1"/>
      <w:jc w:val="right"/>
    </w:pPr>
    <w:rPr>
      <w:rFonts w:ascii="Arial" w:eastAsia="Arial Unicode MS" w:hAnsi="Arial" w:cs="Arial"/>
      <w:sz w:val="14"/>
      <w:szCs w:val="14"/>
    </w:rPr>
  </w:style>
  <w:style w:type="paragraph" w:customStyle="1" w:styleId="xl44">
    <w:name w:val="xl44"/>
    <w:basedOn w:val="Normale"/>
    <w:semiHidden/>
    <w:rsid w:val="003113F5"/>
    <w:pPr>
      <w:tabs>
        <w:tab w:val="right" w:leader="dot" w:pos="7371"/>
      </w:tabs>
      <w:spacing w:before="100" w:beforeAutospacing="1" w:after="100" w:afterAutospacing="1"/>
    </w:pPr>
    <w:rPr>
      <w:rFonts w:ascii="Arial" w:eastAsia="Arial Unicode MS" w:hAnsi="Arial" w:cs="Arial"/>
      <w:sz w:val="14"/>
      <w:szCs w:val="14"/>
    </w:rPr>
  </w:style>
  <w:style w:type="paragraph" w:customStyle="1" w:styleId="testata">
    <w:name w:val="testata"/>
    <w:basedOn w:val="Normale"/>
    <w:semiHidden/>
    <w:rsid w:val="003113F5"/>
    <w:pPr>
      <w:tabs>
        <w:tab w:val="right" w:leader="dot" w:pos="7371"/>
      </w:tabs>
      <w:jc w:val="center"/>
    </w:pPr>
    <w:rPr>
      <w:rFonts w:ascii="Arial" w:hAnsi="Arial"/>
      <w:sz w:val="16"/>
      <w:szCs w:val="20"/>
    </w:rPr>
  </w:style>
  <w:style w:type="paragraph" w:customStyle="1" w:styleId="ulttest">
    <w:name w:val="ult.test"/>
    <w:basedOn w:val="Normale"/>
    <w:semiHidden/>
    <w:rsid w:val="003113F5"/>
    <w:pPr>
      <w:tabs>
        <w:tab w:val="right" w:leader="dot" w:pos="7371"/>
      </w:tabs>
      <w:jc w:val="right"/>
    </w:pPr>
    <w:rPr>
      <w:caps/>
      <w:sz w:val="22"/>
      <w:szCs w:val="22"/>
    </w:rPr>
  </w:style>
  <w:style w:type="paragraph" w:customStyle="1" w:styleId="TESTO">
    <w:name w:val="TESTO"/>
    <w:semiHidden/>
    <w:rsid w:val="003113F5"/>
    <w:pPr>
      <w:widowControl w:val="0"/>
      <w:spacing w:line="-200" w:lineRule="auto"/>
      <w:jc w:val="both"/>
    </w:pPr>
    <w:rPr>
      <w:rFonts w:ascii="Helvetica" w:hAnsi="Helvetica"/>
      <w:color w:val="000000"/>
      <w:sz w:val="18"/>
    </w:rPr>
  </w:style>
  <w:style w:type="paragraph" w:customStyle="1" w:styleId="xl30">
    <w:name w:val="xl30"/>
    <w:basedOn w:val="Normale"/>
    <w:semiHidden/>
    <w:rsid w:val="003113F5"/>
    <w:pPr>
      <w:pBdr>
        <w:bottom w:val="single" w:sz="4" w:space="0" w:color="auto"/>
      </w:pBdr>
      <w:shd w:val="clear" w:color="auto" w:fill="FFFFFF"/>
      <w:tabs>
        <w:tab w:val="right" w:leader="dot" w:pos="7371"/>
      </w:tabs>
      <w:spacing w:before="100" w:beforeAutospacing="1" w:after="100" w:afterAutospacing="1"/>
    </w:pPr>
    <w:rPr>
      <w:rFonts w:ascii="Arial" w:eastAsia="Arial Unicode MS" w:hAnsi="Arial" w:cs="Arial"/>
      <w:sz w:val="14"/>
      <w:szCs w:val="14"/>
    </w:rPr>
  </w:style>
  <w:style w:type="paragraph" w:customStyle="1" w:styleId="xl34">
    <w:name w:val="xl34"/>
    <w:basedOn w:val="Normale"/>
    <w:semiHidden/>
    <w:rsid w:val="003113F5"/>
    <w:pPr>
      <w:pBdr>
        <w:top w:val="single" w:sz="4" w:space="0" w:color="auto"/>
        <w:bottom w:val="single" w:sz="4" w:space="0" w:color="auto"/>
      </w:pBdr>
      <w:shd w:val="clear" w:color="auto" w:fill="FFFFFF"/>
      <w:tabs>
        <w:tab w:val="right" w:leader="dot" w:pos="7371"/>
      </w:tabs>
      <w:spacing w:before="100" w:beforeAutospacing="1" w:after="100" w:afterAutospacing="1"/>
      <w:jc w:val="center"/>
      <w:textAlignment w:val="center"/>
    </w:pPr>
    <w:rPr>
      <w:rFonts w:ascii="Arial" w:eastAsia="Arial Unicode MS" w:hAnsi="Arial" w:cs="Arial"/>
      <w:sz w:val="14"/>
      <w:szCs w:val="14"/>
    </w:rPr>
  </w:style>
  <w:style w:type="paragraph" w:styleId="Testodelblocco">
    <w:name w:val="Block Text"/>
    <w:basedOn w:val="Normale"/>
    <w:rsid w:val="003113F5"/>
    <w:pPr>
      <w:tabs>
        <w:tab w:val="right" w:leader="dot" w:pos="7371"/>
      </w:tabs>
      <w:ind w:left="284" w:right="284" w:firstLine="709"/>
      <w:jc w:val="both"/>
    </w:pPr>
    <w:rPr>
      <w:rFonts w:ascii="Arial" w:hAnsi="Arial"/>
      <w:sz w:val="20"/>
      <w:szCs w:val="20"/>
    </w:rPr>
  </w:style>
  <w:style w:type="paragraph" w:styleId="Rientrocorpodeltesto2">
    <w:name w:val="Body Text Indent 2"/>
    <w:basedOn w:val="Normale"/>
    <w:link w:val="Rientrocorpodeltesto2Carattere"/>
    <w:rsid w:val="003113F5"/>
    <w:pPr>
      <w:tabs>
        <w:tab w:val="right" w:leader="dot" w:pos="7371"/>
      </w:tabs>
      <w:ind w:firstLine="708"/>
      <w:jc w:val="both"/>
    </w:pPr>
    <w:rPr>
      <w:sz w:val="22"/>
      <w:szCs w:val="20"/>
    </w:rPr>
  </w:style>
  <w:style w:type="character" w:customStyle="1" w:styleId="Rientrocorpodeltesto2Carattere">
    <w:name w:val="Rientro corpo del testo 2 Carattere"/>
    <w:basedOn w:val="Carpredefinitoparagrafo"/>
    <w:link w:val="Rientrocorpodeltesto2"/>
    <w:rsid w:val="003113F5"/>
    <w:rPr>
      <w:sz w:val="22"/>
    </w:rPr>
  </w:style>
  <w:style w:type="paragraph" w:customStyle="1" w:styleId="valori">
    <w:name w:val="valori"/>
    <w:basedOn w:val="item"/>
    <w:semiHidden/>
    <w:rsid w:val="003113F5"/>
    <w:pPr>
      <w:ind w:left="0"/>
      <w:jc w:val="right"/>
    </w:pPr>
  </w:style>
  <w:style w:type="paragraph" w:customStyle="1" w:styleId="item">
    <w:name w:val="item"/>
    <w:basedOn w:val="Normale"/>
    <w:semiHidden/>
    <w:rsid w:val="003113F5"/>
    <w:pPr>
      <w:tabs>
        <w:tab w:val="right" w:leader="dot" w:pos="7371"/>
      </w:tabs>
      <w:ind w:left="397"/>
    </w:pPr>
    <w:rPr>
      <w:rFonts w:ascii="Arial" w:hAnsi="Arial"/>
      <w:sz w:val="16"/>
      <w:szCs w:val="20"/>
    </w:rPr>
  </w:style>
  <w:style w:type="paragraph" w:customStyle="1" w:styleId="Tabellen">
    <w:name w:val="Tabellen"/>
    <w:basedOn w:val="Normale"/>
    <w:semiHidden/>
    <w:rsid w:val="003113F5"/>
    <w:pPr>
      <w:tabs>
        <w:tab w:val="left" w:pos="709"/>
        <w:tab w:val="right" w:leader="dot" w:pos="7371"/>
      </w:tabs>
      <w:spacing w:line="20" w:lineRule="atLeast"/>
      <w:jc w:val="both"/>
    </w:pPr>
    <w:rPr>
      <w:color w:val="000000"/>
      <w:sz w:val="18"/>
      <w:szCs w:val="20"/>
      <w:lang w:val="en-GB"/>
    </w:rPr>
  </w:style>
  <w:style w:type="paragraph" w:customStyle="1" w:styleId="Stile6">
    <w:name w:val="Stile6"/>
    <w:basedOn w:val="Normale"/>
    <w:semiHidden/>
    <w:rsid w:val="003113F5"/>
    <w:pPr>
      <w:widowControl w:val="0"/>
      <w:tabs>
        <w:tab w:val="right" w:leader="dot" w:pos="7371"/>
      </w:tabs>
      <w:spacing w:line="-200" w:lineRule="auto"/>
      <w:ind w:left="384" w:hanging="384"/>
      <w:jc w:val="both"/>
    </w:pPr>
    <w:rPr>
      <w:rFonts w:ascii="Helvetica" w:hAnsi="Helvetica"/>
      <w:snapToGrid w:val="0"/>
      <w:color w:val="000000"/>
      <w:sz w:val="18"/>
      <w:szCs w:val="20"/>
    </w:rPr>
  </w:style>
  <w:style w:type="paragraph" w:styleId="Sottotitolo">
    <w:name w:val="Subtitle"/>
    <w:basedOn w:val="Normale"/>
    <w:link w:val="SottotitoloCarattere"/>
    <w:qFormat/>
    <w:rsid w:val="003113F5"/>
    <w:pPr>
      <w:tabs>
        <w:tab w:val="right" w:leader="dot" w:pos="7371"/>
      </w:tabs>
      <w:jc w:val="both"/>
    </w:pPr>
    <w:rPr>
      <w:b/>
      <w:sz w:val="22"/>
      <w:szCs w:val="20"/>
    </w:rPr>
  </w:style>
  <w:style w:type="character" w:customStyle="1" w:styleId="SottotitoloCarattere">
    <w:name w:val="Sottotitolo Carattere"/>
    <w:basedOn w:val="Carpredefinitoparagrafo"/>
    <w:link w:val="Sottotitolo"/>
    <w:rsid w:val="003113F5"/>
    <w:rPr>
      <w:b/>
      <w:sz w:val="22"/>
    </w:rPr>
  </w:style>
  <w:style w:type="paragraph" w:customStyle="1" w:styleId="xl23">
    <w:name w:val="xl23"/>
    <w:basedOn w:val="Normale"/>
    <w:semiHidden/>
    <w:rsid w:val="003113F5"/>
    <w:pPr>
      <w:tabs>
        <w:tab w:val="right" w:leader="dot" w:pos="7371"/>
      </w:tabs>
      <w:spacing w:before="100" w:beforeAutospacing="1" w:after="100" w:afterAutospacing="1"/>
    </w:pPr>
    <w:rPr>
      <w:rFonts w:ascii="Arial Unicode MS" w:eastAsia="Arial Unicode MS" w:hAnsi="Arial Unicode MS" w:cs="Arial Unicode MS"/>
      <w:b/>
      <w:bCs/>
      <w:sz w:val="18"/>
      <w:szCs w:val="18"/>
    </w:rPr>
  </w:style>
  <w:style w:type="paragraph" w:customStyle="1" w:styleId="xl42">
    <w:name w:val="xl42"/>
    <w:basedOn w:val="Normale"/>
    <w:semiHidden/>
    <w:rsid w:val="003113F5"/>
    <w:pPr>
      <w:tabs>
        <w:tab w:val="right" w:leader="dot" w:pos="7371"/>
      </w:tabs>
      <w:spacing w:before="100" w:beforeAutospacing="1" w:after="100" w:afterAutospacing="1"/>
    </w:pPr>
    <w:rPr>
      <w:rFonts w:ascii="Arial" w:eastAsia="Arial Unicode MS" w:hAnsi="Arial" w:cs="Arial"/>
      <w:sz w:val="18"/>
      <w:szCs w:val="18"/>
    </w:rPr>
  </w:style>
  <w:style w:type="paragraph" w:customStyle="1" w:styleId="xl41">
    <w:name w:val="xl41"/>
    <w:basedOn w:val="Normale"/>
    <w:semiHidden/>
    <w:rsid w:val="003113F5"/>
    <w:pPr>
      <w:tabs>
        <w:tab w:val="right" w:leader="dot" w:pos="7371"/>
      </w:tabs>
      <w:spacing w:before="100" w:beforeAutospacing="1" w:after="100" w:afterAutospacing="1"/>
      <w:jc w:val="center"/>
    </w:pPr>
    <w:rPr>
      <w:rFonts w:ascii="Arial" w:hAnsi="Arial" w:cs="Arial"/>
      <w:sz w:val="14"/>
      <w:szCs w:val="14"/>
    </w:rPr>
  </w:style>
  <w:style w:type="paragraph" w:customStyle="1" w:styleId="xl40">
    <w:name w:val="xl40"/>
    <w:basedOn w:val="Normale"/>
    <w:semiHidden/>
    <w:rsid w:val="003113F5"/>
    <w:pPr>
      <w:tabs>
        <w:tab w:val="right" w:leader="dot" w:pos="7371"/>
      </w:tabs>
      <w:spacing w:before="100" w:beforeAutospacing="1" w:after="100" w:afterAutospacing="1"/>
      <w:jc w:val="both"/>
      <w:textAlignment w:val="top"/>
    </w:pPr>
    <w:rPr>
      <w:rFonts w:ascii="Arial" w:eastAsia="Arial Unicode MS" w:hAnsi="Arial" w:cs="Arial"/>
      <w:sz w:val="14"/>
      <w:szCs w:val="14"/>
    </w:rPr>
  </w:style>
  <w:style w:type="paragraph" w:customStyle="1" w:styleId="xl27">
    <w:name w:val="xl27"/>
    <w:basedOn w:val="Normale"/>
    <w:semiHidden/>
    <w:rsid w:val="003113F5"/>
    <w:pPr>
      <w:tabs>
        <w:tab w:val="right" w:leader="dot" w:pos="7371"/>
      </w:tabs>
      <w:spacing w:before="100" w:after="100"/>
    </w:pPr>
    <w:rPr>
      <w:rFonts w:ascii="Arial" w:hAnsi="Arial"/>
      <w:b/>
      <w:sz w:val="14"/>
      <w:szCs w:val="22"/>
    </w:rPr>
  </w:style>
  <w:style w:type="paragraph" w:customStyle="1" w:styleId="xl32">
    <w:name w:val="xl32"/>
    <w:basedOn w:val="Normale"/>
    <w:semiHidden/>
    <w:rsid w:val="003113F5"/>
    <w:pPr>
      <w:pBdr>
        <w:bottom w:val="single" w:sz="4" w:space="0" w:color="auto"/>
      </w:pBdr>
      <w:tabs>
        <w:tab w:val="right" w:leader="dot" w:pos="7371"/>
      </w:tabs>
      <w:spacing w:before="100" w:after="100"/>
      <w:jc w:val="center"/>
    </w:pPr>
    <w:rPr>
      <w:rFonts w:ascii="Arial" w:eastAsia="Arial Unicode MS" w:hAnsi="Arial"/>
      <w:sz w:val="14"/>
      <w:szCs w:val="22"/>
    </w:rPr>
  </w:style>
  <w:style w:type="paragraph" w:customStyle="1" w:styleId="xl24">
    <w:name w:val="xl24"/>
    <w:basedOn w:val="Normale"/>
    <w:semiHidden/>
    <w:rsid w:val="003113F5"/>
    <w:pPr>
      <w:tabs>
        <w:tab w:val="right" w:leader="dot" w:pos="7371"/>
      </w:tabs>
      <w:spacing w:before="100" w:after="100"/>
      <w:jc w:val="both"/>
      <w:textAlignment w:val="top"/>
    </w:pPr>
    <w:rPr>
      <w:rFonts w:ascii="Arial" w:hAnsi="Arial"/>
      <w:color w:val="000000"/>
      <w:sz w:val="14"/>
      <w:szCs w:val="20"/>
    </w:rPr>
  </w:style>
  <w:style w:type="paragraph" w:customStyle="1" w:styleId="xl25">
    <w:name w:val="xl25"/>
    <w:basedOn w:val="Normale"/>
    <w:semiHidden/>
    <w:rsid w:val="003113F5"/>
    <w:pPr>
      <w:tabs>
        <w:tab w:val="right" w:leader="dot" w:pos="7371"/>
      </w:tabs>
      <w:spacing w:before="100" w:after="100"/>
      <w:jc w:val="right"/>
      <w:textAlignment w:val="top"/>
    </w:pPr>
    <w:rPr>
      <w:rFonts w:ascii="Arial" w:hAnsi="Arial"/>
      <w:color w:val="000000"/>
      <w:sz w:val="14"/>
      <w:szCs w:val="20"/>
    </w:rPr>
  </w:style>
  <w:style w:type="paragraph" w:customStyle="1" w:styleId="xl26">
    <w:name w:val="xl26"/>
    <w:basedOn w:val="Normale"/>
    <w:semiHidden/>
    <w:rsid w:val="003113F5"/>
    <w:pPr>
      <w:pBdr>
        <w:bottom w:val="single" w:sz="4" w:space="0" w:color="auto"/>
      </w:pBdr>
      <w:tabs>
        <w:tab w:val="right" w:leader="dot" w:pos="7371"/>
      </w:tabs>
      <w:spacing w:before="100" w:after="100"/>
      <w:jc w:val="right"/>
      <w:textAlignment w:val="top"/>
    </w:pPr>
    <w:rPr>
      <w:rFonts w:ascii="Arial" w:hAnsi="Arial"/>
      <w:color w:val="000000"/>
      <w:sz w:val="14"/>
      <w:szCs w:val="20"/>
    </w:rPr>
  </w:style>
  <w:style w:type="paragraph" w:customStyle="1" w:styleId="xl28">
    <w:name w:val="xl28"/>
    <w:basedOn w:val="Normale"/>
    <w:semiHidden/>
    <w:rsid w:val="003113F5"/>
    <w:pPr>
      <w:pBdr>
        <w:bottom w:val="single" w:sz="4" w:space="0" w:color="auto"/>
      </w:pBdr>
      <w:tabs>
        <w:tab w:val="right" w:leader="dot" w:pos="7371"/>
      </w:tabs>
      <w:spacing w:before="100" w:after="100"/>
      <w:jc w:val="both"/>
      <w:textAlignment w:val="top"/>
    </w:pPr>
    <w:rPr>
      <w:rFonts w:ascii="Arial" w:hAnsi="Arial"/>
      <w:b/>
      <w:color w:val="000000"/>
      <w:sz w:val="14"/>
      <w:szCs w:val="20"/>
    </w:rPr>
  </w:style>
  <w:style w:type="paragraph" w:customStyle="1" w:styleId="xl29">
    <w:name w:val="xl29"/>
    <w:basedOn w:val="Normale"/>
    <w:semiHidden/>
    <w:rsid w:val="003113F5"/>
    <w:pPr>
      <w:pBdr>
        <w:bottom w:val="single" w:sz="4" w:space="0" w:color="auto"/>
      </w:pBdr>
      <w:tabs>
        <w:tab w:val="right" w:leader="dot" w:pos="7371"/>
      </w:tabs>
      <w:spacing w:before="100" w:after="100"/>
      <w:jc w:val="right"/>
      <w:textAlignment w:val="top"/>
    </w:pPr>
    <w:rPr>
      <w:rFonts w:ascii="Arial" w:hAnsi="Arial"/>
      <w:b/>
      <w:color w:val="000000"/>
      <w:sz w:val="14"/>
      <w:szCs w:val="20"/>
    </w:rPr>
  </w:style>
  <w:style w:type="paragraph" w:customStyle="1" w:styleId="xl31">
    <w:name w:val="xl31"/>
    <w:basedOn w:val="Normale"/>
    <w:semiHidden/>
    <w:rsid w:val="003113F5"/>
    <w:pPr>
      <w:tabs>
        <w:tab w:val="right" w:leader="dot" w:pos="7371"/>
      </w:tabs>
      <w:spacing w:before="100" w:after="100"/>
      <w:jc w:val="both"/>
    </w:pPr>
    <w:rPr>
      <w:rFonts w:ascii="Arial" w:hAnsi="Arial"/>
      <w:sz w:val="16"/>
      <w:szCs w:val="20"/>
    </w:rPr>
  </w:style>
  <w:style w:type="paragraph" w:customStyle="1" w:styleId="xl33">
    <w:name w:val="xl33"/>
    <w:basedOn w:val="Normale"/>
    <w:semiHidden/>
    <w:rsid w:val="003113F5"/>
    <w:pPr>
      <w:pBdr>
        <w:bottom w:val="single" w:sz="4" w:space="0" w:color="auto"/>
      </w:pBdr>
      <w:tabs>
        <w:tab w:val="right" w:leader="dot" w:pos="7371"/>
      </w:tabs>
      <w:spacing w:before="100" w:after="100"/>
      <w:jc w:val="center"/>
      <w:textAlignment w:val="top"/>
    </w:pPr>
    <w:rPr>
      <w:rFonts w:ascii="Arial" w:hAnsi="Arial"/>
      <w:sz w:val="22"/>
      <w:szCs w:val="20"/>
    </w:rPr>
  </w:style>
  <w:style w:type="paragraph" w:customStyle="1" w:styleId="xl35">
    <w:name w:val="xl35"/>
    <w:basedOn w:val="Normale"/>
    <w:semiHidden/>
    <w:rsid w:val="003113F5"/>
    <w:pPr>
      <w:pBdr>
        <w:bottom w:val="single" w:sz="4" w:space="0" w:color="auto"/>
      </w:pBdr>
      <w:tabs>
        <w:tab w:val="right" w:leader="dot" w:pos="7371"/>
      </w:tabs>
      <w:spacing w:before="100" w:after="100"/>
      <w:jc w:val="both"/>
      <w:textAlignment w:val="top"/>
    </w:pPr>
    <w:rPr>
      <w:rFonts w:ascii="Arial" w:hAnsi="Arial"/>
      <w:sz w:val="22"/>
      <w:szCs w:val="20"/>
    </w:rPr>
  </w:style>
  <w:style w:type="paragraph" w:customStyle="1" w:styleId="xl36">
    <w:name w:val="xl36"/>
    <w:basedOn w:val="Normale"/>
    <w:semiHidden/>
    <w:rsid w:val="003113F5"/>
    <w:pPr>
      <w:pBdr>
        <w:bottom w:val="single" w:sz="4" w:space="0" w:color="auto"/>
      </w:pBdr>
      <w:tabs>
        <w:tab w:val="right" w:leader="dot" w:pos="7371"/>
      </w:tabs>
      <w:spacing w:before="100" w:after="100"/>
      <w:jc w:val="right"/>
      <w:textAlignment w:val="top"/>
    </w:pPr>
    <w:rPr>
      <w:rFonts w:ascii="Arial" w:hAnsi="Arial"/>
      <w:sz w:val="22"/>
      <w:szCs w:val="20"/>
    </w:rPr>
  </w:style>
  <w:style w:type="paragraph" w:customStyle="1" w:styleId="xl37">
    <w:name w:val="xl37"/>
    <w:basedOn w:val="Normale"/>
    <w:semiHidden/>
    <w:rsid w:val="003113F5"/>
    <w:pPr>
      <w:tabs>
        <w:tab w:val="right" w:leader="dot" w:pos="7371"/>
      </w:tabs>
      <w:spacing w:before="100" w:after="100"/>
      <w:jc w:val="right"/>
      <w:textAlignment w:val="top"/>
    </w:pPr>
    <w:rPr>
      <w:rFonts w:ascii="Arial" w:hAnsi="Arial"/>
      <w:sz w:val="22"/>
      <w:szCs w:val="20"/>
    </w:rPr>
  </w:style>
  <w:style w:type="paragraph" w:customStyle="1" w:styleId="xl38">
    <w:name w:val="xl38"/>
    <w:basedOn w:val="Normale"/>
    <w:semiHidden/>
    <w:rsid w:val="003113F5"/>
    <w:pPr>
      <w:tabs>
        <w:tab w:val="right" w:leader="dot" w:pos="7371"/>
      </w:tabs>
      <w:spacing w:before="100" w:after="100"/>
      <w:jc w:val="both"/>
    </w:pPr>
    <w:rPr>
      <w:rFonts w:ascii="Arial" w:hAnsi="Arial"/>
      <w:sz w:val="22"/>
      <w:szCs w:val="20"/>
    </w:rPr>
  </w:style>
  <w:style w:type="paragraph" w:customStyle="1" w:styleId="xl39">
    <w:name w:val="xl39"/>
    <w:basedOn w:val="Normale"/>
    <w:semiHidden/>
    <w:rsid w:val="003113F5"/>
    <w:pPr>
      <w:pBdr>
        <w:bottom w:val="single" w:sz="4" w:space="0" w:color="auto"/>
      </w:pBdr>
      <w:tabs>
        <w:tab w:val="right" w:leader="dot" w:pos="7371"/>
      </w:tabs>
      <w:spacing w:before="100" w:beforeAutospacing="1" w:after="100" w:afterAutospacing="1"/>
      <w:textAlignment w:val="top"/>
    </w:pPr>
    <w:rPr>
      <w:rFonts w:ascii="Arial" w:eastAsia="Arial Unicode MS" w:hAnsi="Arial" w:cs="Arial"/>
      <w:sz w:val="14"/>
      <w:szCs w:val="14"/>
    </w:rPr>
  </w:style>
  <w:style w:type="paragraph" w:customStyle="1" w:styleId="xl45">
    <w:name w:val="xl45"/>
    <w:basedOn w:val="Normale"/>
    <w:semiHidden/>
    <w:rsid w:val="003113F5"/>
    <w:pPr>
      <w:tabs>
        <w:tab w:val="right" w:leader="dot" w:pos="7371"/>
      </w:tabs>
      <w:spacing w:before="100" w:beforeAutospacing="1" w:after="100" w:afterAutospacing="1"/>
      <w:jc w:val="center"/>
      <w:textAlignment w:val="center"/>
    </w:pPr>
    <w:rPr>
      <w:rFonts w:ascii="Arial" w:eastAsia="Arial Unicode MS" w:hAnsi="Arial" w:cs="Arial"/>
      <w:b/>
      <w:bCs/>
      <w:sz w:val="28"/>
      <w:szCs w:val="28"/>
    </w:rPr>
  </w:style>
  <w:style w:type="paragraph" w:customStyle="1" w:styleId="xl46">
    <w:name w:val="xl46"/>
    <w:basedOn w:val="Normale"/>
    <w:semiHidden/>
    <w:rsid w:val="003113F5"/>
    <w:pPr>
      <w:tabs>
        <w:tab w:val="right" w:leader="dot" w:pos="7371"/>
      </w:tabs>
      <w:spacing w:before="100" w:beforeAutospacing="1" w:after="100" w:afterAutospacing="1"/>
      <w:textAlignment w:val="center"/>
    </w:pPr>
    <w:rPr>
      <w:rFonts w:ascii="Arial" w:eastAsia="Arial Unicode MS" w:hAnsi="Arial" w:cs="Arial"/>
      <w:sz w:val="14"/>
      <w:szCs w:val="14"/>
    </w:rPr>
  </w:style>
  <w:style w:type="paragraph" w:customStyle="1" w:styleId="xl47">
    <w:name w:val="xl47"/>
    <w:basedOn w:val="Normale"/>
    <w:semiHidden/>
    <w:rsid w:val="003113F5"/>
    <w:pPr>
      <w:tabs>
        <w:tab w:val="right" w:leader="dot" w:pos="7371"/>
      </w:tabs>
      <w:spacing w:before="100" w:beforeAutospacing="1" w:after="100" w:afterAutospacing="1"/>
      <w:textAlignment w:val="center"/>
    </w:pPr>
    <w:rPr>
      <w:rFonts w:ascii="Arial" w:eastAsia="Arial Unicode MS" w:hAnsi="Arial" w:cs="Arial"/>
      <w:sz w:val="14"/>
      <w:szCs w:val="14"/>
    </w:rPr>
  </w:style>
  <w:style w:type="paragraph" w:customStyle="1" w:styleId="xl48">
    <w:name w:val="xl48"/>
    <w:basedOn w:val="Normale"/>
    <w:semiHidden/>
    <w:rsid w:val="003113F5"/>
    <w:pPr>
      <w:pBdr>
        <w:top w:val="single" w:sz="4" w:space="0" w:color="auto"/>
      </w:pBdr>
      <w:tabs>
        <w:tab w:val="right" w:leader="dot" w:pos="7371"/>
      </w:tabs>
      <w:spacing w:before="100" w:beforeAutospacing="1" w:after="100" w:afterAutospacing="1"/>
      <w:textAlignment w:val="center"/>
    </w:pPr>
    <w:rPr>
      <w:rFonts w:ascii="Arial" w:eastAsia="Arial Unicode MS" w:hAnsi="Arial" w:cs="Arial"/>
      <w:sz w:val="14"/>
      <w:szCs w:val="14"/>
    </w:rPr>
  </w:style>
  <w:style w:type="paragraph" w:customStyle="1" w:styleId="xl49">
    <w:name w:val="xl49"/>
    <w:basedOn w:val="Normale"/>
    <w:semiHidden/>
    <w:rsid w:val="003113F5"/>
    <w:pPr>
      <w:pBdr>
        <w:bottom w:val="single" w:sz="4" w:space="0" w:color="auto"/>
      </w:pBdr>
      <w:tabs>
        <w:tab w:val="right" w:leader="dot" w:pos="7371"/>
      </w:tabs>
      <w:spacing w:before="100" w:beforeAutospacing="1" w:after="100" w:afterAutospacing="1"/>
    </w:pPr>
    <w:rPr>
      <w:rFonts w:ascii="Arial Unicode MS" w:eastAsia="Arial Unicode MS" w:hAnsi="Arial Unicode MS" w:cs="Arial Unicode MS"/>
      <w:sz w:val="22"/>
      <w:szCs w:val="22"/>
    </w:rPr>
  </w:style>
  <w:style w:type="paragraph" w:customStyle="1" w:styleId="NaceSectionSt">
    <w:name w:val="Nace Section St"/>
    <w:basedOn w:val="Normale"/>
    <w:semiHidden/>
    <w:rsid w:val="003113F5"/>
    <w:pPr>
      <w:keepNext/>
      <w:widowControl w:val="0"/>
      <w:numPr>
        <w:ilvl w:val="12"/>
      </w:numPr>
      <w:tabs>
        <w:tab w:val="left" w:pos="993"/>
        <w:tab w:val="right" w:leader="dot" w:pos="7371"/>
      </w:tabs>
      <w:spacing w:before="120" w:after="120"/>
    </w:pPr>
    <w:rPr>
      <w:rFonts w:ascii="Times" w:hAnsi="Times"/>
      <w:b/>
      <w:color w:val="000000"/>
      <w:sz w:val="20"/>
      <w:szCs w:val="20"/>
      <w:lang w:bidi="he-IL"/>
    </w:rPr>
  </w:style>
  <w:style w:type="paragraph" w:customStyle="1" w:styleId="NaceClasseSt2">
    <w:name w:val="Nace Classe St 2"/>
    <w:basedOn w:val="NaceClasseSt1"/>
    <w:semiHidden/>
    <w:rsid w:val="003113F5"/>
    <w:pPr>
      <w:jc w:val="right"/>
    </w:pPr>
  </w:style>
  <w:style w:type="paragraph" w:customStyle="1" w:styleId="NaceClasseSt1">
    <w:name w:val="Nace Classe St 1"/>
    <w:basedOn w:val="Normale"/>
    <w:semiHidden/>
    <w:rsid w:val="003113F5"/>
    <w:pPr>
      <w:keepLines/>
      <w:tabs>
        <w:tab w:val="left" w:pos="993"/>
        <w:tab w:val="right" w:leader="dot" w:pos="7371"/>
      </w:tabs>
    </w:pPr>
    <w:rPr>
      <w:rFonts w:ascii="Times" w:hAnsi="Times"/>
      <w:noProof/>
      <w:color w:val="000000"/>
      <w:sz w:val="20"/>
      <w:szCs w:val="20"/>
      <w:lang w:bidi="he-IL"/>
    </w:rPr>
  </w:style>
  <w:style w:type="character" w:customStyle="1" w:styleId="Titolo1Carattere">
    <w:name w:val="Titolo 1 Carattere"/>
    <w:rsid w:val="003113F5"/>
    <w:rPr>
      <w:rFonts w:ascii="Arial" w:hAnsi="Arial" w:cs="Arial"/>
      <w:b/>
      <w:bCs/>
      <w:kern w:val="32"/>
      <w:sz w:val="32"/>
      <w:szCs w:val="32"/>
      <w:lang w:val="it-IT" w:eastAsia="it-IT" w:bidi="ar-SA"/>
    </w:rPr>
  </w:style>
  <w:style w:type="table" w:styleId="Tabellasemplice1">
    <w:name w:val="Table Simple 1"/>
    <w:basedOn w:val="Tabellanormale"/>
    <w:rsid w:val="003113F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stonotadichiusura">
    <w:name w:val="endnote text"/>
    <w:basedOn w:val="Normale"/>
    <w:link w:val="TestonotadichiusuraCarattere"/>
    <w:rsid w:val="003113F5"/>
    <w:pPr>
      <w:tabs>
        <w:tab w:val="left" w:pos="709"/>
        <w:tab w:val="right" w:leader="dot" w:pos="7371"/>
      </w:tabs>
      <w:jc w:val="both"/>
    </w:pPr>
    <w:rPr>
      <w:sz w:val="20"/>
      <w:szCs w:val="22"/>
    </w:rPr>
  </w:style>
  <w:style w:type="character" w:customStyle="1" w:styleId="TestonotadichiusuraCarattere">
    <w:name w:val="Testo nota di chiusura Carattere"/>
    <w:basedOn w:val="Carpredefinitoparagrafo"/>
    <w:link w:val="Testonotadichiusura"/>
    <w:rsid w:val="003113F5"/>
    <w:rPr>
      <w:szCs w:val="22"/>
    </w:rPr>
  </w:style>
  <w:style w:type="paragraph" w:customStyle="1" w:styleId="Ann18GlossarioBibliografia">
    <w:name w:val="Ann_18_Glossario/Bibliografia"/>
    <w:basedOn w:val="Ann01Testo"/>
    <w:rsid w:val="003113F5"/>
    <w:pPr>
      <w:spacing w:after="100"/>
      <w:ind w:left="170" w:hanging="170"/>
    </w:pPr>
  </w:style>
  <w:style w:type="paragraph" w:customStyle="1" w:styleId="Ann08Testonotapipagina">
    <w:name w:val="Ann_08_Testo nota piè pagina"/>
    <w:basedOn w:val="Normale"/>
    <w:link w:val="Ann08TestonotapipaginaCarattere"/>
    <w:rsid w:val="003113F5"/>
    <w:pPr>
      <w:tabs>
        <w:tab w:val="right" w:pos="170"/>
        <w:tab w:val="right" w:pos="284"/>
        <w:tab w:val="right" w:pos="454"/>
        <w:tab w:val="right" w:leader="dot" w:pos="7371"/>
      </w:tabs>
      <w:spacing w:after="20"/>
      <w:ind w:left="113" w:hanging="113"/>
      <w:jc w:val="both"/>
    </w:pPr>
    <w:rPr>
      <w:sz w:val="16"/>
      <w:szCs w:val="16"/>
    </w:rPr>
  </w:style>
  <w:style w:type="character" w:customStyle="1" w:styleId="Ann13IndiceriempipuntiniCarattere">
    <w:name w:val="Ann_13_Indice riempi puntini Carattere"/>
    <w:link w:val="Ann13Indiceriempipuntini"/>
    <w:rsid w:val="003113F5"/>
    <w:rPr>
      <w:sz w:val="22"/>
      <w:szCs w:val="22"/>
      <w:lang w:val="it-IT" w:eastAsia="it-IT" w:bidi="ar-SA"/>
    </w:rPr>
  </w:style>
  <w:style w:type="paragraph" w:customStyle="1" w:styleId="Ann20intestazionepaginapari">
    <w:name w:val="Ann_20_intestazione pagina_pari"/>
    <w:basedOn w:val="Ann19intestazionepaginadispari"/>
    <w:link w:val="Ann20intestazionepaginapariCarattere"/>
    <w:rsid w:val="003113F5"/>
    <w:pPr>
      <w:jc w:val="right"/>
    </w:pPr>
  </w:style>
  <w:style w:type="paragraph" w:customStyle="1" w:styleId="Ann13Indiceriempipuntini">
    <w:name w:val="Ann_13_Indice riempi puntini"/>
    <w:next w:val="Ann01Testo"/>
    <w:link w:val="Ann13IndiceriempipuntiniCarattere"/>
    <w:rsid w:val="003113F5"/>
    <w:pPr>
      <w:tabs>
        <w:tab w:val="right" w:leader="dot" w:pos="7371"/>
      </w:tabs>
      <w:jc w:val="both"/>
    </w:pPr>
    <w:rPr>
      <w:sz w:val="22"/>
      <w:szCs w:val="22"/>
    </w:rPr>
  </w:style>
  <w:style w:type="paragraph" w:customStyle="1" w:styleId="Ann02bPARTEinocchiello">
    <w:name w:val="Ann_02_b_PARTE_in occhiello"/>
    <w:basedOn w:val="Ann02TitoloCapitolo"/>
    <w:link w:val="Ann02bPARTEinocchielloCarattereCarattere"/>
    <w:rsid w:val="003113F5"/>
    <w:pPr>
      <w:spacing w:before="5800" w:after="0"/>
    </w:pPr>
    <w:rPr>
      <w:rFonts w:cs="Times New Roman"/>
      <w:sz w:val="36"/>
    </w:rPr>
  </w:style>
  <w:style w:type="paragraph" w:customStyle="1" w:styleId="Ann10Indicetitolocapitolo">
    <w:name w:val="Ann_10_Indice titolo capitolo"/>
    <w:basedOn w:val="Normale"/>
    <w:link w:val="Ann10IndicetitolocapitoloCarattereCarattere"/>
    <w:rsid w:val="003113F5"/>
    <w:pPr>
      <w:tabs>
        <w:tab w:val="right" w:leader="dot" w:pos="7371"/>
      </w:tabs>
    </w:pPr>
    <w:rPr>
      <w:b/>
      <w:sz w:val="22"/>
      <w:szCs w:val="22"/>
    </w:rPr>
  </w:style>
  <w:style w:type="character" w:customStyle="1" w:styleId="Ann10IndicetitolocapitoloCarattereCarattere">
    <w:name w:val="Ann_10_Indice titolo capitolo Carattere Carattere"/>
    <w:link w:val="Ann10Indicetitolocapitolo"/>
    <w:rsid w:val="003113F5"/>
    <w:rPr>
      <w:b/>
      <w:sz w:val="22"/>
      <w:szCs w:val="22"/>
    </w:rPr>
  </w:style>
  <w:style w:type="paragraph" w:customStyle="1" w:styleId="Ann11Indicetitoloparagrafo">
    <w:name w:val="Ann_11_Indice titolo paragrafo"/>
    <w:basedOn w:val="Normale"/>
    <w:link w:val="Ann11IndicetitoloparagrafoCarattereCarattere"/>
    <w:rsid w:val="003113F5"/>
    <w:pPr>
      <w:tabs>
        <w:tab w:val="left" w:pos="539"/>
        <w:tab w:val="right" w:leader="dot" w:pos="7371"/>
      </w:tabs>
    </w:pPr>
    <w:rPr>
      <w:sz w:val="22"/>
      <w:szCs w:val="22"/>
    </w:rPr>
  </w:style>
  <w:style w:type="character" w:customStyle="1" w:styleId="Ann11IndicetitoloparagrafoCarattereCarattere">
    <w:name w:val="Ann_11_Indice titolo paragrafo Carattere Carattere"/>
    <w:link w:val="Ann11Indicetitoloparagrafo"/>
    <w:rsid w:val="003113F5"/>
    <w:rPr>
      <w:sz w:val="22"/>
      <w:szCs w:val="22"/>
    </w:rPr>
  </w:style>
  <w:style w:type="paragraph" w:customStyle="1" w:styleId="Ann12Indicetitolosottoparagrafo">
    <w:name w:val="Ann_12_Indice titolo sottoparagrafo"/>
    <w:basedOn w:val="Normale"/>
    <w:link w:val="Ann12IndicetitolosottoparagrafoCarattereCarattere"/>
    <w:rsid w:val="003113F5"/>
    <w:pPr>
      <w:tabs>
        <w:tab w:val="left" w:pos="397"/>
        <w:tab w:val="left" w:pos="510"/>
        <w:tab w:val="left" w:pos="539"/>
        <w:tab w:val="right" w:leader="dot" w:pos="7371"/>
      </w:tabs>
      <w:ind w:left="907" w:hanging="907"/>
    </w:pPr>
    <w:rPr>
      <w:i/>
      <w:sz w:val="22"/>
      <w:szCs w:val="20"/>
    </w:rPr>
  </w:style>
  <w:style w:type="character" w:customStyle="1" w:styleId="Ann12IndicetitolosottoparagrafoCarattereCarattere">
    <w:name w:val="Ann_12_Indice titolo sottoparagrafo Carattere Carattere"/>
    <w:link w:val="Ann12Indicetitolosottoparagrafo"/>
    <w:rsid w:val="003113F5"/>
    <w:rPr>
      <w:i/>
      <w:sz w:val="22"/>
    </w:rPr>
  </w:style>
  <w:style w:type="paragraph" w:customStyle="1" w:styleId="Ann17TavolaFignotapitavola">
    <w:name w:val="Ann_17_Tavola/Fig nota piè tavola"/>
    <w:basedOn w:val="Ann01Testo"/>
    <w:next w:val="Ann01Testo"/>
    <w:rsid w:val="003113F5"/>
    <w:pPr>
      <w:tabs>
        <w:tab w:val="clear" w:pos="7371"/>
      </w:tabs>
      <w:spacing w:before="40" w:line="170" w:lineRule="exact"/>
      <w:ind w:left="176" w:hanging="176"/>
    </w:pPr>
    <w:rPr>
      <w:rFonts w:cs="Arial"/>
      <w:bCs w:val="0"/>
      <w:sz w:val="16"/>
      <w:szCs w:val="14"/>
    </w:rPr>
  </w:style>
  <w:style w:type="character" w:customStyle="1" w:styleId="Ann02TitoloCapitoloCarattere">
    <w:name w:val="Ann_02_Titolo Capitolo Carattere"/>
    <w:link w:val="Ann02TitoloCapitolo"/>
    <w:rsid w:val="003113F5"/>
    <w:rPr>
      <w:rFonts w:cs="Arial"/>
      <w:bCs/>
      <w:smallCaps/>
      <w:sz w:val="30"/>
      <w:szCs w:val="28"/>
      <w:lang w:val="it-IT" w:eastAsia="it-IT" w:bidi="ar-SA"/>
    </w:rPr>
  </w:style>
  <w:style w:type="numbering" w:customStyle="1" w:styleId="Ann07Testoelencopuntato">
    <w:name w:val="Ann_07_Testo elenco puntato"/>
    <w:rsid w:val="003113F5"/>
    <w:pPr>
      <w:numPr>
        <w:numId w:val="3"/>
      </w:numPr>
    </w:pPr>
  </w:style>
  <w:style w:type="character" w:customStyle="1" w:styleId="Ann02bPARTEinocchielloCarattereCarattere">
    <w:name w:val="Ann_02_b_PARTE_in occhiello Carattere Carattere"/>
    <w:link w:val="Ann02bPARTEinocchiello"/>
    <w:rsid w:val="003113F5"/>
    <w:rPr>
      <w:rFonts w:cs="Arial"/>
      <w:bCs/>
      <w:smallCaps/>
      <w:sz w:val="36"/>
      <w:szCs w:val="28"/>
    </w:rPr>
  </w:style>
  <w:style w:type="paragraph" w:customStyle="1" w:styleId="Ann02cAutoriaseguitotitolocorrente">
    <w:name w:val="Ann_02_c_Autori a seguito titolo corrente"/>
    <w:basedOn w:val="Ann02TitoloCapitolo"/>
    <w:rsid w:val="003113F5"/>
    <w:pPr>
      <w:spacing w:after="0"/>
    </w:pPr>
    <w:rPr>
      <w:b/>
      <w:i/>
      <w:sz w:val="22"/>
    </w:rPr>
  </w:style>
  <w:style w:type="paragraph" w:customStyle="1" w:styleId="Ann19intestazionepaginadispari">
    <w:name w:val="Ann_19_intestazione pagina_dispari"/>
    <w:basedOn w:val="Ann01Testo"/>
    <w:next w:val="Ann01Testo"/>
    <w:link w:val="Ann19intestazionepaginadispariCarattereCarattere"/>
    <w:rsid w:val="003113F5"/>
    <w:pPr>
      <w:tabs>
        <w:tab w:val="center" w:pos="4819"/>
        <w:tab w:val="right" w:pos="9638"/>
      </w:tabs>
      <w:ind w:firstLine="0"/>
      <w:jc w:val="left"/>
    </w:pPr>
    <w:rPr>
      <w:i/>
      <w:sz w:val="20"/>
      <w:szCs w:val="20"/>
    </w:rPr>
  </w:style>
  <w:style w:type="paragraph" w:customStyle="1" w:styleId="Ann16Tavolafiancata">
    <w:name w:val="Ann_16_Tavola fiancata"/>
    <w:basedOn w:val="Ann01Testo"/>
    <w:next w:val="Ann01Testo"/>
    <w:rsid w:val="003113F5"/>
    <w:rPr>
      <w:rFonts w:ascii="Arial" w:hAnsi="Arial"/>
      <w:sz w:val="14"/>
      <w:szCs w:val="14"/>
    </w:rPr>
  </w:style>
  <w:style w:type="paragraph" w:customStyle="1" w:styleId="Ann15Tavolacelle">
    <w:name w:val="Ann_15_Tavola celle"/>
    <w:basedOn w:val="Ann01Testo"/>
    <w:next w:val="Ann01Testo"/>
    <w:rsid w:val="003113F5"/>
    <w:pPr>
      <w:ind w:firstLine="0"/>
      <w:jc w:val="right"/>
    </w:pPr>
    <w:rPr>
      <w:rFonts w:ascii="Arial" w:hAnsi="Arial" w:cs="Arial"/>
      <w:color w:val="000000"/>
      <w:sz w:val="14"/>
      <w:szCs w:val="14"/>
    </w:rPr>
  </w:style>
  <w:style w:type="paragraph" w:customStyle="1" w:styleId="Ann01TestoCitazione">
    <w:name w:val="Ann_01_Testo_Citazione"/>
    <w:basedOn w:val="Ann01Testo"/>
    <w:rsid w:val="003113F5"/>
    <w:pPr>
      <w:spacing w:before="200" w:after="200"/>
      <w:ind w:left="567" w:right="567"/>
    </w:pPr>
    <w:rPr>
      <w:sz w:val="20"/>
    </w:rPr>
  </w:style>
  <w:style w:type="paragraph" w:customStyle="1" w:styleId="Ann14TavolaFiguratitolo">
    <w:name w:val="Ann_14_Tavola/Figura  titolo"/>
    <w:link w:val="Ann14TavolaFiguratitoloCarattereCarattere"/>
    <w:rsid w:val="003113F5"/>
    <w:pPr>
      <w:spacing w:before="440" w:after="180"/>
      <w:ind w:left="1202" w:hanging="1202"/>
      <w:jc w:val="both"/>
      <w:outlineLvl w:val="0"/>
    </w:pPr>
    <w:rPr>
      <w:b/>
      <w:szCs w:val="18"/>
    </w:rPr>
  </w:style>
  <w:style w:type="character" w:customStyle="1" w:styleId="Ann14TavolaFiguratitoloCarattereCarattere">
    <w:name w:val="Ann_14_Tavola/Figura  titolo Carattere Carattere"/>
    <w:link w:val="Ann14TavolaFiguratitolo"/>
    <w:rsid w:val="003113F5"/>
    <w:rPr>
      <w:b/>
      <w:szCs w:val="18"/>
      <w:lang w:bidi="ar-SA"/>
    </w:rPr>
  </w:style>
  <w:style w:type="paragraph" w:customStyle="1" w:styleId="InfTestocorrente">
    <w:name w:val="Inf_Testo corrente"/>
    <w:basedOn w:val="Normale"/>
    <w:semiHidden/>
    <w:rsid w:val="003113F5"/>
    <w:pPr>
      <w:tabs>
        <w:tab w:val="num" w:pos="0"/>
        <w:tab w:val="right" w:leader="dot" w:pos="7371"/>
      </w:tabs>
      <w:ind w:firstLine="397"/>
      <w:jc w:val="both"/>
    </w:pPr>
    <w:rPr>
      <w:sz w:val="22"/>
      <w:szCs w:val="22"/>
    </w:rPr>
  </w:style>
  <w:style w:type="paragraph" w:customStyle="1" w:styleId="Ann09Testoautoripipagina">
    <w:name w:val="Ann_09_Testo autori piè pagina"/>
    <w:basedOn w:val="Normale"/>
    <w:rsid w:val="003113F5"/>
    <w:pPr>
      <w:tabs>
        <w:tab w:val="right" w:leader="dot" w:pos="7371"/>
      </w:tabs>
      <w:spacing w:after="20"/>
    </w:pPr>
    <w:rPr>
      <w:i/>
      <w:sz w:val="18"/>
      <w:szCs w:val="18"/>
    </w:rPr>
  </w:style>
  <w:style w:type="character" w:customStyle="1" w:styleId="Ann19intestazionepaginadispariCarattereCarattere">
    <w:name w:val="Ann_19_intestazione pagina_dispari Carattere Carattere"/>
    <w:link w:val="Ann19intestazionepaginadispari"/>
    <w:rsid w:val="003113F5"/>
    <w:rPr>
      <w:rFonts w:cs="Arial"/>
      <w:bCs/>
      <w:i/>
      <w:kern w:val="28"/>
    </w:rPr>
  </w:style>
  <w:style w:type="character" w:customStyle="1" w:styleId="Ann20intestazionepaginapariCarattere">
    <w:name w:val="Ann_20_intestazione pagina_pari Carattere"/>
    <w:basedOn w:val="Ann19intestazionepaginadispariCarattereCarattere"/>
    <w:link w:val="Ann20intestazionepaginapari"/>
    <w:rsid w:val="003113F5"/>
    <w:rPr>
      <w:rFonts w:cs="Arial"/>
      <w:bCs/>
      <w:i/>
      <w:kern w:val="28"/>
    </w:rPr>
  </w:style>
  <w:style w:type="paragraph" w:customStyle="1" w:styleId="Ann02TitoloCapitoloconautoriaseguito">
    <w:name w:val="Ann_02_Titolo Capitolo con autori a seguito"/>
    <w:basedOn w:val="Ann02TitoloCapitolo"/>
    <w:next w:val="Ann01Testo"/>
    <w:rsid w:val="003113F5"/>
    <w:pPr>
      <w:spacing w:after="400"/>
    </w:pPr>
  </w:style>
  <w:style w:type="paragraph" w:customStyle="1" w:styleId="Ann16bTavolatestata">
    <w:name w:val="Ann_16_b_Tavola testata"/>
    <w:basedOn w:val="Normale"/>
    <w:rsid w:val="003113F5"/>
    <w:pPr>
      <w:tabs>
        <w:tab w:val="right" w:leader="dot" w:pos="7371"/>
      </w:tabs>
      <w:jc w:val="center"/>
    </w:pPr>
    <w:rPr>
      <w:rFonts w:ascii="Arial" w:hAnsi="Arial" w:cs="Arial"/>
      <w:sz w:val="14"/>
      <w:szCs w:val="14"/>
    </w:rPr>
  </w:style>
  <w:style w:type="paragraph" w:customStyle="1" w:styleId="Ann01Testo">
    <w:name w:val="Ann_01_Testo"/>
    <w:basedOn w:val="Titolo1"/>
    <w:link w:val="Ann01TestoCarattereCarattere"/>
    <w:rsid w:val="003113F5"/>
    <w:pPr>
      <w:tabs>
        <w:tab w:val="right" w:leader="dot" w:pos="7371"/>
      </w:tabs>
      <w:spacing w:before="0" w:beforeAutospacing="0" w:after="0" w:afterAutospacing="0"/>
      <w:ind w:firstLine="397"/>
      <w:jc w:val="both"/>
    </w:pPr>
    <w:rPr>
      <w:b w:val="0"/>
      <w:kern w:val="28"/>
      <w:sz w:val="22"/>
      <w:szCs w:val="22"/>
    </w:rPr>
  </w:style>
  <w:style w:type="paragraph" w:customStyle="1" w:styleId="Ann22Parolechiave">
    <w:name w:val="Ann_22_Parole chiave"/>
    <w:basedOn w:val="Normale"/>
    <w:link w:val="Ann22ParolechiaveCarattereCarattere"/>
    <w:rsid w:val="003113F5"/>
    <w:pPr>
      <w:widowControl w:val="0"/>
      <w:spacing w:before="480" w:after="200"/>
      <w:ind w:left="340" w:hanging="340"/>
      <w:jc w:val="both"/>
    </w:pPr>
    <w:rPr>
      <w:b/>
      <w:sz w:val="22"/>
    </w:rPr>
  </w:style>
  <w:style w:type="paragraph" w:customStyle="1" w:styleId="InfTitolocapitolo">
    <w:name w:val="Inf_Titolo capitolo"/>
    <w:semiHidden/>
    <w:rsid w:val="003113F5"/>
    <w:pPr>
      <w:jc w:val="center"/>
    </w:pPr>
    <w:rPr>
      <w:rFonts w:ascii="Arial" w:hAnsi="Arial" w:cs="Arial"/>
      <w:b/>
      <w:sz w:val="28"/>
      <w:szCs w:val="28"/>
    </w:rPr>
  </w:style>
  <w:style w:type="paragraph" w:customStyle="1" w:styleId="Ann02TitoloCapitolo">
    <w:name w:val="Ann_02_Titolo Capitolo"/>
    <w:next w:val="InfTestocorrente"/>
    <w:link w:val="Ann02TitoloCapitoloCarattere"/>
    <w:rsid w:val="003113F5"/>
    <w:pPr>
      <w:spacing w:after="840"/>
      <w:jc w:val="center"/>
    </w:pPr>
    <w:rPr>
      <w:rFonts w:cs="Arial"/>
      <w:bCs/>
      <w:smallCaps/>
      <w:sz w:val="30"/>
      <w:szCs w:val="28"/>
    </w:rPr>
  </w:style>
  <w:style w:type="paragraph" w:customStyle="1" w:styleId="Inftitoloparagrafo">
    <w:name w:val="Inf_titolo paragrafo"/>
    <w:next w:val="InfTestocorrente"/>
    <w:semiHidden/>
    <w:rsid w:val="003113F5"/>
    <w:pPr>
      <w:tabs>
        <w:tab w:val="left" w:pos="432"/>
        <w:tab w:val="left" w:pos="720"/>
        <w:tab w:val="left" w:pos="1440"/>
        <w:tab w:val="left" w:pos="2160"/>
        <w:tab w:val="left" w:pos="3119"/>
        <w:tab w:val="left" w:pos="3600"/>
        <w:tab w:val="left" w:pos="4320"/>
        <w:tab w:val="left" w:pos="5040"/>
        <w:tab w:val="left" w:pos="5760"/>
        <w:tab w:val="left" w:pos="6480"/>
        <w:tab w:val="left" w:pos="7200"/>
        <w:tab w:val="left" w:pos="7920"/>
        <w:tab w:val="left" w:pos="8640"/>
      </w:tabs>
    </w:pPr>
    <w:rPr>
      <w:b/>
      <w:sz w:val="22"/>
      <w:szCs w:val="22"/>
    </w:rPr>
  </w:style>
  <w:style w:type="paragraph" w:customStyle="1" w:styleId="Ann03Titoloparagrafo">
    <w:name w:val="Ann_03_Titolo paragrafo"/>
    <w:basedOn w:val="Normale"/>
    <w:link w:val="Ann03TitoloparagrafoCarattereCarattere"/>
    <w:rsid w:val="003113F5"/>
    <w:pPr>
      <w:tabs>
        <w:tab w:val="left" w:pos="432"/>
        <w:tab w:val="left" w:pos="720"/>
        <w:tab w:val="left" w:pos="1440"/>
        <w:tab w:val="left" w:pos="2160"/>
        <w:tab w:val="left" w:pos="3119"/>
        <w:tab w:val="left" w:pos="3600"/>
        <w:tab w:val="left" w:pos="4320"/>
        <w:tab w:val="left" w:pos="5040"/>
        <w:tab w:val="left" w:pos="5760"/>
        <w:tab w:val="left" w:pos="6480"/>
        <w:tab w:val="left" w:pos="7200"/>
        <w:tab w:val="right" w:leader="dot" w:pos="7371"/>
        <w:tab w:val="left" w:pos="7920"/>
        <w:tab w:val="left" w:pos="8640"/>
      </w:tabs>
      <w:spacing w:before="440" w:after="220"/>
    </w:pPr>
    <w:rPr>
      <w:b/>
      <w:sz w:val="22"/>
      <w:szCs w:val="22"/>
    </w:rPr>
  </w:style>
  <w:style w:type="character" w:customStyle="1" w:styleId="Ann03TitoloparagrafoCarattereCarattere">
    <w:name w:val="Ann_03_Titolo paragrafo Carattere Carattere"/>
    <w:link w:val="Ann03Titoloparagrafo"/>
    <w:rsid w:val="003113F5"/>
    <w:rPr>
      <w:b/>
      <w:sz w:val="22"/>
      <w:szCs w:val="22"/>
    </w:rPr>
  </w:style>
  <w:style w:type="paragraph" w:customStyle="1" w:styleId="Ann04Titolosottoparagrafo">
    <w:name w:val="Ann_04_Titolo sottoparagrafo"/>
    <w:basedOn w:val="Normale"/>
    <w:link w:val="Ann04TitolosottoparagrafoCarattereCarattere"/>
    <w:rsid w:val="003113F5"/>
    <w:pPr>
      <w:tabs>
        <w:tab w:val="left" w:pos="432"/>
        <w:tab w:val="left" w:pos="720"/>
        <w:tab w:val="left" w:pos="1440"/>
        <w:tab w:val="left" w:pos="2160"/>
        <w:tab w:val="left" w:pos="3119"/>
        <w:tab w:val="left" w:pos="3600"/>
        <w:tab w:val="left" w:pos="4320"/>
        <w:tab w:val="left" w:pos="5040"/>
        <w:tab w:val="left" w:pos="5760"/>
        <w:tab w:val="left" w:pos="6480"/>
        <w:tab w:val="left" w:pos="7200"/>
        <w:tab w:val="right" w:leader="dot" w:pos="7371"/>
        <w:tab w:val="left" w:pos="7920"/>
        <w:tab w:val="left" w:pos="8640"/>
      </w:tabs>
      <w:spacing w:before="220" w:after="40"/>
      <w:ind w:left="680" w:hanging="680"/>
      <w:jc w:val="both"/>
    </w:pPr>
    <w:rPr>
      <w:i/>
      <w:sz w:val="22"/>
      <w:szCs w:val="22"/>
    </w:rPr>
  </w:style>
  <w:style w:type="character" w:customStyle="1" w:styleId="Ann04TitolosottoparagrafoCarattereCarattere">
    <w:name w:val="Ann_04_Titolo sottoparagrafo Carattere Carattere"/>
    <w:link w:val="Ann04Titolosottoparagrafo"/>
    <w:rsid w:val="003113F5"/>
    <w:rPr>
      <w:i/>
      <w:sz w:val="22"/>
      <w:szCs w:val="22"/>
    </w:rPr>
  </w:style>
  <w:style w:type="paragraph" w:customStyle="1" w:styleId="Lineaseparatorenotepidipagina">
    <w:name w:val="Linea separatore note piè di pagina"/>
    <w:basedOn w:val="Normale"/>
    <w:semiHidden/>
    <w:rsid w:val="003113F5"/>
    <w:pPr>
      <w:tabs>
        <w:tab w:val="right" w:leader="dot" w:pos="7371"/>
      </w:tabs>
    </w:pPr>
    <w:rPr>
      <w:sz w:val="22"/>
      <w:szCs w:val="22"/>
    </w:rPr>
  </w:style>
  <w:style w:type="character" w:customStyle="1" w:styleId="Titolo1Carattere1">
    <w:name w:val="Titolo 1 Carattere1"/>
    <w:aliases w:val=" Carattere Carattere"/>
    <w:link w:val="Titolo1"/>
    <w:rsid w:val="003113F5"/>
    <w:rPr>
      <w:b/>
      <w:bCs/>
      <w:kern w:val="36"/>
      <w:sz w:val="48"/>
      <w:szCs w:val="48"/>
    </w:rPr>
  </w:style>
  <w:style w:type="character" w:customStyle="1" w:styleId="Ann01TestoCarattereCarattere">
    <w:name w:val="Ann_01_Testo Carattere Carattere"/>
    <w:link w:val="Ann01Testo"/>
    <w:rsid w:val="003113F5"/>
    <w:rPr>
      <w:bCs/>
      <w:kern w:val="28"/>
      <w:sz w:val="22"/>
      <w:szCs w:val="22"/>
    </w:rPr>
  </w:style>
  <w:style w:type="character" w:customStyle="1" w:styleId="Ann22ParolechiaveCarattereCarattere">
    <w:name w:val="Ann_22_Parole chiave Carattere Carattere"/>
    <w:link w:val="Ann22Parolechiave"/>
    <w:rsid w:val="003113F5"/>
    <w:rPr>
      <w:b/>
      <w:sz w:val="22"/>
      <w:szCs w:val="24"/>
    </w:rPr>
  </w:style>
  <w:style w:type="paragraph" w:customStyle="1" w:styleId="Ann21Testosommario">
    <w:name w:val="Ann_21_Testo sommario"/>
    <w:basedOn w:val="Normale"/>
    <w:rsid w:val="003113F5"/>
    <w:pPr>
      <w:widowControl w:val="0"/>
      <w:spacing w:after="240"/>
      <w:jc w:val="both"/>
    </w:pPr>
    <w:rPr>
      <w:i/>
      <w:sz w:val="21"/>
      <w:szCs w:val="20"/>
      <w:lang w:val="en-GB"/>
    </w:rPr>
  </w:style>
  <w:style w:type="numbering" w:customStyle="1" w:styleId="Ann05Testoelenconumerico">
    <w:name w:val="Ann_05_Testo elenco numerico"/>
    <w:basedOn w:val="Nessunelenco"/>
    <w:rsid w:val="003113F5"/>
    <w:pPr>
      <w:numPr>
        <w:numId w:val="1"/>
      </w:numPr>
    </w:pPr>
  </w:style>
  <w:style w:type="paragraph" w:customStyle="1" w:styleId="Ann10bIndiceTITOLOPARTI">
    <w:name w:val="Ann_10b_Indice TITOLO PARTI"/>
    <w:basedOn w:val="Ann01Testo"/>
    <w:next w:val="Ann01Testo"/>
    <w:rsid w:val="003113F5"/>
    <w:pPr>
      <w:ind w:firstLine="0"/>
      <w:jc w:val="center"/>
    </w:pPr>
    <w:rPr>
      <w:caps/>
    </w:rPr>
  </w:style>
  <w:style w:type="paragraph" w:customStyle="1" w:styleId="Ann23numeronotaapice">
    <w:name w:val="Ann_23_numero nota 'apice'"/>
    <w:basedOn w:val="Ann08Testonotapipagina"/>
    <w:link w:val="Ann23numeronotaapiceCarattere"/>
    <w:rsid w:val="003113F5"/>
    <w:rPr>
      <w:vertAlign w:val="superscript"/>
    </w:rPr>
  </w:style>
  <w:style w:type="paragraph" w:customStyle="1" w:styleId="Ann21Titolosommario">
    <w:name w:val="Ann_21_Titolo sommario"/>
    <w:basedOn w:val="Ann22Parolechiave"/>
    <w:rsid w:val="003113F5"/>
    <w:rPr>
      <w:sz w:val="24"/>
    </w:rPr>
  </w:style>
  <w:style w:type="numbering" w:customStyle="1" w:styleId="Ann06Testoelencoalfabetico">
    <w:name w:val="Ann_06_Testo elenco alfabetico"/>
    <w:basedOn w:val="Nessunelenco"/>
    <w:rsid w:val="003113F5"/>
    <w:pPr>
      <w:numPr>
        <w:numId w:val="2"/>
      </w:numPr>
    </w:pPr>
  </w:style>
  <w:style w:type="character" w:customStyle="1" w:styleId="Ann08TestonotapipaginaCarattere">
    <w:name w:val="Ann_08_Testo nota piè pagina Carattere"/>
    <w:link w:val="Ann08Testonotapipagina"/>
    <w:rsid w:val="003113F5"/>
    <w:rPr>
      <w:sz w:val="16"/>
      <w:szCs w:val="16"/>
    </w:rPr>
  </w:style>
  <w:style w:type="character" w:customStyle="1" w:styleId="Ann23numeronotaapiceCarattere">
    <w:name w:val="Ann_23_numero nota 'apice' Carattere"/>
    <w:link w:val="Ann23numeronotaapice"/>
    <w:rsid w:val="003113F5"/>
    <w:rPr>
      <w:sz w:val="16"/>
      <w:szCs w:val="16"/>
      <w:vertAlign w:val="superscript"/>
    </w:rPr>
  </w:style>
  <w:style w:type="table" w:styleId="Grigliatabella">
    <w:name w:val="Table Grid"/>
    <w:basedOn w:val="Tabellanormale"/>
    <w:uiPriority w:val="39"/>
    <w:rsid w:val="003113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3Carattere">
    <w:name w:val="Titolo 3 Carattere"/>
    <w:basedOn w:val="Carpredefinitoparagrafo"/>
    <w:link w:val="Titolo3"/>
    <w:rsid w:val="003113F5"/>
    <w:rPr>
      <w:b/>
      <w:bCs/>
      <w:sz w:val="27"/>
      <w:szCs w:val="27"/>
    </w:rPr>
  </w:style>
  <w:style w:type="numbering" w:customStyle="1" w:styleId="Nessunelenco1">
    <w:name w:val="Nessun elenco1"/>
    <w:next w:val="Nessunelenco"/>
    <w:uiPriority w:val="99"/>
    <w:semiHidden/>
    <w:unhideWhenUsed/>
    <w:rsid w:val="003113F5"/>
  </w:style>
  <w:style w:type="paragraph" w:styleId="Paragrafoelenco">
    <w:name w:val="List Paragraph"/>
    <w:basedOn w:val="Normale"/>
    <w:link w:val="ParagrafoelencoCarattere"/>
    <w:uiPriority w:val="34"/>
    <w:qFormat/>
    <w:rsid w:val="003113F5"/>
    <w:pPr>
      <w:spacing w:after="200" w:line="276" w:lineRule="auto"/>
      <w:ind w:left="720"/>
      <w:contextualSpacing/>
    </w:pPr>
    <w:rPr>
      <w:rFonts w:ascii="Calibri" w:hAnsi="Calibri"/>
      <w:sz w:val="22"/>
      <w:szCs w:val="22"/>
    </w:rPr>
  </w:style>
  <w:style w:type="character" w:customStyle="1" w:styleId="IntestazioneCarattere">
    <w:name w:val="Intestazione Carattere"/>
    <w:basedOn w:val="Carpredefinitoparagrafo"/>
    <w:link w:val="Intestazione"/>
    <w:rsid w:val="003113F5"/>
    <w:rPr>
      <w:sz w:val="24"/>
      <w:szCs w:val="24"/>
    </w:rPr>
  </w:style>
  <w:style w:type="paragraph" w:customStyle="1" w:styleId="Normale1">
    <w:name w:val="Normale1"/>
    <w:rsid w:val="003113F5"/>
    <w:pPr>
      <w:suppressAutoHyphens/>
      <w:spacing w:after="200" w:line="276" w:lineRule="auto"/>
    </w:pPr>
    <w:rPr>
      <w:rFonts w:eastAsia="ヒラギノ角ゴ Pro W3"/>
      <w:color w:val="000000"/>
      <w:sz w:val="22"/>
      <w:lang w:eastAsia="ar-SA"/>
    </w:rPr>
  </w:style>
  <w:style w:type="character" w:customStyle="1" w:styleId="TestonotaapidipaginaCarattere">
    <w:name w:val="Testo nota a piè di pagina Carattere"/>
    <w:aliases w:val="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3113F5"/>
    <w:rPr>
      <w:rFonts w:ascii="Arial" w:hAnsi="Arial" w:cs="Arial"/>
      <w:color w:val="000000"/>
    </w:rPr>
  </w:style>
  <w:style w:type="paragraph" w:customStyle="1" w:styleId="01Titolocapitolo">
    <w:name w:val="01_Titolo capitolo"/>
    <w:basedOn w:val="Paragrafoelenco"/>
    <w:qFormat/>
    <w:rsid w:val="003113F5"/>
    <w:pPr>
      <w:numPr>
        <w:numId w:val="4"/>
      </w:numPr>
      <w:suppressAutoHyphens/>
      <w:spacing w:after="1080" w:line="320" w:lineRule="exact"/>
      <w:ind w:left="567" w:hanging="567"/>
      <w:jc w:val="both"/>
    </w:pPr>
    <w:rPr>
      <w:rFonts w:ascii="Arial Black" w:hAnsi="Arial Black"/>
      <w:color w:val="CC0000"/>
      <w:sz w:val="32"/>
      <w:szCs w:val="32"/>
    </w:rPr>
  </w:style>
  <w:style w:type="paragraph" w:customStyle="1" w:styleId="02Titoloparagrafo">
    <w:name w:val="02_Titolo paragrafo"/>
    <w:basedOn w:val="Normale"/>
    <w:qFormat/>
    <w:rsid w:val="003113F5"/>
    <w:pPr>
      <w:suppressAutoHyphens/>
      <w:spacing w:after="600" w:line="280" w:lineRule="exact"/>
      <w:ind w:left="567" w:hanging="567"/>
      <w:jc w:val="both"/>
    </w:pPr>
    <w:rPr>
      <w:rFonts w:ascii="Arial" w:hAnsi="Arial"/>
      <w:sz w:val="28"/>
      <w:szCs w:val="28"/>
    </w:rPr>
  </w:style>
  <w:style w:type="paragraph" w:customStyle="1" w:styleId="03testocorrente">
    <w:name w:val="03_testo corrente"/>
    <w:basedOn w:val="Normale"/>
    <w:qFormat/>
    <w:rsid w:val="003113F5"/>
    <w:pPr>
      <w:spacing w:line="280" w:lineRule="exact"/>
      <w:ind w:firstLine="227"/>
      <w:jc w:val="both"/>
    </w:pPr>
    <w:rPr>
      <w:rFonts w:ascii="Arial Narrow" w:hAnsi="Arial Narrow"/>
    </w:rPr>
  </w:style>
  <w:style w:type="paragraph" w:customStyle="1" w:styleId="04Elencopuntato">
    <w:name w:val="04_Elenco puntato"/>
    <w:basedOn w:val="Paragrafoelenco"/>
    <w:qFormat/>
    <w:rsid w:val="003113F5"/>
    <w:pPr>
      <w:numPr>
        <w:numId w:val="5"/>
      </w:numPr>
      <w:spacing w:after="0" w:line="280" w:lineRule="exact"/>
      <w:ind w:left="454" w:hanging="227"/>
      <w:jc w:val="both"/>
    </w:pPr>
    <w:rPr>
      <w:rFonts w:ascii="Arial Narrow" w:hAnsi="Arial Narrow"/>
      <w:sz w:val="24"/>
      <w:szCs w:val="24"/>
    </w:rPr>
  </w:style>
  <w:style w:type="paragraph" w:customStyle="1" w:styleId="05Notaapipagina">
    <w:name w:val="05_Nota a piè pagina"/>
    <w:basedOn w:val="Testonotaapidipagina"/>
    <w:qFormat/>
    <w:rsid w:val="003113F5"/>
    <w:pPr>
      <w:tabs>
        <w:tab w:val="right" w:leader="dot" w:pos="7371"/>
      </w:tabs>
    </w:pPr>
    <w:rPr>
      <w:rFonts w:ascii="Times New Roman" w:hAnsi="Times New Roman" w:cs="Times New Roman"/>
      <w:color w:val="auto"/>
      <w:szCs w:val="22"/>
    </w:rPr>
  </w:style>
  <w:style w:type="paragraph" w:customStyle="1" w:styleId="06Prospetto">
    <w:name w:val="06_Prospetto"/>
    <w:basedOn w:val="Normale"/>
    <w:qFormat/>
    <w:rsid w:val="003113F5"/>
    <w:pPr>
      <w:tabs>
        <w:tab w:val="left" w:pos="567"/>
      </w:tabs>
      <w:spacing w:line="240" w:lineRule="exact"/>
      <w:jc w:val="both"/>
    </w:pPr>
    <w:rPr>
      <w:rFonts w:ascii="Arial" w:hAnsi="Arial" w:cs="Arial"/>
      <w:b/>
      <w:bCs/>
      <w:color w:val="CC0000"/>
      <w:sz w:val="18"/>
      <w:szCs w:val="18"/>
    </w:rPr>
  </w:style>
  <w:style w:type="paragraph" w:customStyle="1" w:styleId="07Titoloprospetto">
    <w:name w:val="07_Titolo prospetto"/>
    <w:basedOn w:val="Normale"/>
    <w:qFormat/>
    <w:rsid w:val="003113F5"/>
    <w:pPr>
      <w:tabs>
        <w:tab w:val="left" w:pos="567"/>
      </w:tabs>
      <w:spacing w:after="240" w:line="240" w:lineRule="exact"/>
      <w:jc w:val="both"/>
    </w:pPr>
    <w:rPr>
      <w:rFonts w:ascii="Arial" w:hAnsi="Arial" w:cs="Arial"/>
      <w:b/>
      <w:sz w:val="18"/>
      <w:szCs w:val="18"/>
    </w:rPr>
  </w:style>
  <w:style w:type="paragraph" w:customStyle="1" w:styleId="08Fiancataprospetto">
    <w:name w:val="08_Fiancata prospetto"/>
    <w:basedOn w:val="Normale"/>
    <w:qFormat/>
    <w:rsid w:val="003113F5"/>
    <w:pPr>
      <w:spacing w:line="280" w:lineRule="exact"/>
      <w:jc w:val="both"/>
    </w:pPr>
    <w:rPr>
      <w:rFonts w:ascii="Arial" w:hAnsi="Arial" w:cs="Arial"/>
      <w:sz w:val="14"/>
      <w:szCs w:val="14"/>
    </w:rPr>
  </w:style>
  <w:style w:type="paragraph" w:customStyle="1" w:styleId="09DatiProspetto">
    <w:name w:val="09_Dati Prospetto"/>
    <w:basedOn w:val="Normale"/>
    <w:qFormat/>
    <w:rsid w:val="003113F5"/>
    <w:pPr>
      <w:spacing w:line="280" w:lineRule="exact"/>
      <w:jc w:val="right"/>
    </w:pPr>
    <w:rPr>
      <w:rFonts w:ascii="Arial" w:hAnsi="Arial" w:cs="Arial"/>
      <w:sz w:val="14"/>
      <w:szCs w:val="14"/>
    </w:rPr>
  </w:style>
  <w:style w:type="paragraph" w:customStyle="1" w:styleId="10Notaprospetto">
    <w:name w:val="10_Nota prospetto"/>
    <w:basedOn w:val="Normale"/>
    <w:qFormat/>
    <w:rsid w:val="003113F5"/>
    <w:pPr>
      <w:spacing w:before="120" w:after="200"/>
      <w:ind w:left="227" w:hanging="227"/>
      <w:jc w:val="both"/>
    </w:pPr>
    <w:rPr>
      <w:rFonts w:ascii="Arial" w:hAnsi="Arial" w:cs="Arial"/>
      <w:sz w:val="14"/>
      <w:szCs w:val="14"/>
    </w:rPr>
  </w:style>
  <w:style w:type="paragraph" w:customStyle="1" w:styleId="11Titolobox">
    <w:name w:val="11_Titolo box"/>
    <w:basedOn w:val="Normale"/>
    <w:qFormat/>
    <w:rsid w:val="003113F5"/>
    <w:pPr>
      <w:spacing w:before="240" w:after="240" w:line="280" w:lineRule="exact"/>
      <w:jc w:val="center"/>
    </w:pPr>
    <w:rPr>
      <w:rFonts w:ascii="Arial Black" w:hAnsi="Arial Black" w:cs="Arial"/>
      <w:b/>
      <w:color w:val="C00000"/>
    </w:rPr>
  </w:style>
  <w:style w:type="paragraph" w:customStyle="1" w:styleId="12Testobox">
    <w:name w:val="12_Testo box"/>
    <w:basedOn w:val="Normale"/>
    <w:qFormat/>
    <w:rsid w:val="003113F5"/>
    <w:pPr>
      <w:spacing w:line="280" w:lineRule="exact"/>
      <w:ind w:left="227" w:right="227"/>
      <w:jc w:val="both"/>
    </w:pPr>
    <w:rPr>
      <w:rFonts w:ascii="Arial" w:hAnsi="Arial" w:cs="Arial"/>
      <w:sz w:val="22"/>
      <w:szCs w:val="22"/>
    </w:rPr>
  </w:style>
  <w:style w:type="paragraph" w:customStyle="1" w:styleId="13Figura">
    <w:name w:val="13_Figura"/>
    <w:basedOn w:val="Normale"/>
    <w:qFormat/>
    <w:rsid w:val="003113F5"/>
    <w:pPr>
      <w:tabs>
        <w:tab w:val="left" w:pos="567"/>
      </w:tabs>
      <w:spacing w:line="240" w:lineRule="exact"/>
      <w:jc w:val="both"/>
    </w:pPr>
    <w:rPr>
      <w:rFonts w:ascii="Arial" w:hAnsi="Arial" w:cs="Arial"/>
      <w:b/>
      <w:bCs/>
      <w:color w:val="CC0000"/>
      <w:sz w:val="18"/>
      <w:szCs w:val="18"/>
    </w:rPr>
  </w:style>
  <w:style w:type="paragraph" w:customStyle="1" w:styleId="14Titolofigura">
    <w:name w:val="14_Titolo figura"/>
    <w:basedOn w:val="Normale"/>
    <w:qFormat/>
    <w:rsid w:val="003113F5"/>
    <w:pPr>
      <w:tabs>
        <w:tab w:val="left" w:pos="567"/>
      </w:tabs>
      <w:spacing w:after="240" w:line="260" w:lineRule="exact"/>
      <w:jc w:val="both"/>
    </w:pPr>
    <w:rPr>
      <w:rFonts w:ascii="Arial" w:hAnsi="Arial" w:cs="Arial"/>
      <w:b/>
      <w:sz w:val="18"/>
      <w:szCs w:val="18"/>
    </w:rPr>
  </w:style>
  <w:style w:type="paragraph" w:customStyle="1" w:styleId="15Lineafigura">
    <w:name w:val="15_Linea figura"/>
    <w:basedOn w:val="Normale"/>
    <w:qFormat/>
    <w:rsid w:val="003113F5"/>
    <w:pPr>
      <w:pBdr>
        <w:top w:val="single" w:sz="12" w:space="0" w:color="808080"/>
      </w:pBdr>
      <w:shd w:val="clear" w:color="auto" w:fill="FFFFFF"/>
      <w:tabs>
        <w:tab w:val="left" w:pos="567"/>
      </w:tabs>
      <w:spacing w:after="40" w:line="100" w:lineRule="exact"/>
      <w:jc w:val="both"/>
    </w:pPr>
    <w:rPr>
      <w:rFonts w:ascii="Arial Narrow" w:hAnsi="Arial Narrow"/>
      <w:b/>
      <w:caps/>
      <w:color w:val="FFFFFF"/>
      <w:sz w:val="22"/>
      <w:szCs w:val="22"/>
    </w:rPr>
  </w:style>
  <w:style w:type="paragraph" w:customStyle="1" w:styleId="16Sommario">
    <w:name w:val="16_Sommario"/>
    <w:basedOn w:val="Normale"/>
    <w:qFormat/>
    <w:rsid w:val="003113F5"/>
    <w:pPr>
      <w:spacing w:after="1080" w:line="280" w:lineRule="exact"/>
      <w:jc w:val="both"/>
    </w:pPr>
    <w:rPr>
      <w:rFonts w:ascii="Arial Black" w:hAnsi="Arial Black"/>
      <w:color w:val="CC0000"/>
      <w:sz w:val="32"/>
      <w:szCs w:val="32"/>
    </w:rPr>
  </w:style>
  <w:style w:type="paragraph" w:customStyle="1" w:styleId="17Sommariopresentazione">
    <w:name w:val="17_Sommario presentazione"/>
    <w:basedOn w:val="Normale"/>
    <w:qFormat/>
    <w:rsid w:val="003113F5"/>
    <w:pPr>
      <w:tabs>
        <w:tab w:val="right" w:leader="dot" w:pos="9214"/>
      </w:tabs>
      <w:spacing w:before="240" w:after="240" w:line="300" w:lineRule="exact"/>
      <w:ind w:left="425" w:hanging="425"/>
      <w:jc w:val="both"/>
    </w:pPr>
    <w:rPr>
      <w:rFonts w:ascii="Arial Narrow" w:hAnsi="Arial Narrow"/>
      <w:b/>
    </w:rPr>
  </w:style>
  <w:style w:type="paragraph" w:customStyle="1" w:styleId="18Sommariocapitolo">
    <w:name w:val="18_Sommario capitolo"/>
    <w:basedOn w:val="Normale"/>
    <w:qFormat/>
    <w:rsid w:val="003113F5"/>
    <w:pPr>
      <w:tabs>
        <w:tab w:val="right" w:leader="dot" w:pos="9214"/>
      </w:tabs>
      <w:spacing w:before="240" w:after="240" w:line="300" w:lineRule="exact"/>
      <w:ind w:left="425" w:hanging="425"/>
      <w:jc w:val="both"/>
    </w:pPr>
    <w:rPr>
      <w:rFonts w:ascii="Arial Narrow" w:hAnsi="Arial Narrow"/>
      <w:b/>
    </w:rPr>
  </w:style>
  <w:style w:type="paragraph" w:customStyle="1" w:styleId="19Sommarioparagrafo">
    <w:name w:val="19_Sommario paragrafo"/>
    <w:basedOn w:val="Normale"/>
    <w:qFormat/>
    <w:rsid w:val="003113F5"/>
    <w:pPr>
      <w:tabs>
        <w:tab w:val="right" w:leader="dot" w:pos="9214"/>
      </w:tabs>
      <w:spacing w:line="300" w:lineRule="exact"/>
      <w:ind w:left="879" w:hanging="454"/>
      <w:jc w:val="both"/>
    </w:pPr>
    <w:rPr>
      <w:rFonts w:ascii="Arial Narrow" w:hAnsi="Arial Narrow"/>
    </w:rPr>
  </w:style>
  <w:style w:type="paragraph" w:customStyle="1" w:styleId="lineaprospetto">
    <w:name w:val="linea prospetto"/>
    <w:basedOn w:val="Normale"/>
    <w:qFormat/>
    <w:rsid w:val="003113F5"/>
    <w:pPr>
      <w:spacing w:line="280" w:lineRule="exact"/>
      <w:jc w:val="both"/>
    </w:pPr>
    <w:rPr>
      <w:rFonts w:ascii="Arial" w:hAnsi="Arial" w:cs="Arial"/>
      <w:sz w:val="14"/>
      <w:szCs w:val="14"/>
    </w:rPr>
  </w:style>
  <w:style w:type="paragraph" w:customStyle="1" w:styleId="12TestoBOX0">
    <w:name w:val="12_Testo (BOX)"/>
    <w:basedOn w:val="Normale"/>
    <w:qFormat/>
    <w:rsid w:val="003113F5"/>
    <w:pPr>
      <w:spacing w:line="280" w:lineRule="exact"/>
      <w:ind w:left="227" w:right="227"/>
      <w:jc w:val="both"/>
    </w:pPr>
    <w:rPr>
      <w:rFonts w:ascii="Arial" w:hAnsi="Arial" w:cs="Arial"/>
      <w:sz w:val="22"/>
      <w:szCs w:val="22"/>
    </w:rPr>
  </w:style>
  <w:style w:type="paragraph" w:styleId="Testocommento">
    <w:name w:val="annotation text"/>
    <w:basedOn w:val="Normale"/>
    <w:link w:val="TestocommentoCarattere"/>
    <w:rsid w:val="003113F5"/>
    <w:rPr>
      <w:sz w:val="20"/>
      <w:szCs w:val="20"/>
    </w:rPr>
  </w:style>
  <w:style w:type="character" w:customStyle="1" w:styleId="TestocommentoCarattere">
    <w:name w:val="Testo commento Carattere"/>
    <w:basedOn w:val="Carpredefinitoparagrafo"/>
    <w:link w:val="Testocommento"/>
    <w:rsid w:val="003113F5"/>
  </w:style>
  <w:style w:type="paragraph" w:styleId="Soggettocommento">
    <w:name w:val="annotation subject"/>
    <w:basedOn w:val="Testocommento"/>
    <w:next w:val="Testocommento"/>
    <w:link w:val="SoggettocommentoCarattere"/>
    <w:rsid w:val="003113F5"/>
    <w:rPr>
      <w:b/>
      <w:bCs/>
    </w:rPr>
  </w:style>
  <w:style w:type="character" w:customStyle="1" w:styleId="SoggettocommentoCarattere">
    <w:name w:val="Soggetto commento Carattere"/>
    <w:basedOn w:val="TestocommentoCarattere"/>
    <w:link w:val="Soggettocommento"/>
    <w:rsid w:val="003113F5"/>
    <w:rPr>
      <w:b/>
      <w:bCs/>
    </w:rPr>
  </w:style>
  <w:style w:type="character" w:styleId="Enfasicorsivo">
    <w:name w:val="Emphasis"/>
    <w:qFormat/>
    <w:rsid w:val="003113F5"/>
    <w:rPr>
      <w:i/>
      <w:iCs/>
    </w:rPr>
  </w:style>
  <w:style w:type="paragraph" w:styleId="Revisione">
    <w:name w:val="Revision"/>
    <w:hidden/>
    <w:uiPriority w:val="99"/>
    <w:semiHidden/>
    <w:rsid w:val="003113F5"/>
    <w:rPr>
      <w:rFonts w:ascii="Calibri" w:hAnsi="Calibri"/>
      <w:sz w:val="22"/>
      <w:szCs w:val="22"/>
    </w:rPr>
  </w:style>
  <w:style w:type="paragraph" w:customStyle="1" w:styleId="20Sommariosottoparagrafo">
    <w:name w:val="20_Sommario sottoparagrafo"/>
    <w:basedOn w:val="Normale"/>
    <w:qFormat/>
    <w:rsid w:val="003113F5"/>
    <w:pPr>
      <w:tabs>
        <w:tab w:val="right" w:leader="dot" w:pos="9214"/>
      </w:tabs>
      <w:spacing w:line="300" w:lineRule="exact"/>
      <w:ind w:left="879" w:hanging="454"/>
      <w:jc w:val="both"/>
    </w:pPr>
    <w:rPr>
      <w:rFonts w:ascii="Arial Narrow" w:eastAsia="Calibri" w:hAnsi="Arial Narrow"/>
      <w:i/>
      <w:lang w:eastAsia="en-US"/>
    </w:rPr>
  </w:style>
  <w:style w:type="table" w:customStyle="1" w:styleId="Stile1">
    <w:name w:val="Stile1"/>
    <w:basedOn w:val="Tabellanormale"/>
    <w:uiPriority w:val="99"/>
    <w:rsid w:val="00465146"/>
    <w:pPr>
      <w:jc w:val="right"/>
    </w:pPr>
    <w:rPr>
      <w:rFonts w:ascii="Arial Narrow" w:hAnsi="Arial Narrow"/>
      <w:sz w:val="18"/>
    </w:rPr>
    <w:tblPr>
      <w:tblBorders>
        <w:top w:val="single" w:sz="4" w:space="0" w:color="auto"/>
        <w:bottom w:val="single" w:sz="4" w:space="0" w:color="auto"/>
        <w:insideH w:val="single" w:sz="4" w:space="0" w:color="auto"/>
      </w:tblBorders>
    </w:tblPr>
    <w:tcPr>
      <w:shd w:val="clear" w:color="auto" w:fill="FFFFFF" w:themeFill="background1"/>
      <w:vAlign w:val="center"/>
    </w:tcPr>
    <w:tblStylePr w:type="firstRow">
      <w:rPr>
        <w:b/>
      </w:rPr>
    </w:tblStylePr>
    <w:tblStylePr w:type="lastRow">
      <w:rPr>
        <w:b/>
        <w:color w:val="FFFFFF" w:themeColor="background1"/>
      </w:rPr>
      <w:tblPr/>
      <w:trPr>
        <w:cantSplit/>
      </w:trPr>
      <w:tcPr>
        <w:shd w:val="clear" w:color="auto" w:fill="943634" w:themeFill="accent2" w:themeFillShade="BF"/>
      </w:tcPr>
    </w:tblStylePr>
    <w:tblStylePr w:type="firstCol">
      <w:pPr>
        <w:jc w:val="left"/>
      </w:pPr>
    </w:tblStylePr>
  </w:style>
  <w:style w:type="table" w:styleId="Tabellaacolori2">
    <w:name w:val="Table Colorful 2"/>
    <w:basedOn w:val="Tabellanormale"/>
    <w:rsid w:val="0046514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Grigliatabella1">
    <w:name w:val="Griglia tabella1"/>
    <w:basedOn w:val="Tabellanormale"/>
    <w:next w:val="Grigliatabella"/>
    <w:uiPriority w:val="59"/>
    <w:rsid w:val="001A120C"/>
    <w:pPr>
      <w:ind w:left="170" w:hanging="17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rsid w:val="007923A3"/>
    <w:rPr>
      <w:color w:val="800080" w:themeColor="followedHyperlink"/>
      <w:u w:val="single"/>
    </w:rPr>
  </w:style>
  <w:style w:type="character" w:styleId="Rimandonotadichiusura">
    <w:name w:val="endnote reference"/>
    <w:basedOn w:val="Carpredefinitoparagrafo"/>
    <w:rsid w:val="0082249F"/>
    <w:rPr>
      <w:vertAlign w:val="superscript"/>
    </w:rPr>
  </w:style>
  <w:style w:type="paragraph" w:styleId="Corpotesto">
    <w:name w:val="Body Text"/>
    <w:basedOn w:val="Normale"/>
    <w:link w:val="CorpotestoCarattere"/>
    <w:rsid w:val="0016168B"/>
    <w:pPr>
      <w:spacing w:after="120"/>
    </w:pPr>
  </w:style>
  <w:style w:type="character" w:customStyle="1" w:styleId="CorpotestoCarattere">
    <w:name w:val="Corpo testo Carattere"/>
    <w:basedOn w:val="Carpredefinitoparagrafo"/>
    <w:link w:val="Corpotesto"/>
    <w:rsid w:val="0016168B"/>
    <w:rPr>
      <w:sz w:val="24"/>
      <w:szCs w:val="24"/>
    </w:rPr>
  </w:style>
  <w:style w:type="paragraph" w:styleId="Corpodeltesto2">
    <w:name w:val="Body Text 2"/>
    <w:basedOn w:val="Normale"/>
    <w:link w:val="Corpodeltesto2Carattere"/>
    <w:rsid w:val="0016168B"/>
    <w:pPr>
      <w:spacing w:after="120" w:line="480" w:lineRule="auto"/>
    </w:pPr>
  </w:style>
  <w:style w:type="character" w:customStyle="1" w:styleId="Corpodeltesto2Carattere">
    <w:name w:val="Corpo del testo 2 Carattere"/>
    <w:basedOn w:val="Carpredefinitoparagrafo"/>
    <w:link w:val="Corpodeltesto2"/>
    <w:rsid w:val="0016168B"/>
    <w:rPr>
      <w:sz w:val="24"/>
      <w:szCs w:val="24"/>
    </w:rPr>
  </w:style>
  <w:style w:type="paragraph" w:styleId="Corpodeltesto3">
    <w:name w:val="Body Text 3"/>
    <w:basedOn w:val="Normale"/>
    <w:link w:val="Corpodeltesto3Carattere"/>
    <w:rsid w:val="0016168B"/>
    <w:pPr>
      <w:spacing w:after="120"/>
    </w:pPr>
    <w:rPr>
      <w:sz w:val="16"/>
      <w:szCs w:val="16"/>
    </w:rPr>
  </w:style>
  <w:style w:type="character" w:customStyle="1" w:styleId="Corpodeltesto3Carattere">
    <w:name w:val="Corpo del testo 3 Carattere"/>
    <w:basedOn w:val="Carpredefinitoparagrafo"/>
    <w:link w:val="Corpodeltesto3"/>
    <w:rsid w:val="0016168B"/>
    <w:rPr>
      <w:sz w:val="16"/>
      <w:szCs w:val="16"/>
    </w:rPr>
  </w:style>
  <w:style w:type="paragraph" w:customStyle="1" w:styleId="Rientrocorpodeltesto31">
    <w:name w:val="Rientro corpo del testo 31"/>
    <w:basedOn w:val="Normale"/>
    <w:uiPriority w:val="99"/>
    <w:rsid w:val="00DD1D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ind w:left="-567"/>
      <w:jc w:val="both"/>
    </w:pPr>
    <w:rPr>
      <w:spacing w:val="-3"/>
      <w:sz w:val="22"/>
      <w:szCs w:val="20"/>
      <w:lang w:eastAsia="ar-SA"/>
    </w:rPr>
  </w:style>
  <w:style w:type="character" w:styleId="Enfasigrassetto">
    <w:name w:val="Strong"/>
    <w:basedOn w:val="Carpredefinitoparagrafo"/>
    <w:uiPriority w:val="22"/>
    <w:qFormat/>
    <w:rsid w:val="00A65B5F"/>
    <w:rPr>
      <w:b/>
      <w:bCs/>
    </w:rPr>
  </w:style>
  <w:style w:type="paragraph" w:customStyle="1" w:styleId="00TitoloParNumerato">
    <w:name w:val="00 Titolo_Par_Numerato"/>
    <w:basedOn w:val="Paragrafoelenco"/>
    <w:link w:val="00TitoloParNumeratoCarattere"/>
    <w:qFormat/>
    <w:rsid w:val="00BA24AA"/>
    <w:pPr>
      <w:spacing w:before="360" w:after="120"/>
      <w:ind w:left="0"/>
      <w:jc w:val="both"/>
    </w:pPr>
    <w:rPr>
      <w:rFonts w:ascii="Arial" w:eastAsiaTheme="minorHAnsi" w:hAnsi="Arial" w:cs="Arial"/>
      <w:b/>
      <w:lang w:eastAsia="en-US"/>
    </w:rPr>
  </w:style>
  <w:style w:type="paragraph" w:customStyle="1" w:styleId="Par">
    <w:name w:val="Par"/>
    <w:basedOn w:val="Default"/>
    <w:link w:val="ParCarattere"/>
    <w:qFormat/>
    <w:rsid w:val="00BA24AA"/>
    <w:pPr>
      <w:spacing w:after="120"/>
      <w:ind w:left="1843"/>
      <w:jc w:val="both"/>
    </w:pPr>
    <w:rPr>
      <w:sz w:val="20"/>
      <w:szCs w:val="20"/>
    </w:rPr>
  </w:style>
  <w:style w:type="paragraph" w:customStyle="1" w:styleId="00TitProspetto">
    <w:name w:val="00 Tit_Prospetto"/>
    <w:basedOn w:val="Default"/>
    <w:link w:val="00TitProspettoCarattere"/>
    <w:rsid w:val="002A3C2E"/>
    <w:pPr>
      <w:ind w:left="1843"/>
      <w:contextualSpacing/>
      <w:jc w:val="both"/>
    </w:pPr>
    <w:rPr>
      <w:rFonts w:ascii="Arial Narrow" w:hAnsi="Arial Narrow"/>
      <w:b/>
      <w:bCs/>
      <w:caps/>
      <w:color w:val="808080" w:themeColor="background1" w:themeShade="80"/>
      <w:sz w:val="20"/>
      <w:szCs w:val="20"/>
    </w:rPr>
  </w:style>
  <w:style w:type="paragraph" w:customStyle="1" w:styleId="00SottotitProspFig">
    <w:name w:val="00 Sottotit_Prosp_Fig"/>
    <w:basedOn w:val="Default"/>
    <w:qFormat/>
    <w:rsid w:val="00BA24AA"/>
    <w:pPr>
      <w:ind w:left="1843"/>
      <w:jc w:val="both"/>
    </w:pPr>
    <w:rPr>
      <w:rFonts w:ascii="Arial Narrow" w:hAnsi="Arial Narrow"/>
      <w:sz w:val="19"/>
      <w:szCs w:val="19"/>
    </w:rPr>
  </w:style>
  <w:style w:type="paragraph" w:customStyle="1" w:styleId="Prospetto">
    <w:name w:val="Prospetto"/>
    <w:basedOn w:val="Normale"/>
    <w:qFormat/>
    <w:rsid w:val="00BA24AA"/>
    <w:pPr>
      <w:framePr w:hSpace="141" w:wrap="around" w:vAnchor="text" w:hAnchor="page" w:x="2596" w:y="483"/>
      <w:jc w:val="right"/>
    </w:pPr>
    <w:rPr>
      <w:rFonts w:ascii="Arial Narrow" w:hAnsi="Arial Narrow"/>
      <w:b/>
      <w:bCs/>
      <w:sz w:val="18"/>
      <w:szCs w:val="18"/>
    </w:rPr>
  </w:style>
  <w:style w:type="table" w:customStyle="1" w:styleId="00Tab">
    <w:name w:val="00 Tab"/>
    <w:basedOn w:val="Tabellanormale"/>
    <w:uiPriority w:val="99"/>
    <w:rsid w:val="00CA4384"/>
    <w:rPr>
      <w:rFonts w:ascii="Arial Narrow" w:hAnsi="Arial Narrow"/>
      <w:sz w:val="18"/>
    </w:rPr>
    <w:tblPr>
      <w:tblBorders>
        <w:top w:val="single" w:sz="8" w:space="0" w:color="auto"/>
        <w:left w:val="dotted" w:sz="4" w:space="0" w:color="auto"/>
        <w:bottom w:val="single" w:sz="8" w:space="0" w:color="auto"/>
        <w:right w:val="dotted" w:sz="4" w:space="0" w:color="auto"/>
        <w:insideH w:val="dotted" w:sz="4" w:space="0" w:color="auto"/>
        <w:insideV w:val="dotted" w:sz="4" w:space="0" w:color="auto"/>
      </w:tblBorders>
    </w:tblPr>
  </w:style>
  <w:style w:type="table" w:customStyle="1" w:styleId="00TabColonneAltern">
    <w:name w:val="00 Tab_Colonne_Altern"/>
    <w:basedOn w:val="Tabellanormale"/>
    <w:uiPriority w:val="99"/>
    <w:rsid w:val="009671B4"/>
    <w:pPr>
      <w:jc w:val="right"/>
    </w:pPr>
    <w:rPr>
      <w:rFonts w:ascii="Arial Narrow" w:hAnsi="Arial Narrow"/>
      <w:sz w:val="18"/>
    </w:rPr>
    <w:tblPr>
      <w:tblStyleColBandSize w:val="1"/>
      <w:tblBorders>
        <w:top w:val="single" w:sz="8" w:space="0" w:color="auto"/>
        <w:left w:val="dotted" w:sz="4" w:space="0" w:color="auto"/>
        <w:bottom w:val="single" w:sz="8" w:space="0" w:color="auto"/>
        <w:right w:val="dotted" w:sz="4" w:space="0" w:color="auto"/>
        <w:insideH w:val="dotted" w:sz="4" w:space="0" w:color="auto"/>
        <w:insideV w:val="dotted" w:sz="4" w:space="0" w:color="auto"/>
      </w:tblBorders>
    </w:tblPr>
    <w:tcPr>
      <w:shd w:val="clear" w:color="auto" w:fill="auto"/>
      <w:vAlign w:val="bottom"/>
    </w:tcPr>
    <w:tblStylePr w:type="band2Vert">
      <w:tblPr/>
      <w:tcPr>
        <w:tcBorders>
          <w:top w:val="nil"/>
          <w:left w:val="nil"/>
          <w:bottom w:val="nil"/>
          <w:right w:val="nil"/>
          <w:insideH w:val="nil"/>
          <w:insideV w:val="nil"/>
          <w:tl2br w:val="nil"/>
          <w:tr2bl w:val="nil"/>
        </w:tcBorders>
        <w:shd w:val="clear" w:color="auto" w:fill="D9D9D9" w:themeFill="background1" w:themeFillShade="D9"/>
      </w:tcPr>
    </w:tblStylePr>
  </w:style>
  <w:style w:type="paragraph" w:customStyle="1" w:styleId="00Titolofocus">
    <w:name w:val="00 Titolo focus"/>
    <w:basedOn w:val="Testonormale"/>
    <w:link w:val="00TitolofocusCarattere"/>
    <w:qFormat/>
    <w:rsid w:val="00206F1B"/>
    <w:pPr>
      <w:tabs>
        <w:tab w:val="left" w:pos="8001"/>
      </w:tabs>
      <w:spacing w:before="400"/>
      <w:ind w:left="1843"/>
    </w:pPr>
    <w:rPr>
      <w:rFonts w:ascii="Arial Narrow" w:hAnsi="Arial Narrow" w:cs="Arial"/>
      <w:b/>
      <w:color w:val="595959"/>
      <w:sz w:val="40"/>
      <w:szCs w:val="40"/>
    </w:rPr>
  </w:style>
  <w:style w:type="paragraph" w:customStyle="1" w:styleId="00Sottotitolofocus">
    <w:name w:val="00 Sottotitolo focus"/>
    <w:basedOn w:val="Normale"/>
    <w:link w:val="00SottotitolofocusCarattere"/>
    <w:qFormat/>
    <w:rsid w:val="00206F1B"/>
    <w:pPr>
      <w:spacing w:after="600"/>
      <w:ind w:left="1843"/>
      <w:jc w:val="both"/>
    </w:pPr>
    <w:rPr>
      <w:rFonts w:ascii="Arial" w:hAnsi="Arial" w:cs="Arial"/>
    </w:rPr>
  </w:style>
  <w:style w:type="character" w:customStyle="1" w:styleId="00TitolofocusCarattere">
    <w:name w:val="00 Titolo focus Carattere"/>
    <w:basedOn w:val="TestonormaleCarattere"/>
    <w:link w:val="00Titolofocus"/>
    <w:rsid w:val="00206F1B"/>
    <w:rPr>
      <w:rFonts w:ascii="Arial Narrow" w:hAnsi="Arial Narrow" w:cs="Arial"/>
      <w:b/>
      <w:color w:val="595959"/>
      <w:sz w:val="40"/>
      <w:szCs w:val="40"/>
    </w:rPr>
  </w:style>
  <w:style w:type="paragraph" w:customStyle="1" w:styleId="00Titoloparnonnum">
    <w:name w:val="00 Titolo par non num"/>
    <w:basedOn w:val="Normale"/>
    <w:link w:val="00TitoloparnonnumCarattere"/>
    <w:qFormat/>
    <w:rsid w:val="00206F1B"/>
    <w:pPr>
      <w:spacing w:before="360" w:after="120" w:line="276" w:lineRule="auto"/>
      <w:ind w:left="1843"/>
      <w:jc w:val="both"/>
    </w:pPr>
    <w:rPr>
      <w:rFonts w:ascii="Arial" w:eastAsiaTheme="minorHAnsi" w:hAnsi="Arial" w:cs="Arial"/>
      <w:b/>
      <w:sz w:val="22"/>
      <w:szCs w:val="22"/>
      <w:lang w:eastAsia="en-US"/>
    </w:rPr>
  </w:style>
  <w:style w:type="character" w:customStyle="1" w:styleId="00SottotitolofocusCarattere">
    <w:name w:val="00 Sottotitolo focus Carattere"/>
    <w:basedOn w:val="Carpredefinitoparagrafo"/>
    <w:link w:val="00Sottotitolofocus"/>
    <w:rsid w:val="00206F1B"/>
    <w:rPr>
      <w:rFonts w:ascii="Arial" w:hAnsi="Arial" w:cs="Arial"/>
      <w:sz w:val="24"/>
      <w:szCs w:val="24"/>
    </w:rPr>
  </w:style>
  <w:style w:type="paragraph" w:customStyle="1" w:styleId="00Corpoparagrafo">
    <w:name w:val="00 Corpo paragrafo"/>
    <w:basedOn w:val="Par"/>
    <w:link w:val="00CorpoparagrafoCarattere"/>
    <w:qFormat/>
    <w:rsid w:val="00206F1B"/>
  </w:style>
  <w:style w:type="character" w:customStyle="1" w:styleId="00TitoloparnonnumCarattere">
    <w:name w:val="00 Titolo par non num Carattere"/>
    <w:basedOn w:val="Carpredefinitoparagrafo"/>
    <w:link w:val="00Titoloparnonnum"/>
    <w:rsid w:val="00206F1B"/>
    <w:rPr>
      <w:rFonts w:ascii="Arial" w:eastAsiaTheme="minorHAnsi" w:hAnsi="Arial" w:cs="Arial"/>
      <w:b/>
      <w:sz w:val="22"/>
      <w:szCs w:val="22"/>
      <w:lang w:eastAsia="en-US"/>
    </w:rPr>
  </w:style>
  <w:style w:type="paragraph" w:customStyle="1" w:styleId="00Titoloparagrnumerato">
    <w:name w:val="00 Titolo paragr numerato"/>
    <w:basedOn w:val="00TitoloParNumerato"/>
    <w:link w:val="00TitoloparagrnumeratoCarattere"/>
    <w:qFormat/>
    <w:rsid w:val="00206F1B"/>
    <w:pPr>
      <w:numPr>
        <w:numId w:val="6"/>
      </w:numPr>
      <w:ind w:left="1843" w:firstLine="0"/>
    </w:pPr>
  </w:style>
  <w:style w:type="character" w:customStyle="1" w:styleId="DefaultCarattere">
    <w:name w:val="Default Carattere"/>
    <w:basedOn w:val="Carpredefinitoparagrafo"/>
    <w:link w:val="Default"/>
    <w:rsid w:val="00206F1B"/>
    <w:rPr>
      <w:rFonts w:ascii="Arial" w:hAnsi="Arial" w:cs="Arial"/>
      <w:color w:val="000000"/>
      <w:sz w:val="24"/>
      <w:szCs w:val="24"/>
    </w:rPr>
  </w:style>
  <w:style w:type="character" w:customStyle="1" w:styleId="ParCarattere">
    <w:name w:val="Par Carattere"/>
    <w:basedOn w:val="DefaultCarattere"/>
    <w:link w:val="Par"/>
    <w:rsid w:val="00206F1B"/>
    <w:rPr>
      <w:rFonts w:ascii="Arial" w:hAnsi="Arial" w:cs="Arial"/>
      <w:color w:val="000000"/>
      <w:sz w:val="24"/>
      <w:szCs w:val="24"/>
    </w:rPr>
  </w:style>
  <w:style w:type="character" w:customStyle="1" w:styleId="00CorpoparagrafoCarattere">
    <w:name w:val="00 Corpo paragrafo Carattere"/>
    <w:basedOn w:val="ParCarattere"/>
    <w:link w:val="00Corpoparagrafo"/>
    <w:rsid w:val="00206F1B"/>
    <w:rPr>
      <w:rFonts w:ascii="Arial" w:hAnsi="Arial" w:cs="Arial"/>
      <w:color w:val="000000"/>
      <w:sz w:val="24"/>
      <w:szCs w:val="24"/>
    </w:rPr>
  </w:style>
  <w:style w:type="paragraph" w:customStyle="1" w:styleId="00Titolosottoparnumerato">
    <w:name w:val="00 Titolo sottopar numerato"/>
    <w:basedOn w:val="00TitoloParNumerato"/>
    <w:link w:val="00TitolosottoparnumeratoCarattere"/>
    <w:qFormat/>
    <w:rsid w:val="00206F1B"/>
    <w:pPr>
      <w:numPr>
        <w:ilvl w:val="1"/>
        <w:numId w:val="6"/>
      </w:numPr>
      <w:tabs>
        <w:tab w:val="left" w:pos="2410"/>
      </w:tabs>
      <w:spacing w:before="120"/>
      <w:ind w:left="1985" w:firstLine="0"/>
    </w:pPr>
  </w:style>
  <w:style w:type="character" w:customStyle="1" w:styleId="ParagrafoelencoCarattere">
    <w:name w:val="Paragrafo elenco Carattere"/>
    <w:basedOn w:val="Carpredefinitoparagrafo"/>
    <w:link w:val="Paragrafoelenco"/>
    <w:uiPriority w:val="34"/>
    <w:rsid w:val="00206F1B"/>
    <w:rPr>
      <w:rFonts w:ascii="Calibri" w:hAnsi="Calibri"/>
      <w:sz w:val="22"/>
      <w:szCs w:val="22"/>
    </w:rPr>
  </w:style>
  <w:style w:type="character" w:customStyle="1" w:styleId="00TitoloParNumeratoCarattere">
    <w:name w:val="00 Titolo_Par_Numerato Carattere"/>
    <w:basedOn w:val="ParagrafoelencoCarattere"/>
    <w:link w:val="00TitoloParNumerato"/>
    <w:rsid w:val="00206F1B"/>
    <w:rPr>
      <w:rFonts w:ascii="Arial" w:eastAsiaTheme="minorHAnsi" w:hAnsi="Arial" w:cs="Arial"/>
      <w:b/>
      <w:sz w:val="22"/>
      <w:szCs w:val="22"/>
      <w:lang w:eastAsia="en-US"/>
    </w:rPr>
  </w:style>
  <w:style w:type="character" w:customStyle="1" w:styleId="00TitoloparagrnumeratoCarattere">
    <w:name w:val="00 Titolo paragr numerato Carattere"/>
    <w:basedOn w:val="00TitoloParNumeratoCarattere"/>
    <w:link w:val="00Titoloparagrnumerato"/>
    <w:rsid w:val="00206F1B"/>
    <w:rPr>
      <w:rFonts w:ascii="Arial" w:eastAsiaTheme="minorHAnsi" w:hAnsi="Arial" w:cs="Arial"/>
      <w:b/>
      <w:sz w:val="22"/>
      <w:szCs w:val="22"/>
      <w:lang w:eastAsia="en-US"/>
    </w:rPr>
  </w:style>
  <w:style w:type="character" w:customStyle="1" w:styleId="00TitolosottoparnumeratoCarattere">
    <w:name w:val="00 Titolo sottopar numerato Carattere"/>
    <w:basedOn w:val="00TitoloParNumeratoCarattere"/>
    <w:link w:val="00Titolosottoparnumerato"/>
    <w:rsid w:val="00206F1B"/>
    <w:rPr>
      <w:rFonts w:ascii="Arial" w:eastAsiaTheme="minorHAnsi" w:hAnsi="Arial" w:cs="Arial"/>
      <w:b/>
      <w:sz w:val="22"/>
      <w:szCs w:val="22"/>
      <w:lang w:eastAsia="en-US"/>
    </w:rPr>
  </w:style>
  <w:style w:type="paragraph" w:customStyle="1" w:styleId="00TitoloProspettoFigura">
    <w:name w:val="00 Titolo Prospetto  Figura"/>
    <w:basedOn w:val="00TitProspetto"/>
    <w:link w:val="00TitoloProspettoFiguraCarattere"/>
    <w:qFormat/>
    <w:rsid w:val="00536462"/>
  </w:style>
  <w:style w:type="character" w:customStyle="1" w:styleId="00TitProspettoCarattere">
    <w:name w:val="00 Tit_Prospetto Carattere"/>
    <w:basedOn w:val="DefaultCarattere"/>
    <w:link w:val="00TitProspetto"/>
    <w:rsid w:val="00206F1B"/>
    <w:rPr>
      <w:rFonts w:ascii="Arial Narrow" w:hAnsi="Arial Narrow" w:cs="Arial"/>
      <w:b/>
      <w:bCs/>
      <w:caps/>
      <w:color w:val="808080" w:themeColor="background1" w:themeShade="80"/>
      <w:sz w:val="24"/>
      <w:szCs w:val="24"/>
    </w:rPr>
  </w:style>
  <w:style w:type="character" w:customStyle="1" w:styleId="00TitoloProspettoFiguraCarattere">
    <w:name w:val="00 Titolo Prospetto  Figura Carattere"/>
    <w:basedOn w:val="00TitProspettoCarattere"/>
    <w:link w:val="00TitoloProspettoFigura"/>
    <w:rsid w:val="00536462"/>
    <w:rPr>
      <w:rFonts w:ascii="Arial Narrow" w:hAnsi="Arial Narrow" w:cs="Arial"/>
      <w:b/>
      <w:bCs/>
      <w:caps/>
      <w:color w:val="808080" w:themeColor="background1" w:themeShade="80"/>
      <w:sz w:val="24"/>
      <w:szCs w:val="24"/>
    </w:rPr>
  </w:style>
  <w:style w:type="paragraph" w:styleId="Testofumetto">
    <w:name w:val="Balloon Text"/>
    <w:basedOn w:val="Normale"/>
    <w:link w:val="TestofumettoCarattere"/>
    <w:uiPriority w:val="99"/>
    <w:semiHidden/>
    <w:unhideWhenUsed/>
    <w:rsid w:val="009F67C5"/>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F67C5"/>
    <w:rPr>
      <w:rFonts w:ascii="Segoe UI" w:hAnsi="Segoe UI" w:cs="Segoe UI"/>
      <w:sz w:val="18"/>
      <w:szCs w:val="18"/>
    </w:rPr>
  </w:style>
  <w:style w:type="character" w:styleId="Rimandocommento">
    <w:name w:val="annotation reference"/>
    <w:basedOn w:val="Carpredefinitoparagrafo"/>
    <w:uiPriority w:val="99"/>
    <w:semiHidden/>
    <w:unhideWhenUsed/>
    <w:rsid w:val="00E477D2"/>
    <w:rPr>
      <w:sz w:val="16"/>
      <w:szCs w:val="16"/>
    </w:rPr>
  </w:style>
  <w:style w:type="character" w:customStyle="1" w:styleId="fontstyle01">
    <w:name w:val="fontstyle01"/>
    <w:basedOn w:val="Carpredefinitoparagrafo"/>
    <w:rsid w:val="00E704F3"/>
    <w:rPr>
      <w:rFonts w:ascii="TrebuchetMS-Bold" w:hAnsi="TrebuchetMS-Bold" w:hint="default"/>
      <w:b/>
      <w:bCs/>
      <w:i w:val="0"/>
      <w:iCs w:val="0"/>
      <w:color w:val="5F5F5F"/>
      <w:sz w:val="22"/>
      <w:szCs w:val="22"/>
    </w:rPr>
  </w:style>
  <w:style w:type="character" w:styleId="Testosegnaposto">
    <w:name w:val="Placeholder Text"/>
    <w:basedOn w:val="Carpredefinitoparagrafo"/>
    <w:uiPriority w:val="99"/>
    <w:semiHidden/>
    <w:rsid w:val="00F82A44"/>
    <w:rPr>
      <w:color w:val="808080"/>
    </w:rPr>
  </w:style>
  <w:style w:type="character" w:customStyle="1" w:styleId="cf01">
    <w:name w:val="cf01"/>
    <w:basedOn w:val="Carpredefinitoparagrafo"/>
    <w:rsid w:val="005E66F8"/>
    <w:rPr>
      <w:rFonts w:ascii="Segoe UI" w:hAnsi="Segoe UI" w:cs="Segoe UI" w:hint="default"/>
      <w:sz w:val="18"/>
      <w:szCs w:val="18"/>
    </w:rPr>
  </w:style>
  <w:style w:type="character" w:customStyle="1" w:styleId="Menzionenonrisolta1">
    <w:name w:val="Menzione non risolta1"/>
    <w:basedOn w:val="Carpredefinitoparagrafo"/>
    <w:uiPriority w:val="99"/>
    <w:semiHidden/>
    <w:unhideWhenUsed/>
    <w:rsid w:val="009A1D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8069">
      <w:bodyDiv w:val="1"/>
      <w:marLeft w:val="0"/>
      <w:marRight w:val="0"/>
      <w:marTop w:val="0"/>
      <w:marBottom w:val="0"/>
      <w:divBdr>
        <w:top w:val="none" w:sz="0" w:space="0" w:color="auto"/>
        <w:left w:val="none" w:sz="0" w:space="0" w:color="auto"/>
        <w:bottom w:val="none" w:sz="0" w:space="0" w:color="auto"/>
        <w:right w:val="none" w:sz="0" w:space="0" w:color="auto"/>
      </w:divBdr>
    </w:div>
    <w:div w:id="10229390">
      <w:bodyDiv w:val="1"/>
      <w:marLeft w:val="0"/>
      <w:marRight w:val="0"/>
      <w:marTop w:val="0"/>
      <w:marBottom w:val="0"/>
      <w:divBdr>
        <w:top w:val="none" w:sz="0" w:space="0" w:color="auto"/>
        <w:left w:val="none" w:sz="0" w:space="0" w:color="auto"/>
        <w:bottom w:val="none" w:sz="0" w:space="0" w:color="auto"/>
        <w:right w:val="none" w:sz="0" w:space="0" w:color="auto"/>
      </w:divBdr>
    </w:div>
    <w:div w:id="13653520">
      <w:bodyDiv w:val="1"/>
      <w:marLeft w:val="0"/>
      <w:marRight w:val="0"/>
      <w:marTop w:val="0"/>
      <w:marBottom w:val="0"/>
      <w:divBdr>
        <w:top w:val="none" w:sz="0" w:space="0" w:color="auto"/>
        <w:left w:val="none" w:sz="0" w:space="0" w:color="auto"/>
        <w:bottom w:val="none" w:sz="0" w:space="0" w:color="auto"/>
        <w:right w:val="none" w:sz="0" w:space="0" w:color="auto"/>
      </w:divBdr>
    </w:div>
    <w:div w:id="17511474">
      <w:bodyDiv w:val="1"/>
      <w:marLeft w:val="0"/>
      <w:marRight w:val="0"/>
      <w:marTop w:val="0"/>
      <w:marBottom w:val="0"/>
      <w:divBdr>
        <w:top w:val="none" w:sz="0" w:space="0" w:color="auto"/>
        <w:left w:val="none" w:sz="0" w:space="0" w:color="auto"/>
        <w:bottom w:val="none" w:sz="0" w:space="0" w:color="auto"/>
        <w:right w:val="none" w:sz="0" w:space="0" w:color="auto"/>
      </w:divBdr>
    </w:div>
    <w:div w:id="23411847">
      <w:bodyDiv w:val="1"/>
      <w:marLeft w:val="0"/>
      <w:marRight w:val="0"/>
      <w:marTop w:val="0"/>
      <w:marBottom w:val="0"/>
      <w:divBdr>
        <w:top w:val="none" w:sz="0" w:space="0" w:color="auto"/>
        <w:left w:val="none" w:sz="0" w:space="0" w:color="auto"/>
        <w:bottom w:val="none" w:sz="0" w:space="0" w:color="auto"/>
        <w:right w:val="none" w:sz="0" w:space="0" w:color="auto"/>
      </w:divBdr>
    </w:div>
    <w:div w:id="23872057">
      <w:bodyDiv w:val="1"/>
      <w:marLeft w:val="0"/>
      <w:marRight w:val="0"/>
      <w:marTop w:val="0"/>
      <w:marBottom w:val="0"/>
      <w:divBdr>
        <w:top w:val="none" w:sz="0" w:space="0" w:color="auto"/>
        <w:left w:val="none" w:sz="0" w:space="0" w:color="auto"/>
        <w:bottom w:val="none" w:sz="0" w:space="0" w:color="auto"/>
        <w:right w:val="none" w:sz="0" w:space="0" w:color="auto"/>
      </w:divBdr>
    </w:div>
    <w:div w:id="34158557">
      <w:bodyDiv w:val="1"/>
      <w:marLeft w:val="0"/>
      <w:marRight w:val="0"/>
      <w:marTop w:val="0"/>
      <w:marBottom w:val="0"/>
      <w:divBdr>
        <w:top w:val="none" w:sz="0" w:space="0" w:color="auto"/>
        <w:left w:val="none" w:sz="0" w:space="0" w:color="auto"/>
        <w:bottom w:val="none" w:sz="0" w:space="0" w:color="auto"/>
        <w:right w:val="none" w:sz="0" w:space="0" w:color="auto"/>
      </w:divBdr>
    </w:div>
    <w:div w:id="38827447">
      <w:bodyDiv w:val="1"/>
      <w:marLeft w:val="0"/>
      <w:marRight w:val="0"/>
      <w:marTop w:val="0"/>
      <w:marBottom w:val="0"/>
      <w:divBdr>
        <w:top w:val="none" w:sz="0" w:space="0" w:color="auto"/>
        <w:left w:val="none" w:sz="0" w:space="0" w:color="auto"/>
        <w:bottom w:val="none" w:sz="0" w:space="0" w:color="auto"/>
        <w:right w:val="none" w:sz="0" w:space="0" w:color="auto"/>
      </w:divBdr>
    </w:div>
    <w:div w:id="40330730">
      <w:bodyDiv w:val="1"/>
      <w:marLeft w:val="0"/>
      <w:marRight w:val="0"/>
      <w:marTop w:val="0"/>
      <w:marBottom w:val="0"/>
      <w:divBdr>
        <w:top w:val="none" w:sz="0" w:space="0" w:color="auto"/>
        <w:left w:val="none" w:sz="0" w:space="0" w:color="auto"/>
        <w:bottom w:val="none" w:sz="0" w:space="0" w:color="auto"/>
        <w:right w:val="none" w:sz="0" w:space="0" w:color="auto"/>
      </w:divBdr>
    </w:div>
    <w:div w:id="48774446">
      <w:bodyDiv w:val="1"/>
      <w:marLeft w:val="0"/>
      <w:marRight w:val="0"/>
      <w:marTop w:val="0"/>
      <w:marBottom w:val="0"/>
      <w:divBdr>
        <w:top w:val="none" w:sz="0" w:space="0" w:color="auto"/>
        <w:left w:val="none" w:sz="0" w:space="0" w:color="auto"/>
        <w:bottom w:val="none" w:sz="0" w:space="0" w:color="auto"/>
        <w:right w:val="none" w:sz="0" w:space="0" w:color="auto"/>
      </w:divBdr>
    </w:div>
    <w:div w:id="56827436">
      <w:bodyDiv w:val="1"/>
      <w:marLeft w:val="0"/>
      <w:marRight w:val="0"/>
      <w:marTop w:val="0"/>
      <w:marBottom w:val="0"/>
      <w:divBdr>
        <w:top w:val="none" w:sz="0" w:space="0" w:color="auto"/>
        <w:left w:val="none" w:sz="0" w:space="0" w:color="auto"/>
        <w:bottom w:val="none" w:sz="0" w:space="0" w:color="auto"/>
        <w:right w:val="none" w:sz="0" w:space="0" w:color="auto"/>
      </w:divBdr>
    </w:div>
    <w:div w:id="59523199">
      <w:bodyDiv w:val="1"/>
      <w:marLeft w:val="0"/>
      <w:marRight w:val="0"/>
      <w:marTop w:val="0"/>
      <w:marBottom w:val="0"/>
      <w:divBdr>
        <w:top w:val="none" w:sz="0" w:space="0" w:color="auto"/>
        <w:left w:val="none" w:sz="0" w:space="0" w:color="auto"/>
        <w:bottom w:val="none" w:sz="0" w:space="0" w:color="auto"/>
        <w:right w:val="none" w:sz="0" w:space="0" w:color="auto"/>
      </w:divBdr>
    </w:div>
    <w:div w:id="60254291">
      <w:bodyDiv w:val="1"/>
      <w:marLeft w:val="0"/>
      <w:marRight w:val="0"/>
      <w:marTop w:val="0"/>
      <w:marBottom w:val="0"/>
      <w:divBdr>
        <w:top w:val="none" w:sz="0" w:space="0" w:color="auto"/>
        <w:left w:val="none" w:sz="0" w:space="0" w:color="auto"/>
        <w:bottom w:val="none" w:sz="0" w:space="0" w:color="auto"/>
        <w:right w:val="none" w:sz="0" w:space="0" w:color="auto"/>
      </w:divBdr>
    </w:div>
    <w:div w:id="67533628">
      <w:bodyDiv w:val="1"/>
      <w:marLeft w:val="0"/>
      <w:marRight w:val="0"/>
      <w:marTop w:val="0"/>
      <w:marBottom w:val="0"/>
      <w:divBdr>
        <w:top w:val="none" w:sz="0" w:space="0" w:color="auto"/>
        <w:left w:val="none" w:sz="0" w:space="0" w:color="auto"/>
        <w:bottom w:val="none" w:sz="0" w:space="0" w:color="auto"/>
        <w:right w:val="none" w:sz="0" w:space="0" w:color="auto"/>
      </w:divBdr>
    </w:div>
    <w:div w:id="69082614">
      <w:bodyDiv w:val="1"/>
      <w:marLeft w:val="0"/>
      <w:marRight w:val="0"/>
      <w:marTop w:val="0"/>
      <w:marBottom w:val="0"/>
      <w:divBdr>
        <w:top w:val="none" w:sz="0" w:space="0" w:color="auto"/>
        <w:left w:val="none" w:sz="0" w:space="0" w:color="auto"/>
        <w:bottom w:val="none" w:sz="0" w:space="0" w:color="auto"/>
        <w:right w:val="none" w:sz="0" w:space="0" w:color="auto"/>
      </w:divBdr>
    </w:div>
    <w:div w:id="72360843">
      <w:bodyDiv w:val="1"/>
      <w:marLeft w:val="0"/>
      <w:marRight w:val="0"/>
      <w:marTop w:val="0"/>
      <w:marBottom w:val="0"/>
      <w:divBdr>
        <w:top w:val="none" w:sz="0" w:space="0" w:color="auto"/>
        <w:left w:val="none" w:sz="0" w:space="0" w:color="auto"/>
        <w:bottom w:val="none" w:sz="0" w:space="0" w:color="auto"/>
        <w:right w:val="none" w:sz="0" w:space="0" w:color="auto"/>
      </w:divBdr>
    </w:div>
    <w:div w:id="82264495">
      <w:bodyDiv w:val="1"/>
      <w:marLeft w:val="0"/>
      <w:marRight w:val="0"/>
      <w:marTop w:val="0"/>
      <w:marBottom w:val="0"/>
      <w:divBdr>
        <w:top w:val="none" w:sz="0" w:space="0" w:color="auto"/>
        <w:left w:val="none" w:sz="0" w:space="0" w:color="auto"/>
        <w:bottom w:val="none" w:sz="0" w:space="0" w:color="auto"/>
        <w:right w:val="none" w:sz="0" w:space="0" w:color="auto"/>
      </w:divBdr>
    </w:div>
    <w:div w:id="84959303">
      <w:bodyDiv w:val="1"/>
      <w:marLeft w:val="0"/>
      <w:marRight w:val="0"/>
      <w:marTop w:val="0"/>
      <w:marBottom w:val="0"/>
      <w:divBdr>
        <w:top w:val="none" w:sz="0" w:space="0" w:color="auto"/>
        <w:left w:val="none" w:sz="0" w:space="0" w:color="auto"/>
        <w:bottom w:val="none" w:sz="0" w:space="0" w:color="auto"/>
        <w:right w:val="none" w:sz="0" w:space="0" w:color="auto"/>
      </w:divBdr>
    </w:div>
    <w:div w:id="87508486">
      <w:bodyDiv w:val="1"/>
      <w:marLeft w:val="0"/>
      <w:marRight w:val="0"/>
      <w:marTop w:val="0"/>
      <w:marBottom w:val="0"/>
      <w:divBdr>
        <w:top w:val="none" w:sz="0" w:space="0" w:color="auto"/>
        <w:left w:val="none" w:sz="0" w:space="0" w:color="auto"/>
        <w:bottom w:val="none" w:sz="0" w:space="0" w:color="auto"/>
        <w:right w:val="none" w:sz="0" w:space="0" w:color="auto"/>
      </w:divBdr>
    </w:div>
    <w:div w:id="93982103">
      <w:bodyDiv w:val="1"/>
      <w:marLeft w:val="0"/>
      <w:marRight w:val="0"/>
      <w:marTop w:val="0"/>
      <w:marBottom w:val="0"/>
      <w:divBdr>
        <w:top w:val="none" w:sz="0" w:space="0" w:color="auto"/>
        <w:left w:val="none" w:sz="0" w:space="0" w:color="auto"/>
        <w:bottom w:val="none" w:sz="0" w:space="0" w:color="auto"/>
        <w:right w:val="none" w:sz="0" w:space="0" w:color="auto"/>
      </w:divBdr>
    </w:div>
    <w:div w:id="102265233">
      <w:bodyDiv w:val="1"/>
      <w:marLeft w:val="0"/>
      <w:marRight w:val="0"/>
      <w:marTop w:val="0"/>
      <w:marBottom w:val="0"/>
      <w:divBdr>
        <w:top w:val="none" w:sz="0" w:space="0" w:color="auto"/>
        <w:left w:val="none" w:sz="0" w:space="0" w:color="auto"/>
        <w:bottom w:val="none" w:sz="0" w:space="0" w:color="auto"/>
        <w:right w:val="none" w:sz="0" w:space="0" w:color="auto"/>
      </w:divBdr>
    </w:div>
    <w:div w:id="119614859">
      <w:bodyDiv w:val="1"/>
      <w:marLeft w:val="0"/>
      <w:marRight w:val="0"/>
      <w:marTop w:val="0"/>
      <w:marBottom w:val="0"/>
      <w:divBdr>
        <w:top w:val="none" w:sz="0" w:space="0" w:color="auto"/>
        <w:left w:val="none" w:sz="0" w:space="0" w:color="auto"/>
        <w:bottom w:val="none" w:sz="0" w:space="0" w:color="auto"/>
        <w:right w:val="none" w:sz="0" w:space="0" w:color="auto"/>
      </w:divBdr>
    </w:div>
    <w:div w:id="124391804">
      <w:bodyDiv w:val="1"/>
      <w:marLeft w:val="0"/>
      <w:marRight w:val="0"/>
      <w:marTop w:val="0"/>
      <w:marBottom w:val="0"/>
      <w:divBdr>
        <w:top w:val="none" w:sz="0" w:space="0" w:color="auto"/>
        <w:left w:val="none" w:sz="0" w:space="0" w:color="auto"/>
        <w:bottom w:val="none" w:sz="0" w:space="0" w:color="auto"/>
        <w:right w:val="none" w:sz="0" w:space="0" w:color="auto"/>
      </w:divBdr>
    </w:div>
    <w:div w:id="124543075">
      <w:bodyDiv w:val="1"/>
      <w:marLeft w:val="0"/>
      <w:marRight w:val="0"/>
      <w:marTop w:val="0"/>
      <w:marBottom w:val="0"/>
      <w:divBdr>
        <w:top w:val="none" w:sz="0" w:space="0" w:color="auto"/>
        <w:left w:val="none" w:sz="0" w:space="0" w:color="auto"/>
        <w:bottom w:val="none" w:sz="0" w:space="0" w:color="auto"/>
        <w:right w:val="none" w:sz="0" w:space="0" w:color="auto"/>
      </w:divBdr>
    </w:div>
    <w:div w:id="128591735">
      <w:bodyDiv w:val="1"/>
      <w:marLeft w:val="0"/>
      <w:marRight w:val="0"/>
      <w:marTop w:val="0"/>
      <w:marBottom w:val="0"/>
      <w:divBdr>
        <w:top w:val="none" w:sz="0" w:space="0" w:color="auto"/>
        <w:left w:val="none" w:sz="0" w:space="0" w:color="auto"/>
        <w:bottom w:val="none" w:sz="0" w:space="0" w:color="auto"/>
        <w:right w:val="none" w:sz="0" w:space="0" w:color="auto"/>
      </w:divBdr>
    </w:div>
    <w:div w:id="132601899">
      <w:bodyDiv w:val="1"/>
      <w:marLeft w:val="0"/>
      <w:marRight w:val="0"/>
      <w:marTop w:val="0"/>
      <w:marBottom w:val="0"/>
      <w:divBdr>
        <w:top w:val="none" w:sz="0" w:space="0" w:color="auto"/>
        <w:left w:val="none" w:sz="0" w:space="0" w:color="auto"/>
        <w:bottom w:val="none" w:sz="0" w:space="0" w:color="auto"/>
        <w:right w:val="none" w:sz="0" w:space="0" w:color="auto"/>
      </w:divBdr>
      <w:divsChild>
        <w:div w:id="1184635286">
          <w:marLeft w:val="0"/>
          <w:marRight w:val="0"/>
          <w:marTop w:val="0"/>
          <w:marBottom w:val="0"/>
          <w:divBdr>
            <w:top w:val="none" w:sz="0" w:space="0" w:color="auto"/>
            <w:left w:val="none" w:sz="0" w:space="0" w:color="auto"/>
            <w:bottom w:val="none" w:sz="0" w:space="0" w:color="auto"/>
            <w:right w:val="none" w:sz="0" w:space="0" w:color="auto"/>
          </w:divBdr>
        </w:div>
      </w:divsChild>
    </w:div>
    <w:div w:id="139928559">
      <w:bodyDiv w:val="1"/>
      <w:marLeft w:val="0"/>
      <w:marRight w:val="0"/>
      <w:marTop w:val="0"/>
      <w:marBottom w:val="0"/>
      <w:divBdr>
        <w:top w:val="none" w:sz="0" w:space="0" w:color="auto"/>
        <w:left w:val="none" w:sz="0" w:space="0" w:color="auto"/>
        <w:bottom w:val="none" w:sz="0" w:space="0" w:color="auto"/>
        <w:right w:val="none" w:sz="0" w:space="0" w:color="auto"/>
      </w:divBdr>
    </w:div>
    <w:div w:id="142738957">
      <w:bodyDiv w:val="1"/>
      <w:marLeft w:val="0"/>
      <w:marRight w:val="0"/>
      <w:marTop w:val="0"/>
      <w:marBottom w:val="0"/>
      <w:divBdr>
        <w:top w:val="none" w:sz="0" w:space="0" w:color="auto"/>
        <w:left w:val="none" w:sz="0" w:space="0" w:color="auto"/>
        <w:bottom w:val="none" w:sz="0" w:space="0" w:color="auto"/>
        <w:right w:val="none" w:sz="0" w:space="0" w:color="auto"/>
      </w:divBdr>
    </w:div>
    <w:div w:id="145783438">
      <w:bodyDiv w:val="1"/>
      <w:marLeft w:val="0"/>
      <w:marRight w:val="0"/>
      <w:marTop w:val="0"/>
      <w:marBottom w:val="0"/>
      <w:divBdr>
        <w:top w:val="none" w:sz="0" w:space="0" w:color="auto"/>
        <w:left w:val="none" w:sz="0" w:space="0" w:color="auto"/>
        <w:bottom w:val="none" w:sz="0" w:space="0" w:color="auto"/>
        <w:right w:val="none" w:sz="0" w:space="0" w:color="auto"/>
      </w:divBdr>
    </w:div>
    <w:div w:id="151069396">
      <w:bodyDiv w:val="1"/>
      <w:marLeft w:val="0"/>
      <w:marRight w:val="0"/>
      <w:marTop w:val="0"/>
      <w:marBottom w:val="0"/>
      <w:divBdr>
        <w:top w:val="none" w:sz="0" w:space="0" w:color="auto"/>
        <w:left w:val="none" w:sz="0" w:space="0" w:color="auto"/>
        <w:bottom w:val="none" w:sz="0" w:space="0" w:color="auto"/>
        <w:right w:val="none" w:sz="0" w:space="0" w:color="auto"/>
      </w:divBdr>
    </w:div>
    <w:div w:id="156968556">
      <w:bodyDiv w:val="1"/>
      <w:marLeft w:val="0"/>
      <w:marRight w:val="0"/>
      <w:marTop w:val="0"/>
      <w:marBottom w:val="0"/>
      <w:divBdr>
        <w:top w:val="none" w:sz="0" w:space="0" w:color="auto"/>
        <w:left w:val="none" w:sz="0" w:space="0" w:color="auto"/>
        <w:bottom w:val="none" w:sz="0" w:space="0" w:color="auto"/>
        <w:right w:val="none" w:sz="0" w:space="0" w:color="auto"/>
      </w:divBdr>
    </w:div>
    <w:div w:id="163322094">
      <w:bodyDiv w:val="1"/>
      <w:marLeft w:val="0"/>
      <w:marRight w:val="0"/>
      <w:marTop w:val="0"/>
      <w:marBottom w:val="0"/>
      <w:divBdr>
        <w:top w:val="none" w:sz="0" w:space="0" w:color="auto"/>
        <w:left w:val="none" w:sz="0" w:space="0" w:color="auto"/>
        <w:bottom w:val="none" w:sz="0" w:space="0" w:color="auto"/>
        <w:right w:val="none" w:sz="0" w:space="0" w:color="auto"/>
      </w:divBdr>
    </w:div>
    <w:div w:id="166333730">
      <w:bodyDiv w:val="1"/>
      <w:marLeft w:val="0"/>
      <w:marRight w:val="0"/>
      <w:marTop w:val="0"/>
      <w:marBottom w:val="0"/>
      <w:divBdr>
        <w:top w:val="none" w:sz="0" w:space="0" w:color="auto"/>
        <w:left w:val="none" w:sz="0" w:space="0" w:color="auto"/>
        <w:bottom w:val="none" w:sz="0" w:space="0" w:color="auto"/>
        <w:right w:val="none" w:sz="0" w:space="0" w:color="auto"/>
      </w:divBdr>
    </w:div>
    <w:div w:id="166873910">
      <w:bodyDiv w:val="1"/>
      <w:marLeft w:val="0"/>
      <w:marRight w:val="0"/>
      <w:marTop w:val="0"/>
      <w:marBottom w:val="0"/>
      <w:divBdr>
        <w:top w:val="none" w:sz="0" w:space="0" w:color="auto"/>
        <w:left w:val="none" w:sz="0" w:space="0" w:color="auto"/>
        <w:bottom w:val="none" w:sz="0" w:space="0" w:color="auto"/>
        <w:right w:val="none" w:sz="0" w:space="0" w:color="auto"/>
      </w:divBdr>
    </w:div>
    <w:div w:id="167641130">
      <w:bodyDiv w:val="1"/>
      <w:marLeft w:val="0"/>
      <w:marRight w:val="0"/>
      <w:marTop w:val="0"/>
      <w:marBottom w:val="0"/>
      <w:divBdr>
        <w:top w:val="none" w:sz="0" w:space="0" w:color="auto"/>
        <w:left w:val="none" w:sz="0" w:space="0" w:color="auto"/>
        <w:bottom w:val="none" w:sz="0" w:space="0" w:color="auto"/>
        <w:right w:val="none" w:sz="0" w:space="0" w:color="auto"/>
      </w:divBdr>
    </w:div>
    <w:div w:id="176235706">
      <w:bodyDiv w:val="1"/>
      <w:marLeft w:val="0"/>
      <w:marRight w:val="0"/>
      <w:marTop w:val="0"/>
      <w:marBottom w:val="0"/>
      <w:divBdr>
        <w:top w:val="none" w:sz="0" w:space="0" w:color="auto"/>
        <w:left w:val="none" w:sz="0" w:space="0" w:color="auto"/>
        <w:bottom w:val="none" w:sz="0" w:space="0" w:color="auto"/>
        <w:right w:val="none" w:sz="0" w:space="0" w:color="auto"/>
      </w:divBdr>
    </w:div>
    <w:div w:id="178004360">
      <w:bodyDiv w:val="1"/>
      <w:marLeft w:val="0"/>
      <w:marRight w:val="0"/>
      <w:marTop w:val="0"/>
      <w:marBottom w:val="0"/>
      <w:divBdr>
        <w:top w:val="none" w:sz="0" w:space="0" w:color="auto"/>
        <w:left w:val="none" w:sz="0" w:space="0" w:color="auto"/>
        <w:bottom w:val="none" w:sz="0" w:space="0" w:color="auto"/>
        <w:right w:val="none" w:sz="0" w:space="0" w:color="auto"/>
      </w:divBdr>
    </w:div>
    <w:div w:id="185094676">
      <w:bodyDiv w:val="1"/>
      <w:marLeft w:val="0"/>
      <w:marRight w:val="0"/>
      <w:marTop w:val="0"/>
      <w:marBottom w:val="0"/>
      <w:divBdr>
        <w:top w:val="none" w:sz="0" w:space="0" w:color="auto"/>
        <w:left w:val="none" w:sz="0" w:space="0" w:color="auto"/>
        <w:bottom w:val="none" w:sz="0" w:space="0" w:color="auto"/>
        <w:right w:val="none" w:sz="0" w:space="0" w:color="auto"/>
      </w:divBdr>
    </w:div>
    <w:div w:id="203179459">
      <w:bodyDiv w:val="1"/>
      <w:marLeft w:val="0"/>
      <w:marRight w:val="0"/>
      <w:marTop w:val="0"/>
      <w:marBottom w:val="0"/>
      <w:divBdr>
        <w:top w:val="none" w:sz="0" w:space="0" w:color="auto"/>
        <w:left w:val="none" w:sz="0" w:space="0" w:color="auto"/>
        <w:bottom w:val="none" w:sz="0" w:space="0" w:color="auto"/>
        <w:right w:val="none" w:sz="0" w:space="0" w:color="auto"/>
      </w:divBdr>
    </w:div>
    <w:div w:id="203300142">
      <w:bodyDiv w:val="1"/>
      <w:marLeft w:val="0"/>
      <w:marRight w:val="0"/>
      <w:marTop w:val="0"/>
      <w:marBottom w:val="0"/>
      <w:divBdr>
        <w:top w:val="none" w:sz="0" w:space="0" w:color="auto"/>
        <w:left w:val="none" w:sz="0" w:space="0" w:color="auto"/>
        <w:bottom w:val="none" w:sz="0" w:space="0" w:color="auto"/>
        <w:right w:val="none" w:sz="0" w:space="0" w:color="auto"/>
      </w:divBdr>
    </w:div>
    <w:div w:id="203370037">
      <w:bodyDiv w:val="1"/>
      <w:marLeft w:val="0"/>
      <w:marRight w:val="0"/>
      <w:marTop w:val="0"/>
      <w:marBottom w:val="0"/>
      <w:divBdr>
        <w:top w:val="none" w:sz="0" w:space="0" w:color="auto"/>
        <w:left w:val="none" w:sz="0" w:space="0" w:color="auto"/>
        <w:bottom w:val="none" w:sz="0" w:space="0" w:color="auto"/>
        <w:right w:val="none" w:sz="0" w:space="0" w:color="auto"/>
      </w:divBdr>
    </w:div>
    <w:div w:id="220488370">
      <w:bodyDiv w:val="1"/>
      <w:marLeft w:val="0"/>
      <w:marRight w:val="0"/>
      <w:marTop w:val="0"/>
      <w:marBottom w:val="0"/>
      <w:divBdr>
        <w:top w:val="none" w:sz="0" w:space="0" w:color="auto"/>
        <w:left w:val="none" w:sz="0" w:space="0" w:color="auto"/>
        <w:bottom w:val="none" w:sz="0" w:space="0" w:color="auto"/>
        <w:right w:val="none" w:sz="0" w:space="0" w:color="auto"/>
      </w:divBdr>
    </w:div>
    <w:div w:id="220866288">
      <w:bodyDiv w:val="1"/>
      <w:marLeft w:val="0"/>
      <w:marRight w:val="0"/>
      <w:marTop w:val="0"/>
      <w:marBottom w:val="0"/>
      <w:divBdr>
        <w:top w:val="none" w:sz="0" w:space="0" w:color="auto"/>
        <w:left w:val="none" w:sz="0" w:space="0" w:color="auto"/>
        <w:bottom w:val="none" w:sz="0" w:space="0" w:color="auto"/>
        <w:right w:val="none" w:sz="0" w:space="0" w:color="auto"/>
      </w:divBdr>
    </w:div>
    <w:div w:id="225146705">
      <w:bodyDiv w:val="1"/>
      <w:marLeft w:val="0"/>
      <w:marRight w:val="0"/>
      <w:marTop w:val="0"/>
      <w:marBottom w:val="0"/>
      <w:divBdr>
        <w:top w:val="none" w:sz="0" w:space="0" w:color="auto"/>
        <w:left w:val="none" w:sz="0" w:space="0" w:color="auto"/>
        <w:bottom w:val="none" w:sz="0" w:space="0" w:color="auto"/>
        <w:right w:val="none" w:sz="0" w:space="0" w:color="auto"/>
      </w:divBdr>
    </w:div>
    <w:div w:id="225268517">
      <w:bodyDiv w:val="1"/>
      <w:marLeft w:val="0"/>
      <w:marRight w:val="0"/>
      <w:marTop w:val="0"/>
      <w:marBottom w:val="0"/>
      <w:divBdr>
        <w:top w:val="none" w:sz="0" w:space="0" w:color="auto"/>
        <w:left w:val="none" w:sz="0" w:space="0" w:color="auto"/>
        <w:bottom w:val="none" w:sz="0" w:space="0" w:color="auto"/>
        <w:right w:val="none" w:sz="0" w:space="0" w:color="auto"/>
      </w:divBdr>
    </w:div>
    <w:div w:id="229853486">
      <w:bodyDiv w:val="1"/>
      <w:marLeft w:val="0"/>
      <w:marRight w:val="0"/>
      <w:marTop w:val="0"/>
      <w:marBottom w:val="0"/>
      <w:divBdr>
        <w:top w:val="none" w:sz="0" w:space="0" w:color="auto"/>
        <w:left w:val="none" w:sz="0" w:space="0" w:color="auto"/>
        <w:bottom w:val="none" w:sz="0" w:space="0" w:color="auto"/>
        <w:right w:val="none" w:sz="0" w:space="0" w:color="auto"/>
      </w:divBdr>
    </w:div>
    <w:div w:id="233514904">
      <w:bodyDiv w:val="1"/>
      <w:marLeft w:val="0"/>
      <w:marRight w:val="0"/>
      <w:marTop w:val="0"/>
      <w:marBottom w:val="0"/>
      <w:divBdr>
        <w:top w:val="none" w:sz="0" w:space="0" w:color="auto"/>
        <w:left w:val="none" w:sz="0" w:space="0" w:color="auto"/>
        <w:bottom w:val="none" w:sz="0" w:space="0" w:color="auto"/>
        <w:right w:val="none" w:sz="0" w:space="0" w:color="auto"/>
      </w:divBdr>
    </w:div>
    <w:div w:id="234442127">
      <w:bodyDiv w:val="1"/>
      <w:marLeft w:val="0"/>
      <w:marRight w:val="0"/>
      <w:marTop w:val="0"/>
      <w:marBottom w:val="0"/>
      <w:divBdr>
        <w:top w:val="none" w:sz="0" w:space="0" w:color="auto"/>
        <w:left w:val="none" w:sz="0" w:space="0" w:color="auto"/>
        <w:bottom w:val="none" w:sz="0" w:space="0" w:color="auto"/>
        <w:right w:val="none" w:sz="0" w:space="0" w:color="auto"/>
      </w:divBdr>
    </w:div>
    <w:div w:id="242762324">
      <w:bodyDiv w:val="1"/>
      <w:marLeft w:val="0"/>
      <w:marRight w:val="0"/>
      <w:marTop w:val="0"/>
      <w:marBottom w:val="0"/>
      <w:divBdr>
        <w:top w:val="none" w:sz="0" w:space="0" w:color="auto"/>
        <w:left w:val="none" w:sz="0" w:space="0" w:color="auto"/>
        <w:bottom w:val="none" w:sz="0" w:space="0" w:color="auto"/>
        <w:right w:val="none" w:sz="0" w:space="0" w:color="auto"/>
      </w:divBdr>
    </w:div>
    <w:div w:id="243729190">
      <w:bodyDiv w:val="1"/>
      <w:marLeft w:val="0"/>
      <w:marRight w:val="0"/>
      <w:marTop w:val="0"/>
      <w:marBottom w:val="0"/>
      <w:divBdr>
        <w:top w:val="none" w:sz="0" w:space="0" w:color="auto"/>
        <w:left w:val="none" w:sz="0" w:space="0" w:color="auto"/>
        <w:bottom w:val="none" w:sz="0" w:space="0" w:color="auto"/>
        <w:right w:val="none" w:sz="0" w:space="0" w:color="auto"/>
      </w:divBdr>
    </w:div>
    <w:div w:id="246623141">
      <w:bodyDiv w:val="1"/>
      <w:marLeft w:val="0"/>
      <w:marRight w:val="0"/>
      <w:marTop w:val="0"/>
      <w:marBottom w:val="0"/>
      <w:divBdr>
        <w:top w:val="none" w:sz="0" w:space="0" w:color="auto"/>
        <w:left w:val="none" w:sz="0" w:space="0" w:color="auto"/>
        <w:bottom w:val="none" w:sz="0" w:space="0" w:color="auto"/>
        <w:right w:val="none" w:sz="0" w:space="0" w:color="auto"/>
      </w:divBdr>
    </w:div>
    <w:div w:id="247807000">
      <w:bodyDiv w:val="1"/>
      <w:marLeft w:val="0"/>
      <w:marRight w:val="0"/>
      <w:marTop w:val="0"/>
      <w:marBottom w:val="0"/>
      <w:divBdr>
        <w:top w:val="none" w:sz="0" w:space="0" w:color="auto"/>
        <w:left w:val="none" w:sz="0" w:space="0" w:color="auto"/>
        <w:bottom w:val="none" w:sz="0" w:space="0" w:color="auto"/>
        <w:right w:val="none" w:sz="0" w:space="0" w:color="auto"/>
      </w:divBdr>
    </w:div>
    <w:div w:id="260769603">
      <w:bodyDiv w:val="1"/>
      <w:marLeft w:val="0"/>
      <w:marRight w:val="0"/>
      <w:marTop w:val="0"/>
      <w:marBottom w:val="0"/>
      <w:divBdr>
        <w:top w:val="none" w:sz="0" w:space="0" w:color="auto"/>
        <w:left w:val="none" w:sz="0" w:space="0" w:color="auto"/>
        <w:bottom w:val="none" w:sz="0" w:space="0" w:color="auto"/>
        <w:right w:val="none" w:sz="0" w:space="0" w:color="auto"/>
      </w:divBdr>
    </w:div>
    <w:div w:id="261105549">
      <w:bodyDiv w:val="1"/>
      <w:marLeft w:val="0"/>
      <w:marRight w:val="0"/>
      <w:marTop w:val="0"/>
      <w:marBottom w:val="0"/>
      <w:divBdr>
        <w:top w:val="none" w:sz="0" w:space="0" w:color="auto"/>
        <w:left w:val="none" w:sz="0" w:space="0" w:color="auto"/>
        <w:bottom w:val="none" w:sz="0" w:space="0" w:color="auto"/>
        <w:right w:val="none" w:sz="0" w:space="0" w:color="auto"/>
      </w:divBdr>
    </w:div>
    <w:div w:id="269902205">
      <w:bodyDiv w:val="1"/>
      <w:marLeft w:val="0"/>
      <w:marRight w:val="0"/>
      <w:marTop w:val="0"/>
      <w:marBottom w:val="0"/>
      <w:divBdr>
        <w:top w:val="none" w:sz="0" w:space="0" w:color="auto"/>
        <w:left w:val="none" w:sz="0" w:space="0" w:color="auto"/>
        <w:bottom w:val="none" w:sz="0" w:space="0" w:color="auto"/>
        <w:right w:val="none" w:sz="0" w:space="0" w:color="auto"/>
      </w:divBdr>
    </w:div>
    <w:div w:id="276110400">
      <w:bodyDiv w:val="1"/>
      <w:marLeft w:val="0"/>
      <w:marRight w:val="0"/>
      <w:marTop w:val="0"/>
      <w:marBottom w:val="0"/>
      <w:divBdr>
        <w:top w:val="none" w:sz="0" w:space="0" w:color="auto"/>
        <w:left w:val="none" w:sz="0" w:space="0" w:color="auto"/>
        <w:bottom w:val="none" w:sz="0" w:space="0" w:color="auto"/>
        <w:right w:val="none" w:sz="0" w:space="0" w:color="auto"/>
      </w:divBdr>
    </w:div>
    <w:div w:id="282350912">
      <w:bodyDiv w:val="1"/>
      <w:marLeft w:val="0"/>
      <w:marRight w:val="0"/>
      <w:marTop w:val="0"/>
      <w:marBottom w:val="0"/>
      <w:divBdr>
        <w:top w:val="none" w:sz="0" w:space="0" w:color="auto"/>
        <w:left w:val="none" w:sz="0" w:space="0" w:color="auto"/>
        <w:bottom w:val="none" w:sz="0" w:space="0" w:color="auto"/>
        <w:right w:val="none" w:sz="0" w:space="0" w:color="auto"/>
      </w:divBdr>
    </w:div>
    <w:div w:id="283384788">
      <w:bodyDiv w:val="1"/>
      <w:marLeft w:val="0"/>
      <w:marRight w:val="0"/>
      <w:marTop w:val="0"/>
      <w:marBottom w:val="0"/>
      <w:divBdr>
        <w:top w:val="none" w:sz="0" w:space="0" w:color="auto"/>
        <w:left w:val="none" w:sz="0" w:space="0" w:color="auto"/>
        <w:bottom w:val="none" w:sz="0" w:space="0" w:color="auto"/>
        <w:right w:val="none" w:sz="0" w:space="0" w:color="auto"/>
      </w:divBdr>
    </w:div>
    <w:div w:id="288511355">
      <w:bodyDiv w:val="1"/>
      <w:marLeft w:val="0"/>
      <w:marRight w:val="0"/>
      <w:marTop w:val="0"/>
      <w:marBottom w:val="0"/>
      <w:divBdr>
        <w:top w:val="none" w:sz="0" w:space="0" w:color="auto"/>
        <w:left w:val="none" w:sz="0" w:space="0" w:color="auto"/>
        <w:bottom w:val="none" w:sz="0" w:space="0" w:color="auto"/>
        <w:right w:val="none" w:sz="0" w:space="0" w:color="auto"/>
      </w:divBdr>
    </w:div>
    <w:div w:id="289432872">
      <w:bodyDiv w:val="1"/>
      <w:marLeft w:val="0"/>
      <w:marRight w:val="0"/>
      <w:marTop w:val="0"/>
      <w:marBottom w:val="0"/>
      <w:divBdr>
        <w:top w:val="none" w:sz="0" w:space="0" w:color="auto"/>
        <w:left w:val="none" w:sz="0" w:space="0" w:color="auto"/>
        <w:bottom w:val="none" w:sz="0" w:space="0" w:color="auto"/>
        <w:right w:val="none" w:sz="0" w:space="0" w:color="auto"/>
      </w:divBdr>
    </w:div>
    <w:div w:id="290483992">
      <w:bodyDiv w:val="1"/>
      <w:marLeft w:val="0"/>
      <w:marRight w:val="0"/>
      <w:marTop w:val="0"/>
      <w:marBottom w:val="0"/>
      <w:divBdr>
        <w:top w:val="none" w:sz="0" w:space="0" w:color="auto"/>
        <w:left w:val="none" w:sz="0" w:space="0" w:color="auto"/>
        <w:bottom w:val="none" w:sz="0" w:space="0" w:color="auto"/>
        <w:right w:val="none" w:sz="0" w:space="0" w:color="auto"/>
      </w:divBdr>
    </w:div>
    <w:div w:id="292059261">
      <w:bodyDiv w:val="1"/>
      <w:marLeft w:val="0"/>
      <w:marRight w:val="0"/>
      <w:marTop w:val="0"/>
      <w:marBottom w:val="0"/>
      <w:divBdr>
        <w:top w:val="none" w:sz="0" w:space="0" w:color="auto"/>
        <w:left w:val="none" w:sz="0" w:space="0" w:color="auto"/>
        <w:bottom w:val="none" w:sz="0" w:space="0" w:color="auto"/>
        <w:right w:val="none" w:sz="0" w:space="0" w:color="auto"/>
      </w:divBdr>
    </w:div>
    <w:div w:id="299652256">
      <w:bodyDiv w:val="1"/>
      <w:marLeft w:val="0"/>
      <w:marRight w:val="0"/>
      <w:marTop w:val="0"/>
      <w:marBottom w:val="0"/>
      <w:divBdr>
        <w:top w:val="none" w:sz="0" w:space="0" w:color="auto"/>
        <w:left w:val="none" w:sz="0" w:space="0" w:color="auto"/>
        <w:bottom w:val="none" w:sz="0" w:space="0" w:color="auto"/>
        <w:right w:val="none" w:sz="0" w:space="0" w:color="auto"/>
      </w:divBdr>
    </w:div>
    <w:div w:id="307975412">
      <w:bodyDiv w:val="1"/>
      <w:marLeft w:val="0"/>
      <w:marRight w:val="0"/>
      <w:marTop w:val="0"/>
      <w:marBottom w:val="0"/>
      <w:divBdr>
        <w:top w:val="none" w:sz="0" w:space="0" w:color="auto"/>
        <w:left w:val="none" w:sz="0" w:space="0" w:color="auto"/>
        <w:bottom w:val="none" w:sz="0" w:space="0" w:color="auto"/>
        <w:right w:val="none" w:sz="0" w:space="0" w:color="auto"/>
      </w:divBdr>
    </w:div>
    <w:div w:id="308095822">
      <w:bodyDiv w:val="1"/>
      <w:marLeft w:val="0"/>
      <w:marRight w:val="0"/>
      <w:marTop w:val="0"/>
      <w:marBottom w:val="0"/>
      <w:divBdr>
        <w:top w:val="none" w:sz="0" w:space="0" w:color="auto"/>
        <w:left w:val="none" w:sz="0" w:space="0" w:color="auto"/>
        <w:bottom w:val="none" w:sz="0" w:space="0" w:color="auto"/>
        <w:right w:val="none" w:sz="0" w:space="0" w:color="auto"/>
      </w:divBdr>
    </w:div>
    <w:div w:id="308441577">
      <w:bodyDiv w:val="1"/>
      <w:marLeft w:val="0"/>
      <w:marRight w:val="0"/>
      <w:marTop w:val="0"/>
      <w:marBottom w:val="0"/>
      <w:divBdr>
        <w:top w:val="none" w:sz="0" w:space="0" w:color="auto"/>
        <w:left w:val="none" w:sz="0" w:space="0" w:color="auto"/>
        <w:bottom w:val="none" w:sz="0" w:space="0" w:color="auto"/>
        <w:right w:val="none" w:sz="0" w:space="0" w:color="auto"/>
      </w:divBdr>
    </w:div>
    <w:div w:id="320083088">
      <w:bodyDiv w:val="1"/>
      <w:marLeft w:val="0"/>
      <w:marRight w:val="0"/>
      <w:marTop w:val="0"/>
      <w:marBottom w:val="0"/>
      <w:divBdr>
        <w:top w:val="none" w:sz="0" w:space="0" w:color="auto"/>
        <w:left w:val="none" w:sz="0" w:space="0" w:color="auto"/>
        <w:bottom w:val="none" w:sz="0" w:space="0" w:color="auto"/>
        <w:right w:val="none" w:sz="0" w:space="0" w:color="auto"/>
      </w:divBdr>
    </w:div>
    <w:div w:id="324863384">
      <w:bodyDiv w:val="1"/>
      <w:marLeft w:val="0"/>
      <w:marRight w:val="0"/>
      <w:marTop w:val="0"/>
      <w:marBottom w:val="0"/>
      <w:divBdr>
        <w:top w:val="none" w:sz="0" w:space="0" w:color="auto"/>
        <w:left w:val="none" w:sz="0" w:space="0" w:color="auto"/>
        <w:bottom w:val="none" w:sz="0" w:space="0" w:color="auto"/>
        <w:right w:val="none" w:sz="0" w:space="0" w:color="auto"/>
      </w:divBdr>
    </w:div>
    <w:div w:id="334191235">
      <w:bodyDiv w:val="1"/>
      <w:marLeft w:val="0"/>
      <w:marRight w:val="0"/>
      <w:marTop w:val="0"/>
      <w:marBottom w:val="0"/>
      <w:divBdr>
        <w:top w:val="none" w:sz="0" w:space="0" w:color="auto"/>
        <w:left w:val="none" w:sz="0" w:space="0" w:color="auto"/>
        <w:bottom w:val="none" w:sz="0" w:space="0" w:color="auto"/>
        <w:right w:val="none" w:sz="0" w:space="0" w:color="auto"/>
      </w:divBdr>
    </w:div>
    <w:div w:id="353923540">
      <w:bodyDiv w:val="1"/>
      <w:marLeft w:val="0"/>
      <w:marRight w:val="0"/>
      <w:marTop w:val="0"/>
      <w:marBottom w:val="0"/>
      <w:divBdr>
        <w:top w:val="none" w:sz="0" w:space="0" w:color="auto"/>
        <w:left w:val="none" w:sz="0" w:space="0" w:color="auto"/>
        <w:bottom w:val="none" w:sz="0" w:space="0" w:color="auto"/>
        <w:right w:val="none" w:sz="0" w:space="0" w:color="auto"/>
      </w:divBdr>
    </w:div>
    <w:div w:id="363336433">
      <w:bodyDiv w:val="1"/>
      <w:marLeft w:val="0"/>
      <w:marRight w:val="0"/>
      <w:marTop w:val="0"/>
      <w:marBottom w:val="0"/>
      <w:divBdr>
        <w:top w:val="none" w:sz="0" w:space="0" w:color="auto"/>
        <w:left w:val="none" w:sz="0" w:space="0" w:color="auto"/>
        <w:bottom w:val="none" w:sz="0" w:space="0" w:color="auto"/>
        <w:right w:val="none" w:sz="0" w:space="0" w:color="auto"/>
      </w:divBdr>
    </w:div>
    <w:div w:id="373579084">
      <w:bodyDiv w:val="1"/>
      <w:marLeft w:val="0"/>
      <w:marRight w:val="0"/>
      <w:marTop w:val="0"/>
      <w:marBottom w:val="0"/>
      <w:divBdr>
        <w:top w:val="none" w:sz="0" w:space="0" w:color="auto"/>
        <w:left w:val="none" w:sz="0" w:space="0" w:color="auto"/>
        <w:bottom w:val="none" w:sz="0" w:space="0" w:color="auto"/>
        <w:right w:val="none" w:sz="0" w:space="0" w:color="auto"/>
      </w:divBdr>
    </w:div>
    <w:div w:id="375543338">
      <w:bodyDiv w:val="1"/>
      <w:marLeft w:val="0"/>
      <w:marRight w:val="0"/>
      <w:marTop w:val="0"/>
      <w:marBottom w:val="0"/>
      <w:divBdr>
        <w:top w:val="none" w:sz="0" w:space="0" w:color="auto"/>
        <w:left w:val="none" w:sz="0" w:space="0" w:color="auto"/>
        <w:bottom w:val="none" w:sz="0" w:space="0" w:color="auto"/>
        <w:right w:val="none" w:sz="0" w:space="0" w:color="auto"/>
      </w:divBdr>
    </w:div>
    <w:div w:id="380255319">
      <w:bodyDiv w:val="1"/>
      <w:marLeft w:val="0"/>
      <w:marRight w:val="0"/>
      <w:marTop w:val="0"/>
      <w:marBottom w:val="0"/>
      <w:divBdr>
        <w:top w:val="none" w:sz="0" w:space="0" w:color="auto"/>
        <w:left w:val="none" w:sz="0" w:space="0" w:color="auto"/>
        <w:bottom w:val="none" w:sz="0" w:space="0" w:color="auto"/>
        <w:right w:val="none" w:sz="0" w:space="0" w:color="auto"/>
      </w:divBdr>
    </w:div>
    <w:div w:id="389574335">
      <w:bodyDiv w:val="1"/>
      <w:marLeft w:val="0"/>
      <w:marRight w:val="0"/>
      <w:marTop w:val="0"/>
      <w:marBottom w:val="0"/>
      <w:divBdr>
        <w:top w:val="none" w:sz="0" w:space="0" w:color="auto"/>
        <w:left w:val="none" w:sz="0" w:space="0" w:color="auto"/>
        <w:bottom w:val="none" w:sz="0" w:space="0" w:color="auto"/>
        <w:right w:val="none" w:sz="0" w:space="0" w:color="auto"/>
      </w:divBdr>
    </w:div>
    <w:div w:id="394355542">
      <w:bodyDiv w:val="1"/>
      <w:marLeft w:val="0"/>
      <w:marRight w:val="0"/>
      <w:marTop w:val="0"/>
      <w:marBottom w:val="0"/>
      <w:divBdr>
        <w:top w:val="none" w:sz="0" w:space="0" w:color="auto"/>
        <w:left w:val="none" w:sz="0" w:space="0" w:color="auto"/>
        <w:bottom w:val="none" w:sz="0" w:space="0" w:color="auto"/>
        <w:right w:val="none" w:sz="0" w:space="0" w:color="auto"/>
      </w:divBdr>
    </w:div>
    <w:div w:id="400761846">
      <w:bodyDiv w:val="1"/>
      <w:marLeft w:val="0"/>
      <w:marRight w:val="0"/>
      <w:marTop w:val="0"/>
      <w:marBottom w:val="0"/>
      <w:divBdr>
        <w:top w:val="none" w:sz="0" w:space="0" w:color="auto"/>
        <w:left w:val="none" w:sz="0" w:space="0" w:color="auto"/>
        <w:bottom w:val="none" w:sz="0" w:space="0" w:color="auto"/>
        <w:right w:val="none" w:sz="0" w:space="0" w:color="auto"/>
      </w:divBdr>
    </w:div>
    <w:div w:id="410346352">
      <w:bodyDiv w:val="1"/>
      <w:marLeft w:val="0"/>
      <w:marRight w:val="0"/>
      <w:marTop w:val="0"/>
      <w:marBottom w:val="0"/>
      <w:divBdr>
        <w:top w:val="none" w:sz="0" w:space="0" w:color="auto"/>
        <w:left w:val="none" w:sz="0" w:space="0" w:color="auto"/>
        <w:bottom w:val="none" w:sz="0" w:space="0" w:color="auto"/>
        <w:right w:val="none" w:sz="0" w:space="0" w:color="auto"/>
      </w:divBdr>
    </w:div>
    <w:div w:id="410856735">
      <w:bodyDiv w:val="1"/>
      <w:marLeft w:val="0"/>
      <w:marRight w:val="0"/>
      <w:marTop w:val="0"/>
      <w:marBottom w:val="0"/>
      <w:divBdr>
        <w:top w:val="none" w:sz="0" w:space="0" w:color="auto"/>
        <w:left w:val="none" w:sz="0" w:space="0" w:color="auto"/>
        <w:bottom w:val="none" w:sz="0" w:space="0" w:color="auto"/>
        <w:right w:val="none" w:sz="0" w:space="0" w:color="auto"/>
      </w:divBdr>
    </w:div>
    <w:div w:id="420836892">
      <w:bodyDiv w:val="1"/>
      <w:marLeft w:val="0"/>
      <w:marRight w:val="0"/>
      <w:marTop w:val="0"/>
      <w:marBottom w:val="0"/>
      <w:divBdr>
        <w:top w:val="none" w:sz="0" w:space="0" w:color="auto"/>
        <w:left w:val="none" w:sz="0" w:space="0" w:color="auto"/>
        <w:bottom w:val="none" w:sz="0" w:space="0" w:color="auto"/>
        <w:right w:val="none" w:sz="0" w:space="0" w:color="auto"/>
      </w:divBdr>
    </w:div>
    <w:div w:id="429862110">
      <w:bodyDiv w:val="1"/>
      <w:marLeft w:val="0"/>
      <w:marRight w:val="0"/>
      <w:marTop w:val="0"/>
      <w:marBottom w:val="0"/>
      <w:divBdr>
        <w:top w:val="none" w:sz="0" w:space="0" w:color="auto"/>
        <w:left w:val="none" w:sz="0" w:space="0" w:color="auto"/>
        <w:bottom w:val="none" w:sz="0" w:space="0" w:color="auto"/>
        <w:right w:val="none" w:sz="0" w:space="0" w:color="auto"/>
      </w:divBdr>
    </w:div>
    <w:div w:id="432435057">
      <w:bodyDiv w:val="1"/>
      <w:marLeft w:val="0"/>
      <w:marRight w:val="0"/>
      <w:marTop w:val="0"/>
      <w:marBottom w:val="0"/>
      <w:divBdr>
        <w:top w:val="none" w:sz="0" w:space="0" w:color="auto"/>
        <w:left w:val="none" w:sz="0" w:space="0" w:color="auto"/>
        <w:bottom w:val="none" w:sz="0" w:space="0" w:color="auto"/>
        <w:right w:val="none" w:sz="0" w:space="0" w:color="auto"/>
      </w:divBdr>
    </w:div>
    <w:div w:id="435055076">
      <w:bodyDiv w:val="1"/>
      <w:marLeft w:val="0"/>
      <w:marRight w:val="0"/>
      <w:marTop w:val="0"/>
      <w:marBottom w:val="0"/>
      <w:divBdr>
        <w:top w:val="none" w:sz="0" w:space="0" w:color="auto"/>
        <w:left w:val="none" w:sz="0" w:space="0" w:color="auto"/>
        <w:bottom w:val="none" w:sz="0" w:space="0" w:color="auto"/>
        <w:right w:val="none" w:sz="0" w:space="0" w:color="auto"/>
      </w:divBdr>
    </w:div>
    <w:div w:id="439421022">
      <w:bodyDiv w:val="1"/>
      <w:marLeft w:val="0"/>
      <w:marRight w:val="0"/>
      <w:marTop w:val="0"/>
      <w:marBottom w:val="0"/>
      <w:divBdr>
        <w:top w:val="none" w:sz="0" w:space="0" w:color="auto"/>
        <w:left w:val="none" w:sz="0" w:space="0" w:color="auto"/>
        <w:bottom w:val="none" w:sz="0" w:space="0" w:color="auto"/>
        <w:right w:val="none" w:sz="0" w:space="0" w:color="auto"/>
      </w:divBdr>
    </w:div>
    <w:div w:id="447042462">
      <w:bodyDiv w:val="1"/>
      <w:marLeft w:val="0"/>
      <w:marRight w:val="0"/>
      <w:marTop w:val="0"/>
      <w:marBottom w:val="0"/>
      <w:divBdr>
        <w:top w:val="none" w:sz="0" w:space="0" w:color="auto"/>
        <w:left w:val="none" w:sz="0" w:space="0" w:color="auto"/>
        <w:bottom w:val="none" w:sz="0" w:space="0" w:color="auto"/>
        <w:right w:val="none" w:sz="0" w:space="0" w:color="auto"/>
      </w:divBdr>
    </w:div>
    <w:div w:id="447940573">
      <w:bodyDiv w:val="1"/>
      <w:marLeft w:val="0"/>
      <w:marRight w:val="0"/>
      <w:marTop w:val="0"/>
      <w:marBottom w:val="0"/>
      <w:divBdr>
        <w:top w:val="none" w:sz="0" w:space="0" w:color="auto"/>
        <w:left w:val="none" w:sz="0" w:space="0" w:color="auto"/>
        <w:bottom w:val="none" w:sz="0" w:space="0" w:color="auto"/>
        <w:right w:val="none" w:sz="0" w:space="0" w:color="auto"/>
      </w:divBdr>
    </w:div>
    <w:div w:id="452752924">
      <w:bodyDiv w:val="1"/>
      <w:marLeft w:val="0"/>
      <w:marRight w:val="0"/>
      <w:marTop w:val="0"/>
      <w:marBottom w:val="0"/>
      <w:divBdr>
        <w:top w:val="none" w:sz="0" w:space="0" w:color="auto"/>
        <w:left w:val="none" w:sz="0" w:space="0" w:color="auto"/>
        <w:bottom w:val="none" w:sz="0" w:space="0" w:color="auto"/>
        <w:right w:val="none" w:sz="0" w:space="0" w:color="auto"/>
      </w:divBdr>
    </w:div>
    <w:div w:id="456530903">
      <w:bodyDiv w:val="1"/>
      <w:marLeft w:val="0"/>
      <w:marRight w:val="0"/>
      <w:marTop w:val="0"/>
      <w:marBottom w:val="0"/>
      <w:divBdr>
        <w:top w:val="none" w:sz="0" w:space="0" w:color="auto"/>
        <w:left w:val="none" w:sz="0" w:space="0" w:color="auto"/>
        <w:bottom w:val="none" w:sz="0" w:space="0" w:color="auto"/>
        <w:right w:val="none" w:sz="0" w:space="0" w:color="auto"/>
      </w:divBdr>
    </w:div>
    <w:div w:id="459610394">
      <w:bodyDiv w:val="1"/>
      <w:marLeft w:val="0"/>
      <w:marRight w:val="0"/>
      <w:marTop w:val="0"/>
      <w:marBottom w:val="0"/>
      <w:divBdr>
        <w:top w:val="none" w:sz="0" w:space="0" w:color="auto"/>
        <w:left w:val="none" w:sz="0" w:space="0" w:color="auto"/>
        <w:bottom w:val="none" w:sz="0" w:space="0" w:color="auto"/>
        <w:right w:val="none" w:sz="0" w:space="0" w:color="auto"/>
      </w:divBdr>
    </w:div>
    <w:div w:id="459688444">
      <w:bodyDiv w:val="1"/>
      <w:marLeft w:val="0"/>
      <w:marRight w:val="0"/>
      <w:marTop w:val="0"/>
      <w:marBottom w:val="0"/>
      <w:divBdr>
        <w:top w:val="none" w:sz="0" w:space="0" w:color="auto"/>
        <w:left w:val="none" w:sz="0" w:space="0" w:color="auto"/>
        <w:bottom w:val="none" w:sz="0" w:space="0" w:color="auto"/>
        <w:right w:val="none" w:sz="0" w:space="0" w:color="auto"/>
      </w:divBdr>
    </w:div>
    <w:div w:id="469057751">
      <w:bodyDiv w:val="1"/>
      <w:marLeft w:val="0"/>
      <w:marRight w:val="0"/>
      <w:marTop w:val="0"/>
      <w:marBottom w:val="0"/>
      <w:divBdr>
        <w:top w:val="none" w:sz="0" w:space="0" w:color="auto"/>
        <w:left w:val="none" w:sz="0" w:space="0" w:color="auto"/>
        <w:bottom w:val="none" w:sz="0" w:space="0" w:color="auto"/>
        <w:right w:val="none" w:sz="0" w:space="0" w:color="auto"/>
      </w:divBdr>
    </w:div>
    <w:div w:id="469175807">
      <w:bodyDiv w:val="1"/>
      <w:marLeft w:val="0"/>
      <w:marRight w:val="0"/>
      <w:marTop w:val="0"/>
      <w:marBottom w:val="0"/>
      <w:divBdr>
        <w:top w:val="none" w:sz="0" w:space="0" w:color="auto"/>
        <w:left w:val="none" w:sz="0" w:space="0" w:color="auto"/>
        <w:bottom w:val="none" w:sz="0" w:space="0" w:color="auto"/>
        <w:right w:val="none" w:sz="0" w:space="0" w:color="auto"/>
      </w:divBdr>
    </w:div>
    <w:div w:id="477037447">
      <w:bodyDiv w:val="1"/>
      <w:marLeft w:val="0"/>
      <w:marRight w:val="0"/>
      <w:marTop w:val="0"/>
      <w:marBottom w:val="0"/>
      <w:divBdr>
        <w:top w:val="none" w:sz="0" w:space="0" w:color="auto"/>
        <w:left w:val="none" w:sz="0" w:space="0" w:color="auto"/>
        <w:bottom w:val="none" w:sz="0" w:space="0" w:color="auto"/>
        <w:right w:val="none" w:sz="0" w:space="0" w:color="auto"/>
      </w:divBdr>
    </w:div>
    <w:div w:id="481695612">
      <w:bodyDiv w:val="1"/>
      <w:marLeft w:val="0"/>
      <w:marRight w:val="0"/>
      <w:marTop w:val="0"/>
      <w:marBottom w:val="0"/>
      <w:divBdr>
        <w:top w:val="none" w:sz="0" w:space="0" w:color="auto"/>
        <w:left w:val="none" w:sz="0" w:space="0" w:color="auto"/>
        <w:bottom w:val="none" w:sz="0" w:space="0" w:color="auto"/>
        <w:right w:val="none" w:sz="0" w:space="0" w:color="auto"/>
      </w:divBdr>
    </w:div>
    <w:div w:id="486093695">
      <w:bodyDiv w:val="1"/>
      <w:marLeft w:val="0"/>
      <w:marRight w:val="0"/>
      <w:marTop w:val="0"/>
      <w:marBottom w:val="0"/>
      <w:divBdr>
        <w:top w:val="none" w:sz="0" w:space="0" w:color="auto"/>
        <w:left w:val="none" w:sz="0" w:space="0" w:color="auto"/>
        <w:bottom w:val="none" w:sz="0" w:space="0" w:color="auto"/>
        <w:right w:val="none" w:sz="0" w:space="0" w:color="auto"/>
      </w:divBdr>
    </w:div>
    <w:div w:id="491407583">
      <w:bodyDiv w:val="1"/>
      <w:marLeft w:val="0"/>
      <w:marRight w:val="0"/>
      <w:marTop w:val="0"/>
      <w:marBottom w:val="0"/>
      <w:divBdr>
        <w:top w:val="none" w:sz="0" w:space="0" w:color="auto"/>
        <w:left w:val="none" w:sz="0" w:space="0" w:color="auto"/>
        <w:bottom w:val="none" w:sz="0" w:space="0" w:color="auto"/>
        <w:right w:val="none" w:sz="0" w:space="0" w:color="auto"/>
      </w:divBdr>
    </w:div>
    <w:div w:id="492138630">
      <w:bodyDiv w:val="1"/>
      <w:marLeft w:val="0"/>
      <w:marRight w:val="0"/>
      <w:marTop w:val="0"/>
      <w:marBottom w:val="0"/>
      <w:divBdr>
        <w:top w:val="none" w:sz="0" w:space="0" w:color="auto"/>
        <w:left w:val="none" w:sz="0" w:space="0" w:color="auto"/>
        <w:bottom w:val="none" w:sz="0" w:space="0" w:color="auto"/>
        <w:right w:val="none" w:sz="0" w:space="0" w:color="auto"/>
      </w:divBdr>
    </w:div>
    <w:div w:id="492374843">
      <w:bodyDiv w:val="1"/>
      <w:marLeft w:val="0"/>
      <w:marRight w:val="0"/>
      <w:marTop w:val="0"/>
      <w:marBottom w:val="0"/>
      <w:divBdr>
        <w:top w:val="none" w:sz="0" w:space="0" w:color="auto"/>
        <w:left w:val="none" w:sz="0" w:space="0" w:color="auto"/>
        <w:bottom w:val="none" w:sz="0" w:space="0" w:color="auto"/>
        <w:right w:val="none" w:sz="0" w:space="0" w:color="auto"/>
      </w:divBdr>
    </w:div>
    <w:div w:id="493033526">
      <w:bodyDiv w:val="1"/>
      <w:marLeft w:val="0"/>
      <w:marRight w:val="0"/>
      <w:marTop w:val="0"/>
      <w:marBottom w:val="0"/>
      <w:divBdr>
        <w:top w:val="none" w:sz="0" w:space="0" w:color="auto"/>
        <w:left w:val="none" w:sz="0" w:space="0" w:color="auto"/>
        <w:bottom w:val="none" w:sz="0" w:space="0" w:color="auto"/>
        <w:right w:val="none" w:sz="0" w:space="0" w:color="auto"/>
      </w:divBdr>
    </w:div>
    <w:div w:id="497035137">
      <w:bodyDiv w:val="1"/>
      <w:marLeft w:val="0"/>
      <w:marRight w:val="0"/>
      <w:marTop w:val="0"/>
      <w:marBottom w:val="0"/>
      <w:divBdr>
        <w:top w:val="none" w:sz="0" w:space="0" w:color="auto"/>
        <w:left w:val="none" w:sz="0" w:space="0" w:color="auto"/>
        <w:bottom w:val="none" w:sz="0" w:space="0" w:color="auto"/>
        <w:right w:val="none" w:sz="0" w:space="0" w:color="auto"/>
      </w:divBdr>
    </w:div>
    <w:div w:id="505364868">
      <w:bodyDiv w:val="1"/>
      <w:marLeft w:val="0"/>
      <w:marRight w:val="0"/>
      <w:marTop w:val="0"/>
      <w:marBottom w:val="0"/>
      <w:divBdr>
        <w:top w:val="none" w:sz="0" w:space="0" w:color="auto"/>
        <w:left w:val="none" w:sz="0" w:space="0" w:color="auto"/>
        <w:bottom w:val="none" w:sz="0" w:space="0" w:color="auto"/>
        <w:right w:val="none" w:sz="0" w:space="0" w:color="auto"/>
      </w:divBdr>
    </w:div>
    <w:div w:id="513540786">
      <w:bodyDiv w:val="1"/>
      <w:marLeft w:val="0"/>
      <w:marRight w:val="0"/>
      <w:marTop w:val="0"/>
      <w:marBottom w:val="0"/>
      <w:divBdr>
        <w:top w:val="none" w:sz="0" w:space="0" w:color="auto"/>
        <w:left w:val="none" w:sz="0" w:space="0" w:color="auto"/>
        <w:bottom w:val="none" w:sz="0" w:space="0" w:color="auto"/>
        <w:right w:val="none" w:sz="0" w:space="0" w:color="auto"/>
      </w:divBdr>
    </w:div>
    <w:div w:id="516507086">
      <w:bodyDiv w:val="1"/>
      <w:marLeft w:val="0"/>
      <w:marRight w:val="0"/>
      <w:marTop w:val="0"/>
      <w:marBottom w:val="0"/>
      <w:divBdr>
        <w:top w:val="none" w:sz="0" w:space="0" w:color="auto"/>
        <w:left w:val="none" w:sz="0" w:space="0" w:color="auto"/>
        <w:bottom w:val="none" w:sz="0" w:space="0" w:color="auto"/>
        <w:right w:val="none" w:sz="0" w:space="0" w:color="auto"/>
      </w:divBdr>
    </w:div>
    <w:div w:id="516969135">
      <w:bodyDiv w:val="1"/>
      <w:marLeft w:val="0"/>
      <w:marRight w:val="0"/>
      <w:marTop w:val="0"/>
      <w:marBottom w:val="0"/>
      <w:divBdr>
        <w:top w:val="none" w:sz="0" w:space="0" w:color="auto"/>
        <w:left w:val="none" w:sz="0" w:space="0" w:color="auto"/>
        <w:bottom w:val="none" w:sz="0" w:space="0" w:color="auto"/>
        <w:right w:val="none" w:sz="0" w:space="0" w:color="auto"/>
      </w:divBdr>
    </w:div>
    <w:div w:id="517815872">
      <w:bodyDiv w:val="1"/>
      <w:marLeft w:val="0"/>
      <w:marRight w:val="0"/>
      <w:marTop w:val="0"/>
      <w:marBottom w:val="0"/>
      <w:divBdr>
        <w:top w:val="none" w:sz="0" w:space="0" w:color="auto"/>
        <w:left w:val="none" w:sz="0" w:space="0" w:color="auto"/>
        <w:bottom w:val="none" w:sz="0" w:space="0" w:color="auto"/>
        <w:right w:val="none" w:sz="0" w:space="0" w:color="auto"/>
      </w:divBdr>
    </w:div>
    <w:div w:id="525339015">
      <w:bodyDiv w:val="1"/>
      <w:marLeft w:val="0"/>
      <w:marRight w:val="0"/>
      <w:marTop w:val="0"/>
      <w:marBottom w:val="0"/>
      <w:divBdr>
        <w:top w:val="none" w:sz="0" w:space="0" w:color="auto"/>
        <w:left w:val="none" w:sz="0" w:space="0" w:color="auto"/>
        <w:bottom w:val="none" w:sz="0" w:space="0" w:color="auto"/>
        <w:right w:val="none" w:sz="0" w:space="0" w:color="auto"/>
      </w:divBdr>
    </w:div>
    <w:div w:id="541017174">
      <w:bodyDiv w:val="1"/>
      <w:marLeft w:val="0"/>
      <w:marRight w:val="0"/>
      <w:marTop w:val="0"/>
      <w:marBottom w:val="0"/>
      <w:divBdr>
        <w:top w:val="none" w:sz="0" w:space="0" w:color="auto"/>
        <w:left w:val="none" w:sz="0" w:space="0" w:color="auto"/>
        <w:bottom w:val="none" w:sz="0" w:space="0" w:color="auto"/>
        <w:right w:val="none" w:sz="0" w:space="0" w:color="auto"/>
      </w:divBdr>
    </w:div>
    <w:div w:id="545719884">
      <w:bodyDiv w:val="1"/>
      <w:marLeft w:val="0"/>
      <w:marRight w:val="0"/>
      <w:marTop w:val="0"/>
      <w:marBottom w:val="0"/>
      <w:divBdr>
        <w:top w:val="none" w:sz="0" w:space="0" w:color="auto"/>
        <w:left w:val="none" w:sz="0" w:space="0" w:color="auto"/>
        <w:bottom w:val="none" w:sz="0" w:space="0" w:color="auto"/>
        <w:right w:val="none" w:sz="0" w:space="0" w:color="auto"/>
      </w:divBdr>
    </w:div>
    <w:div w:id="546994950">
      <w:bodyDiv w:val="1"/>
      <w:marLeft w:val="0"/>
      <w:marRight w:val="0"/>
      <w:marTop w:val="0"/>
      <w:marBottom w:val="0"/>
      <w:divBdr>
        <w:top w:val="none" w:sz="0" w:space="0" w:color="auto"/>
        <w:left w:val="none" w:sz="0" w:space="0" w:color="auto"/>
        <w:bottom w:val="none" w:sz="0" w:space="0" w:color="auto"/>
        <w:right w:val="none" w:sz="0" w:space="0" w:color="auto"/>
      </w:divBdr>
    </w:div>
    <w:div w:id="553584480">
      <w:bodyDiv w:val="1"/>
      <w:marLeft w:val="0"/>
      <w:marRight w:val="0"/>
      <w:marTop w:val="0"/>
      <w:marBottom w:val="0"/>
      <w:divBdr>
        <w:top w:val="none" w:sz="0" w:space="0" w:color="auto"/>
        <w:left w:val="none" w:sz="0" w:space="0" w:color="auto"/>
        <w:bottom w:val="none" w:sz="0" w:space="0" w:color="auto"/>
        <w:right w:val="none" w:sz="0" w:space="0" w:color="auto"/>
      </w:divBdr>
    </w:div>
    <w:div w:id="563952428">
      <w:bodyDiv w:val="1"/>
      <w:marLeft w:val="0"/>
      <w:marRight w:val="0"/>
      <w:marTop w:val="0"/>
      <w:marBottom w:val="0"/>
      <w:divBdr>
        <w:top w:val="none" w:sz="0" w:space="0" w:color="auto"/>
        <w:left w:val="none" w:sz="0" w:space="0" w:color="auto"/>
        <w:bottom w:val="none" w:sz="0" w:space="0" w:color="auto"/>
        <w:right w:val="none" w:sz="0" w:space="0" w:color="auto"/>
      </w:divBdr>
    </w:div>
    <w:div w:id="566451843">
      <w:bodyDiv w:val="1"/>
      <w:marLeft w:val="0"/>
      <w:marRight w:val="0"/>
      <w:marTop w:val="0"/>
      <w:marBottom w:val="0"/>
      <w:divBdr>
        <w:top w:val="none" w:sz="0" w:space="0" w:color="auto"/>
        <w:left w:val="none" w:sz="0" w:space="0" w:color="auto"/>
        <w:bottom w:val="none" w:sz="0" w:space="0" w:color="auto"/>
        <w:right w:val="none" w:sz="0" w:space="0" w:color="auto"/>
      </w:divBdr>
    </w:div>
    <w:div w:id="573127809">
      <w:bodyDiv w:val="1"/>
      <w:marLeft w:val="0"/>
      <w:marRight w:val="0"/>
      <w:marTop w:val="0"/>
      <w:marBottom w:val="0"/>
      <w:divBdr>
        <w:top w:val="none" w:sz="0" w:space="0" w:color="auto"/>
        <w:left w:val="none" w:sz="0" w:space="0" w:color="auto"/>
        <w:bottom w:val="none" w:sz="0" w:space="0" w:color="auto"/>
        <w:right w:val="none" w:sz="0" w:space="0" w:color="auto"/>
      </w:divBdr>
    </w:div>
    <w:div w:id="577248592">
      <w:bodyDiv w:val="1"/>
      <w:marLeft w:val="0"/>
      <w:marRight w:val="0"/>
      <w:marTop w:val="0"/>
      <w:marBottom w:val="0"/>
      <w:divBdr>
        <w:top w:val="none" w:sz="0" w:space="0" w:color="auto"/>
        <w:left w:val="none" w:sz="0" w:space="0" w:color="auto"/>
        <w:bottom w:val="none" w:sz="0" w:space="0" w:color="auto"/>
        <w:right w:val="none" w:sz="0" w:space="0" w:color="auto"/>
      </w:divBdr>
    </w:div>
    <w:div w:id="577518545">
      <w:bodyDiv w:val="1"/>
      <w:marLeft w:val="0"/>
      <w:marRight w:val="0"/>
      <w:marTop w:val="0"/>
      <w:marBottom w:val="0"/>
      <w:divBdr>
        <w:top w:val="none" w:sz="0" w:space="0" w:color="auto"/>
        <w:left w:val="none" w:sz="0" w:space="0" w:color="auto"/>
        <w:bottom w:val="none" w:sz="0" w:space="0" w:color="auto"/>
        <w:right w:val="none" w:sz="0" w:space="0" w:color="auto"/>
      </w:divBdr>
    </w:div>
    <w:div w:id="583420827">
      <w:bodyDiv w:val="1"/>
      <w:marLeft w:val="0"/>
      <w:marRight w:val="0"/>
      <w:marTop w:val="0"/>
      <w:marBottom w:val="0"/>
      <w:divBdr>
        <w:top w:val="none" w:sz="0" w:space="0" w:color="auto"/>
        <w:left w:val="none" w:sz="0" w:space="0" w:color="auto"/>
        <w:bottom w:val="none" w:sz="0" w:space="0" w:color="auto"/>
        <w:right w:val="none" w:sz="0" w:space="0" w:color="auto"/>
      </w:divBdr>
    </w:div>
    <w:div w:id="587353903">
      <w:bodyDiv w:val="1"/>
      <w:marLeft w:val="0"/>
      <w:marRight w:val="0"/>
      <w:marTop w:val="0"/>
      <w:marBottom w:val="0"/>
      <w:divBdr>
        <w:top w:val="none" w:sz="0" w:space="0" w:color="auto"/>
        <w:left w:val="none" w:sz="0" w:space="0" w:color="auto"/>
        <w:bottom w:val="none" w:sz="0" w:space="0" w:color="auto"/>
        <w:right w:val="none" w:sz="0" w:space="0" w:color="auto"/>
      </w:divBdr>
    </w:div>
    <w:div w:id="590744336">
      <w:bodyDiv w:val="1"/>
      <w:marLeft w:val="0"/>
      <w:marRight w:val="0"/>
      <w:marTop w:val="0"/>
      <w:marBottom w:val="0"/>
      <w:divBdr>
        <w:top w:val="none" w:sz="0" w:space="0" w:color="auto"/>
        <w:left w:val="none" w:sz="0" w:space="0" w:color="auto"/>
        <w:bottom w:val="none" w:sz="0" w:space="0" w:color="auto"/>
        <w:right w:val="none" w:sz="0" w:space="0" w:color="auto"/>
      </w:divBdr>
    </w:div>
    <w:div w:id="591934700">
      <w:bodyDiv w:val="1"/>
      <w:marLeft w:val="0"/>
      <w:marRight w:val="0"/>
      <w:marTop w:val="0"/>
      <w:marBottom w:val="0"/>
      <w:divBdr>
        <w:top w:val="none" w:sz="0" w:space="0" w:color="auto"/>
        <w:left w:val="none" w:sz="0" w:space="0" w:color="auto"/>
        <w:bottom w:val="none" w:sz="0" w:space="0" w:color="auto"/>
        <w:right w:val="none" w:sz="0" w:space="0" w:color="auto"/>
      </w:divBdr>
    </w:div>
    <w:div w:id="595594063">
      <w:bodyDiv w:val="1"/>
      <w:marLeft w:val="0"/>
      <w:marRight w:val="0"/>
      <w:marTop w:val="0"/>
      <w:marBottom w:val="0"/>
      <w:divBdr>
        <w:top w:val="none" w:sz="0" w:space="0" w:color="auto"/>
        <w:left w:val="none" w:sz="0" w:space="0" w:color="auto"/>
        <w:bottom w:val="none" w:sz="0" w:space="0" w:color="auto"/>
        <w:right w:val="none" w:sz="0" w:space="0" w:color="auto"/>
      </w:divBdr>
    </w:div>
    <w:div w:id="619654665">
      <w:bodyDiv w:val="1"/>
      <w:marLeft w:val="0"/>
      <w:marRight w:val="0"/>
      <w:marTop w:val="0"/>
      <w:marBottom w:val="0"/>
      <w:divBdr>
        <w:top w:val="none" w:sz="0" w:space="0" w:color="auto"/>
        <w:left w:val="none" w:sz="0" w:space="0" w:color="auto"/>
        <w:bottom w:val="none" w:sz="0" w:space="0" w:color="auto"/>
        <w:right w:val="none" w:sz="0" w:space="0" w:color="auto"/>
      </w:divBdr>
    </w:div>
    <w:div w:id="623196746">
      <w:bodyDiv w:val="1"/>
      <w:marLeft w:val="0"/>
      <w:marRight w:val="0"/>
      <w:marTop w:val="0"/>
      <w:marBottom w:val="0"/>
      <w:divBdr>
        <w:top w:val="none" w:sz="0" w:space="0" w:color="auto"/>
        <w:left w:val="none" w:sz="0" w:space="0" w:color="auto"/>
        <w:bottom w:val="none" w:sz="0" w:space="0" w:color="auto"/>
        <w:right w:val="none" w:sz="0" w:space="0" w:color="auto"/>
      </w:divBdr>
    </w:div>
    <w:div w:id="630357162">
      <w:bodyDiv w:val="1"/>
      <w:marLeft w:val="0"/>
      <w:marRight w:val="0"/>
      <w:marTop w:val="0"/>
      <w:marBottom w:val="0"/>
      <w:divBdr>
        <w:top w:val="none" w:sz="0" w:space="0" w:color="auto"/>
        <w:left w:val="none" w:sz="0" w:space="0" w:color="auto"/>
        <w:bottom w:val="none" w:sz="0" w:space="0" w:color="auto"/>
        <w:right w:val="none" w:sz="0" w:space="0" w:color="auto"/>
      </w:divBdr>
    </w:div>
    <w:div w:id="631450263">
      <w:bodyDiv w:val="1"/>
      <w:marLeft w:val="0"/>
      <w:marRight w:val="0"/>
      <w:marTop w:val="0"/>
      <w:marBottom w:val="0"/>
      <w:divBdr>
        <w:top w:val="none" w:sz="0" w:space="0" w:color="auto"/>
        <w:left w:val="none" w:sz="0" w:space="0" w:color="auto"/>
        <w:bottom w:val="none" w:sz="0" w:space="0" w:color="auto"/>
        <w:right w:val="none" w:sz="0" w:space="0" w:color="auto"/>
      </w:divBdr>
    </w:div>
    <w:div w:id="637958830">
      <w:bodyDiv w:val="1"/>
      <w:marLeft w:val="0"/>
      <w:marRight w:val="0"/>
      <w:marTop w:val="0"/>
      <w:marBottom w:val="0"/>
      <w:divBdr>
        <w:top w:val="none" w:sz="0" w:space="0" w:color="auto"/>
        <w:left w:val="none" w:sz="0" w:space="0" w:color="auto"/>
        <w:bottom w:val="none" w:sz="0" w:space="0" w:color="auto"/>
        <w:right w:val="none" w:sz="0" w:space="0" w:color="auto"/>
      </w:divBdr>
    </w:div>
    <w:div w:id="654263529">
      <w:bodyDiv w:val="1"/>
      <w:marLeft w:val="0"/>
      <w:marRight w:val="0"/>
      <w:marTop w:val="0"/>
      <w:marBottom w:val="0"/>
      <w:divBdr>
        <w:top w:val="none" w:sz="0" w:space="0" w:color="auto"/>
        <w:left w:val="none" w:sz="0" w:space="0" w:color="auto"/>
        <w:bottom w:val="none" w:sz="0" w:space="0" w:color="auto"/>
        <w:right w:val="none" w:sz="0" w:space="0" w:color="auto"/>
      </w:divBdr>
    </w:div>
    <w:div w:id="656225221">
      <w:bodyDiv w:val="1"/>
      <w:marLeft w:val="0"/>
      <w:marRight w:val="0"/>
      <w:marTop w:val="0"/>
      <w:marBottom w:val="0"/>
      <w:divBdr>
        <w:top w:val="none" w:sz="0" w:space="0" w:color="auto"/>
        <w:left w:val="none" w:sz="0" w:space="0" w:color="auto"/>
        <w:bottom w:val="none" w:sz="0" w:space="0" w:color="auto"/>
        <w:right w:val="none" w:sz="0" w:space="0" w:color="auto"/>
      </w:divBdr>
    </w:div>
    <w:div w:id="660080252">
      <w:bodyDiv w:val="1"/>
      <w:marLeft w:val="0"/>
      <w:marRight w:val="0"/>
      <w:marTop w:val="0"/>
      <w:marBottom w:val="0"/>
      <w:divBdr>
        <w:top w:val="none" w:sz="0" w:space="0" w:color="auto"/>
        <w:left w:val="none" w:sz="0" w:space="0" w:color="auto"/>
        <w:bottom w:val="none" w:sz="0" w:space="0" w:color="auto"/>
        <w:right w:val="none" w:sz="0" w:space="0" w:color="auto"/>
      </w:divBdr>
    </w:div>
    <w:div w:id="664821068">
      <w:bodyDiv w:val="1"/>
      <w:marLeft w:val="0"/>
      <w:marRight w:val="0"/>
      <w:marTop w:val="0"/>
      <w:marBottom w:val="0"/>
      <w:divBdr>
        <w:top w:val="none" w:sz="0" w:space="0" w:color="auto"/>
        <w:left w:val="none" w:sz="0" w:space="0" w:color="auto"/>
        <w:bottom w:val="none" w:sz="0" w:space="0" w:color="auto"/>
        <w:right w:val="none" w:sz="0" w:space="0" w:color="auto"/>
      </w:divBdr>
    </w:div>
    <w:div w:id="677773762">
      <w:bodyDiv w:val="1"/>
      <w:marLeft w:val="0"/>
      <w:marRight w:val="0"/>
      <w:marTop w:val="0"/>
      <w:marBottom w:val="0"/>
      <w:divBdr>
        <w:top w:val="none" w:sz="0" w:space="0" w:color="auto"/>
        <w:left w:val="none" w:sz="0" w:space="0" w:color="auto"/>
        <w:bottom w:val="none" w:sz="0" w:space="0" w:color="auto"/>
        <w:right w:val="none" w:sz="0" w:space="0" w:color="auto"/>
      </w:divBdr>
    </w:div>
    <w:div w:id="680275148">
      <w:bodyDiv w:val="1"/>
      <w:marLeft w:val="0"/>
      <w:marRight w:val="0"/>
      <w:marTop w:val="0"/>
      <w:marBottom w:val="0"/>
      <w:divBdr>
        <w:top w:val="none" w:sz="0" w:space="0" w:color="auto"/>
        <w:left w:val="none" w:sz="0" w:space="0" w:color="auto"/>
        <w:bottom w:val="none" w:sz="0" w:space="0" w:color="auto"/>
        <w:right w:val="none" w:sz="0" w:space="0" w:color="auto"/>
      </w:divBdr>
    </w:div>
    <w:div w:id="681206863">
      <w:bodyDiv w:val="1"/>
      <w:marLeft w:val="0"/>
      <w:marRight w:val="0"/>
      <w:marTop w:val="0"/>
      <w:marBottom w:val="0"/>
      <w:divBdr>
        <w:top w:val="none" w:sz="0" w:space="0" w:color="auto"/>
        <w:left w:val="none" w:sz="0" w:space="0" w:color="auto"/>
        <w:bottom w:val="none" w:sz="0" w:space="0" w:color="auto"/>
        <w:right w:val="none" w:sz="0" w:space="0" w:color="auto"/>
      </w:divBdr>
    </w:div>
    <w:div w:id="681250358">
      <w:bodyDiv w:val="1"/>
      <w:marLeft w:val="0"/>
      <w:marRight w:val="0"/>
      <w:marTop w:val="0"/>
      <w:marBottom w:val="0"/>
      <w:divBdr>
        <w:top w:val="none" w:sz="0" w:space="0" w:color="auto"/>
        <w:left w:val="none" w:sz="0" w:space="0" w:color="auto"/>
        <w:bottom w:val="none" w:sz="0" w:space="0" w:color="auto"/>
        <w:right w:val="none" w:sz="0" w:space="0" w:color="auto"/>
      </w:divBdr>
    </w:div>
    <w:div w:id="691879258">
      <w:bodyDiv w:val="1"/>
      <w:marLeft w:val="0"/>
      <w:marRight w:val="0"/>
      <w:marTop w:val="0"/>
      <w:marBottom w:val="0"/>
      <w:divBdr>
        <w:top w:val="none" w:sz="0" w:space="0" w:color="auto"/>
        <w:left w:val="none" w:sz="0" w:space="0" w:color="auto"/>
        <w:bottom w:val="none" w:sz="0" w:space="0" w:color="auto"/>
        <w:right w:val="none" w:sz="0" w:space="0" w:color="auto"/>
      </w:divBdr>
    </w:div>
    <w:div w:id="708728784">
      <w:bodyDiv w:val="1"/>
      <w:marLeft w:val="0"/>
      <w:marRight w:val="0"/>
      <w:marTop w:val="0"/>
      <w:marBottom w:val="0"/>
      <w:divBdr>
        <w:top w:val="none" w:sz="0" w:space="0" w:color="auto"/>
        <w:left w:val="none" w:sz="0" w:space="0" w:color="auto"/>
        <w:bottom w:val="none" w:sz="0" w:space="0" w:color="auto"/>
        <w:right w:val="none" w:sz="0" w:space="0" w:color="auto"/>
      </w:divBdr>
    </w:div>
    <w:div w:id="710156997">
      <w:bodyDiv w:val="1"/>
      <w:marLeft w:val="0"/>
      <w:marRight w:val="0"/>
      <w:marTop w:val="0"/>
      <w:marBottom w:val="0"/>
      <w:divBdr>
        <w:top w:val="none" w:sz="0" w:space="0" w:color="auto"/>
        <w:left w:val="none" w:sz="0" w:space="0" w:color="auto"/>
        <w:bottom w:val="none" w:sz="0" w:space="0" w:color="auto"/>
        <w:right w:val="none" w:sz="0" w:space="0" w:color="auto"/>
      </w:divBdr>
    </w:div>
    <w:div w:id="710417605">
      <w:bodyDiv w:val="1"/>
      <w:marLeft w:val="0"/>
      <w:marRight w:val="0"/>
      <w:marTop w:val="0"/>
      <w:marBottom w:val="0"/>
      <w:divBdr>
        <w:top w:val="none" w:sz="0" w:space="0" w:color="auto"/>
        <w:left w:val="none" w:sz="0" w:space="0" w:color="auto"/>
        <w:bottom w:val="none" w:sz="0" w:space="0" w:color="auto"/>
        <w:right w:val="none" w:sz="0" w:space="0" w:color="auto"/>
      </w:divBdr>
    </w:div>
    <w:div w:id="711423016">
      <w:bodyDiv w:val="1"/>
      <w:marLeft w:val="0"/>
      <w:marRight w:val="0"/>
      <w:marTop w:val="0"/>
      <w:marBottom w:val="0"/>
      <w:divBdr>
        <w:top w:val="none" w:sz="0" w:space="0" w:color="auto"/>
        <w:left w:val="none" w:sz="0" w:space="0" w:color="auto"/>
        <w:bottom w:val="none" w:sz="0" w:space="0" w:color="auto"/>
        <w:right w:val="none" w:sz="0" w:space="0" w:color="auto"/>
      </w:divBdr>
    </w:div>
    <w:div w:id="718363463">
      <w:bodyDiv w:val="1"/>
      <w:marLeft w:val="0"/>
      <w:marRight w:val="0"/>
      <w:marTop w:val="0"/>
      <w:marBottom w:val="0"/>
      <w:divBdr>
        <w:top w:val="none" w:sz="0" w:space="0" w:color="auto"/>
        <w:left w:val="none" w:sz="0" w:space="0" w:color="auto"/>
        <w:bottom w:val="none" w:sz="0" w:space="0" w:color="auto"/>
        <w:right w:val="none" w:sz="0" w:space="0" w:color="auto"/>
      </w:divBdr>
    </w:div>
    <w:div w:id="733040683">
      <w:bodyDiv w:val="1"/>
      <w:marLeft w:val="0"/>
      <w:marRight w:val="0"/>
      <w:marTop w:val="0"/>
      <w:marBottom w:val="0"/>
      <w:divBdr>
        <w:top w:val="none" w:sz="0" w:space="0" w:color="auto"/>
        <w:left w:val="none" w:sz="0" w:space="0" w:color="auto"/>
        <w:bottom w:val="none" w:sz="0" w:space="0" w:color="auto"/>
        <w:right w:val="none" w:sz="0" w:space="0" w:color="auto"/>
      </w:divBdr>
    </w:div>
    <w:div w:id="741030251">
      <w:bodyDiv w:val="1"/>
      <w:marLeft w:val="0"/>
      <w:marRight w:val="0"/>
      <w:marTop w:val="0"/>
      <w:marBottom w:val="0"/>
      <w:divBdr>
        <w:top w:val="none" w:sz="0" w:space="0" w:color="auto"/>
        <w:left w:val="none" w:sz="0" w:space="0" w:color="auto"/>
        <w:bottom w:val="none" w:sz="0" w:space="0" w:color="auto"/>
        <w:right w:val="none" w:sz="0" w:space="0" w:color="auto"/>
      </w:divBdr>
    </w:div>
    <w:div w:id="755253317">
      <w:bodyDiv w:val="1"/>
      <w:marLeft w:val="0"/>
      <w:marRight w:val="0"/>
      <w:marTop w:val="0"/>
      <w:marBottom w:val="0"/>
      <w:divBdr>
        <w:top w:val="none" w:sz="0" w:space="0" w:color="auto"/>
        <w:left w:val="none" w:sz="0" w:space="0" w:color="auto"/>
        <w:bottom w:val="none" w:sz="0" w:space="0" w:color="auto"/>
        <w:right w:val="none" w:sz="0" w:space="0" w:color="auto"/>
      </w:divBdr>
    </w:div>
    <w:div w:id="759136215">
      <w:bodyDiv w:val="1"/>
      <w:marLeft w:val="0"/>
      <w:marRight w:val="0"/>
      <w:marTop w:val="0"/>
      <w:marBottom w:val="0"/>
      <w:divBdr>
        <w:top w:val="none" w:sz="0" w:space="0" w:color="auto"/>
        <w:left w:val="none" w:sz="0" w:space="0" w:color="auto"/>
        <w:bottom w:val="none" w:sz="0" w:space="0" w:color="auto"/>
        <w:right w:val="none" w:sz="0" w:space="0" w:color="auto"/>
      </w:divBdr>
    </w:div>
    <w:div w:id="759788822">
      <w:bodyDiv w:val="1"/>
      <w:marLeft w:val="0"/>
      <w:marRight w:val="0"/>
      <w:marTop w:val="0"/>
      <w:marBottom w:val="0"/>
      <w:divBdr>
        <w:top w:val="none" w:sz="0" w:space="0" w:color="auto"/>
        <w:left w:val="none" w:sz="0" w:space="0" w:color="auto"/>
        <w:bottom w:val="none" w:sz="0" w:space="0" w:color="auto"/>
        <w:right w:val="none" w:sz="0" w:space="0" w:color="auto"/>
      </w:divBdr>
    </w:div>
    <w:div w:id="760219116">
      <w:bodyDiv w:val="1"/>
      <w:marLeft w:val="0"/>
      <w:marRight w:val="0"/>
      <w:marTop w:val="0"/>
      <w:marBottom w:val="0"/>
      <w:divBdr>
        <w:top w:val="none" w:sz="0" w:space="0" w:color="auto"/>
        <w:left w:val="none" w:sz="0" w:space="0" w:color="auto"/>
        <w:bottom w:val="none" w:sz="0" w:space="0" w:color="auto"/>
        <w:right w:val="none" w:sz="0" w:space="0" w:color="auto"/>
      </w:divBdr>
    </w:div>
    <w:div w:id="761806143">
      <w:bodyDiv w:val="1"/>
      <w:marLeft w:val="0"/>
      <w:marRight w:val="0"/>
      <w:marTop w:val="0"/>
      <w:marBottom w:val="0"/>
      <w:divBdr>
        <w:top w:val="none" w:sz="0" w:space="0" w:color="auto"/>
        <w:left w:val="none" w:sz="0" w:space="0" w:color="auto"/>
        <w:bottom w:val="none" w:sz="0" w:space="0" w:color="auto"/>
        <w:right w:val="none" w:sz="0" w:space="0" w:color="auto"/>
      </w:divBdr>
    </w:div>
    <w:div w:id="771121433">
      <w:bodyDiv w:val="1"/>
      <w:marLeft w:val="0"/>
      <w:marRight w:val="0"/>
      <w:marTop w:val="0"/>
      <w:marBottom w:val="0"/>
      <w:divBdr>
        <w:top w:val="none" w:sz="0" w:space="0" w:color="auto"/>
        <w:left w:val="none" w:sz="0" w:space="0" w:color="auto"/>
        <w:bottom w:val="none" w:sz="0" w:space="0" w:color="auto"/>
        <w:right w:val="none" w:sz="0" w:space="0" w:color="auto"/>
      </w:divBdr>
    </w:div>
    <w:div w:id="771439719">
      <w:bodyDiv w:val="1"/>
      <w:marLeft w:val="0"/>
      <w:marRight w:val="0"/>
      <w:marTop w:val="0"/>
      <w:marBottom w:val="0"/>
      <w:divBdr>
        <w:top w:val="none" w:sz="0" w:space="0" w:color="auto"/>
        <w:left w:val="none" w:sz="0" w:space="0" w:color="auto"/>
        <w:bottom w:val="none" w:sz="0" w:space="0" w:color="auto"/>
        <w:right w:val="none" w:sz="0" w:space="0" w:color="auto"/>
      </w:divBdr>
    </w:div>
    <w:div w:id="779879720">
      <w:bodyDiv w:val="1"/>
      <w:marLeft w:val="0"/>
      <w:marRight w:val="0"/>
      <w:marTop w:val="0"/>
      <w:marBottom w:val="0"/>
      <w:divBdr>
        <w:top w:val="none" w:sz="0" w:space="0" w:color="auto"/>
        <w:left w:val="none" w:sz="0" w:space="0" w:color="auto"/>
        <w:bottom w:val="none" w:sz="0" w:space="0" w:color="auto"/>
        <w:right w:val="none" w:sz="0" w:space="0" w:color="auto"/>
      </w:divBdr>
    </w:div>
    <w:div w:id="780225171">
      <w:bodyDiv w:val="1"/>
      <w:marLeft w:val="0"/>
      <w:marRight w:val="0"/>
      <w:marTop w:val="0"/>
      <w:marBottom w:val="0"/>
      <w:divBdr>
        <w:top w:val="none" w:sz="0" w:space="0" w:color="auto"/>
        <w:left w:val="none" w:sz="0" w:space="0" w:color="auto"/>
        <w:bottom w:val="none" w:sz="0" w:space="0" w:color="auto"/>
        <w:right w:val="none" w:sz="0" w:space="0" w:color="auto"/>
      </w:divBdr>
    </w:div>
    <w:div w:id="794955854">
      <w:bodyDiv w:val="1"/>
      <w:marLeft w:val="0"/>
      <w:marRight w:val="0"/>
      <w:marTop w:val="0"/>
      <w:marBottom w:val="0"/>
      <w:divBdr>
        <w:top w:val="none" w:sz="0" w:space="0" w:color="auto"/>
        <w:left w:val="none" w:sz="0" w:space="0" w:color="auto"/>
        <w:bottom w:val="none" w:sz="0" w:space="0" w:color="auto"/>
        <w:right w:val="none" w:sz="0" w:space="0" w:color="auto"/>
      </w:divBdr>
    </w:div>
    <w:div w:id="796801651">
      <w:bodyDiv w:val="1"/>
      <w:marLeft w:val="0"/>
      <w:marRight w:val="0"/>
      <w:marTop w:val="0"/>
      <w:marBottom w:val="0"/>
      <w:divBdr>
        <w:top w:val="none" w:sz="0" w:space="0" w:color="auto"/>
        <w:left w:val="none" w:sz="0" w:space="0" w:color="auto"/>
        <w:bottom w:val="none" w:sz="0" w:space="0" w:color="auto"/>
        <w:right w:val="none" w:sz="0" w:space="0" w:color="auto"/>
      </w:divBdr>
    </w:div>
    <w:div w:id="802769778">
      <w:bodyDiv w:val="1"/>
      <w:marLeft w:val="0"/>
      <w:marRight w:val="0"/>
      <w:marTop w:val="0"/>
      <w:marBottom w:val="0"/>
      <w:divBdr>
        <w:top w:val="none" w:sz="0" w:space="0" w:color="auto"/>
        <w:left w:val="none" w:sz="0" w:space="0" w:color="auto"/>
        <w:bottom w:val="none" w:sz="0" w:space="0" w:color="auto"/>
        <w:right w:val="none" w:sz="0" w:space="0" w:color="auto"/>
      </w:divBdr>
    </w:div>
    <w:div w:id="803615978">
      <w:bodyDiv w:val="1"/>
      <w:marLeft w:val="0"/>
      <w:marRight w:val="0"/>
      <w:marTop w:val="0"/>
      <w:marBottom w:val="0"/>
      <w:divBdr>
        <w:top w:val="none" w:sz="0" w:space="0" w:color="auto"/>
        <w:left w:val="none" w:sz="0" w:space="0" w:color="auto"/>
        <w:bottom w:val="none" w:sz="0" w:space="0" w:color="auto"/>
        <w:right w:val="none" w:sz="0" w:space="0" w:color="auto"/>
      </w:divBdr>
    </w:div>
    <w:div w:id="806700646">
      <w:bodyDiv w:val="1"/>
      <w:marLeft w:val="0"/>
      <w:marRight w:val="0"/>
      <w:marTop w:val="0"/>
      <w:marBottom w:val="0"/>
      <w:divBdr>
        <w:top w:val="none" w:sz="0" w:space="0" w:color="auto"/>
        <w:left w:val="none" w:sz="0" w:space="0" w:color="auto"/>
        <w:bottom w:val="none" w:sz="0" w:space="0" w:color="auto"/>
        <w:right w:val="none" w:sz="0" w:space="0" w:color="auto"/>
      </w:divBdr>
    </w:div>
    <w:div w:id="813331781">
      <w:bodyDiv w:val="1"/>
      <w:marLeft w:val="0"/>
      <w:marRight w:val="0"/>
      <w:marTop w:val="0"/>
      <w:marBottom w:val="0"/>
      <w:divBdr>
        <w:top w:val="none" w:sz="0" w:space="0" w:color="auto"/>
        <w:left w:val="none" w:sz="0" w:space="0" w:color="auto"/>
        <w:bottom w:val="none" w:sz="0" w:space="0" w:color="auto"/>
        <w:right w:val="none" w:sz="0" w:space="0" w:color="auto"/>
      </w:divBdr>
    </w:div>
    <w:div w:id="826242384">
      <w:bodyDiv w:val="1"/>
      <w:marLeft w:val="0"/>
      <w:marRight w:val="0"/>
      <w:marTop w:val="0"/>
      <w:marBottom w:val="0"/>
      <w:divBdr>
        <w:top w:val="none" w:sz="0" w:space="0" w:color="auto"/>
        <w:left w:val="none" w:sz="0" w:space="0" w:color="auto"/>
        <w:bottom w:val="none" w:sz="0" w:space="0" w:color="auto"/>
        <w:right w:val="none" w:sz="0" w:space="0" w:color="auto"/>
      </w:divBdr>
    </w:div>
    <w:div w:id="830097294">
      <w:bodyDiv w:val="1"/>
      <w:marLeft w:val="0"/>
      <w:marRight w:val="0"/>
      <w:marTop w:val="0"/>
      <w:marBottom w:val="0"/>
      <w:divBdr>
        <w:top w:val="none" w:sz="0" w:space="0" w:color="auto"/>
        <w:left w:val="none" w:sz="0" w:space="0" w:color="auto"/>
        <w:bottom w:val="none" w:sz="0" w:space="0" w:color="auto"/>
        <w:right w:val="none" w:sz="0" w:space="0" w:color="auto"/>
      </w:divBdr>
    </w:div>
    <w:div w:id="849950953">
      <w:bodyDiv w:val="1"/>
      <w:marLeft w:val="0"/>
      <w:marRight w:val="0"/>
      <w:marTop w:val="0"/>
      <w:marBottom w:val="0"/>
      <w:divBdr>
        <w:top w:val="none" w:sz="0" w:space="0" w:color="auto"/>
        <w:left w:val="none" w:sz="0" w:space="0" w:color="auto"/>
        <w:bottom w:val="none" w:sz="0" w:space="0" w:color="auto"/>
        <w:right w:val="none" w:sz="0" w:space="0" w:color="auto"/>
      </w:divBdr>
    </w:div>
    <w:div w:id="860514135">
      <w:bodyDiv w:val="1"/>
      <w:marLeft w:val="0"/>
      <w:marRight w:val="0"/>
      <w:marTop w:val="0"/>
      <w:marBottom w:val="0"/>
      <w:divBdr>
        <w:top w:val="none" w:sz="0" w:space="0" w:color="auto"/>
        <w:left w:val="none" w:sz="0" w:space="0" w:color="auto"/>
        <w:bottom w:val="none" w:sz="0" w:space="0" w:color="auto"/>
        <w:right w:val="none" w:sz="0" w:space="0" w:color="auto"/>
      </w:divBdr>
    </w:div>
    <w:div w:id="864173908">
      <w:bodyDiv w:val="1"/>
      <w:marLeft w:val="0"/>
      <w:marRight w:val="0"/>
      <w:marTop w:val="0"/>
      <w:marBottom w:val="0"/>
      <w:divBdr>
        <w:top w:val="none" w:sz="0" w:space="0" w:color="auto"/>
        <w:left w:val="none" w:sz="0" w:space="0" w:color="auto"/>
        <w:bottom w:val="none" w:sz="0" w:space="0" w:color="auto"/>
        <w:right w:val="none" w:sz="0" w:space="0" w:color="auto"/>
      </w:divBdr>
    </w:div>
    <w:div w:id="878858766">
      <w:bodyDiv w:val="1"/>
      <w:marLeft w:val="0"/>
      <w:marRight w:val="0"/>
      <w:marTop w:val="0"/>
      <w:marBottom w:val="0"/>
      <w:divBdr>
        <w:top w:val="none" w:sz="0" w:space="0" w:color="auto"/>
        <w:left w:val="none" w:sz="0" w:space="0" w:color="auto"/>
        <w:bottom w:val="none" w:sz="0" w:space="0" w:color="auto"/>
        <w:right w:val="none" w:sz="0" w:space="0" w:color="auto"/>
      </w:divBdr>
    </w:div>
    <w:div w:id="887378659">
      <w:bodyDiv w:val="1"/>
      <w:marLeft w:val="0"/>
      <w:marRight w:val="0"/>
      <w:marTop w:val="0"/>
      <w:marBottom w:val="0"/>
      <w:divBdr>
        <w:top w:val="none" w:sz="0" w:space="0" w:color="auto"/>
        <w:left w:val="none" w:sz="0" w:space="0" w:color="auto"/>
        <w:bottom w:val="none" w:sz="0" w:space="0" w:color="auto"/>
        <w:right w:val="none" w:sz="0" w:space="0" w:color="auto"/>
      </w:divBdr>
    </w:div>
    <w:div w:id="898588561">
      <w:bodyDiv w:val="1"/>
      <w:marLeft w:val="0"/>
      <w:marRight w:val="0"/>
      <w:marTop w:val="0"/>
      <w:marBottom w:val="0"/>
      <w:divBdr>
        <w:top w:val="none" w:sz="0" w:space="0" w:color="auto"/>
        <w:left w:val="none" w:sz="0" w:space="0" w:color="auto"/>
        <w:bottom w:val="none" w:sz="0" w:space="0" w:color="auto"/>
        <w:right w:val="none" w:sz="0" w:space="0" w:color="auto"/>
      </w:divBdr>
    </w:div>
    <w:div w:id="909508631">
      <w:bodyDiv w:val="1"/>
      <w:marLeft w:val="0"/>
      <w:marRight w:val="0"/>
      <w:marTop w:val="0"/>
      <w:marBottom w:val="0"/>
      <w:divBdr>
        <w:top w:val="none" w:sz="0" w:space="0" w:color="auto"/>
        <w:left w:val="none" w:sz="0" w:space="0" w:color="auto"/>
        <w:bottom w:val="none" w:sz="0" w:space="0" w:color="auto"/>
        <w:right w:val="none" w:sz="0" w:space="0" w:color="auto"/>
      </w:divBdr>
    </w:div>
    <w:div w:id="915822169">
      <w:bodyDiv w:val="1"/>
      <w:marLeft w:val="0"/>
      <w:marRight w:val="0"/>
      <w:marTop w:val="0"/>
      <w:marBottom w:val="0"/>
      <w:divBdr>
        <w:top w:val="none" w:sz="0" w:space="0" w:color="auto"/>
        <w:left w:val="none" w:sz="0" w:space="0" w:color="auto"/>
        <w:bottom w:val="none" w:sz="0" w:space="0" w:color="auto"/>
        <w:right w:val="none" w:sz="0" w:space="0" w:color="auto"/>
      </w:divBdr>
    </w:div>
    <w:div w:id="918251204">
      <w:bodyDiv w:val="1"/>
      <w:marLeft w:val="0"/>
      <w:marRight w:val="0"/>
      <w:marTop w:val="0"/>
      <w:marBottom w:val="0"/>
      <w:divBdr>
        <w:top w:val="none" w:sz="0" w:space="0" w:color="auto"/>
        <w:left w:val="none" w:sz="0" w:space="0" w:color="auto"/>
        <w:bottom w:val="none" w:sz="0" w:space="0" w:color="auto"/>
        <w:right w:val="none" w:sz="0" w:space="0" w:color="auto"/>
      </w:divBdr>
    </w:div>
    <w:div w:id="922878497">
      <w:bodyDiv w:val="1"/>
      <w:marLeft w:val="0"/>
      <w:marRight w:val="0"/>
      <w:marTop w:val="0"/>
      <w:marBottom w:val="0"/>
      <w:divBdr>
        <w:top w:val="none" w:sz="0" w:space="0" w:color="auto"/>
        <w:left w:val="none" w:sz="0" w:space="0" w:color="auto"/>
        <w:bottom w:val="none" w:sz="0" w:space="0" w:color="auto"/>
        <w:right w:val="none" w:sz="0" w:space="0" w:color="auto"/>
      </w:divBdr>
    </w:div>
    <w:div w:id="935675904">
      <w:bodyDiv w:val="1"/>
      <w:marLeft w:val="0"/>
      <w:marRight w:val="0"/>
      <w:marTop w:val="0"/>
      <w:marBottom w:val="0"/>
      <w:divBdr>
        <w:top w:val="none" w:sz="0" w:space="0" w:color="auto"/>
        <w:left w:val="none" w:sz="0" w:space="0" w:color="auto"/>
        <w:bottom w:val="none" w:sz="0" w:space="0" w:color="auto"/>
        <w:right w:val="none" w:sz="0" w:space="0" w:color="auto"/>
      </w:divBdr>
    </w:div>
    <w:div w:id="935752338">
      <w:bodyDiv w:val="1"/>
      <w:marLeft w:val="0"/>
      <w:marRight w:val="0"/>
      <w:marTop w:val="0"/>
      <w:marBottom w:val="0"/>
      <w:divBdr>
        <w:top w:val="none" w:sz="0" w:space="0" w:color="auto"/>
        <w:left w:val="none" w:sz="0" w:space="0" w:color="auto"/>
        <w:bottom w:val="none" w:sz="0" w:space="0" w:color="auto"/>
        <w:right w:val="none" w:sz="0" w:space="0" w:color="auto"/>
      </w:divBdr>
    </w:div>
    <w:div w:id="944046118">
      <w:bodyDiv w:val="1"/>
      <w:marLeft w:val="0"/>
      <w:marRight w:val="0"/>
      <w:marTop w:val="0"/>
      <w:marBottom w:val="0"/>
      <w:divBdr>
        <w:top w:val="none" w:sz="0" w:space="0" w:color="auto"/>
        <w:left w:val="none" w:sz="0" w:space="0" w:color="auto"/>
        <w:bottom w:val="none" w:sz="0" w:space="0" w:color="auto"/>
        <w:right w:val="none" w:sz="0" w:space="0" w:color="auto"/>
      </w:divBdr>
    </w:div>
    <w:div w:id="954214611">
      <w:bodyDiv w:val="1"/>
      <w:marLeft w:val="0"/>
      <w:marRight w:val="0"/>
      <w:marTop w:val="0"/>
      <w:marBottom w:val="0"/>
      <w:divBdr>
        <w:top w:val="none" w:sz="0" w:space="0" w:color="auto"/>
        <w:left w:val="none" w:sz="0" w:space="0" w:color="auto"/>
        <w:bottom w:val="none" w:sz="0" w:space="0" w:color="auto"/>
        <w:right w:val="none" w:sz="0" w:space="0" w:color="auto"/>
      </w:divBdr>
    </w:div>
    <w:div w:id="959921149">
      <w:bodyDiv w:val="1"/>
      <w:marLeft w:val="0"/>
      <w:marRight w:val="0"/>
      <w:marTop w:val="0"/>
      <w:marBottom w:val="0"/>
      <w:divBdr>
        <w:top w:val="none" w:sz="0" w:space="0" w:color="auto"/>
        <w:left w:val="none" w:sz="0" w:space="0" w:color="auto"/>
        <w:bottom w:val="none" w:sz="0" w:space="0" w:color="auto"/>
        <w:right w:val="none" w:sz="0" w:space="0" w:color="auto"/>
      </w:divBdr>
    </w:div>
    <w:div w:id="963543019">
      <w:bodyDiv w:val="1"/>
      <w:marLeft w:val="0"/>
      <w:marRight w:val="0"/>
      <w:marTop w:val="0"/>
      <w:marBottom w:val="0"/>
      <w:divBdr>
        <w:top w:val="none" w:sz="0" w:space="0" w:color="auto"/>
        <w:left w:val="none" w:sz="0" w:space="0" w:color="auto"/>
        <w:bottom w:val="none" w:sz="0" w:space="0" w:color="auto"/>
        <w:right w:val="none" w:sz="0" w:space="0" w:color="auto"/>
      </w:divBdr>
    </w:div>
    <w:div w:id="966541962">
      <w:bodyDiv w:val="1"/>
      <w:marLeft w:val="0"/>
      <w:marRight w:val="0"/>
      <w:marTop w:val="0"/>
      <w:marBottom w:val="0"/>
      <w:divBdr>
        <w:top w:val="none" w:sz="0" w:space="0" w:color="auto"/>
        <w:left w:val="none" w:sz="0" w:space="0" w:color="auto"/>
        <w:bottom w:val="none" w:sz="0" w:space="0" w:color="auto"/>
        <w:right w:val="none" w:sz="0" w:space="0" w:color="auto"/>
      </w:divBdr>
    </w:div>
    <w:div w:id="971397500">
      <w:bodyDiv w:val="1"/>
      <w:marLeft w:val="0"/>
      <w:marRight w:val="0"/>
      <w:marTop w:val="0"/>
      <w:marBottom w:val="0"/>
      <w:divBdr>
        <w:top w:val="none" w:sz="0" w:space="0" w:color="auto"/>
        <w:left w:val="none" w:sz="0" w:space="0" w:color="auto"/>
        <w:bottom w:val="none" w:sz="0" w:space="0" w:color="auto"/>
        <w:right w:val="none" w:sz="0" w:space="0" w:color="auto"/>
      </w:divBdr>
    </w:div>
    <w:div w:id="978731950">
      <w:bodyDiv w:val="1"/>
      <w:marLeft w:val="0"/>
      <w:marRight w:val="0"/>
      <w:marTop w:val="0"/>
      <w:marBottom w:val="0"/>
      <w:divBdr>
        <w:top w:val="none" w:sz="0" w:space="0" w:color="auto"/>
        <w:left w:val="none" w:sz="0" w:space="0" w:color="auto"/>
        <w:bottom w:val="none" w:sz="0" w:space="0" w:color="auto"/>
        <w:right w:val="none" w:sz="0" w:space="0" w:color="auto"/>
      </w:divBdr>
    </w:div>
    <w:div w:id="981471865">
      <w:bodyDiv w:val="1"/>
      <w:marLeft w:val="0"/>
      <w:marRight w:val="0"/>
      <w:marTop w:val="0"/>
      <w:marBottom w:val="0"/>
      <w:divBdr>
        <w:top w:val="none" w:sz="0" w:space="0" w:color="auto"/>
        <w:left w:val="none" w:sz="0" w:space="0" w:color="auto"/>
        <w:bottom w:val="none" w:sz="0" w:space="0" w:color="auto"/>
        <w:right w:val="none" w:sz="0" w:space="0" w:color="auto"/>
      </w:divBdr>
    </w:div>
    <w:div w:id="984047316">
      <w:bodyDiv w:val="1"/>
      <w:marLeft w:val="0"/>
      <w:marRight w:val="0"/>
      <w:marTop w:val="0"/>
      <w:marBottom w:val="0"/>
      <w:divBdr>
        <w:top w:val="none" w:sz="0" w:space="0" w:color="auto"/>
        <w:left w:val="none" w:sz="0" w:space="0" w:color="auto"/>
        <w:bottom w:val="none" w:sz="0" w:space="0" w:color="auto"/>
        <w:right w:val="none" w:sz="0" w:space="0" w:color="auto"/>
      </w:divBdr>
    </w:div>
    <w:div w:id="986974559">
      <w:bodyDiv w:val="1"/>
      <w:marLeft w:val="0"/>
      <w:marRight w:val="0"/>
      <w:marTop w:val="0"/>
      <w:marBottom w:val="0"/>
      <w:divBdr>
        <w:top w:val="none" w:sz="0" w:space="0" w:color="auto"/>
        <w:left w:val="none" w:sz="0" w:space="0" w:color="auto"/>
        <w:bottom w:val="none" w:sz="0" w:space="0" w:color="auto"/>
        <w:right w:val="none" w:sz="0" w:space="0" w:color="auto"/>
      </w:divBdr>
    </w:div>
    <w:div w:id="991450382">
      <w:bodyDiv w:val="1"/>
      <w:marLeft w:val="0"/>
      <w:marRight w:val="0"/>
      <w:marTop w:val="0"/>
      <w:marBottom w:val="0"/>
      <w:divBdr>
        <w:top w:val="none" w:sz="0" w:space="0" w:color="auto"/>
        <w:left w:val="none" w:sz="0" w:space="0" w:color="auto"/>
        <w:bottom w:val="none" w:sz="0" w:space="0" w:color="auto"/>
        <w:right w:val="none" w:sz="0" w:space="0" w:color="auto"/>
      </w:divBdr>
    </w:div>
    <w:div w:id="995112058">
      <w:bodyDiv w:val="1"/>
      <w:marLeft w:val="0"/>
      <w:marRight w:val="0"/>
      <w:marTop w:val="0"/>
      <w:marBottom w:val="0"/>
      <w:divBdr>
        <w:top w:val="none" w:sz="0" w:space="0" w:color="auto"/>
        <w:left w:val="none" w:sz="0" w:space="0" w:color="auto"/>
        <w:bottom w:val="none" w:sz="0" w:space="0" w:color="auto"/>
        <w:right w:val="none" w:sz="0" w:space="0" w:color="auto"/>
      </w:divBdr>
    </w:div>
    <w:div w:id="1002125978">
      <w:bodyDiv w:val="1"/>
      <w:marLeft w:val="0"/>
      <w:marRight w:val="0"/>
      <w:marTop w:val="0"/>
      <w:marBottom w:val="0"/>
      <w:divBdr>
        <w:top w:val="none" w:sz="0" w:space="0" w:color="auto"/>
        <w:left w:val="none" w:sz="0" w:space="0" w:color="auto"/>
        <w:bottom w:val="none" w:sz="0" w:space="0" w:color="auto"/>
        <w:right w:val="none" w:sz="0" w:space="0" w:color="auto"/>
      </w:divBdr>
    </w:div>
    <w:div w:id="1006905074">
      <w:bodyDiv w:val="1"/>
      <w:marLeft w:val="0"/>
      <w:marRight w:val="0"/>
      <w:marTop w:val="0"/>
      <w:marBottom w:val="0"/>
      <w:divBdr>
        <w:top w:val="none" w:sz="0" w:space="0" w:color="auto"/>
        <w:left w:val="none" w:sz="0" w:space="0" w:color="auto"/>
        <w:bottom w:val="none" w:sz="0" w:space="0" w:color="auto"/>
        <w:right w:val="none" w:sz="0" w:space="0" w:color="auto"/>
      </w:divBdr>
    </w:div>
    <w:div w:id="1012687700">
      <w:bodyDiv w:val="1"/>
      <w:marLeft w:val="0"/>
      <w:marRight w:val="0"/>
      <w:marTop w:val="0"/>
      <w:marBottom w:val="0"/>
      <w:divBdr>
        <w:top w:val="none" w:sz="0" w:space="0" w:color="auto"/>
        <w:left w:val="none" w:sz="0" w:space="0" w:color="auto"/>
        <w:bottom w:val="none" w:sz="0" w:space="0" w:color="auto"/>
        <w:right w:val="none" w:sz="0" w:space="0" w:color="auto"/>
      </w:divBdr>
    </w:div>
    <w:div w:id="1018698010">
      <w:bodyDiv w:val="1"/>
      <w:marLeft w:val="0"/>
      <w:marRight w:val="0"/>
      <w:marTop w:val="0"/>
      <w:marBottom w:val="0"/>
      <w:divBdr>
        <w:top w:val="none" w:sz="0" w:space="0" w:color="auto"/>
        <w:left w:val="none" w:sz="0" w:space="0" w:color="auto"/>
        <w:bottom w:val="none" w:sz="0" w:space="0" w:color="auto"/>
        <w:right w:val="none" w:sz="0" w:space="0" w:color="auto"/>
      </w:divBdr>
    </w:div>
    <w:div w:id="1026104431">
      <w:bodyDiv w:val="1"/>
      <w:marLeft w:val="0"/>
      <w:marRight w:val="0"/>
      <w:marTop w:val="0"/>
      <w:marBottom w:val="0"/>
      <w:divBdr>
        <w:top w:val="none" w:sz="0" w:space="0" w:color="auto"/>
        <w:left w:val="none" w:sz="0" w:space="0" w:color="auto"/>
        <w:bottom w:val="none" w:sz="0" w:space="0" w:color="auto"/>
        <w:right w:val="none" w:sz="0" w:space="0" w:color="auto"/>
      </w:divBdr>
    </w:div>
    <w:div w:id="1028874284">
      <w:bodyDiv w:val="1"/>
      <w:marLeft w:val="0"/>
      <w:marRight w:val="0"/>
      <w:marTop w:val="0"/>
      <w:marBottom w:val="0"/>
      <w:divBdr>
        <w:top w:val="none" w:sz="0" w:space="0" w:color="auto"/>
        <w:left w:val="none" w:sz="0" w:space="0" w:color="auto"/>
        <w:bottom w:val="none" w:sz="0" w:space="0" w:color="auto"/>
        <w:right w:val="none" w:sz="0" w:space="0" w:color="auto"/>
      </w:divBdr>
    </w:div>
    <w:div w:id="1045907392">
      <w:bodyDiv w:val="1"/>
      <w:marLeft w:val="0"/>
      <w:marRight w:val="0"/>
      <w:marTop w:val="0"/>
      <w:marBottom w:val="0"/>
      <w:divBdr>
        <w:top w:val="none" w:sz="0" w:space="0" w:color="auto"/>
        <w:left w:val="none" w:sz="0" w:space="0" w:color="auto"/>
        <w:bottom w:val="none" w:sz="0" w:space="0" w:color="auto"/>
        <w:right w:val="none" w:sz="0" w:space="0" w:color="auto"/>
      </w:divBdr>
    </w:div>
    <w:div w:id="1047492171">
      <w:bodyDiv w:val="1"/>
      <w:marLeft w:val="0"/>
      <w:marRight w:val="0"/>
      <w:marTop w:val="0"/>
      <w:marBottom w:val="0"/>
      <w:divBdr>
        <w:top w:val="none" w:sz="0" w:space="0" w:color="auto"/>
        <w:left w:val="none" w:sz="0" w:space="0" w:color="auto"/>
        <w:bottom w:val="none" w:sz="0" w:space="0" w:color="auto"/>
        <w:right w:val="none" w:sz="0" w:space="0" w:color="auto"/>
      </w:divBdr>
    </w:div>
    <w:div w:id="1048458388">
      <w:bodyDiv w:val="1"/>
      <w:marLeft w:val="0"/>
      <w:marRight w:val="0"/>
      <w:marTop w:val="0"/>
      <w:marBottom w:val="0"/>
      <w:divBdr>
        <w:top w:val="none" w:sz="0" w:space="0" w:color="auto"/>
        <w:left w:val="none" w:sz="0" w:space="0" w:color="auto"/>
        <w:bottom w:val="none" w:sz="0" w:space="0" w:color="auto"/>
        <w:right w:val="none" w:sz="0" w:space="0" w:color="auto"/>
      </w:divBdr>
    </w:div>
    <w:div w:id="1050611273">
      <w:bodyDiv w:val="1"/>
      <w:marLeft w:val="0"/>
      <w:marRight w:val="0"/>
      <w:marTop w:val="0"/>
      <w:marBottom w:val="0"/>
      <w:divBdr>
        <w:top w:val="none" w:sz="0" w:space="0" w:color="auto"/>
        <w:left w:val="none" w:sz="0" w:space="0" w:color="auto"/>
        <w:bottom w:val="none" w:sz="0" w:space="0" w:color="auto"/>
        <w:right w:val="none" w:sz="0" w:space="0" w:color="auto"/>
      </w:divBdr>
    </w:div>
    <w:div w:id="1057318039">
      <w:bodyDiv w:val="1"/>
      <w:marLeft w:val="0"/>
      <w:marRight w:val="0"/>
      <w:marTop w:val="0"/>
      <w:marBottom w:val="0"/>
      <w:divBdr>
        <w:top w:val="none" w:sz="0" w:space="0" w:color="auto"/>
        <w:left w:val="none" w:sz="0" w:space="0" w:color="auto"/>
        <w:bottom w:val="none" w:sz="0" w:space="0" w:color="auto"/>
        <w:right w:val="none" w:sz="0" w:space="0" w:color="auto"/>
      </w:divBdr>
    </w:div>
    <w:div w:id="1063600889">
      <w:bodyDiv w:val="1"/>
      <w:marLeft w:val="0"/>
      <w:marRight w:val="0"/>
      <w:marTop w:val="0"/>
      <w:marBottom w:val="0"/>
      <w:divBdr>
        <w:top w:val="none" w:sz="0" w:space="0" w:color="auto"/>
        <w:left w:val="none" w:sz="0" w:space="0" w:color="auto"/>
        <w:bottom w:val="none" w:sz="0" w:space="0" w:color="auto"/>
        <w:right w:val="none" w:sz="0" w:space="0" w:color="auto"/>
      </w:divBdr>
    </w:div>
    <w:div w:id="1069767072">
      <w:bodyDiv w:val="1"/>
      <w:marLeft w:val="0"/>
      <w:marRight w:val="0"/>
      <w:marTop w:val="0"/>
      <w:marBottom w:val="0"/>
      <w:divBdr>
        <w:top w:val="none" w:sz="0" w:space="0" w:color="auto"/>
        <w:left w:val="none" w:sz="0" w:space="0" w:color="auto"/>
        <w:bottom w:val="none" w:sz="0" w:space="0" w:color="auto"/>
        <w:right w:val="none" w:sz="0" w:space="0" w:color="auto"/>
      </w:divBdr>
    </w:div>
    <w:div w:id="1073086647">
      <w:bodyDiv w:val="1"/>
      <w:marLeft w:val="0"/>
      <w:marRight w:val="0"/>
      <w:marTop w:val="0"/>
      <w:marBottom w:val="0"/>
      <w:divBdr>
        <w:top w:val="none" w:sz="0" w:space="0" w:color="auto"/>
        <w:left w:val="none" w:sz="0" w:space="0" w:color="auto"/>
        <w:bottom w:val="none" w:sz="0" w:space="0" w:color="auto"/>
        <w:right w:val="none" w:sz="0" w:space="0" w:color="auto"/>
      </w:divBdr>
    </w:div>
    <w:div w:id="1087387158">
      <w:bodyDiv w:val="1"/>
      <w:marLeft w:val="0"/>
      <w:marRight w:val="0"/>
      <w:marTop w:val="0"/>
      <w:marBottom w:val="0"/>
      <w:divBdr>
        <w:top w:val="none" w:sz="0" w:space="0" w:color="auto"/>
        <w:left w:val="none" w:sz="0" w:space="0" w:color="auto"/>
        <w:bottom w:val="none" w:sz="0" w:space="0" w:color="auto"/>
        <w:right w:val="none" w:sz="0" w:space="0" w:color="auto"/>
      </w:divBdr>
    </w:div>
    <w:div w:id="1092624567">
      <w:bodyDiv w:val="1"/>
      <w:marLeft w:val="0"/>
      <w:marRight w:val="0"/>
      <w:marTop w:val="0"/>
      <w:marBottom w:val="0"/>
      <w:divBdr>
        <w:top w:val="none" w:sz="0" w:space="0" w:color="auto"/>
        <w:left w:val="none" w:sz="0" w:space="0" w:color="auto"/>
        <w:bottom w:val="none" w:sz="0" w:space="0" w:color="auto"/>
        <w:right w:val="none" w:sz="0" w:space="0" w:color="auto"/>
      </w:divBdr>
    </w:div>
    <w:div w:id="1093550790">
      <w:bodyDiv w:val="1"/>
      <w:marLeft w:val="0"/>
      <w:marRight w:val="0"/>
      <w:marTop w:val="0"/>
      <w:marBottom w:val="0"/>
      <w:divBdr>
        <w:top w:val="none" w:sz="0" w:space="0" w:color="auto"/>
        <w:left w:val="none" w:sz="0" w:space="0" w:color="auto"/>
        <w:bottom w:val="none" w:sz="0" w:space="0" w:color="auto"/>
        <w:right w:val="none" w:sz="0" w:space="0" w:color="auto"/>
      </w:divBdr>
    </w:div>
    <w:div w:id="1096905438">
      <w:bodyDiv w:val="1"/>
      <w:marLeft w:val="0"/>
      <w:marRight w:val="0"/>
      <w:marTop w:val="0"/>
      <w:marBottom w:val="0"/>
      <w:divBdr>
        <w:top w:val="none" w:sz="0" w:space="0" w:color="auto"/>
        <w:left w:val="none" w:sz="0" w:space="0" w:color="auto"/>
        <w:bottom w:val="none" w:sz="0" w:space="0" w:color="auto"/>
        <w:right w:val="none" w:sz="0" w:space="0" w:color="auto"/>
      </w:divBdr>
    </w:div>
    <w:div w:id="1098794282">
      <w:bodyDiv w:val="1"/>
      <w:marLeft w:val="0"/>
      <w:marRight w:val="0"/>
      <w:marTop w:val="0"/>
      <w:marBottom w:val="0"/>
      <w:divBdr>
        <w:top w:val="none" w:sz="0" w:space="0" w:color="auto"/>
        <w:left w:val="none" w:sz="0" w:space="0" w:color="auto"/>
        <w:bottom w:val="none" w:sz="0" w:space="0" w:color="auto"/>
        <w:right w:val="none" w:sz="0" w:space="0" w:color="auto"/>
      </w:divBdr>
    </w:div>
    <w:div w:id="1099913525">
      <w:bodyDiv w:val="1"/>
      <w:marLeft w:val="0"/>
      <w:marRight w:val="0"/>
      <w:marTop w:val="0"/>
      <w:marBottom w:val="0"/>
      <w:divBdr>
        <w:top w:val="none" w:sz="0" w:space="0" w:color="auto"/>
        <w:left w:val="none" w:sz="0" w:space="0" w:color="auto"/>
        <w:bottom w:val="none" w:sz="0" w:space="0" w:color="auto"/>
        <w:right w:val="none" w:sz="0" w:space="0" w:color="auto"/>
      </w:divBdr>
    </w:div>
    <w:div w:id="1117793690">
      <w:bodyDiv w:val="1"/>
      <w:marLeft w:val="0"/>
      <w:marRight w:val="0"/>
      <w:marTop w:val="0"/>
      <w:marBottom w:val="0"/>
      <w:divBdr>
        <w:top w:val="none" w:sz="0" w:space="0" w:color="auto"/>
        <w:left w:val="none" w:sz="0" w:space="0" w:color="auto"/>
        <w:bottom w:val="none" w:sz="0" w:space="0" w:color="auto"/>
        <w:right w:val="none" w:sz="0" w:space="0" w:color="auto"/>
      </w:divBdr>
    </w:div>
    <w:div w:id="1123814976">
      <w:bodyDiv w:val="1"/>
      <w:marLeft w:val="0"/>
      <w:marRight w:val="0"/>
      <w:marTop w:val="0"/>
      <w:marBottom w:val="0"/>
      <w:divBdr>
        <w:top w:val="none" w:sz="0" w:space="0" w:color="auto"/>
        <w:left w:val="none" w:sz="0" w:space="0" w:color="auto"/>
        <w:bottom w:val="none" w:sz="0" w:space="0" w:color="auto"/>
        <w:right w:val="none" w:sz="0" w:space="0" w:color="auto"/>
      </w:divBdr>
    </w:div>
    <w:div w:id="1125385997">
      <w:bodyDiv w:val="1"/>
      <w:marLeft w:val="0"/>
      <w:marRight w:val="0"/>
      <w:marTop w:val="0"/>
      <w:marBottom w:val="0"/>
      <w:divBdr>
        <w:top w:val="none" w:sz="0" w:space="0" w:color="auto"/>
        <w:left w:val="none" w:sz="0" w:space="0" w:color="auto"/>
        <w:bottom w:val="none" w:sz="0" w:space="0" w:color="auto"/>
        <w:right w:val="none" w:sz="0" w:space="0" w:color="auto"/>
      </w:divBdr>
    </w:div>
    <w:div w:id="1129937984">
      <w:bodyDiv w:val="1"/>
      <w:marLeft w:val="0"/>
      <w:marRight w:val="0"/>
      <w:marTop w:val="0"/>
      <w:marBottom w:val="0"/>
      <w:divBdr>
        <w:top w:val="none" w:sz="0" w:space="0" w:color="auto"/>
        <w:left w:val="none" w:sz="0" w:space="0" w:color="auto"/>
        <w:bottom w:val="none" w:sz="0" w:space="0" w:color="auto"/>
        <w:right w:val="none" w:sz="0" w:space="0" w:color="auto"/>
      </w:divBdr>
    </w:div>
    <w:div w:id="1133909727">
      <w:bodyDiv w:val="1"/>
      <w:marLeft w:val="0"/>
      <w:marRight w:val="0"/>
      <w:marTop w:val="0"/>
      <w:marBottom w:val="0"/>
      <w:divBdr>
        <w:top w:val="none" w:sz="0" w:space="0" w:color="auto"/>
        <w:left w:val="none" w:sz="0" w:space="0" w:color="auto"/>
        <w:bottom w:val="none" w:sz="0" w:space="0" w:color="auto"/>
        <w:right w:val="none" w:sz="0" w:space="0" w:color="auto"/>
      </w:divBdr>
    </w:div>
    <w:div w:id="1137796741">
      <w:bodyDiv w:val="1"/>
      <w:marLeft w:val="0"/>
      <w:marRight w:val="0"/>
      <w:marTop w:val="0"/>
      <w:marBottom w:val="0"/>
      <w:divBdr>
        <w:top w:val="none" w:sz="0" w:space="0" w:color="auto"/>
        <w:left w:val="none" w:sz="0" w:space="0" w:color="auto"/>
        <w:bottom w:val="none" w:sz="0" w:space="0" w:color="auto"/>
        <w:right w:val="none" w:sz="0" w:space="0" w:color="auto"/>
      </w:divBdr>
    </w:div>
    <w:div w:id="1141531630">
      <w:bodyDiv w:val="1"/>
      <w:marLeft w:val="0"/>
      <w:marRight w:val="0"/>
      <w:marTop w:val="0"/>
      <w:marBottom w:val="0"/>
      <w:divBdr>
        <w:top w:val="none" w:sz="0" w:space="0" w:color="auto"/>
        <w:left w:val="none" w:sz="0" w:space="0" w:color="auto"/>
        <w:bottom w:val="none" w:sz="0" w:space="0" w:color="auto"/>
        <w:right w:val="none" w:sz="0" w:space="0" w:color="auto"/>
      </w:divBdr>
    </w:div>
    <w:div w:id="1141920641">
      <w:bodyDiv w:val="1"/>
      <w:marLeft w:val="0"/>
      <w:marRight w:val="0"/>
      <w:marTop w:val="0"/>
      <w:marBottom w:val="0"/>
      <w:divBdr>
        <w:top w:val="none" w:sz="0" w:space="0" w:color="auto"/>
        <w:left w:val="none" w:sz="0" w:space="0" w:color="auto"/>
        <w:bottom w:val="none" w:sz="0" w:space="0" w:color="auto"/>
        <w:right w:val="none" w:sz="0" w:space="0" w:color="auto"/>
      </w:divBdr>
    </w:div>
    <w:div w:id="1172716750">
      <w:bodyDiv w:val="1"/>
      <w:marLeft w:val="0"/>
      <w:marRight w:val="0"/>
      <w:marTop w:val="0"/>
      <w:marBottom w:val="0"/>
      <w:divBdr>
        <w:top w:val="none" w:sz="0" w:space="0" w:color="auto"/>
        <w:left w:val="none" w:sz="0" w:space="0" w:color="auto"/>
        <w:bottom w:val="none" w:sz="0" w:space="0" w:color="auto"/>
        <w:right w:val="none" w:sz="0" w:space="0" w:color="auto"/>
      </w:divBdr>
    </w:div>
    <w:div w:id="1174031514">
      <w:bodyDiv w:val="1"/>
      <w:marLeft w:val="0"/>
      <w:marRight w:val="0"/>
      <w:marTop w:val="0"/>
      <w:marBottom w:val="0"/>
      <w:divBdr>
        <w:top w:val="none" w:sz="0" w:space="0" w:color="auto"/>
        <w:left w:val="none" w:sz="0" w:space="0" w:color="auto"/>
        <w:bottom w:val="none" w:sz="0" w:space="0" w:color="auto"/>
        <w:right w:val="none" w:sz="0" w:space="0" w:color="auto"/>
      </w:divBdr>
    </w:div>
    <w:div w:id="1182401150">
      <w:bodyDiv w:val="1"/>
      <w:marLeft w:val="0"/>
      <w:marRight w:val="0"/>
      <w:marTop w:val="0"/>
      <w:marBottom w:val="0"/>
      <w:divBdr>
        <w:top w:val="none" w:sz="0" w:space="0" w:color="auto"/>
        <w:left w:val="none" w:sz="0" w:space="0" w:color="auto"/>
        <w:bottom w:val="none" w:sz="0" w:space="0" w:color="auto"/>
        <w:right w:val="none" w:sz="0" w:space="0" w:color="auto"/>
      </w:divBdr>
    </w:div>
    <w:div w:id="1199926609">
      <w:bodyDiv w:val="1"/>
      <w:marLeft w:val="0"/>
      <w:marRight w:val="0"/>
      <w:marTop w:val="0"/>
      <w:marBottom w:val="0"/>
      <w:divBdr>
        <w:top w:val="none" w:sz="0" w:space="0" w:color="auto"/>
        <w:left w:val="none" w:sz="0" w:space="0" w:color="auto"/>
        <w:bottom w:val="none" w:sz="0" w:space="0" w:color="auto"/>
        <w:right w:val="none" w:sz="0" w:space="0" w:color="auto"/>
      </w:divBdr>
    </w:div>
    <w:div w:id="1207983941">
      <w:bodyDiv w:val="1"/>
      <w:marLeft w:val="0"/>
      <w:marRight w:val="0"/>
      <w:marTop w:val="0"/>
      <w:marBottom w:val="0"/>
      <w:divBdr>
        <w:top w:val="none" w:sz="0" w:space="0" w:color="auto"/>
        <w:left w:val="none" w:sz="0" w:space="0" w:color="auto"/>
        <w:bottom w:val="none" w:sz="0" w:space="0" w:color="auto"/>
        <w:right w:val="none" w:sz="0" w:space="0" w:color="auto"/>
      </w:divBdr>
    </w:div>
    <w:div w:id="1208302007">
      <w:bodyDiv w:val="1"/>
      <w:marLeft w:val="0"/>
      <w:marRight w:val="0"/>
      <w:marTop w:val="0"/>
      <w:marBottom w:val="0"/>
      <w:divBdr>
        <w:top w:val="none" w:sz="0" w:space="0" w:color="auto"/>
        <w:left w:val="none" w:sz="0" w:space="0" w:color="auto"/>
        <w:bottom w:val="none" w:sz="0" w:space="0" w:color="auto"/>
        <w:right w:val="none" w:sz="0" w:space="0" w:color="auto"/>
      </w:divBdr>
    </w:div>
    <w:div w:id="1209800296">
      <w:bodyDiv w:val="1"/>
      <w:marLeft w:val="0"/>
      <w:marRight w:val="0"/>
      <w:marTop w:val="0"/>
      <w:marBottom w:val="0"/>
      <w:divBdr>
        <w:top w:val="none" w:sz="0" w:space="0" w:color="auto"/>
        <w:left w:val="none" w:sz="0" w:space="0" w:color="auto"/>
        <w:bottom w:val="none" w:sz="0" w:space="0" w:color="auto"/>
        <w:right w:val="none" w:sz="0" w:space="0" w:color="auto"/>
      </w:divBdr>
    </w:div>
    <w:div w:id="1211384677">
      <w:bodyDiv w:val="1"/>
      <w:marLeft w:val="0"/>
      <w:marRight w:val="0"/>
      <w:marTop w:val="0"/>
      <w:marBottom w:val="0"/>
      <w:divBdr>
        <w:top w:val="none" w:sz="0" w:space="0" w:color="auto"/>
        <w:left w:val="none" w:sz="0" w:space="0" w:color="auto"/>
        <w:bottom w:val="none" w:sz="0" w:space="0" w:color="auto"/>
        <w:right w:val="none" w:sz="0" w:space="0" w:color="auto"/>
      </w:divBdr>
    </w:div>
    <w:div w:id="1211453574">
      <w:bodyDiv w:val="1"/>
      <w:marLeft w:val="0"/>
      <w:marRight w:val="0"/>
      <w:marTop w:val="0"/>
      <w:marBottom w:val="0"/>
      <w:divBdr>
        <w:top w:val="none" w:sz="0" w:space="0" w:color="auto"/>
        <w:left w:val="none" w:sz="0" w:space="0" w:color="auto"/>
        <w:bottom w:val="none" w:sz="0" w:space="0" w:color="auto"/>
        <w:right w:val="none" w:sz="0" w:space="0" w:color="auto"/>
      </w:divBdr>
    </w:div>
    <w:div w:id="1220743780">
      <w:bodyDiv w:val="1"/>
      <w:marLeft w:val="0"/>
      <w:marRight w:val="0"/>
      <w:marTop w:val="0"/>
      <w:marBottom w:val="0"/>
      <w:divBdr>
        <w:top w:val="none" w:sz="0" w:space="0" w:color="auto"/>
        <w:left w:val="none" w:sz="0" w:space="0" w:color="auto"/>
        <w:bottom w:val="none" w:sz="0" w:space="0" w:color="auto"/>
        <w:right w:val="none" w:sz="0" w:space="0" w:color="auto"/>
      </w:divBdr>
    </w:div>
    <w:div w:id="1225140352">
      <w:bodyDiv w:val="1"/>
      <w:marLeft w:val="0"/>
      <w:marRight w:val="0"/>
      <w:marTop w:val="0"/>
      <w:marBottom w:val="0"/>
      <w:divBdr>
        <w:top w:val="none" w:sz="0" w:space="0" w:color="auto"/>
        <w:left w:val="none" w:sz="0" w:space="0" w:color="auto"/>
        <w:bottom w:val="none" w:sz="0" w:space="0" w:color="auto"/>
        <w:right w:val="none" w:sz="0" w:space="0" w:color="auto"/>
      </w:divBdr>
    </w:div>
    <w:div w:id="1227031862">
      <w:bodyDiv w:val="1"/>
      <w:marLeft w:val="0"/>
      <w:marRight w:val="0"/>
      <w:marTop w:val="0"/>
      <w:marBottom w:val="0"/>
      <w:divBdr>
        <w:top w:val="none" w:sz="0" w:space="0" w:color="auto"/>
        <w:left w:val="none" w:sz="0" w:space="0" w:color="auto"/>
        <w:bottom w:val="none" w:sz="0" w:space="0" w:color="auto"/>
        <w:right w:val="none" w:sz="0" w:space="0" w:color="auto"/>
      </w:divBdr>
    </w:div>
    <w:div w:id="1229851212">
      <w:bodyDiv w:val="1"/>
      <w:marLeft w:val="0"/>
      <w:marRight w:val="0"/>
      <w:marTop w:val="0"/>
      <w:marBottom w:val="0"/>
      <w:divBdr>
        <w:top w:val="none" w:sz="0" w:space="0" w:color="auto"/>
        <w:left w:val="none" w:sz="0" w:space="0" w:color="auto"/>
        <w:bottom w:val="none" w:sz="0" w:space="0" w:color="auto"/>
        <w:right w:val="none" w:sz="0" w:space="0" w:color="auto"/>
      </w:divBdr>
    </w:div>
    <w:div w:id="1236936423">
      <w:bodyDiv w:val="1"/>
      <w:marLeft w:val="0"/>
      <w:marRight w:val="0"/>
      <w:marTop w:val="0"/>
      <w:marBottom w:val="0"/>
      <w:divBdr>
        <w:top w:val="none" w:sz="0" w:space="0" w:color="auto"/>
        <w:left w:val="none" w:sz="0" w:space="0" w:color="auto"/>
        <w:bottom w:val="none" w:sz="0" w:space="0" w:color="auto"/>
        <w:right w:val="none" w:sz="0" w:space="0" w:color="auto"/>
      </w:divBdr>
    </w:div>
    <w:div w:id="1241135829">
      <w:bodyDiv w:val="1"/>
      <w:marLeft w:val="0"/>
      <w:marRight w:val="0"/>
      <w:marTop w:val="0"/>
      <w:marBottom w:val="0"/>
      <w:divBdr>
        <w:top w:val="none" w:sz="0" w:space="0" w:color="auto"/>
        <w:left w:val="none" w:sz="0" w:space="0" w:color="auto"/>
        <w:bottom w:val="none" w:sz="0" w:space="0" w:color="auto"/>
        <w:right w:val="none" w:sz="0" w:space="0" w:color="auto"/>
      </w:divBdr>
    </w:div>
    <w:div w:id="1252927344">
      <w:bodyDiv w:val="1"/>
      <w:marLeft w:val="0"/>
      <w:marRight w:val="0"/>
      <w:marTop w:val="0"/>
      <w:marBottom w:val="0"/>
      <w:divBdr>
        <w:top w:val="none" w:sz="0" w:space="0" w:color="auto"/>
        <w:left w:val="none" w:sz="0" w:space="0" w:color="auto"/>
        <w:bottom w:val="none" w:sz="0" w:space="0" w:color="auto"/>
        <w:right w:val="none" w:sz="0" w:space="0" w:color="auto"/>
      </w:divBdr>
    </w:div>
    <w:div w:id="1253195914">
      <w:bodyDiv w:val="1"/>
      <w:marLeft w:val="0"/>
      <w:marRight w:val="0"/>
      <w:marTop w:val="0"/>
      <w:marBottom w:val="0"/>
      <w:divBdr>
        <w:top w:val="none" w:sz="0" w:space="0" w:color="auto"/>
        <w:left w:val="none" w:sz="0" w:space="0" w:color="auto"/>
        <w:bottom w:val="none" w:sz="0" w:space="0" w:color="auto"/>
        <w:right w:val="none" w:sz="0" w:space="0" w:color="auto"/>
      </w:divBdr>
    </w:div>
    <w:div w:id="1260606463">
      <w:bodyDiv w:val="1"/>
      <w:marLeft w:val="0"/>
      <w:marRight w:val="0"/>
      <w:marTop w:val="0"/>
      <w:marBottom w:val="0"/>
      <w:divBdr>
        <w:top w:val="none" w:sz="0" w:space="0" w:color="auto"/>
        <w:left w:val="none" w:sz="0" w:space="0" w:color="auto"/>
        <w:bottom w:val="none" w:sz="0" w:space="0" w:color="auto"/>
        <w:right w:val="none" w:sz="0" w:space="0" w:color="auto"/>
      </w:divBdr>
    </w:div>
    <w:div w:id="1274482835">
      <w:bodyDiv w:val="1"/>
      <w:marLeft w:val="0"/>
      <w:marRight w:val="0"/>
      <w:marTop w:val="0"/>
      <w:marBottom w:val="0"/>
      <w:divBdr>
        <w:top w:val="none" w:sz="0" w:space="0" w:color="auto"/>
        <w:left w:val="none" w:sz="0" w:space="0" w:color="auto"/>
        <w:bottom w:val="none" w:sz="0" w:space="0" w:color="auto"/>
        <w:right w:val="none" w:sz="0" w:space="0" w:color="auto"/>
      </w:divBdr>
    </w:div>
    <w:div w:id="1275594668">
      <w:bodyDiv w:val="1"/>
      <w:marLeft w:val="0"/>
      <w:marRight w:val="0"/>
      <w:marTop w:val="0"/>
      <w:marBottom w:val="0"/>
      <w:divBdr>
        <w:top w:val="none" w:sz="0" w:space="0" w:color="auto"/>
        <w:left w:val="none" w:sz="0" w:space="0" w:color="auto"/>
        <w:bottom w:val="none" w:sz="0" w:space="0" w:color="auto"/>
        <w:right w:val="none" w:sz="0" w:space="0" w:color="auto"/>
      </w:divBdr>
    </w:div>
    <w:div w:id="1293637053">
      <w:bodyDiv w:val="1"/>
      <w:marLeft w:val="0"/>
      <w:marRight w:val="0"/>
      <w:marTop w:val="0"/>
      <w:marBottom w:val="0"/>
      <w:divBdr>
        <w:top w:val="none" w:sz="0" w:space="0" w:color="auto"/>
        <w:left w:val="none" w:sz="0" w:space="0" w:color="auto"/>
        <w:bottom w:val="none" w:sz="0" w:space="0" w:color="auto"/>
        <w:right w:val="none" w:sz="0" w:space="0" w:color="auto"/>
      </w:divBdr>
    </w:div>
    <w:div w:id="1294944748">
      <w:bodyDiv w:val="1"/>
      <w:marLeft w:val="0"/>
      <w:marRight w:val="0"/>
      <w:marTop w:val="0"/>
      <w:marBottom w:val="0"/>
      <w:divBdr>
        <w:top w:val="none" w:sz="0" w:space="0" w:color="auto"/>
        <w:left w:val="none" w:sz="0" w:space="0" w:color="auto"/>
        <w:bottom w:val="none" w:sz="0" w:space="0" w:color="auto"/>
        <w:right w:val="none" w:sz="0" w:space="0" w:color="auto"/>
      </w:divBdr>
    </w:div>
    <w:div w:id="1320386159">
      <w:bodyDiv w:val="1"/>
      <w:marLeft w:val="0"/>
      <w:marRight w:val="0"/>
      <w:marTop w:val="0"/>
      <w:marBottom w:val="0"/>
      <w:divBdr>
        <w:top w:val="none" w:sz="0" w:space="0" w:color="auto"/>
        <w:left w:val="none" w:sz="0" w:space="0" w:color="auto"/>
        <w:bottom w:val="none" w:sz="0" w:space="0" w:color="auto"/>
        <w:right w:val="none" w:sz="0" w:space="0" w:color="auto"/>
      </w:divBdr>
    </w:div>
    <w:div w:id="1323581389">
      <w:bodyDiv w:val="1"/>
      <w:marLeft w:val="0"/>
      <w:marRight w:val="0"/>
      <w:marTop w:val="0"/>
      <w:marBottom w:val="0"/>
      <w:divBdr>
        <w:top w:val="none" w:sz="0" w:space="0" w:color="auto"/>
        <w:left w:val="none" w:sz="0" w:space="0" w:color="auto"/>
        <w:bottom w:val="none" w:sz="0" w:space="0" w:color="auto"/>
        <w:right w:val="none" w:sz="0" w:space="0" w:color="auto"/>
      </w:divBdr>
    </w:div>
    <w:div w:id="1324120790">
      <w:bodyDiv w:val="1"/>
      <w:marLeft w:val="0"/>
      <w:marRight w:val="0"/>
      <w:marTop w:val="0"/>
      <w:marBottom w:val="0"/>
      <w:divBdr>
        <w:top w:val="none" w:sz="0" w:space="0" w:color="auto"/>
        <w:left w:val="none" w:sz="0" w:space="0" w:color="auto"/>
        <w:bottom w:val="none" w:sz="0" w:space="0" w:color="auto"/>
        <w:right w:val="none" w:sz="0" w:space="0" w:color="auto"/>
      </w:divBdr>
    </w:div>
    <w:div w:id="1325013547">
      <w:bodyDiv w:val="1"/>
      <w:marLeft w:val="0"/>
      <w:marRight w:val="0"/>
      <w:marTop w:val="0"/>
      <w:marBottom w:val="0"/>
      <w:divBdr>
        <w:top w:val="none" w:sz="0" w:space="0" w:color="auto"/>
        <w:left w:val="none" w:sz="0" w:space="0" w:color="auto"/>
        <w:bottom w:val="none" w:sz="0" w:space="0" w:color="auto"/>
        <w:right w:val="none" w:sz="0" w:space="0" w:color="auto"/>
      </w:divBdr>
    </w:div>
    <w:div w:id="1327055926">
      <w:bodyDiv w:val="1"/>
      <w:marLeft w:val="0"/>
      <w:marRight w:val="0"/>
      <w:marTop w:val="0"/>
      <w:marBottom w:val="0"/>
      <w:divBdr>
        <w:top w:val="none" w:sz="0" w:space="0" w:color="auto"/>
        <w:left w:val="none" w:sz="0" w:space="0" w:color="auto"/>
        <w:bottom w:val="none" w:sz="0" w:space="0" w:color="auto"/>
        <w:right w:val="none" w:sz="0" w:space="0" w:color="auto"/>
      </w:divBdr>
    </w:div>
    <w:div w:id="1328749066">
      <w:bodyDiv w:val="1"/>
      <w:marLeft w:val="0"/>
      <w:marRight w:val="0"/>
      <w:marTop w:val="0"/>
      <w:marBottom w:val="0"/>
      <w:divBdr>
        <w:top w:val="none" w:sz="0" w:space="0" w:color="auto"/>
        <w:left w:val="none" w:sz="0" w:space="0" w:color="auto"/>
        <w:bottom w:val="none" w:sz="0" w:space="0" w:color="auto"/>
        <w:right w:val="none" w:sz="0" w:space="0" w:color="auto"/>
      </w:divBdr>
    </w:div>
    <w:div w:id="1329287163">
      <w:bodyDiv w:val="1"/>
      <w:marLeft w:val="0"/>
      <w:marRight w:val="0"/>
      <w:marTop w:val="0"/>
      <w:marBottom w:val="0"/>
      <w:divBdr>
        <w:top w:val="none" w:sz="0" w:space="0" w:color="auto"/>
        <w:left w:val="none" w:sz="0" w:space="0" w:color="auto"/>
        <w:bottom w:val="none" w:sz="0" w:space="0" w:color="auto"/>
        <w:right w:val="none" w:sz="0" w:space="0" w:color="auto"/>
      </w:divBdr>
    </w:div>
    <w:div w:id="1334138260">
      <w:bodyDiv w:val="1"/>
      <w:marLeft w:val="0"/>
      <w:marRight w:val="0"/>
      <w:marTop w:val="0"/>
      <w:marBottom w:val="0"/>
      <w:divBdr>
        <w:top w:val="none" w:sz="0" w:space="0" w:color="auto"/>
        <w:left w:val="none" w:sz="0" w:space="0" w:color="auto"/>
        <w:bottom w:val="none" w:sz="0" w:space="0" w:color="auto"/>
        <w:right w:val="none" w:sz="0" w:space="0" w:color="auto"/>
      </w:divBdr>
    </w:div>
    <w:div w:id="1344629367">
      <w:bodyDiv w:val="1"/>
      <w:marLeft w:val="0"/>
      <w:marRight w:val="0"/>
      <w:marTop w:val="0"/>
      <w:marBottom w:val="0"/>
      <w:divBdr>
        <w:top w:val="none" w:sz="0" w:space="0" w:color="auto"/>
        <w:left w:val="none" w:sz="0" w:space="0" w:color="auto"/>
        <w:bottom w:val="none" w:sz="0" w:space="0" w:color="auto"/>
        <w:right w:val="none" w:sz="0" w:space="0" w:color="auto"/>
      </w:divBdr>
    </w:div>
    <w:div w:id="1348750899">
      <w:bodyDiv w:val="1"/>
      <w:marLeft w:val="0"/>
      <w:marRight w:val="0"/>
      <w:marTop w:val="0"/>
      <w:marBottom w:val="0"/>
      <w:divBdr>
        <w:top w:val="none" w:sz="0" w:space="0" w:color="auto"/>
        <w:left w:val="none" w:sz="0" w:space="0" w:color="auto"/>
        <w:bottom w:val="none" w:sz="0" w:space="0" w:color="auto"/>
        <w:right w:val="none" w:sz="0" w:space="0" w:color="auto"/>
      </w:divBdr>
    </w:div>
    <w:div w:id="1359969001">
      <w:bodyDiv w:val="1"/>
      <w:marLeft w:val="0"/>
      <w:marRight w:val="0"/>
      <w:marTop w:val="0"/>
      <w:marBottom w:val="0"/>
      <w:divBdr>
        <w:top w:val="none" w:sz="0" w:space="0" w:color="auto"/>
        <w:left w:val="none" w:sz="0" w:space="0" w:color="auto"/>
        <w:bottom w:val="none" w:sz="0" w:space="0" w:color="auto"/>
        <w:right w:val="none" w:sz="0" w:space="0" w:color="auto"/>
      </w:divBdr>
    </w:div>
    <w:div w:id="1360202544">
      <w:bodyDiv w:val="1"/>
      <w:marLeft w:val="0"/>
      <w:marRight w:val="0"/>
      <w:marTop w:val="0"/>
      <w:marBottom w:val="0"/>
      <w:divBdr>
        <w:top w:val="none" w:sz="0" w:space="0" w:color="auto"/>
        <w:left w:val="none" w:sz="0" w:space="0" w:color="auto"/>
        <w:bottom w:val="none" w:sz="0" w:space="0" w:color="auto"/>
        <w:right w:val="none" w:sz="0" w:space="0" w:color="auto"/>
      </w:divBdr>
    </w:div>
    <w:div w:id="1364093687">
      <w:bodyDiv w:val="1"/>
      <w:marLeft w:val="0"/>
      <w:marRight w:val="0"/>
      <w:marTop w:val="0"/>
      <w:marBottom w:val="0"/>
      <w:divBdr>
        <w:top w:val="none" w:sz="0" w:space="0" w:color="auto"/>
        <w:left w:val="none" w:sz="0" w:space="0" w:color="auto"/>
        <w:bottom w:val="none" w:sz="0" w:space="0" w:color="auto"/>
        <w:right w:val="none" w:sz="0" w:space="0" w:color="auto"/>
      </w:divBdr>
    </w:div>
    <w:div w:id="1367178276">
      <w:bodyDiv w:val="1"/>
      <w:marLeft w:val="0"/>
      <w:marRight w:val="0"/>
      <w:marTop w:val="0"/>
      <w:marBottom w:val="0"/>
      <w:divBdr>
        <w:top w:val="none" w:sz="0" w:space="0" w:color="auto"/>
        <w:left w:val="none" w:sz="0" w:space="0" w:color="auto"/>
        <w:bottom w:val="none" w:sz="0" w:space="0" w:color="auto"/>
        <w:right w:val="none" w:sz="0" w:space="0" w:color="auto"/>
      </w:divBdr>
    </w:div>
    <w:div w:id="1368600383">
      <w:bodyDiv w:val="1"/>
      <w:marLeft w:val="0"/>
      <w:marRight w:val="0"/>
      <w:marTop w:val="0"/>
      <w:marBottom w:val="0"/>
      <w:divBdr>
        <w:top w:val="none" w:sz="0" w:space="0" w:color="auto"/>
        <w:left w:val="none" w:sz="0" w:space="0" w:color="auto"/>
        <w:bottom w:val="none" w:sz="0" w:space="0" w:color="auto"/>
        <w:right w:val="none" w:sz="0" w:space="0" w:color="auto"/>
      </w:divBdr>
    </w:div>
    <w:div w:id="1368919524">
      <w:bodyDiv w:val="1"/>
      <w:marLeft w:val="0"/>
      <w:marRight w:val="0"/>
      <w:marTop w:val="0"/>
      <w:marBottom w:val="0"/>
      <w:divBdr>
        <w:top w:val="none" w:sz="0" w:space="0" w:color="auto"/>
        <w:left w:val="none" w:sz="0" w:space="0" w:color="auto"/>
        <w:bottom w:val="none" w:sz="0" w:space="0" w:color="auto"/>
        <w:right w:val="none" w:sz="0" w:space="0" w:color="auto"/>
      </w:divBdr>
    </w:div>
    <w:div w:id="1371493135">
      <w:bodyDiv w:val="1"/>
      <w:marLeft w:val="0"/>
      <w:marRight w:val="0"/>
      <w:marTop w:val="0"/>
      <w:marBottom w:val="0"/>
      <w:divBdr>
        <w:top w:val="none" w:sz="0" w:space="0" w:color="auto"/>
        <w:left w:val="none" w:sz="0" w:space="0" w:color="auto"/>
        <w:bottom w:val="none" w:sz="0" w:space="0" w:color="auto"/>
        <w:right w:val="none" w:sz="0" w:space="0" w:color="auto"/>
      </w:divBdr>
    </w:div>
    <w:div w:id="1380476445">
      <w:bodyDiv w:val="1"/>
      <w:marLeft w:val="0"/>
      <w:marRight w:val="0"/>
      <w:marTop w:val="0"/>
      <w:marBottom w:val="0"/>
      <w:divBdr>
        <w:top w:val="none" w:sz="0" w:space="0" w:color="auto"/>
        <w:left w:val="none" w:sz="0" w:space="0" w:color="auto"/>
        <w:bottom w:val="none" w:sz="0" w:space="0" w:color="auto"/>
        <w:right w:val="none" w:sz="0" w:space="0" w:color="auto"/>
      </w:divBdr>
    </w:div>
    <w:div w:id="1390151882">
      <w:bodyDiv w:val="1"/>
      <w:marLeft w:val="0"/>
      <w:marRight w:val="0"/>
      <w:marTop w:val="0"/>
      <w:marBottom w:val="0"/>
      <w:divBdr>
        <w:top w:val="none" w:sz="0" w:space="0" w:color="auto"/>
        <w:left w:val="none" w:sz="0" w:space="0" w:color="auto"/>
        <w:bottom w:val="none" w:sz="0" w:space="0" w:color="auto"/>
        <w:right w:val="none" w:sz="0" w:space="0" w:color="auto"/>
      </w:divBdr>
    </w:div>
    <w:div w:id="1393385166">
      <w:bodyDiv w:val="1"/>
      <w:marLeft w:val="0"/>
      <w:marRight w:val="0"/>
      <w:marTop w:val="0"/>
      <w:marBottom w:val="0"/>
      <w:divBdr>
        <w:top w:val="none" w:sz="0" w:space="0" w:color="auto"/>
        <w:left w:val="none" w:sz="0" w:space="0" w:color="auto"/>
        <w:bottom w:val="none" w:sz="0" w:space="0" w:color="auto"/>
        <w:right w:val="none" w:sz="0" w:space="0" w:color="auto"/>
      </w:divBdr>
    </w:div>
    <w:div w:id="1393776542">
      <w:bodyDiv w:val="1"/>
      <w:marLeft w:val="0"/>
      <w:marRight w:val="0"/>
      <w:marTop w:val="0"/>
      <w:marBottom w:val="0"/>
      <w:divBdr>
        <w:top w:val="none" w:sz="0" w:space="0" w:color="auto"/>
        <w:left w:val="none" w:sz="0" w:space="0" w:color="auto"/>
        <w:bottom w:val="none" w:sz="0" w:space="0" w:color="auto"/>
        <w:right w:val="none" w:sz="0" w:space="0" w:color="auto"/>
      </w:divBdr>
    </w:div>
    <w:div w:id="1397974198">
      <w:bodyDiv w:val="1"/>
      <w:marLeft w:val="0"/>
      <w:marRight w:val="0"/>
      <w:marTop w:val="0"/>
      <w:marBottom w:val="0"/>
      <w:divBdr>
        <w:top w:val="none" w:sz="0" w:space="0" w:color="auto"/>
        <w:left w:val="none" w:sz="0" w:space="0" w:color="auto"/>
        <w:bottom w:val="none" w:sz="0" w:space="0" w:color="auto"/>
        <w:right w:val="none" w:sz="0" w:space="0" w:color="auto"/>
      </w:divBdr>
    </w:div>
    <w:div w:id="1400128176">
      <w:bodyDiv w:val="1"/>
      <w:marLeft w:val="0"/>
      <w:marRight w:val="0"/>
      <w:marTop w:val="0"/>
      <w:marBottom w:val="0"/>
      <w:divBdr>
        <w:top w:val="none" w:sz="0" w:space="0" w:color="auto"/>
        <w:left w:val="none" w:sz="0" w:space="0" w:color="auto"/>
        <w:bottom w:val="none" w:sz="0" w:space="0" w:color="auto"/>
        <w:right w:val="none" w:sz="0" w:space="0" w:color="auto"/>
      </w:divBdr>
    </w:div>
    <w:div w:id="1401513250">
      <w:bodyDiv w:val="1"/>
      <w:marLeft w:val="0"/>
      <w:marRight w:val="0"/>
      <w:marTop w:val="0"/>
      <w:marBottom w:val="0"/>
      <w:divBdr>
        <w:top w:val="none" w:sz="0" w:space="0" w:color="auto"/>
        <w:left w:val="none" w:sz="0" w:space="0" w:color="auto"/>
        <w:bottom w:val="none" w:sz="0" w:space="0" w:color="auto"/>
        <w:right w:val="none" w:sz="0" w:space="0" w:color="auto"/>
      </w:divBdr>
    </w:div>
    <w:div w:id="1407073052">
      <w:bodyDiv w:val="1"/>
      <w:marLeft w:val="0"/>
      <w:marRight w:val="0"/>
      <w:marTop w:val="0"/>
      <w:marBottom w:val="0"/>
      <w:divBdr>
        <w:top w:val="none" w:sz="0" w:space="0" w:color="auto"/>
        <w:left w:val="none" w:sz="0" w:space="0" w:color="auto"/>
        <w:bottom w:val="none" w:sz="0" w:space="0" w:color="auto"/>
        <w:right w:val="none" w:sz="0" w:space="0" w:color="auto"/>
      </w:divBdr>
    </w:div>
    <w:div w:id="1410539001">
      <w:bodyDiv w:val="1"/>
      <w:marLeft w:val="0"/>
      <w:marRight w:val="0"/>
      <w:marTop w:val="0"/>
      <w:marBottom w:val="0"/>
      <w:divBdr>
        <w:top w:val="none" w:sz="0" w:space="0" w:color="auto"/>
        <w:left w:val="none" w:sz="0" w:space="0" w:color="auto"/>
        <w:bottom w:val="none" w:sz="0" w:space="0" w:color="auto"/>
        <w:right w:val="none" w:sz="0" w:space="0" w:color="auto"/>
      </w:divBdr>
    </w:div>
    <w:div w:id="1411923824">
      <w:bodyDiv w:val="1"/>
      <w:marLeft w:val="0"/>
      <w:marRight w:val="0"/>
      <w:marTop w:val="0"/>
      <w:marBottom w:val="0"/>
      <w:divBdr>
        <w:top w:val="none" w:sz="0" w:space="0" w:color="auto"/>
        <w:left w:val="none" w:sz="0" w:space="0" w:color="auto"/>
        <w:bottom w:val="none" w:sz="0" w:space="0" w:color="auto"/>
        <w:right w:val="none" w:sz="0" w:space="0" w:color="auto"/>
      </w:divBdr>
    </w:div>
    <w:div w:id="1439639673">
      <w:bodyDiv w:val="1"/>
      <w:marLeft w:val="0"/>
      <w:marRight w:val="0"/>
      <w:marTop w:val="0"/>
      <w:marBottom w:val="0"/>
      <w:divBdr>
        <w:top w:val="none" w:sz="0" w:space="0" w:color="auto"/>
        <w:left w:val="none" w:sz="0" w:space="0" w:color="auto"/>
        <w:bottom w:val="none" w:sz="0" w:space="0" w:color="auto"/>
        <w:right w:val="none" w:sz="0" w:space="0" w:color="auto"/>
      </w:divBdr>
    </w:div>
    <w:div w:id="1441756099">
      <w:bodyDiv w:val="1"/>
      <w:marLeft w:val="0"/>
      <w:marRight w:val="0"/>
      <w:marTop w:val="0"/>
      <w:marBottom w:val="0"/>
      <w:divBdr>
        <w:top w:val="none" w:sz="0" w:space="0" w:color="auto"/>
        <w:left w:val="none" w:sz="0" w:space="0" w:color="auto"/>
        <w:bottom w:val="none" w:sz="0" w:space="0" w:color="auto"/>
        <w:right w:val="none" w:sz="0" w:space="0" w:color="auto"/>
      </w:divBdr>
    </w:div>
    <w:div w:id="1466197963">
      <w:bodyDiv w:val="1"/>
      <w:marLeft w:val="0"/>
      <w:marRight w:val="0"/>
      <w:marTop w:val="0"/>
      <w:marBottom w:val="0"/>
      <w:divBdr>
        <w:top w:val="none" w:sz="0" w:space="0" w:color="auto"/>
        <w:left w:val="none" w:sz="0" w:space="0" w:color="auto"/>
        <w:bottom w:val="none" w:sz="0" w:space="0" w:color="auto"/>
        <w:right w:val="none" w:sz="0" w:space="0" w:color="auto"/>
      </w:divBdr>
    </w:div>
    <w:div w:id="1474836697">
      <w:bodyDiv w:val="1"/>
      <w:marLeft w:val="0"/>
      <w:marRight w:val="0"/>
      <w:marTop w:val="0"/>
      <w:marBottom w:val="0"/>
      <w:divBdr>
        <w:top w:val="none" w:sz="0" w:space="0" w:color="auto"/>
        <w:left w:val="none" w:sz="0" w:space="0" w:color="auto"/>
        <w:bottom w:val="none" w:sz="0" w:space="0" w:color="auto"/>
        <w:right w:val="none" w:sz="0" w:space="0" w:color="auto"/>
      </w:divBdr>
    </w:div>
    <w:div w:id="1476604575">
      <w:bodyDiv w:val="1"/>
      <w:marLeft w:val="0"/>
      <w:marRight w:val="0"/>
      <w:marTop w:val="0"/>
      <w:marBottom w:val="0"/>
      <w:divBdr>
        <w:top w:val="none" w:sz="0" w:space="0" w:color="auto"/>
        <w:left w:val="none" w:sz="0" w:space="0" w:color="auto"/>
        <w:bottom w:val="none" w:sz="0" w:space="0" w:color="auto"/>
        <w:right w:val="none" w:sz="0" w:space="0" w:color="auto"/>
      </w:divBdr>
    </w:div>
    <w:div w:id="1477575186">
      <w:bodyDiv w:val="1"/>
      <w:marLeft w:val="0"/>
      <w:marRight w:val="0"/>
      <w:marTop w:val="0"/>
      <w:marBottom w:val="0"/>
      <w:divBdr>
        <w:top w:val="none" w:sz="0" w:space="0" w:color="auto"/>
        <w:left w:val="none" w:sz="0" w:space="0" w:color="auto"/>
        <w:bottom w:val="none" w:sz="0" w:space="0" w:color="auto"/>
        <w:right w:val="none" w:sz="0" w:space="0" w:color="auto"/>
      </w:divBdr>
    </w:div>
    <w:div w:id="1479880257">
      <w:bodyDiv w:val="1"/>
      <w:marLeft w:val="0"/>
      <w:marRight w:val="0"/>
      <w:marTop w:val="0"/>
      <w:marBottom w:val="0"/>
      <w:divBdr>
        <w:top w:val="none" w:sz="0" w:space="0" w:color="auto"/>
        <w:left w:val="none" w:sz="0" w:space="0" w:color="auto"/>
        <w:bottom w:val="none" w:sz="0" w:space="0" w:color="auto"/>
        <w:right w:val="none" w:sz="0" w:space="0" w:color="auto"/>
      </w:divBdr>
    </w:div>
    <w:div w:id="1481114769">
      <w:bodyDiv w:val="1"/>
      <w:marLeft w:val="0"/>
      <w:marRight w:val="0"/>
      <w:marTop w:val="0"/>
      <w:marBottom w:val="0"/>
      <w:divBdr>
        <w:top w:val="none" w:sz="0" w:space="0" w:color="auto"/>
        <w:left w:val="none" w:sz="0" w:space="0" w:color="auto"/>
        <w:bottom w:val="none" w:sz="0" w:space="0" w:color="auto"/>
        <w:right w:val="none" w:sz="0" w:space="0" w:color="auto"/>
      </w:divBdr>
    </w:div>
    <w:div w:id="1487820795">
      <w:bodyDiv w:val="1"/>
      <w:marLeft w:val="0"/>
      <w:marRight w:val="0"/>
      <w:marTop w:val="0"/>
      <w:marBottom w:val="0"/>
      <w:divBdr>
        <w:top w:val="none" w:sz="0" w:space="0" w:color="auto"/>
        <w:left w:val="none" w:sz="0" w:space="0" w:color="auto"/>
        <w:bottom w:val="none" w:sz="0" w:space="0" w:color="auto"/>
        <w:right w:val="none" w:sz="0" w:space="0" w:color="auto"/>
      </w:divBdr>
    </w:div>
    <w:div w:id="1494907207">
      <w:bodyDiv w:val="1"/>
      <w:marLeft w:val="0"/>
      <w:marRight w:val="0"/>
      <w:marTop w:val="0"/>
      <w:marBottom w:val="0"/>
      <w:divBdr>
        <w:top w:val="none" w:sz="0" w:space="0" w:color="auto"/>
        <w:left w:val="none" w:sz="0" w:space="0" w:color="auto"/>
        <w:bottom w:val="none" w:sz="0" w:space="0" w:color="auto"/>
        <w:right w:val="none" w:sz="0" w:space="0" w:color="auto"/>
      </w:divBdr>
    </w:div>
    <w:div w:id="1495025642">
      <w:bodyDiv w:val="1"/>
      <w:marLeft w:val="0"/>
      <w:marRight w:val="0"/>
      <w:marTop w:val="0"/>
      <w:marBottom w:val="0"/>
      <w:divBdr>
        <w:top w:val="none" w:sz="0" w:space="0" w:color="auto"/>
        <w:left w:val="none" w:sz="0" w:space="0" w:color="auto"/>
        <w:bottom w:val="none" w:sz="0" w:space="0" w:color="auto"/>
        <w:right w:val="none" w:sz="0" w:space="0" w:color="auto"/>
      </w:divBdr>
    </w:div>
    <w:div w:id="1498575227">
      <w:bodyDiv w:val="1"/>
      <w:marLeft w:val="0"/>
      <w:marRight w:val="0"/>
      <w:marTop w:val="0"/>
      <w:marBottom w:val="0"/>
      <w:divBdr>
        <w:top w:val="none" w:sz="0" w:space="0" w:color="auto"/>
        <w:left w:val="none" w:sz="0" w:space="0" w:color="auto"/>
        <w:bottom w:val="none" w:sz="0" w:space="0" w:color="auto"/>
        <w:right w:val="none" w:sz="0" w:space="0" w:color="auto"/>
      </w:divBdr>
    </w:div>
    <w:div w:id="1504315718">
      <w:bodyDiv w:val="1"/>
      <w:marLeft w:val="0"/>
      <w:marRight w:val="0"/>
      <w:marTop w:val="0"/>
      <w:marBottom w:val="0"/>
      <w:divBdr>
        <w:top w:val="none" w:sz="0" w:space="0" w:color="auto"/>
        <w:left w:val="none" w:sz="0" w:space="0" w:color="auto"/>
        <w:bottom w:val="none" w:sz="0" w:space="0" w:color="auto"/>
        <w:right w:val="none" w:sz="0" w:space="0" w:color="auto"/>
      </w:divBdr>
    </w:div>
    <w:div w:id="1504541665">
      <w:bodyDiv w:val="1"/>
      <w:marLeft w:val="0"/>
      <w:marRight w:val="0"/>
      <w:marTop w:val="0"/>
      <w:marBottom w:val="0"/>
      <w:divBdr>
        <w:top w:val="none" w:sz="0" w:space="0" w:color="auto"/>
        <w:left w:val="none" w:sz="0" w:space="0" w:color="auto"/>
        <w:bottom w:val="none" w:sz="0" w:space="0" w:color="auto"/>
        <w:right w:val="none" w:sz="0" w:space="0" w:color="auto"/>
      </w:divBdr>
    </w:div>
    <w:div w:id="1510947722">
      <w:bodyDiv w:val="1"/>
      <w:marLeft w:val="0"/>
      <w:marRight w:val="0"/>
      <w:marTop w:val="0"/>
      <w:marBottom w:val="0"/>
      <w:divBdr>
        <w:top w:val="none" w:sz="0" w:space="0" w:color="auto"/>
        <w:left w:val="none" w:sz="0" w:space="0" w:color="auto"/>
        <w:bottom w:val="none" w:sz="0" w:space="0" w:color="auto"/>
        <w:right w:val="none" w:sz="0" w:space="0" w:color="auto"/>
      </w:divBdr>
    </w:div>
    <w:div w:id="1512911744">
      <w:bodyDiv w:val="1"/>
      <w:marLeft w:val="0"/>
      <w:marRight w:val="0"/>
      <w:marTop w:val="0"/>
      <w:marBottom w:val="0"/>
      <w:divBdr>
        <w:top w:val="none" w:sz="0" w:space="0" w:color="auto"/>
        <w:left w:val="none" w:sz="0" w:space="0" w:color="auto"/>
        <w:bottom w:val="none" w:sz="0" w:space="0" w:color="auto"/>
        <w:right w:val="none" w:sz="0" w:space="0" w:color="auto"/>
      </w:divBdr>
    </w:div>
    <w:div w:id="1513759764">
      <w:bodyDiv w:val="1"/>
      <w:marLeft w:val="0"/>
      <w:marRight w:val="0"/>
      <w:marTop w:val="0"/>
      <w:marBottom w:val="0"/>
      <w:divBdr>
        <w:top w:val="none" w:sz="0" w:space="0" w:color="auto"/>
        <w:left w:val="none" w:sz="0" w:space="0" w:color="auto"/>
        <w:bottom w:val="none" w:sz="0" w:space="0" w:color="auto"/>
        <w:right w:val="none" w:sz="0" w:space="0" w:color="auto"/>
      </w:divBdr>
    </w:div>
    <w:div w:id="1520847252">
      <w:bodyDiv w:val="1"/>
      <w:marLeft w:val="0"/>
      <w:marRight w:val="0"/>
      <w:marTop w:val="0"/>
      <w:marBottom w:val="0"/>
      <w:divBdr>
        <w:top w:val="none" w:sz="0" w:space="0" w:color="auto"/>
        <w:left w:val="none" w:sz="0" w:space="0" w:color="auto"/>
        <w:bottom w:val="none" w:sz="0" w:space="0" w:color="auto"/>
        <w:right w:val="none" w:sz="0" w:space="0" w:color="auto"/>
      </w:divBdr>
    </w:div>
    <w:div w:id="1529487370">
      <w:bodyDiv w:val="1"/>
      <w:marLeft w:val="0"/>
      <w:marRight w:val="0"/>
      <w:marTop w:val="0"/>
      <w:marBottom w:val="0"/>
      <w:divBdr>
        <w:top w:val="none" w:sz="0" w:space="0" w:color="auto"/>
        <w:left w:val="none" w:sz="0" w:space="0" w:color="auto"/>
        <w:bottom w:val="none" w:sz="0" w:space="0" w:color="auto"/>
        <w:right w:val="none" w:sz="0" w:space="0" w:color="auto"/>
      </w:divBdr>
    </w:div>
    <w:div w:id="1529753716">
      <w:bodyDiv w:val="1"/>
      <w:marLeft w:val="0"/>
      <w:marRight w:val="0"/>
      <w:marTop w:val="0"/>
      <w:marBottom w:val="0"/>
      <w:divBdr>
        <w:top w:val="none" w:sz="0" w:space="0" w:color="auto"/>
        <w:left w:val="none" w:sz="0" w:space="0" w:color="auto"/>
        <w:bottom w:val="none" w:sz="0" w:space="0" w:color="auto"/>
        <w:right w:val="none" w:sz="0" w:space="0" w:color="auto"/>
      </w:divBdr>
    </w:div>
    <w:div w:id="1547525889">
      <w:bodyDiv w:val="1"/>
      <w:marLeft w:val="0"/>
      <w:marRight w:val="0"/>
      <w:marTop w:val="0"/>
      <w:marBottom w:val="0"/>
      <w:divBdr>
        <w:top w:val="none" w:sz="0" w:space="0" w:color="auto"/>
        <w:left w:val="none" w:sz="0" w:space="0" w:color="auto"/>
        <w:bottom w:val="none" w:sz="0" w:space="0" w:color="auto"/>
        <w:right w:val="none" w:sz="0" w:space="0" w:color="auto"/>
      </w:divBdr>
    </w:div>
    <w:div w:id="1554459978">
      <w:bodyDiv w:val="1"/>
      <w:marLeft w:val="0"/>
      <w:marRight w:val="0"/>
      <w:marTop w:val="0"/>
      <w:marBottom w:val="0"/>
      <w:divBdr>
        <w:top w:val="none" w:sz="0" w:space="0" w:color="auto"/>
        <w:left w:val="none" w:sz="0" w:space="0" w:color="auto"/>
        <w:bottom w:val="none" w:sz="0" w:space="0" w:color="auto"/>
        <w:right w:val="none" w:sz="0" w:space="0" w:color="auto"/>
      </w:divBdr>
    </w:div>
    <w:div w:id="1557204249">
      <w:bodyDiv w:val="1"/>
      <w:marLeft w:val="0"/>
      <w:marRight w:val="0"/>
      <w:marTop w:val="0"/>
      <w:marBottom w:val="0"/>
      <w:divBdr>
        <w:top w:val="none" w:sz="0" w:space="0" w:color="auto"/>
        <w:left w:val="none" w:sz="0" w:space="0" w:color="auto"/>
        <w:bottom w:val="none" w:sz="0" w:space="0" w:color="auto"/>
        <w:right w:val="none" w:sz="0" w:space="0" w:color="auto"/>
      </w:divBdr>
    </w:div>
    <w:div w:id="1564635954">
      <w:bodyDiv w:val="1"/>
      <w:marLeft w:val="0"/>
      <w:marRight w:val="0"/>
      <w:marTop w:val="0"/>
      <w:marBottom w:val="0"/>
      <w:divBdr>
        <w:top w:val="none" w:sz="0" w:space="0" w:color="auto"/>
        <w:left w:val="none" w:sz="0" w:space="0" w:color="auto"/>
        <w:bottom w:val="none" w:sz="0" w:space="0" w:color="auto"/>
        <w:right w:val="none" w:sz="0" w:space="0" w:color="auto"/>
      </w:divBdr>
    </w:div>
    <w:div w:id="1564826860">
      <w:bodyDiv w:val="1"/>
      <w:marLeft w:val="0"/>
      <w:marRight w:val="0"/>
      <w:marTop w:val="0"/>
      <w:marBottom w:val="0"/>
      <w:divBdr>
        <w:top w:val="none" w:sz="0" w:space="0" w:color="auto"/>
        <w:left w:val="none" w:sz="0" w:space="0" w:color="auto"/>
        <w:bottom w:val="none" w:sz="0" w:space="0" w:color="auto"/>
        <w:right w:val="none" w:sz="0" w:space="0" w:color="auto"/>
      </w:divBdr>
    </w:div>
    <w:div w:id="1586838914">
      <w:bodyDiv w:val="1"/>
      <w:marLeft w:val="0"/>
      <w:marRight w:val="0"/>
      <w:marTop w:val="0"/>
      <w:marBottom w:val="0"/>
      <w:divBdr>
        <w:top w:val="none" w:sz="0" w:space="0" w:color="auto"/>
        <w:left w:val="none" w:sz="0" w:space="0" w:color="auto"/>
        <w:bottom w:val="none" w:sz="0" w:space="0" w:color="auto"/>
        <w:right w:val="none" w:sz="0" w:space="0" w:color="auto"/>
      </w:divBdr>
    </w:div>
    <w:div w:id="1590771192">
      <w:bodyDiv w:val="1"/>
      <w:marLeft w:val="0"/>
      <w:marRight w:val="0"/>
      <w:marTop w:val="0"/>
      <w:marBottom w:val="0"/>
      <w:divBdr>
        <w:top w:val="none" w:sz="0" w:space="0" w:color="auto"/>
        <w:left w:val="none" w:sz="0" w:space="0" w:color="auto"/>
        <w:bottom w:val="none" w:sz="0" w:space="0" w:color="auto"/>
        <w:right w:val="none" w:sz="0" w:space="0" w:color="auto"/>
      </w:divBdr>
    </w:div>
    <w:div w:id="1598518160">
      <w:bodyDiv w:val="1"/>
      <w:marLeft w:val="0"/>
      <w:marRight w:val="0"/>
      <w:marTop w:val="0"/>
      <w:marBottom w:val="0"/>
      <w:divBdr>
        <w:top w:val="none" w:sz="0" w:space="0" w:color="auto"/>
        <w:left w:val="none" w:sz="0" w:space="0" w:color="auto"/>
        <w:bottom w:val="none" w:sz="0" w:space="0" w:color="auto"/>
        <w:right w:val="none" w:sz="0" w:space="0" w:color="auto"/>
      </w:divBdr>
    </w:div>
    <w:div w:id="1606883514">
      <w:bodyDiv w:val="1"/>
      <w:marLeft w:val="0"/>
      <w:marRight w:val="0"/>
      <w:marTop w:val="0"/>
      <w:marBottom w:val="0"/>
      <w:divBdr>
        <w:top w:val="none" w:sz="0" w:space="0" w:color="auto"/>
        <w:left w:val="none" w:sz="0" w:space="0" w:color="auto"/>
        <w:bottom w:val="none" w:sz="0" w:space="0" w:color="auto"/>
        <w:right w:val="none" w:sz="0" w:space="0" w:color="auto"/>
      </w:divBdr>
    </w:div>
    <w:div w:id="1608926438">
      <w:bodyDiv w:val="1"/>
      <w:marLeft w:val="0"/>
      <w:marRight w:val="0"/>
      <w:marTop w:val="0"/>
      <w:marBottom w:val="0"/>
      <w:divBdr>
        <w:top w:val="none" w:sz="0" w:space="0" w:color="auto"/>
        <w:left w:val="none" w:sz="0" w:space="0" w:color="auto"/>
        <w:bottom w:val="none" w:sz="0" w:space="0" w:color="auto"/>
        <w:right w:val="none" w:sz="0" w:space="0" w:color="auto"/>
      </w:divBdr>
    </w:div>
    <w:div w:id="1626034825">
      <w:bodyDiv w:val="1"/>
      <w:marLeft w:val="0"/>
      <w:marRight w:val="0"/>
      <w:marTop w:val="0"/>
      <w:marBottom w:val="0"/>
      <w:divBdr>
        <w:top w:val="none" w:sz="0" w:space="0" w:color="auto"/>
        <w:left w:val="none" w:sz="0" w:space="0" w:color="auto"/>
        <w:bottom w:val="none" w:sz="0" w:space="0" w:color="auto"/>
        <w:right w:val="none" w:sz="0" w:space="0" w:color="auto"/>
      </w:divBdr>
    </w:div>
    <w:div w:id="1635867605">
      <w:bodyDiv w:val="1"/>
      <w:marLeft w:val="0"/>
      <w:marRight w:val="0"/>
      <w:marTop w:val="0"/>
      <w:marBottom w:val="0"/>
      <w:divBdr>
        <w:top w:val="none" w:sz="0" w:space="0" w:color="auto"/>
        <w:left w:val="none" w:sz="0" w:space="0" w:color="auto"/>
        <w:bottom w:val="none" w:sz="0" w:space="0" w:color="auto"/>
        <w:right w:val="none" w:sz="0" w:space="0" w:color="auto"/>
      </w:divBdr>
    </w:div>
    <w:div w:id="1642418694">
      <w:bodyDiv w:val="1"/>
      <w:marLeft w:val="0"/>
      <w:marRight w:val="0"/>
      <w:marTop w:val="0"/>
      <w:marBottom w:val="0"/>
      <w:divBdr>
        <w:top w:val="none" w:sz="0" w:space="0" w:color="auto"/>
        <w:left w:val="none" w:sz="0" w:space="0" w:color="auto"/>
        <w:bottom w:val="none" w:sz="0" w:space="0" w:color="auto"/>
        <w:right w:val="none" w:sz="0" w:space="0" w:color="auto"/>
      </w:divBdr>
    </w:div>
    <w:div w:id="1647052824">
      <w:bodyDiv w:val="1"/>
      <w:marLeft w:val="0"/>
      <w:marRight w:val="0"/>
      <w:marTop w:val="0"/>
      <w:marBottom w:val="0"/>
      <w:divBdr>
        <w:top w:val="none" w:sz="0" w:space="0" w:color="auto"/>
        <w:left w:val="none" w:sz="0" w:space="0" w:color="auto"/>
        <w:bottom w:val="none" w:sz="0" w:space="0" w:color="auto"/>
        <w:right w:val="none" w:sz="0" w:space="0" w:color="auto"/>
      </w:divBdr>
    </w:div>
    <w:div w:id="1647319622">
      <w:bodyDiv w:val="1"/>
      <w:marLeft w:val="0"/>
      <w:marRight w:val="0"/>
      <w:marTop w:val="0"/>
      <w:marBottom w:val="0"/>
      <w:divBdr>
        <w:top w:val="none" w:sz="0" w:space="0" w:color="auto"/>
        <w:left w:val="none" w:sz="0" w:space="0" w:color="auto"/>
        <w:bottom w:val="none" w:sz="0" w:space="0" w:color="auto"/>
        <w:right w:val="none" w:sz="0" w:space="0" w:color="auto"/>
      </w:divBdr>
    </w:div>
    <w:div w:id="1649045939">
      <w:bodyDiv w:val="1"/>
      <w:marLeft w:val="0"/>
      <w:marRight w:val="0"/>
      <w:marTop w:val="0"/>
      <w:marBottom w:val="0"/>
      <w:divBdr>
        <w:top w:val="none" w:sz="0" w:space="0" w:color="auto"/>
        <w:left w:val="none" w:sz="0" w:space="0" w:color="auto"/>
        <w:bottom w:val="none" w:sz="0" w:space="0" w:color="auto"/>
        <w:right w:val="none" w:sz="0" w:space="0" w:color="auto"/>
      </w:divBdr>
    </w:div>
    <w:div w:id="1649628369">
      <w:bodyDiv w:val="1"/>
      <w:marLeft w:val="0"/>
      <w:marRight w:val="0"/>
      <w:marTop w:val="0"/>
      <w:marBottom w:val="0"/>
      <w:divBdr>
        <w:top w:val="none" w:sz="0" w:space="0" w:color="auto"/>
        <w:left w:val="none" w:sz="0" w:space="0" w:color="auto"/>
        <w:bottom w:val="none" w:sz="0" w:space="0" w:color="auto"/>
        <w:right w:val="none" w:sz="0" w:space="0" w:color="auto"/>
      </w:divBdr>
    </w:div>
    <w:div w:id="1654483018">
      <w:bodyDiv w:val="1"/>
      <w:marLeft w:val="0"/>
      <w:marRight w:val="0"/>
      <w:marTop w:val="0"/>
      <w:marBottom w:val="0"/>
      <w:divBdr>
        <w:top w:val="none" w:sz="0" w:space="0" w:color="auto"/>
        <w:left w:val="none" w:sz="0" w:space="0" w:color="auto"/>
        <w:bottom w:val="none" w:sz="0" w:space="0" w:color="auto"/>
        <w:right w:val="none" w:sz="0" w:space="0" w:color="auto"/>
      </w:divBdr>
    </w:div>
    <w:div w:id="1658269310">
      <w:bodyDiv w:val="1"/>
      <w:marLeft w:val="0"/>
      <w:marRight w:val="0"/>
      <w:marTop w:val="0"/>
      <w:marBottom w:val="0"/>
      <w:divBdr>
        <w:top w:val="none" w:sz="0" w:space="0" w:color="auto"/>
        <w:left w:val="none" w:sz="0" w:space="0" w:color="auto"/>
        <w:bottom w:val="none" w:sz="0" w:space="0" w:color="auto"/>
        <w:right w:val="none" w:sz="0" w:space="0" w:color="auto"/>
      </w:divBdr>
    </w:div>
    <w:div w:id="1668095609">
      <w:bodyDiv w:val="1"/>
      <w:marLeft w:val="0"/>
      <w:marRight w:val="0"/>
      <w:marTop w:val="0"/>
      <w:marBottom w:val="0"/>
      <w:divBdr>
        <w:top w:val="none" w:sz="0" w:space="0" w:color="auto"/>
        <w:left w:val="none" w:sz="0" w:space="0" w:color="auto"/>
        <w:bottom w:val="none" w:sz="0" w:space="0" w:color="auto"/>
        <w:right w:val="none" w:sz="0" w:space="0" w:color="auto"/>
      </w:divBdr>
    </w:div>
    <w:div w:id="1674722026">
      <w:bodyDiv w:val="1"/>
      <w:marLeft w:val="0"/>
      <w:marRight w:val="0"/>
      <w:marTop w:val="0"/>
      <w:marBottom w:val="0"/>
      <w:divBdr>
        <w:top w:val="none" w:sz="0" w:space="0" w:color="auto"/>
        <w:left w:val="none" w:sz="0" w:space="0" w:color="auto"/>
        <w:bottom w:val="none" w:sz="0" w:space="0" w:color="auto"/>
        <w:right w:val="none" w:sz="0" w:space="0" w:color="auto"/>
      </w:divBdr>
    </w:div>
    <w:div w:id="1677270352">
      <w:bodyDiv w:val="1"/>
      <w:marLeft w:val="0"/>
      <w:marRight w:val="0"/>
      <w:marTop w:val="0"/>
      <w:marBottom w:val="0"/>
      <w:divBdr>
        <w:top w:val="none" w:sz="0" w:space="0" w:color="auto"/>
        <w:left w:val="none" w:sz="0" w:space="0" w:color="auto"/>
        <w:bottom w:val="none" w:sz="0" w:space="0" w:color="auto"/>
        <w:right w:val="none" w:sz="0" w:space="0" w:color="auto"/>
      </w:divBdr>
    </w:div>
    <w:div w:id="1680544362">
      <w:bodyDiv w:val="1"/>
      <w:marLeft w:val="0"/>
      <w:marRight w:val="0"/>
      <w:marTop w:val="0"/>
      <w:marBottom w:val="0"/>
      <w:divBdr>
        <w:top w:val="none" w:sz="0" w:space="0" w:color="auto"/>
        <w:left w:val="none" w:sz="0" w:space="0" w:color="auto"/>
        <w:bottom w:val="none" w:sz="0" w:space="0" w:color="auto"/>
        <w:right w:val="none" w:sz="0" w:space="0" w:color="auto"/>
      </w:divBdr>
    </w:div>
    <w:div w:id="1683704044">
      <w:bodyDiv w:val="1"/>
      <w:marLeft w:val="0"/>
      <w:marRight w:val="0"/>
      <w:marTop w:val="0"/>
      <w:marBottom w:val="0"/>
      <w:divBdr>
        <w:top w:val="none" w:sz="0" w:space="0" w:color="auto"/>
        <w:left w:val="none" w:sz="0" w:space="0" w:color="auto"/>
        <w:bottom w:val="none" w:sz="0" w:space="0" w:color="auto"/>
        <w:right w:val="none" w:sz="0" w:space="0" w:color="auto"/>
      </w:divBdr>
    </w:div>
    <w:div w:id="1686904442">
      <w:bodyDiv w:val="1"/>
      <w:marLeft w:val="0"/>
      <w:marRight w:val="0"/>
      <w:marTop w:val="0"/>
      <w:marBottom w:val="0"/>
      <w:divBdr>
        <w:top w:val="none" w:sz="0" w:space="0" w:color="auto"/>
        <w:left w:val="none" w:sz="0" w:space="0" w:color="auto"/>
        <w:bottom w:val="none" w:sz="0" w:space="0" w:color="auto"/>
        <w:right w:val="none" w:sz="0" w:space="0" w:color="auto"/>
      </w:divBdr>
    </w:div>
    <w:div w:id="1689671656">
      <w:bodyDiv w:val="1"/>
      <w:marLeft w:val="0"/>
      <w:marRight w:val="0"/>
      <w:marTop w:val="0"/>
      <w:marBottom w:val="0"/>
      <w:divBdr>
        <w:top w:val="none" w:sz="0" w:space="0" w:color="auto"/>
        <w:left w:val="none" w:sz="0" w:space="0" w:color="auto"/>
        <w:bottom w:val="none" w:sz="0" w:space="0" w:color="auto"/>
        <w:right w:val="none" w:sz="0" w:space="0" w:color="auto"/>
      </w:divBdr>
    </w:div>
    <w:div w:id="1691177135">
      <w:bodyDiv w:val="1"/>
      <w:marLeft w:val="0"/>
      <w:marRight w:val="0"/>
      <w:marTop w:val="0"/>
      <w:marBottom w:val="0"/>
      <w:divBdr>
        <w:top w:val="none" w:sz="0" w:space="0" w:color="auto"/>
        <w:left w:val="none" w:sz="0" w:space="0" w:color="auto"/>
        <w:bottom w:val="none" w:sz="0" w:space="0" w:color="auto"/>
        <w:right w:val="none" w:sz="0" w:space="0" w:color="auto"/>
      </w:divBdr>
    </w:div>
    <w:div w:id="1699820386">
      <w:bodyDiv w:val="1"/>
      <w:marLeft w:val="0"/>
      <w:marRight w:val="0"/>
      <w:marTop w:val="0"/>
      <w:marBottom w:val="0"/>
      <w:divBdr>
        <w:top w:val="none" w:sz="0" w:space="0" w:color="auto"/>
        <w:left w:val="none" w:sz="0" w:space="0" w:color="auto"/>
        <w:bottom w:val="none" w:sz="0" w:space="0" w:color="auto"/>
        <w:right w:val="none" w:sz="0" w:space="0" w:color="auto"/>
      </w:divBdr>
    </w:div>
    <w:div w:id="1700202273">
      <w:bodyDiv w:val="1"/>
      <w:marLeft w:val="0"/>
      <w:marRight w:val="0"/>
      <w:marTop w:val="0"/>
      <w:marBottom w:val="0"/>
      <w:divBdr>
        <w:top w:val="none" w:sz="0" w:space="0" w:color="auto"/>
        <w:left w:val="none" w:sz="0" w:space="0" w:color="auto"/>
        <w:bottom w:val="none" w:sz="0" w:space="0" w:color="auto"/>
        <w:right w:val="none" w:sz="0" w:space="0" w:color="auto"/>
      </w:divBdr>
    </w:div>
    <w:div w:id="1701861208">
      <w:bodyDiv w:val="1"/>
      <w:marLeft w:val="0"/>
      <w:marRight w:val="0"/>
      <w:marTop w:val="0"/>
      <w:marBottom w:val="0"/>
      <w:divBdr>
        <w:top w:val="none" w:sz="0" w:space="0" w:color="auto"/>
        <w:left w:val="none" w:sz="0" w:space="0" w:color="auto"/>
        <w:bottom w:val="none" w:sz="0" w:space="0" w:color="auto"/>
        <w:right w:val="none" w:sz="0" w:space="0" w:color="auto"/>
      </w:divBdr>
    </w:div>
    <w:div w:id="1716584949">
      <w:bodyDiv w:val="1"/>
      <w:marLeft w:val="0"/>
      <w:marRight w:val="0"/>
      <w:marTop w:val="0"/>
      <w:marBottom w:val="0"/>
      <w:divBdr>
        <w:top w:val="none" w:sz="0" w:space="0" w:color="auto"/>
        <w:left w:val="none" w:sz="0" w:space="0" w:color="auto"/>
        <w:bottom w:val="none" w:sz="0" w:space="0" w:color="auto"/>
        <w:right w:val="none" w:sz="0" w:space="0" w:color="auto"/>
      </w:divBdr>
    </w:div>
    <w:div w:id="1734616603">
      <w:bodyDiv w:val="1"/>
      <w:marLeft w:val="0"/>
      <w:marRight w:val="0"/>
      <w:marTop w:val="0"/>
      <w:marBottom w:val="0"/>
      <w:divBdr>
        <w:top w:val="none" w:sz="0" w:space="0" w:color="auto"/>
        <w:left w:val="none" w:sz="0" w:space="0" w:color="auto"/>
        <w:bottom w:val="none" w:sz="0" w:space="0" w:color="auto"/>
        <w:right w:val="none" w:sz="0" w:space="0" w:color="auto"/>
      </w:divBdr>
    </w:div>
    <w:div w:id="1736394750">
      <w:bodyDiv w:val="1"/>
      <w:marLeft w:val="0"/>
      <w:marRight w:val="0"/>
      <w:marTop w:val="0"/>
      <w:marBottom w:val="0"/>
      <w:divBdr>
        <w:top w:val="none" w:sz="0" w:space="0" w:color="auto"/>
        <w:left w:val="none" w:sz="0" w:space="0" w:color="auto"/>
        <w:bottom w:val="none" w:sz="0" w:space="0" w:color="auto"/>
        <w:right w:val="none" w:sz="0" w:space="0" w:color="auto"/>
      </w:divBdr>
    </w:div>
    <w:div w:id="1741512840">
      <w:bodyDiv w:val="1"/>
      <w:marLeft w:val="0"/>
      <w:marRight w:val="0"/>
      <w:marTop w:val="0"/>
      <w:marBottom w:val="0"/>
      <w:divBdr>
        <w:top w:val="none" w:sz="0" w:space="0" w:color="auto"/>
        <w:left w:val="none" w:sz="0" w:space="0" w:color="auto"/>
        <w:bottom w:val="none" w:sz="0" w:space="0" w:color="auto"/>
        <w:right w:val="none" w:sz="0" w:space="0" w:color="auto"/>
      </w:divBdr>
    </w:div>
    <w:div w:id="1744372222">
      <w:bodyDiv w:val="1"/>
      <w:marLeft w:val="0"/>
      <w:marRight w:val="0"/>
      <w:marTop w:val="0"/>
      <w:marBottom w:val="0"/>
      <w:divBdr>
        <w:top w:val="none" w:sz="0" w:space="0" w:color="auto"/>
        <w:left w:val="none" w:sz="0" w:space="0" w:color="auto"/>
        <w:bottom w:val="none" w:sz="0" w:space="0" w:color="auto"/>
        <w:right w:val="none" w:sz="0" w:space="0" w:color="auto"/>
      </w:divBdr>
    </w:div>
    <w:div w:id="1750540094">
      <w:bodyDiv w:val="1"/>
      <w:marLeft w:val="0"/>
      <w:marRight w:val="0"/>
      <w:marTop w:val="0"/>
      <w:marBottom w:val="0"/>
      <w:divBdr>
        <w:top w:val="none" w:sz="0" w:space="0" w:color="auto"/>
        <w:left w:val="none" w:sz="0" w:space="0" w:color="auto"/>
        <w:bottom w:val="none" w:sz="0" w:space="0" w:color="auto"/>
        <w:right w:val="none" w:sz="0" w:space="0" w:color="auto"/>
      </w:divBdr>
    </w:div>
    <w:div w:id="1752001025">
      <w:bodyDiv w:val="1"/>
      <w:marLeft w:val="0"/>
      <w:marRight w:val="0"/>
      <w:marTop w:val="0"/>
      <w:marBottom w:val="0"/>
      <w:divBdr>
        <w:top w:val="none" w:sz="0" w:space="0" w:color="auto"/>
        <w:left w:val="none" w:sz="0" w:space="0" w:color="auto"/>
        <w:bottom w:val="none" w:sz="0" w:space="0" w:color="auto"/>
        <w:right w:val="none" w:sz="0" w:space="0" w:color="auto"/>
      </w:divBdr>
    </w:div>
    <w:div w:id="1755973622">
      <w:bodyDiv w:val="1"/>
      <w:marLeft w:val="0"/>
      <w:marRight w:val="0"/>
      <w:marTop w:val="0"/>
      <w:marBottom w:val="0"/>
      <w:divBdr>
        <w:top w:val="none" w:sz="0" w:space="0" w:color="auto"/>
        <w:left w:val="none" w:sz="0" w:space="0" w:color="auto"/>
        <w:bottom w:val="none" w:sz="0" w:space="0" w:color="auto"/>
        <w:right w:val="none" w:sz="0" w:space="0" w:color="auto"/>
      </w:divBdr>
    </w:div>
    <w:div w:id="1758091672">
      <w:bodyDiv w:val="1"/>
      <w:marLeft w:val="0"/>
      <w:marRight w:val="0"/>
      <w:marTop w:val="0"/>
      <w:marBottom w:val="0"/>
      <w:divBdr>
        <w:top w:val="none" w:sz="0" w:space="0" w:color="auto"/>
        <w:left w:val="none" w:sz="0" w:space="0" w:color="auto"/>
        <w:bottom w:val="none" w:sz="0" w:space="0" w:color="auto"/>
        <w:right w:val="none" w:sz="0" w:space="0" w:color="auto"/>
      </w:divBdr>
    </w:div>
    <w:div w:id="1762677290">
      <w:bodyDiv w:val="1"/>
      <w:marLeft w:val="0"/>
      <w:marRight w:val="0"/>
      <w:marTop w:val="0"/>
      <w:marBottom w:val="0"/>
      <w:divBdr>
        <w:top w:val="none" w:sz="0" w:space="0" w:color="auto"/>
        <w:left w:val="none" w:sz="0" w:space="0" w:color="auto"/>
        <w:bottom w:val="none" w:sz="0" w:space="0" w:color="auto"/>
        <w:right w:val="none" w:sz="0" w:space="0" w:color="auto"/>
      </w:divBdr>
    </w:div>
    <w:div w:id="1767388373">
      <w:bodyDiv w:val="1"/>
      <w:marLeft w:val="0"/>
      <w:marRight w:val="0"/>
      <w:marTop w:val="0"/>
      <w:marBottom w:val="0"/>
      <w:divBdr>
        <w:top w:val="none" w:sz="0" w:space="0" w:color="auto"/>
        <w:left w:val="none" w:sz="0" w:space="0" w:color="auto"/>
        <w:bottom w:val="none" w:sz="0" w:space="0" w:color="auto"/>
        <w:right w:val="none" w:sz="0" w:space="0" w:color="auto"/>
      </w:divBdr>
    </w:div>
    <w:div w:id="1769502952">
      <w:bodyDiv w:val="1"/>
      <w:marLeft w:val="0"/>
      <w:marRight w:val="0"/>
      <w:marTop w:val="0"/>
      <w:marBottom w:val="0"/>
      <w:divBdr>
        <w:top w:val="none" w:sz="0" w:space="0" w:color="auto"/>
        <w:left w:val="none" w:sz="0" w:space="0" w:color="auto"/>
        <w:bottom w:val="none" w:sz="0" w:space="0" w:color="auto"/>
        <w:right w:val="none" w:sz="0" w:space="0" w:color="auto"/>
      </w:divBdr>
    </w:div>
    <w:div w:id="1779332330">
      <w:bodyDiv w:val="1"/>
      <w:marLeft w:val="0"/>
      <w:marRight w:val="0"/>
      <w:marTop w:val="0"/>
      <w:marBottom w:val="0"/>
      <w:divBdr>
        <w:top w:val="none" w:sz="0" w:space="0" w:color="auto"/>
        <w:left w:val="none" w:sz="0" w:space="0" w:color="auto"/>
        <w:bottom w:val="none" w:sz="0" w:space="0" w:color="auto"/>
        <w:right w:val="none" w:sz="0" w:space="0" w:color="auto"/>
      </w:divBdr>
    </w:div>
    <w:div w:id="1794401235">
      <w:bodyDiv w:val="1"/>
      <w:marLeft w:val="0"/>
      <w:marRight w:val="0"/>
      <w:marTop w:val="0"/>
      <w:marBottom w:val="0"/>
      <w:divBdr>
        <w:top w:val="none" w:sz="0" w:space="0" w:color="auto"/>
        <w:left w:val="none" w:sz="0" w:space="0" w:color="auto"/>
        <w:bottom w:val="none" w:sz="0" w:space="0" w:color="auto"/>
        <w:right w:val="none" w:sz="0" w:space="0" w:color="auto"/>
      </w:divBdr>
    </w:div>
    <w:div w:id="1795557852">
      <w:bodyDiv w:val="1"/>
      <w:marLeft w:val="0"/>
      <w:marRight w:val="0"/>
      <w:marTop w:val="0"/>
      <w:marBottom w:val="0"/>
      <w:divBdr>
        <w:top w:val="none" w:sz="0" w:space="0" w:color="auto"/>
        <w:left w:val="none" w:sz="0" w:space="0" w:color="auto"/>
        <w:bottom w:val="none" w:sz="0" w:space="0" w:color="auto"/>
        <w:right w:val="none" w:sz="0" w:space="0" w:color="auto"/>
      </w:divBdr>
    </w:div>
    <w:div w:id="1803843577">
      <w:bodyDiv w:val="1"/>
      <w:marLeft w:val="0"/>
      <w:marRight w:val="0"/>
      <w:marTop w:val="0"/>
      <w:marBottom w:val="0"/>
      <w:divBdr>
        <w:top w:val="none" w:sz="0" w:space="0" w:color="auto"/>
        <w:left w:val="none" w:sz="0" w:space="0" w:color="auto"/>
        <w:bottom w:val="none" w:sz="0" w:space="0" w:color="auto"/>
        <w:right w:val="none" w:sz="0" w:space="0" w:color="auto"/>
      </w:divBdr>
    </w:div>
    <w:div w:id="1821846277">
      <w:bodyDiv w:val="1"/>
      <w:marLeft w:val="0"/>
      <w:marRight w:val="0"/>
      <w:marTop w:val="0"/>
      <w:marBottom w:val="0"/>
      <w:divBdr>
        <w:top w:val="none" w:sz="0" w:space="0" w:color="auto"/>
        <w:left w:val="none" w:sz="0" w:space="0" w:color="auto"/>
        <w:bottom w:val="none" w:sz="0" w:space="0" w:color="auto"/>
        <w:right w:val="none" w:sz="0" w:space="0" w:color="auto"/>
      </w:divBdr>
    </w:div>
    <w:div w:id="1822190437">
      <w:bodyDiv w:val="1"/>
      <w:marLeft w:val="0"/>
      <w:marRight w:val="0"/>
      <w:marTop w:val="0"/>
      <w:marBottom w:val="0"/>
      <w:divBdr>
        <w:top w:val="none" w:sz="0" w:space="0" w:color="auto"/>
        <w:left w:val="none" w:sz="0" w:space="0" w:color="auto"/>
        <w:bottom w:val="none" w:sz="0" w:space="0" w:color="auto"/>
        <w:right w:val="none" w:sz="0" w:space="0" w:color="auto"/>
      </w:divBdr>
    </w:div>
    <w:div w:id="1829975756">
      <w:bodyDiv w:val="1"/>
      <w:marLeft w:val="0"/>
      <w:marRight w:val="0"/>
      <w:marTop w:val="0"/>
      <w:marBottom w:val="0"/>
      <w:divBdr>
        <w:top w:val="none" w:sz="0" w:space="0" w:color="auto"/>
        <w:left w:val="none" w:sz="0" w:space="0" w:color="auto"/>
        <w:bottom w:val="none" w:sz="0" w:space="0" w:color="auto"/>
        <w:right w:val="none" w:sz="0" w:space="0" w:color="auto"/>
      </w:divBdr>
    </w:div>
    <w:div w:id="1839687725">
      <w:bodyDiv w:val="1"/>
      <w:marLeft w:val="0"/>
      <w:marRight w:val="0"/>
      <w:marTop w:val="0"/>
      <w:marBottom w:val="0"/>
      <w:divBdr>
        <w:top w:val="none" w:sz="0" w:space="0" w:color="auto"/>
        <w:left w:val="none" w:sz="0" w:space="0" w:color="auto"/>
        <w:bottom w:val="none" w:sz="0" w:space="0" w:color="auto"/>
        <w:right w:val="none" w:sz="0" w:space="0" w:color="auto"/>
      </w:divBdr>
    </w:div>
    <w:div w:id="1856528229">
      <w:bodyDiv w:val="1"/>
      <w:marLeft w:val="0"/>
      <w:marRight w:val="0"/>
      <w:marTop w:val="0"/>
      <w:marBottom w:val="0"/>
      <w:divBdr>
        <w:top w:val="none" w:sz="0" w:space="0" w:color="auto"/>
        <w:left w:val="none" w:sz="0" w:space="0" w:color="auto"/>
        <w:bottom w:val="none" w:sz="0" w:space="0" w:color="auto"/>
        <w:right w:val="none" w:sz="0" w:space="0" w:color="auto"/>
      </w:divBdr>
    </w:div>
    <w:div w:id="1857231248">
      <w:bodyDiv w:val="1"/>
      <w:marLeft w:val="0"/>
      <w:marRight w:val="0"/>
      <w:marTop w:val="0"/>
      <w:marBottom w:val="0"/>
      <w:divBdr>
        <w:top w:val="none" w:sz="0" w:space="0" w:color="auto"/>
        <w:left w:val="none" w:sz="0" w:space="0" w:color="auto"/>
        <w:bottom w:val="none" w:sz="0" w:space="0" w:color="auto"/>
        <w:right w:val="none" w:sz="0" w:space="0" w:color="auto"/>
      </w:divBdr>
    </w:div>
    <w:div w:id="1861385862">
      <w:bodyDiv w:val="1"/>
      <w:marLeft w:val="0"/>
      <w:marRight w:val="0"/>
      <w:marTop w:val="0"/>
      <w:marBottom w:val="0"/>
      <w:divBdr>
        <w:top w:val="none" w:sz="0" w:space="0" w:color="auto"/>
        <w:left w:val="none" w:sz="0" w:space="0" w:color="auto"/>
        <w:bottom w:val="none" w:sz="0" w:space="0" w:color="auto"/>
        <w:right w:val="none" w:sz="0" w:space="0" w:color="auto"/>
      </w:divBdr>
    </w:div>
    <w:div w:id="1866480989">
      <w:bodyDiv w:val="1"/>
      <w:marLeft w:val="0"/>
      <w:marRight w:val="0"/>
      <w:marTop w:val="0"/>
      <w:marBottom w:val="0"/>
      <w:divBdr>
        <w:top w:val="none" w:sz="0" w:space="0" w:color="auto"/>
        <w:left w:val="none" w:sz="0" w:space="0" w:color="auto"/>
        <w:bottom w:val="none" w:sz="0" w:space="0" w:color="auto"/>
        <w:right w:val="none" w:sz="0" w:space="0" w:color="auto"/>
      </w:divBdr>
    </w:div>
    <w:div w:id="1872498404">
      <w:bodyDiv w:val="1"/>
      <w:marLeft w:val="0"/>
      <w:marRight w:val="0"/>
      <w:marTop w:val="0"/>
      <w:marBottom w:val="0"/>
      <w:divBdr>
        <w:top w:val="none" w:sz="0" w:space="0" w:color="auto"/>
        <w:left w:val="none" w:sz="0" w:space="0" w:color="auto"/>
        <w:bottom w:val="none" w:sz="0" w:space="0" w:color="auto"/>
        <w:right w:val="none" w:sz="0" w:space="0" w:color="auto"/>
      </w:divBdr>
    </w:div>
    <w:div w:id="1876770331">
      <w:bodyDiv w:val="1"/>
      <w:marLeft w:val="0"/>
      <w:marRight w:val="0"/>
      <w:marTop w:val="0"/>
      <w:marBottom w:val="0"/>
      <w:divBdr>
        <w:top w:val="none" w:sz="0" w:space="0" w:color="auto"/>
        <w:left w:val="none" w:sz="0" w:space="0" w:color="auto"/>
        <w:bottom w:val="none" w:sz="0" w:space="0" w:color="auto"/>
        <w:right w:val="none" w:sz="0" w:space="0" w:color="auto"/>
      </w:divBdr>
    </w:div>
    <w:div w:id="1894002843">
      <w:bodyDiv w:val="1"/>
      <w:marLeft w:val="0"/>
      <w:marRight w:val="0"/>
      <w:marTop w:val="0"/>
      <w:marBottom w:val="0"/>
      <w:divBdr>
        <w:top w:val="none" w:sz="0" w:space="0" w:color="auto"/>
        <w:left w:val="none" w:sz="0" w:space="0" w:color="auto"/>
        <w:bottom w:val="none" w:sz="0" w:space="0" w:color="auto"/>
        <w:right w:val="none" w:sz="0" w:space="0" w:color="auto"/>
      </w:divBdr>
    </w:div>
    <w:div w:id="1900749813">
      <w:bodyDiv w:val="1"/>
      <w:marLeft w:val="0"/>
      <w:marRight w:val="0"/>
      <w:marTop w:val="0"/>
      <w:marBottom w:val="0"/>
      <w:divBdr>
        <w:top w:val="none" w:sz="0" w:space="0" w:color="auto"/>
        <w:left w:val="none" w:sz="0" w:space="0" w:color="auto"/>
        <w:bottom w:val="none" w:sz="0" w:space="0" w:color="auto"/>
        <w:right w:val="none" w:sz="0" w:space="0" w:color="auto"/>
      </w:divBdr>
    </w:div>
    <w:div w:id="1937861679">
      <w:bodyDiv w:val="1"/>
      <w:marLeft w:val="0"/>
      <w:marRight w:val="0"/>
      <w:marTop w:val="0"/>
      <w:marBottom w:val="0"/>
      <w:divBdr>
        <w:top w:val="none" w:sz="0" w:space="0" w:color="auto"/>
        <w:left w:val="none" w:sz="0" w:space="0" w:color="auto"/>
        <w:bottom w:val="none" w:sz="0" w:space="0" w:color="auto"/>
        <w:right w:val="none" w:sz="0" w:space="0" w:color="auto"/>
      </w:divBdr>
    </w:div>
    <w:div w:id="1938714285">
      <w:bodyDiv w:val="1"/>
      <w:marLeft w:val="0"/>
      <w:marRight w:val="0"/>
      <w:marTop w:val="0"/>
      <w:marBottom w:val="0"/>
      <w:divBdr>
        <w:top w:val="none" w:sz="0" w:space="0" w:color="auto"/>
        <w:left w:val="none" w:sz="0" w:space="0" w:color="auto"/>
        <w:bottom w:val="none" w:sz="0" w:space="0" w:color="auto"/>
        <w:right w:val="none" w:sz="0" w:space="0" w:color="auto"/>
      </w:divBdr>
    </w:div>
    <w:div w:id="1942713590">
      <w:bodyDiv w:val="1"/>
      <w:marLeft w:val="0"/>
      <w:marRight w:val="0"/>
      <w:marTop w:val="0"/>
      <w:marBottom w:val="0"/>
      <w:divBdr>
        <w:top w:val="none" w:sz="0" w:space="0" w:color="auto"/>
        <w:left w:val="none" w:sz="0" w:space="0" w:color="auto"/>
        <w:bottom w:val="none" w:sz="0" w:space="0" w:color="auto"/>
        <w:right w:val="none" w:sz="0" w:space="0" w:color="auto"/>
      </w:divBdr>
    </w:div>
    <w:div w:id="1946644677">
      <w:bodyDiv w:val="1"/>
      <w:marLeft w:val="0"/>
      <w:marRight w:val="0"/>
      <w:marTop w:val="0"/>
      <w:marBottom w:val="0"/>
      <w:divBdr>
        <w:top w:val="none" w:sz="0" w:space="0" w:color="auto"/>
        <w:left w:val="none" w:sz="0" w:space="0" w:color="auto"/>
        <w:bottom w:val="none" w:sz="0" w:space="0" w:color="auto"/>
        <w:right w:val="none" w:sz="0" w:space="0" w:color="auto"/>
      </w:divBdr>
    </w:div>
    <w:div w:id="1946962277">
      <w:bodyDiv w:val="1"/>
      <w:marLeft w:val="0"/>
      <w:marRight w:val="0"/>
      <w:marTop w:val="0"/>
      <w:marBottom w:val="0"/>
      <w:divBdr>
        <w:top w:val="none" w:sz="0" w:space="0" w:color="auto"/>
        <w:left w:val="none" w:sz="0" w:space="0" w:color="auto"/>
        <w:bottom w:val="none" w:sz="0" w:space="0" w:color="auto"/>
        <w:right w:val="none" w:sz="0" w:space="0" w:color="auto"/>
      </w:divBdr>
    </w:div>
    <w:div w:id="1950509859">
      <w:bodyDiv w:val="1"/>
      <w:marLeft w:val="0"/>
      <w:marRight w:val="0"/>
      <w:marTop w:val="0"/>
      <w:marBottom w:val="0"/>
      <w:divBdr>
        <w:top w:val="none" w:sz="0" w:space="0" w:color="auto"/>
        <w:left w:val="none" w:sz="0" w:space="0" w:color="auto"/>
        <w:bottom w:val="none" w:sz="0" w:space="0" w:color="auto"/>
        <w:right w:val="none" w:sz="0" w:space="0" w:color="auto"/>
      </w:divBdr>
    </w:div>
    <w:div w:id="1954745820">
      <w:bodyDiv w:val="1"/>
      <w:marLeft w:val="0"/>
      <w:marRight w:val="0"/>
      <w:marTop w:val="0"/>
      <w:marBottom w:val="0"/>
      <w:divBdr>
        <w:top w:val="none" w:sz="0" w:space="0" w:color="auto"/>
        <w:left w:val="none" w:sz="0" w:space="0" w:color="auto"/>
        <w:bottom w:val="none" w:sz="0" w:space="0" w:color="auto"/>
        <w:right w:val="none" w:sz="0" w:space="0" w:color="auto"/>
      </w:divBdr>
    </w:div>
    <w:div w:id="1960338654">
      <w:bodyDiv w:val="1"/>
      <w:marLeft w:val="0"/>
      <w:marRight w:val="0"/>
      <w:marTop w:val="0"/>
      <w:marBottom w:val="0"/>
      <w:divBdr>
        <w:top w:val="none" w:sz="0" w:space="0" w:color="auto"/>
        <w:left w:val="none" w:sz="0" w:space="0" w:color="auto"/>
        <w:bottom w:val="none" w:sz="0" w:space="0" w:color="auto"/>
        <w:right w:val="none" w:sz="0" w:space="0" w:color="auto"/>
      </w:divBdr>
    </w:div>
    <w:div w:id="1962765542">
      <w:bodyDiv w:val="1"/>
      <w:marLeft w:val="0"/>
      <w:marRight w:val="0"/>
      <w:marTop w:val="0"/>
      <w:marBottom w:val="0"/>
      <w:divBdr>
        <w:top w:val="none" w:sz="0" w:space="0" w:color="auto"/>
        <w:left w:val="none" w:sz="0" w:space="0" w:color="auto"/>
        <w:bottom w:val="none" w:sz="0" w:space="0" w:color="auto"/>
        <w:right w:val="none" w:sz="0" w:space="0" w:color="auto"/>
      </w:divBdr>
    </w:div>
    <w:div w:id="1965112028">
      <w:bodyDiv w:val="1"/>
      <w:marLeft w:val="0"/>
      <w:marRight w:val="0"/>
      <w:marTop w:val="0"/>
      <w:marBottom w:val="0"/>
      <w:divBdr>
        <w:top w:val="none" w:sz="0" w:space="0" w:color="auto"/>
        <w:left w:val="none" w:sz="0" w:space="0" w:color="auto"/>
        <w:bottom w:val="none" w:sz="0" w:space="0" w:color="auto"/>
        <w:right w:val="none" w:sz="0" w:space="0" w:color="auto"/>
      </w:divBdr>
    </w:div>
    <w:div w:id="1969703512">
      <w:bodyDiv w:val="1"/>
      <w:marLeft w:val="0"/>
      <w:marRight w:val="0"/>
      <w:marTop w:val="0"/>
      <w:marBottom w:val="0"/>
      <w:divBdr>
        <w:top w:val="none" w:sz="0" w:space="0" w:color="auto"/>
        <w:left w:val="none" w:sz="0" w:space="0" w:color="auto"/>
        <w:bottom w:val="none" w:sz="0" w:space="0" w:color="auto"/>
        <w:right w:val="none" w:sz="0" w:space="0" w:color="auto"/>
      </w:divBdr>
    </w:div>
    <w:div w:id="1983343318">
      <w:bodyDiv w:val="1"/>
      <w:marLeft w:val="0"/>
      <w:marRight w:val="0"/>
      <w:marTop w:val="0"/>
      <w:marBottom w:val="0"/>
      <w:divBdr>
        <w:top w:val="none" w:sz="0" w:space="0" w:color="auto"/>
        <w:left w:val="none" w:sz="0" w:space="0" w:color="auto"/>
        <w:bottom w:val="none" w:sz="0" w:space="0" w:color="auto"/>
        <w:right w:val="none" w:sz="0" w:space="0" w:color="auto"/>
      </w:divBdr>
    </w:div>
    <w:div w:id="1983921050">
      <w:bodyDiv w:val="1"/>
      <w:marLeft w:val="0"/>
      <w:marRight w:val="0"/>
      <w:marTop w:val="0"/>
      <w:marBottom w:val="0"/>
      <w:divBdr>
        <w:top w:val="none" w:sz="0" w:space="0" w:color="auto"/>
        <w:left w:val="none" w:sz="0" w:space="0" w:color="auto"/>
        <w:bottom w:val="none" w:sz="0" w:space="0" w:color="auto"/>
        <w:right w:val="none" w:sz="0" w:space="0" w:color="auto"/>
      </w:divBdr>
    </w:div>
    <w:div w:id="1988588065">
      <w:bodyDiv w:val="1"/>
      <w:marLeft w:val="0"/>
      <w:marRight w:val="0"/>
      <w:marTop w:val="0"/>
      <w:marBottom w:val="0"/>
      <w:divBdr>
        <w:top w:val="none" w:sz="0" w:space="0" w:color="auto"/>
        <w:left w:val="none" w:sz="0" w:space="0" w:color="auto"/>
        <w:bottom w:val="none" w:sz="0" w:space="0" w:color="auto"/>
        <w:right w:val="none" w:sz="0" w:space="0" w:color="auto"/>
      </w:divBdr>
    </w:div>
    <w:div w:id="1992446392">
      <w:bodyDiv w:val="1"/>
      <w:marLeft w:val="0"/>
      <w:marRight w:val="0"/>
      <w:marTop w:val="0"/>
      <w:marBottom w:val="0"/>
      <w:divBdr>
        <w:top w:val="none" w:sz="0" w:space="0" w:color="auto"/>
        <w:left w:val="none" w:sz="0" w:space="0" w:color="auto"/>
        <w:bottom w:val="none" w:sz="0" w:space="0" w:color="auto"/>
        <w:right w:val="none" w:sz="0" w:space="0" w:color="auto"/>
      </w:divBdr>
    </w:div>
    <w:div w:id="1993873018">
      <w:bodyDiv w:val="1"/>
      <w:marLeft w:val="0"/>
      <w:marRight w:val="0"/>
      <w:marTop w:val="0"/>
      <w:marBottom w:val="0"/>
      <w:divBdr>
        <w:top w:val="none" w:sz="0" w:space="0" w:color="auto"/>
        <w:left w:val="none" w:sz="0" w:space="0" w:color="auto"/>
        <w:bottom w:val="none" w:sz="0" w:space="0" w:color="auto"/>
        <w:right w:val="none" w:sz="0" w:space="0" w:color="auto"/>
      </w:divBdr>
    </w:div>
    <w:div w:id="1996374943">
      <w:bodyDiv w:val="1"/>
      <w:marLeft w:val="0"/>
      <w:marRight w:val="0"/>
      <w:marTop w:val="0"/>
      <w:marBottom w:val="0"/>
      <w:divBdr>
        <w:top w:val="none" w:sz="0" w:space="0" w:color="auto"/>
        <w:left w:val="none" w:sz="0" w:space="0" w:color="auto"/>
        <w:bottom w:val="none" w:sz="0" w:space="0" w:color="auto"/>
        <w:right w:val="none" w:sz="0" w:space="0" w:color="auto"/>
      </w:divBdr>
    </w:div>
    <w:div w:id="1997565501">
      <w:bodyDiv w:val="1"/>
      <w:marLeft w:val="0"/>
      <w:marRight w:val="0"/>
      <w:marTop w:val="0"/>
      <w:marBottom w:val="0"/>
      <w:divBdr>
        <w:top w:val="none" w:sz="0" w:space="0" w:color="auto"/>
        <w:left w:val="none" w:sz="0" w:space="0" w:color="auto"/>
        <w:bottom w:val="none" w:sz="0" w:space="0" w:color="auto"/>
        <w:right w:val="none" w:sz="0" w:space="0" w:color="auto"/>
      </w:divBdr>
    </w:div>
    <w:div w:id="1998534278">
      <w:bodyDiv w:val="1"/>
      <w:marLeft w:val="0"/>
      <w:marRight w:val="0"/>
      <w:marTop w:val="0"/>
      <w:marBottom w:val="0"/>
      <w:divBdr>
        <w:top w:val="none" w:sz="0" w:space="0" w:color="auto"/>
        <w:left w:val="none" w:sz="0" w:space="0" w:color="auto"/>
        <w:bottom w:val="none" w:sz="0" w:space="0" w:color="auto"/>
        <w:right w:val="none" w:sz="0" w:space="0" w:color="auto"/>
      </w:divBdr>
    </w:div>
    <w:div w:id="2007631234">
      <w:bodyDiv w:val="1"/>
      <w:marLeft w:val="0"/>
      <w:marRight w:val="0"/>
      <w:marTop w:val="0"/>
      <w:marBottom w:val="0"/>
      <w:divBdr>
        <w:top w:val="none" w:sz="0" w:space="0" w:color="auto"/>
        <w:left w:val="none" w:sz="0" w:space="0" w:color="auto"/>
        <w:bottom w:val="none" w:sz="0" w:space="0" w:color="auto"/>
        <w:right w:val="none" w:sz="0" w:space="0" w:color="auto"/>
      </w:divBdr>
    </w:div>
    <w:div w:id="2026898859">
      <w:bodyDiv w:val="1"/>
      <w:marLeft w:val="0"/>
      <w:marRight w:val="0"/>
      <w:marTop w:val="0"/>
      <w:marBottom w:val="0"/>
      <w:divBdr>
        <w:top w:val="none" w:sz="0" w:space="0" w:color="auto"/>
        <w:left w:val="none" w:sz="0" w:space="0" w:color="auto"/>
        <w:bottom w:val="none" w:sz="0" w:space="0" w:color="auto"/>
        <w:right w:val="none" w:sz="0" w:space="0" w:color="auto"/>
      </w:divBdr>
    </w:div>
    <w:div w:id="2027829452">
      <w:bodyDiv w:val="1"/>
      <w:marLeft w:val="0"/>
      <w:marRight w:val="0"/>
      <w:marTop w:val="0"/>
      <w:marBottom w:val="0"/>
      <w:divBdr>
        <w:top w:val="none" w:sz="0" w:space="0" w:color="auto"/>
        <w:left w:val="none" w:sz="0" w:space="0" w:color="auto"/>
        <w:bottom w:val="none" w:sz="0" w:space="0" w:color="auto"/>
        <w:right w:val="none" w:sz="0" w:space="0" w:color="auto"/>
      </w:divBdr>
    </w:div>
    <w:div w:id="2028409495">
      <w:bodyDiv w:val="1"/>
      <w:marLeft w:val="0"/>
      <w:marRight w:val="0"/>
      <w:marTop w:val="0"/>
      <w:marBottom w:val="0"/>
      <w:divBdr>
        <w:top w:val="none" w:sz="0" w:space="0" w:color="auto"/>
        <w:left w:val="none" w:sz="0" w:space="0" w:color="auto"/>
        <w:bottom w:val="none" w:sz="0" w:space="0" w:color="auto"/>
        <w:right w:val="none" w:sz="0" w:space="0" w:color="auto"/>
      </w:divBdr>
    </w:div>
    <w:div w:id="2030058049">
      <w:bodyDiv w:val="1"/>
      <w:marLeft w:val="0"/>
      <w:marRight w:val="0"/>
      <w:marTop w:val="0"/>
      <w:marBottom w:val="0"/>
      <w:divBdr>
        <w:top w:val="none" w:sz="0" w:space="0" w:color="auto"/>
        <w:left w:val="none" w:sz="0" w:space="0" w:color="auto"/>
        <w:bottom w:val="none" w:sz="0" w:space="0" w:color="auto"/>
        <w:right w:val="none" w:sz="0" w:space="0" w:color="auto"/>
      </w:divBdr>
    </w:div>
    <w:div w:id="2031682743">
      <w:bodyDiv w:val="1"/>
      <w:marLeft w:val="0"/>
      <w:marRight w:val="0"/>
      <w:marTop w:val="0"/>
      <w:marBottom w:val="0"/>
      <w:divBdr>
        <w:top w:val="none" w:sz="0" w:space="0" w:color="auto"/>
        <w:left w:val="none" w:sz="0" w:space="0" w:color="auto"/>
        <w:bottom w:val="none" w:sz="0" w:space="0" w:color="auto"/>
        <w:right w:val="none" w:sz="0" w:space="0" w:color="auto"/>
      </w:divBdr>
    </w:div>
    <w:div w:id="2032562128">
      <w:bodyDiv w:val="1"/>
      <w:marLeft w:val="0"/>
      <w:marRight w:val="0"/>
      <w:marTop w:val="0"/>
      <w:marBottom w:val="0"/>
      <w:divBdr>
        <w:top w:val="none" w:sz="0" w:space="0" w:color="auto"/>
        <w:left w:val="none" w:sz="0" w:space="0" w:color="auto"/>
        <w:bottom w:val="none" w:sz="0" w:space="0" w:color="auto"/>
        <w:right w:val="none" w:sz="0" w:space="0" w:color="auto"/>
      </w:divBdr>
    </w:div>
    <w:div w:id="2033728905">
      <w:bodyDiv w:val="1"/>
      <w:marLeft w:val="0"/>
      <w:marRight w:val="0"/>
      <w:marTop w:val="0"/>
      <w:marBottom w:val="0"/>
      <w:divBdr>
        <w:top w:val="none" w:sz="0" w:space="0" w:color="auto"/>
        <w:left w:val="none" w:sz="0" w:space="0" w:color="auto"/>
        <w:bottom w:val="none" w:sz="0" w:space="0" w:color="auto"/>
        <w:right w:val="none" w:sz="0" w:space="0" w:color="auto"/>
      </w:divBdr>
    </w:div>
    <w:div w:id="2038697923">
      <w:bodyDiv w:val="1"/>
      <w:marLeft w:val="0"/>
      <w:marRight w:val="0"/>
      <w:marTop w:val="0"/>
      <w:marBottom w:val="0"/>
      <w:divBdr>
        <w:top w:val="none" w:sz="0" w:space="0" w:color="auto"/>
        <w:left w:val="none" w:sz="0" w:space="0" w:color="auto"/>
        <w:bottom w:val="none" w:sz="0" w:space="0" w:color="auto"/>
        <w:right w:val="none" w:sz="0" w:space="0" w:color="auto"/>
      </w:divBdr>
    </w:div>
    <w:div w:id="2040622205">
      <w:bodyDiv w:val="1"/>
      <w:marLeft w:val="0"/>
      <w:marRight w:val="0"/>
      <w:marTop w:val="0"/>
      <w:marBottom w:val="0"/>
      <w:divBdr>
        <w:top w:val="none" w:sz="0" w:space="0" w:color="auto"/>
        <w:left w:val="none" w:sz="0" w:space="0" w:color="auto"/>
        <w:bottom w:val="none" w:sz="0" w:space="0" w:color="auto"/>
        <w:right w:val="none" w:sz="0" w:space="0" w:color="auto"/>
      </w:divBdr>
    </w:div>
    <w:div w:id="2045904451">
      <w:bodyDiv w:val="1"/>
      <w:marLeft w:val="0"/>
      <w:marRight w:val="0"/>
      <w:marTop w:val="0"/>
      <w:marBottom w:val="0"/>
      <w:divBdr>
        <w:top w:val="none" w:sz="0" w:space="0" w:color="auto"/>
        <w:left w:val="none" w:sz="0" w:space="0" w:color="auto"/>
        <w:bottom w:val="none" w:sz="0" w:space="0" w:color="auto"/>
        <w:right w:val="none" w:sz="0" w:space="0" w:color="auto"/>
      </w:divBdr>
    </w:div>
    <w:div w:id="2060781715">
      <w:bodyDiv w:val="1"/>
      <w:marLeft w:val="0"/>
      <w:marRight w:val="0"/>
      <w:marTop w:val="0"/>
      <w:marBottom w:val="0"/>
      <w:divBdr>
        <w:top w:val="none" w:sz="0" w:space="0" w:color="auto"/>
        <w:left w:val="none" w:sz="0" w:space="0" w:color="auto"/>
        <w:bottom w:val="none" w:sz="0" w:space="0" w:color="auto"/>
        <w:right w:val="none" w:sz="0" w:space="0" w:color="auto"/>
      </w:divBdr>
    </w:div>
    <w:div w:id="2063096899">
      <w:bodyDiv w:val="1"/>
      <w:marLeft w:val="0"/>
      <w:marRight w:val="0"/>
      <w:marTop w:val="0"/>
      <w:marBottom w:val="0"/>
      <w:divBdr>
        <w:top w:val="none" w:sz="0" w:space="0" w:color="auto"/>
        <w:left w:val="none" w:sz="0" w:space="0" w:color="auto"/>
        <w:bottom w:val="none" w:sz="0" w:space="0" w:color="auto"/>
        <w:right w:val="none" w:sz="0" w:space="0" w:color="auto"/>
      </w:divBdr>
    </w:div>
    <w:div w:id="2067604679">
      <w:bodyDiv w:val="1"/>
      <w:marLeft w:val="0"/>
      <w:marRight w:val="0"/>
      <w:marTop w:val="0"/>
      <w:marBottom w:val="0"/>
      <w:divBdr>
        <w:top w:val="none" w:sz="0" w:space="0" w:color="auto"/>
        <w:left w:val="none" w:sz="0" w:space="0" w:color="auto"/>
        <w:bottom w:val="none" w:sz="0" w:space="0" w:color="auto"/>
        <w:right w:val="none" w:sz="0" w:space="0" w:color="auto"/>
      </w:divBdr>
    </w:div>
    <w:div w:id="2075464730">
      <w:bodyDiv w:val="1"/>
      <w:marLeft w:val="0"/>
      <w:marRight w:val="0"/>
      <w:marTop w:val="0"/>
      <w:marBottom w:val="0"/>
      <w:divBdr>
        <w:top w:val="none" w:sz="0" w:space="0" w:color="auto"/>
        <w:left w:val="none" w:sz="0" w:space="0" w:color="auto"/>
        <w:bottom w:val="none" w:sz="0" w:space="0" w:color="auto"/>
        <w:right w:val="none" w:sz="0" w:space="0" w:color="auto"/>
      </w:divBdr>
    </w:div>
    <w:div w:id="2076320131">
      <w:bodyDiv w:val="1"/>
      <w:marLeft w:val="0"/>
      <w:marRight w:val="0"/>
      <w:marTop w:val="0"/>
      <w:marBottom w:val="0"/>
      <w:divBdr>
        <w:top w:val="none" w:sz="0" w:space="0" w:color="auto"/>
        <w:left w:val="none" w:sz="0" w:space="0" w:color="auto"/>
        <w:bottom w:val="none" w:sz="0" w:space="0" w:color="auto"/>
        <w:right w:val="none" w:sz="0" w:space="0" w:color="auto"/>
      </w:divBdr>
    </w:div>
    <w:div w:id="2111928274">
      <w:bodyDiv w:val="1"/>
      <w:marLeft w:val="0"/>
      <w:marRight w:val="0"/>
      <w:marTop w:val="0"/>
      <w:marBottom w:val="0"/>
      <w:divBdr>
        <w:top w:val="none" w:sz="0" w:space="0" w:color="auto"/>
        <w:left w:val="none" w:sz="0" w:space="0" w:color="auto"/>
        <w:bottom w:val="none" w:sz="0" w:space="0" w:color="auto"/>
        <w:right w:val="none" w:sz="0" w:space="0" w:color="auto"/>
      </w:divBdr>
    </w:div>
    <w:div w:id="2112817391">
      <w:bodyDiv w:val="1"/>
      <w:marLeft w:val="0"/>
      <w:marRight w:val="0"/>
      <w:marTop w:val="0"/>
      <w:marBottom w:val="0"/>
      <w:divBdr>
        <w:top w:val="none" w:sz="0" w:space="0" w:color="auto"/>
        <w:left w:val="none" w:sz="0" w:space="0" w:color="auto"/>
        <w:bottom w:val="none" w:sz="0" w:space="0" w:color="auto"/>
        <w:right w:val="none" w:sz="0" w:space="0" w:color="auto"/>
      </w:divBdr>
    </w:div>
    <w:div w:id="2118601850">
      <w:bodyDiv w:val="1"/>
      <w:marLeft w:val="0"/>
      <w:marRight w:val="0"/>
      <w:marTop w:val="0"/>
      <w:marBottom w:val="0"/>
      <w:divBdr>
        <w:top w:val="none" w:sz="0" w:space="0" w:color="auto"/>
        <w:left w:val="none" w:sz="0" w:space="0" w:color="auto"/>
        <w:bottom w:val="none" w:sz="0" w:space="0" w:color="auto"/>
        <w:right w:val="none" w:sz="0" w:space="0" w:color="auto"/>
      </w:divBdr>
    </w:div>
    <w:div w:id="2119830156">
      <w:bodyDiv w:val="1"/>
      <w:marLeft w:val="0"/>
      <w:marRight w:val="0"/>
      <w:marTop w:val="0"/>
      <w:marBottom w:val="0"/>
      <w:divBdr>
        <w:top w:val="none" w:sz="0" w:space="0" w:color="auto"/>
        <w:left w:val="none" w:sz="0" w:space="0" w:color="auto"/>
        <w:bottom w:val="none" w:sz="0" w:space="0" w:color="auto"/>
        <w:right w:val="none" w:sz="0" w:space="0" w:color="auto"/>
      </w:divBdr>
    </w:div>
    <w:div w:id="2120444499">
      <w:bodyDiv w:val="1"/>
      <w:marLeft w:val="0"/>
      <w:marRight w:val="0"/>
      <w:marTop w:val="0"/>
      <w:marBottom w:val="0"/>
      <w:divBdr>
        <w:top w:val="none" w:sz="0" w:space="0" w:color="auto"/>
        <w:left w:val="none" w:sz="0" w:space="0" w:color="auto"/>
        <w:bottom w:val="none" w:sz="0" w:space="0" w:color="auto"/>
        <w:right w:val="none" w:sz="0" w:space="0" w:color="auto"/>
      </w:divBdr>
    </w:div>
    <w:div w:id="2123525019">
      <w:bodyDiv w:val="1"/>
      <w:marLeft w:val="0"/>
      <w:marRight w:val="0"/>
      <w:marTop w:val="0"/>
      <w:marBottom w:val="0"/>
      <w:divBdr>
        <w:top w:val="none" w:sz="0" w:space="0" w:color="auto"/>
        <w:left w:val="none" w:sz="0" w:space="0" w:color="auto"/>
        <w:bottom w:val="none" w:sz="0" w:space="0" w:color="auto"/>
        <w:right w:val="none" w:sz="0" w:space="0" w:color="auto"/>
      </w:divBdr>
    </w:div>
    <w:div w:id="2123957220">
      <w:bodyDiv w:val="1"/>
      <w:marLeft w:val="0"/>
      <w:marRight w:val="0"/>
      <w:marTop w:val="0"/>
      <w:marBottom w:val="0"/>
      <w:divBdr>
        <w:top w:val="none" w:sz="0" w:space="0" w:color="auto"/>
        <w:left w:val="none" w:sz="0" w:space="0" w:color="auto"/>
        <w:bottom w:val="none" w:sz="0" w:space="0" w:color="auto"/>
        <w:right w:val="none" w:sz="0" w:space="0" w:color="auto"/>
      </w:divBdr>
    </w:div>
    <w:div w:id="2125725992">
      <w:bodyDiv w:val="1"/>
      <w:marLeft w:val="0"/>
      <w:marRight w:val="0"/>
      <w:marTop w:val="0"/>
      <w:marBottom w:val="0"/>
      <w:divBdr>
        <w:top w:val="none" w:sz="0" w:space="0" w:color="auto"/>
        <w:left w:val="none" w:sz="0" w:space="0" w:color="auto"/>
        <w:bottom w:val="none" w:sz="0" w:space="0" w:color="auto"/>
        <w:right w:val="none" w:sz="0" w:space="0" w:color="auto"/>
      </w:divBdr>
    </w:div>
    <w:div w:id="2129083077">
      <w:bodyDiv w:val="1"/>
      <w:marLeft w:val="0"/>
      <w:marRight w:val="0"/>
      <w:marTop w:val="0"/>
      <w:marBottom w:val="0"/>
      <w:divBdr>
        <w:top w:val="none" w:sz="0" w:space="0" w:color="auto"/>
        <w:left w:val="none" w:sz="0" w:space="0" w:color="auto"/>
        <w:bottom w:val="none" w:sz="0" w:space="0" w:color="auto"/>
        <w:right w:val="none" w:sz="0" w:space="0" w:color="auto"/>
      </w:divBdr>
    </w:div>
    <w:div w:id="2132362263">
      <w:bodyDiv w:val="1"/>
      <w:marLeft w:val="0"/>
      <w:marRight w:val="0"/>
      <w:marTop w:val="0"/>
      <w:marBottom w:val="0"/>
      <w:divBdr>
        <w:top w:val="none" w:sz="0" w:space="0" w:color="auto"/>
        <w:left w:val="none" w:sz="0" w:space="0" w:color="auto"/>
        <w:bottom w:val="none" w:sz="0" w:space="0" w:color="auto"/>
        <w:right w:val="none" w:sz="0" w:space="0" w:color="auto"/>
      </w:divBdr>
    </w:div>
    <w:div w:id="2135319542">
      <w:bodyDiv w:val="1"/>
      <w:marLeft w:val="0"/>
      <w:marRight w:val="0"/>
      <w:marTop w:val="0"/>
      <w:marBottom w:val="0"/>
      <w:divBdr>
        <w:top w:val="none" w:sz="0" w:space="0" w:color="auto"/>
        <w:left w:val="none" w:sz="0" w:space="0" w:color="auto"/>
        <w:bottom w:val="none" w:sz="0" w:space="0" w:color="auto"/>
        <w:right w:val="none" w:sz="0" w:space="0" w:color="auto"/>
      </w:divBdr>
    </w:div>
    <w:div w:id="2143188036">
      <w:bodyDiv w:val="1"/>
      <w:marLeft w:val="0"/>
      <w:marRight w:val="0"/>
      <w:marTop w:val="0"/>
      <w:marBottom w:val="0"/>
      <w:divBdr>
        <w:top w:val="none" w:sz="0" w:space="0" w:color="auto"/>
        <w:left w:val="none" w:sz="0" w:space="0" w:color="auto"/>
        <w:bottom w:val="none" w:sz="0" w:space="0" w:color="auto"/>
        <w:right w:val="none" w:sz="0" w:space="0" w:color="auto"/>
      </w:divBdr>
    </w:div>
    <w:div w:id="214410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old2018.agenziacoesione.gov.it/opencms/export/sites/dps/it/documentazione/Aree_interne/Nota_metodologica_Aree_intern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S:\Cartelle%20personali\FASCICOLI%20REG%20POPOLAZ%202022\I.Stat-cittadinanze%20ita%20e%20region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800" b="1">
                <a:latin typeface="Arial Narrow" panose="020B0606020202030204" pitchFamily="34" charset="0"/>
              </a:rPr>
              <a:t>Maschi                                                                  Femmine</a:t>
            </a:r>
          </a:p>
        </c:rich>
      </c:tx>
      <c:layout>
        <c:manualLayout>
          <c:xMode val="edge"/>
          <c:yMode val="edge"/>
          <c:x val="0.14578921568627451"/>
          <c:y val="0.12877626262626263"/>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it-IT"/>
        </a:p>
      </c:txPr>
    </c:title>
    <c:autoTitleDeleted val="0"/>
    <c:plotArea>
      <c:layout>
        <c:manualLayout>
          <c:layoutTarget val="inner"/>
          <c:xMode val="edge"/>
          <c:yMode val="edge"/>
          <c:x val="6.6308336740074539E-2"/>
          <c:y val="0.11794494949494949"/>
          <c:w val="0.8271728758169935"/>
          <c:h val="0.74500858585858576"/>
        </c:manualLayout>
      </c:layout>
      <c:barChart>
        <c:barDir val="bar"/>
        <c:grouping val="clustered"/>
        <c:varyColors val="0"/>
        <c:ser>
          <c:idx val="2"/>
          <c:order val="0"/>
          <c:tx>
            <c:strRef>
              <c:f>Fig_1!$A$22</c:f>
              <c:strCache>
                <c:ptCount val="1"/>
                <c:pt idx="0">
                  <c:v>Italia</c:v>
                </c:pt>
              </c:strCache>
            </c:strRef>
          </c:tx>
          <c:spPr>
            <a:solidFill>
              <a:srgbClr val="D3D3D3"/>
            </a:solidFill>
            <a:ln>
              <a:solidFill>
                <a:srgbClr val="A6A6A6"/>
              </a:solidFill>
            </a:ln>
            <a:effectLst/>
          </c:spPr>
          <c:invertIfNegative val="0"/>
          <c:cat>
            <c:strRef>
              <c:f>Fig_1!$D$21:$X$21</c:f>
              <c:strCache>
                <c:ptCount val="21"/>
                <c:pt idx="0">
                  <c:v>0-4</c:v>
                </c:pt>
                <c:pt idx="1">
                  <c:v>5-9</c:v>
                </c:pt>
                <c:pt idx="2">
                  <c:v>10-14</c:v>
                </c:pt>
                <c:pt idx="3">
                  <c:v>15-19 </c:v>
                </c:pt>
                <c:pt idx="4">
                  <c:v>20-24 </c:v>
                </c:pt>
                <c:pt idx="5">
                  <c:v>25-29 </c:v>
                </c:pt>
                <c:pt idx="6">
                  <c:v>30-34 </c:v>
                </c:pt>
                <c:pt idx="7">
                  <c:v>35-39 </c:v>
                </c:pt>
                <c:pt idx="8">
                  <c:v>40-44 </c:v>
                </c:pt>
                <c:pt idx="9">
                  <c:v>45-49 </c:v>
                </c:pt>
                <c:pt idx="10">
                  <c:v>50-54 </c:v>
                </c:pt>
                <c:pt idx="11">
                  <c:v>55-59 </c:v>
                </c:pt>
                <c:pt idx="12">
                  <c:v>60-64 </c:v>
                </c:pt>
                <c:pt idx="13">
                  <c:v>65-69 </c:v>
                </c:pt>
                <c:pt idx="14">
                  <c:v>70-74 </c:v>
                </c:pt>
                <c:pt idx="15">
                  <c:v>75-79 </c:v>
                </c:pt>
                <c:pt idx="16">
                  <c:v>80-84 </c:v>
                </c:pt>
                <c:pt idx="17">
                  <c:v>85-89 </c:v>
                </c:pt>
                <c:pt idx="18">
                  <c:v>90-94 </c:v>
                </c:pt>
                <c:pt idx="19">
                  <c:v>95-99 </c:v>
                </c:pt>
                <c:pt idx="20">
                  <c:v>100  e più</c:v>
                </c:pt>
              </c:strCache>
            </c:strRef>
          </c:cat>
          <c:val>
            <c:numRef>
              <c:f>Fig_1!$D$22:$X$22</c:f>
              <c:numCache>
                <c:formatCode>General</c:formatCode>
                <c:ptCount val="21"/>
                <c:pt idx="0">
                  <c:v>-1.9225486274755614</c:v>
                </c:pt>
                <c:pt idx="1">
                  <c:v>-2.2385985410647367</c:v>
                </c:pt>
                <c:pt idx="2">
                  <c:v>-2.4712467692693316</c:v>
                </c:pt>
                <c:pt idx="3">
                  <c:v>-2.4930948911268178</c:v>
                </c:pt>
                <c:pt idx="4">
                  <c:v>-2.6157985487694835</c:v>
                </c:pt>
                <c:pt idx="5">
                  <c:v>-2.6441004930548142</c:v>
                </c:pt>
                <c:pt idx="6">
                  <c:v>-2.7582570141680058</c:v>
                </c:pt>
                <c:pt idx="7">
                  <c:v>-2.9501024989561708</c:v>
                </c:pt>
                <c:pt idx="8">
                  <c:v>-3.3788486782569982</c:v>
                </c:pt>
                <c:pt idx="9">
                  <c:v>-3.9324880542245331</c:v>
                </c:pt>
                <c:pt idx="10">
                  <c:v>-4.0128172947180127</c:v>
                </c:pt>
                <c:pt idx="11">
                  <c:v>-3.8171042433114351</c:v>
                </c:pt>
                <c:pt idx="12">
                  <c:v>-3.2095383950354828</c:v>
                </c:pt>
                <c:pt idx="13">
                  <c:v>-2.7904349658544176</c:v>
                </c:pt>
                <c:pt idx="14">
                  <c:v>-2.7171048223491265</c:v>
                </c:pt>
                <c:pt idx="15">
                  <c:v>-1.9255687395141212</c:v>
                </c:pt>
                <c:pt idx="16">
                  <c:v>-1.609012378964874</c:v>
                </c:pt>
                <c:pt idx="17">
                  <c:v>-0.86638387906397729</c:v>
                </c:pt>
                <c:pt idx="18">
                  <c:v>-0.31432461761186525</c:v>
                </c:pt>
                <c:pt idx="19">
                  <c:v>-5.8528387018933835E-2</c:v>
                </c:pt>
                <c:pt idx="20">
                  <c:v>-4.8061816510788762E-3</c:v>
                </c:pt>
              </c:numCache>
            </c:numRef>
          </c:val>
          <c:extLst>
            <c:ext xmlns:c16="http://schemas.microsoft.com/office/drawing/2014/chart" uri="{C3380CC4-5D6E-409C-BE32-E72D297353CC}">
              <c16:uniqueId val="{00000000-E44C-411E-93E5-E78EF2DBEA66}"/>
            </c:ext>
          </c:extLst>
        </c:ser>
        <c:ser>
          <c:idx val="0"/>
          <c:order val="1"/>
          <c:tx>
            <c:strRef>
              <c:f>Fig_1!$A$24</c:f>
              <c:strCache>
                <c:ptCount val="1"/>
                <c:pt idx="0">
                  <c:v>Lombardia</c:v>
                </c:pt>
              </c:strCache>
            </c:strRef>
          </c:tx>
          <c:spPr>
            <a:noFill/>
            <a:ln w="9525">
              <a:solidFill>
                <a:srgbClr val="C9321F"/>
              </a:solidFill>
            </a:ln>
            <a:effectLst/>
          </c:spPr>
          <c:invertIfNegative val="0"/>
          <c:cat>
            <c:strRef>
              <c:f>Fig_1!$D$21:$X$21</c:f>
              <c:strCache>
                <c:ptCount val="21"/>
                <c:pt idx="0">
                  <c:v>0-4</c:v>
                </c:pt>
                <c:pt idx="1">
                  <c:v>5-9</c:v>
                </c:pt>
                <c:pt idx="2">
                  <c:v>10-14</c:v>
                </c:pt>
                <c:pt idx="3">
                  <c:v>15-19 </c:v>
                </c:pt>
                <c:pt idx="4">
                  <c:v>20-24 </c:v>
                </c:pt>
                <c:pt idx="5">
                  <c:v>25-29 </c:v>
                </c:pt>
                <c:pt idx="6">
                  <c:v>30-34 </c:v>
                </c:pt>
                <c:pt idx="7">
                  <c:v>35-39 </c:v>
                </c:pt>
                <c:pt idx="8">
                  <c:v>40-44 </c:v>
                </c:pt>
                <c:pt idx="9">
                  <c:v>45-49 </c:v>
                </c:pt>
                <c:pt idx="10">
                  <c:v>50-54 </c:v>
                </c:pt>
                <c:pt idx="11">
                  <c:v>55-59 </c:v>
                </c:pt>
                <c:pt idx="12">
                  <c:v>60-64 </c:v>
                </c:pt>
                <c:pt idx="13">
                  <c:v>65-69 </c:v>
                </c:pt>
                <c:pt idx="14">
                  <c:v>70-74 </c:v>
                </c:pt>
                <c:pt idx="15">
                  <c:v>75-79 </c:v>
                </c:pt>
                <c:pt idx="16">
                  <c:v>80-84 </c:v>
                </c:pt>
                <c:pt idx="17">
                  <c:v>85-89 </c:v>
                </c:pt>
                <c:pt idx="18">
                  <c:v>90-94 </c:v>
                </c:pt>
                <c:pt idx="19">
                  <c:v>95-99 </c:v>
                </c:pt>
                <c:pt idx="20">
                  <c:v>100  e più</c:v>
                </c:pt>
              </c:strCache>
            </c:strRef>
          </c:cat>
          <c:val>
            <c:numRef>
              <c:f>Fig_1!$D$24:$X$24</c:f>
              <c:numCache>
                <c:formatCode>General</c:formatCode>
                <c:ptCount val="21"/>
                <c:pt idx="0">
                  <c:v>-1.9754739592652608</c:v>
                </c:pt>
                <c:pt idx="1">
                  <c:v>-2.321522279997684</c:v>
                </c:pt>
                <c:pt idx="2">
                  <c:v>-2.5462267698997572</c:v>
                </c:pt>
                <c:pt idx="3">
                  <c:v>-2.4572025558344923</c:v>
                </c:pt>
                <c:pt idx="4">
                  <c:v>-2.5775144832157397</c:v>
                </c:pt>
                <c:pt idx="5">
                  <c:v>-2.6012682995052674</c:v>
                </c:pt>
                <c:pt idx="6">
                  <c:v>-2.7885838217175403</c:v>
                </c:pt>
                <c:pt idx="7">
                  <c:v>-3.0449066347785125</c:v>
                </c:pt>
                <c:pt idx="8">
                  <c:v>-3.5019597148900865</c:v>
                </c:pt>
                <c:pt idx="9">
                  <c:v>-4.1448055082405002</c:v>
                </c:pt>
                <c:pt idx="10">
                  <c:v>-4.2033034134764984</c:v>
                </c:pt>
                <c:pt idx="11">
                  <c:v>-3.8637871417616938</c:v>
                </c:pt>
                <c:pt idx="12">
                  <c:v>-3.10679078628438</c:v>
                </c:pt>
                <c:pt idx="13">
                  <c:v>-2.6567606607147543</c:v>
                </c:pt>
                <c:pt idx="14">
                  <c:v>-2.6327764193831942</c:v>
                </c:pt>
                <c:pt idx="15">
                  <c:v>-1.8880426835340469</c:v>
                </c:pt>
                <c:pt idx="16">
                  <c:v>-1.6057820255242821</c:v>
                </c:pt>
                <c:pt idx="17">
                  <c:v>-0.80730916248111273</c:v>
                </c:pt>
                <c:pt idx="18">
                  <c:v>-0.27219208552095198</c:v>
                </c:pt>
                <c:pt idx="19">
                  <c:v>-4.5564047441911344E-2</c:v>
                </c:pt>
                <c:pt idx="20">
                  <c:v>-3.1558212278368675E-3</c:v>
                </c:pt>
              </c:numCache>
            </c:numRef>
          </c:val>
          <c:extLst>
            <c:ext xmlns:c16="http://schemas.microsoft.com/office/drawing/2014/chart" uri="{C3380CC4-5D6E-409C-BE32-E72D297353CC}">
              <c16:uniqueId val="{00000001-E44C-411E-93E5-E78EF2DBEA66}"/>
            </c:ext>
          </c:extLst>
        </c:ser>
        <c:ser>
          <c:idx val="3"/>
          <c:order val="2"/>
          <c:tx>
            <c:strRef>
              <c:f>Fig_1!$A$23</c:f>
              <c:strCache>
                <c:ptCount val="1"/>
                <c:pt idx="0">
                  <c:v>Italia</c:v>
                </c:pt>
              </c:strCache>
            </c:strRef>
          </c:tx>
          <c:spPr>
            <a:solidFill>
              <a:srgbClr val="D3D3D3"/>
            </a:solidFill>
            <a:ln>
              <a:solidFill>
                <a:srgbClr val="A6A6A6"/>
              </a:solidFill>
            </a:ln>
            <a:effectLst/>
          </c:spPr>
          <c:invertIfNegative val="0"/>
          <c:cat>
            <c:strRef>
              <c:f>Fig_1!$D$21:$X$21</c:f>
              <c:strCache>
                <c:ptCount val="21"/>
                <c:pt idx="0">
                  <c:v>0-4</c:v>
                </c:pt>
                <c:pt idx="1">
                  <c:v>5-9</c:v>
                </c:pt>
                <c:pt idx="2">
                  <c:v>10-14</c:v>
                </c:pt>
                <c:pt idx="3">
                  <c:v>15-19 </c:v>
                </c:pt>
                <c:pt idx="4">
                  <c:v>20-24 </c:v>
                </c:pt>
                <c:pt idx="5">
                  <c:v>25-29 </c:v>
                </c:pt>
                <c:pt idx="6">
                  <c:v>30-34 </c:v>
                </c:pt>
                <c:pt idx="7">
                  <c:v>35-39 </c:v>
                </c:pt>
                <c:pt idx="8">
                  <c:v>40-44 </c:v>
                </c:pt>
                <c:pt idx="9">
                  <c:v>45-49 </c:v>
                </c:pt>
                <c:pt idx="10">
                  <c:v>50-54 </c:v>
                </c:pt>
                <c:pt idx="11">
                  <c:v>55-59 </c:v>
                </c:pt>
                <c:pt idx="12">
                  <c:v>60-64 </c:v>
                </c:pt>
                <c:pt idx="13">
                  <c:v>65-69 </c:v>
                </c:pt>
                <c:pt idx="14">
                  <c:v>70-74 </c:v>
                </c:pt>
                <c:pt idx="15">
                  <c:v>75-79 </c:v>
                </c:pt>
                <c:pt idx="16">
                  <c:v>80-84 </c:v>
                </c:pt>
                <c:pt idx="17">
                  <c:v>85-89 </c:v>
                </c:pt>
                <c:pt idx="18">
                  <c:v>90-94 </c:v>
                </c:pt>
                <c:pt idx="19">
                  <c:v>95-99 </c:v>
                </c:pt>
                <c:pt idx="20">
                  <c:v>100  e più</c:v>
                </c:pt>
              </c:strCache>
            </c:strRef>
          </c:cat>
          <c:val>
            <c:numRef>
              <c:f>Fig_1!$D$23:$X$23</c:f>
              <c:numCache>
                <c:formatCode>General</c:formatCode>
                <c:ptCount val="21"/>
                <c:pt idx="0">
                  <c:v>1.8192672107516394</c:v>
                </c:pt>
                <c:pt idx="1">
                  <c:v>2.1140429757047432</c:v>
                </c:pt>
                <c:pt idx="2">
                  <c:v>2.3259792113989461</c:v>
                </c:pt>
                <c:pt idx="3">
                  <c:v>2.3299902713227127</c:v>
                </c:pt>
                <c:pt idx="4">
                  <c:v>2.3766542942237039</c:v>
                </c:pt>
                <c:pt idx="5">
                  <c:v>2.497313594304214</c:v>
                </c:pt>
                <c:pt idx="6">
                  <c:v>2.6879824339884792</c:v>
                </c:pt>
                <c:pt idx="7">
                  <c:v>2.9301721229208222</c:v>
                </c:pt>
                <c:pt idx="8">
                  <c:v>3.3882449575228581</c:v>
                </c:pt>
                <c:pt idx="9">
                  <c:v>3.9891881677176091</c:v>
                </c:pt>
                <c:pt idx="10">
                  <c:v>4.1201722331574437</c:v>
                </c:pt>
                <c:pt idx="11">
                  <c:v>3.9888724824458306</c:v>
                </c:pt>
                <c:pt idx="12">
                  <c:v>3.4520893494660103</c:v>
                </c:pt>
                <c:pt idx="13">
                  <c:v>3.0747829878996482</c:v>
                </c:pt>
                <c:pt idx="14">
                  <c:v>3.0921304844386324</c:v>
                </c:pt>
                <c:pt idx="15">
                  <c:v>2.3745204643652693</c:v>
                </c:pt>
                <c:pt idx="16">
                  <c:v>2.2365457427199136</c:v>
                </c:pt>
                <c:pt idx="17">
                  <c:v>1.4904548337686612</c:v>
                </c:pt>
                <c:pt idx="18">
                  <c:v>0.74863664900387872</c:v>
                </c:pt>
                <c:pt idx="19">
                  <c:v>0.20806022829312196</c:v>
                </c:pt>
                <c:pt idx="20">
                  <c:v>2.41912831260837E-2</c:v>
                </c:pt>
              </c:numCache>
            </c:numRef>
          </c:val>
          <c:extLst>
            <c:ext xmlns:c16="http://schemas.microsoft.com/office/drawing/2014/chart" uri="{C3380CC4-5D6E-409C-BE32-E72D297353CC}">
              <c16:uniqueId val="{00000002-E44C-411E-93E5-E78EF2DBEA66}"/>
            </c:ext>
          </c:extLst>
        </c:ser>
        <c:ser>
          <c:idx val="1"/>
          <c:order val="3"/>
          <c:tx>
            <c:strRef>
              <c:f>Fig_1!$A$25</c:f>
              <c:strCache>
                <c:ptCount val="1"/>
                <c:pt idx="0">
                  <c:v>Lombardia</c:v>
                </c:pt>
              </c:strCache>
            </c:strRef>
          </c:tx>
          <c:spPr>
            <a:noFill/>
            <a:ln w="9525">
              <a:solidFill>
                <a:srgbClr val="C9321F"/>
              </a:solidFill>
            </a:ln>
            <a:effectLst/>
          </c:spPr>
          <c:invertIfNegative val="0"/>
          <c:cat>
            <c:strRef>
              <c:f>Fig_1!$D$21:$X$21</c:f>
              <c:strCache>
                <c:ptCount val="21"/>
                <c:pt idx="0">
                  <c:v>0-4</c:v>
                </c:pt>
                <c:pt idx="1">
                  <c:v>5-9</c:v>
                </c:pt>
                <c:pt idx="2">
                  <c:v>10-14</c:v>
                </c:pt>
                <c:pt idx="3">
                  <c:v>15-19 </c:v>
                </c:pt>
                <c:pt idx="4">
                  <c:v>20-24 </c:v>
                </c:pt>
                <c:pt idx="5">
                  <c:v>25-29 </c:v>
                </c:pt>
                <c:pt idx="6">
                  <c:v>30-34 </c:v>
                </c:pt>
                <c:pt idx="7">
                  <c:v>35-39 </c:v>
                </c:pt>
                <c:pt idx="8">
                  <c:v>40-44 </c:v>
                </c:pt>
                <c:pt idx="9">
                  <c:v>45-49 </c:v>
                </c:pt>
                <c:pt idx="10">
                  <c:v>50-54 </c:v>
                </c:pt>
                <c:pt idx="11">
                  <c:v>55-59 </c:v>
                </c:pt>
                <c:pt idx="12">
                  <c:v>60-64 </c:v>
                </c:pt>
                <c:pt idx="13">
                  <c:v>65-69 </c:v>
                </c:pt>
                <c:pt idx="14">
                  <c:v>70-74 </c:v>
                </c:pt>
                <c:pt idx="15">
                  <c:v>75-79 </c:v>
                </c:pt>
                <c:pt idx="16">
                  <c:v>80-84 </c:v>
                </c:pt>
                <c:pt idx="17">
                  <c:v>85-89 </c:v>
                </c:pt>
                <c:pt idx="18">
                  <c:v>90-94 </c:v>
                </c:pt>
                <c:pt idx="19">
                  <c:v>95-99 </c:v>
                </c:pt>
                <c:pt idx="20">
                  <c:v>100  e più</c:v>
                </c:pt>
              </c:strCache>
            </c:strRef>
          </c:cat>
          <c:val>
            <c:numRef>
              <c:f>Fig_1!$D$25:$X$25</c:f>
              <c:numCache>
                <c:formatCode>General</c:formatCode>
                <c:ptCount val="21"/>
                <c:pt idx="0">
                  <c:v>1.8763110433505643</c:v>
                </c:pt>
                <c:pt idx="1">
                  <c:v>2.1875451457758981</c:v>
                </c:pt>
                <c:pt idx="2">
                  <c:v>2.3852097579194584</c:v>
                </c:pt>
                <c:pt idx="3">
                  <c:v>2.292689094303352</c:v>
                </c:pt>
                <c:pt idx="4">
                  <c:v>2.3267018342033716</c:v>
                </c:pt>
                <c:pt idx="5">
                  <c:v>2.4616607794738172</c:v>
                </c:pt>
                <c:pt idx="6">
                  <c:v>2.700952176384559</c:v>
                </c:pt>
                <c:pt idx="7">
                  <c:v>2.9665521020073626</c:v>
                </c:pt>
                <c:pt idx="8">
                  <c:v>3.4052513265970412</c:v>
                </c:pt>
                <c:pt idx="9">
                  <c:v>4.0347725414299216</c:v>
                </c:pt>
                <c:pt idx="10">
                  <c:v>4.1321120939685345</c:v>
                </c:pt>
                <c:pt idx="11">
                  <c:v>3.9077582508695539</c:v>
                </c:pt>
                <c:pt idx="12">
                  <c:v>3.2822243911118454</c:v>
                </c:pt>
                <c:pt idx="13">
                  <c:v>2.9323890849060179</c:v>
                </c:pt>
                <c:pt idx="14">
                  <c:v>3.0144404368297764</c:v>
                </c:pt>
                <c:pt idx="15">
                  <c:v>2.3654032227847486</c:v>
                </c:pt>
                <c:pt idx="16">
                  <c:v>2.260579865620123</c:v>
                </c:pt>
                <c:pt idx="17">
                  <c:v>1.4772849999108355</c:v>
                </c:pt>
                <c:pt idx="18">
                  <c:v>0.72544816167903314</c:v>
                </c:pt>
                <c:pt idx="19">
                  <c:v>0.19755440886258793</c:v>
                </c:pt>
                <c:pt idx="20">
                  <c:v>2.2231007316095269E-2</c:v>
                </c:pt>
              </c:numCache>
            </c:numRef>
          </c:val>
          <c:extLst>
            <c:ext xmlns:c16="http://schemas.microsoft.com/office/drawing/2014/chart" uri="{C3380CC4-5D6E-409C-BE32-E72D297353CC}">
              <c16:uniqueId val="{00000003-E44C-411E-93E5-E78EF2DBEA66}"/>
            </c:ext>
          </c:extLst>
        </c:ser>
        <c:dLbls>
          <c:showLegendKey val="0"/>
          <c:showVal val="0"/>
          <c:showCatName val="0"/>
          <c:showSerName val="0"/>
          <c:showPercent val="0"/>
          <c:showBubbleSize val="0"/>
        </c:dLbls>
        <c:gapWidth val="0"/>
        <c:overlap val="100"/>
        <c:axId val="240193216"/>
        <c:axId val="240193776"/>
      </c:barChart>
      <c:catAx>
        <c:axId val="240193216"/>
        <c:scaling>
          <c:orientation val="minMax"/>
        </c:scaling>
        <c:delete val="0"/>
        <c:axPos val="l"/>
        <c:numFmt formatCode="General" sourceLinked="1"/>
        <c:majorTickMark val="none"/>
        <c:minorTickMark val="none"/>
        <c:tickLblPos val="low"/>
        <c:spPr>
          <a:noFill/>
          <a:ln w="9525" cap="flat" cmpd="sng" algn="ctr">
            <a:solidFill>
              <a:srgbClr val="5A5A5A"/>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40193776"/>
        <c:crosses val="autoZero"/>
        <c:auto val="1"/>
        <c:lblAlgn val="ctr"/>
        <c:lblOffset val="100"/>
        <c:noMultiLvlLbl val="0"/>
      </c:catAx>
      <c:valAx>
        <c:axId val="240193776"/>
        <c:scaling>
          <c:orientation val="minMax"/>
          <c:max val="5"/>
          <c:min val="-5"/>
        </c:scaling>
        <c:delete val="0"/>
        <c:axPos val="b"/>
        <c:majorGridlines>
          <c:spPr>
            <a:ln w="9525" cap="flat" cmpd="sng" algn="ctr">
              <a:solidFill>
                <a:schemeClr val="tx1">
                  <a:lumMod val="15000"/>
                  <a:lumOff val="85000"/>
                </a:schemeClr>
              </a:solidFill>
              <a:round/>
            </a:ln>
            <a:effectLst/>
          </c:spPr>
        </c:majorGridlines>
        <c:numFmt formatCode="0;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40193216"/>
        <c:crosses val="autoZero"/>
        <c:crossBetween val="between"/>
        <c:majorUnit val="2"/>
        <c:minorUnit val="1"/>
      </c:valAx>
      <c:spPr>
        <a:noFill/>
        <a:ln>
          <a:noFill/>
        </a:ln>
        <a:effectLst/>
      </c:spPr>
    </c:plotArea>
    <c:legend>
      <c:legendPos val="t"/>
      <c:legendEntry>
        <c:idx val="2"/>
        <c:delete val="1"/>
      </c:legendEntry>
      <c:legendEntry>
        <c:idx val="3"/>
        <c:delete val="1"/>
      </c:legendEntry>
      <c:layout>
        <c:manualLayout>
          <c:xMode val="edge"/>
          <c:yMode val="edge"/>
          <c:x val="0.3923153594771242"/>
          <c:y val="1.3982828282828281E-2"/>
          <c:w val="0.29007483660130717"/>
          <c:h val="9.601565656565656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63574420747077"/>
          <c:y val="0.12935185185185186"/>
          <c:w val="0.75220065359477128"/>
          <c:h val="0.77395092592592596"/>
        </c:manualLayout>
      </c:layout>
      <c:barChart>
        <c:barDir val="bar"/>
        <c:grouping val="clustered"/>
        <c:varyColors val="0"/>
        <c:ser>
          <c:idx val="0"/>
          <c:order val="0"/>
          <c:tx>
            <c:strRef>
              <c:f>Fig_2!$B$21</c:f>
              <c:strCache>
                <c:ptCount val="1"/>
                <c:pt idx="0">
                  <c:v>Stranieri</c:v>
                </c:pt>
              </c:strCache>
            </c:strRef>
          </c:tx>
          <c:spPr>
            <a:solidFill>
              <a:srgbClr val="D3D3D3"/>
            </a:solidFill>
            <a:ln w="6350">
              <a:solidFill>
                <a:srgbClr val="A5A5A5"/>
              </a:solidFill>
            </a:ln>
            <a:effectLst/>
          </c:spPr>
          <c:invertIfNegative val="0"/>
          <c:cat>
            <c:strRef>
              <c:f>Fig_2!$D$18:$N$18</c:f>
              <c:strCache>
                <c:ptCount val="11"/>
                <c:pt idx="0">
                  <c:v>0-9</c:v>
                </c:pt>
                <c:pt idx="1">
                  <c:v>10-19</c:v>
                </c:pt>
                <c:pt idx="2">
                  <c:v>20-29</c:v>
                </c:pt>
                <c:pt idx="3">
                  <c:v>30-39</c:v>
                </c:pt>
                <c:pt idx="4">
                  <c:v>40-49</c:v>
                </c:pt>
                <c:pt idx="5">
                  <c:v>50-59</c:v>
                </c:pt>
                <c:pt idx="6">
                  <c:v>60-69</c:v>
                </c:pt>
                <c:pt idx="7">
                  <c:v>70-79</c:v>
                </c:pt>
                <c:pt idx="8">
                  <c:v>80-89</c:v>
                </c:pt>
                <c:pt idx="9">
                  <c:v>90-99</c:v>
                </c:pt>
                <c:pt idx="10">
                  <c:v>100 e più</c:v>
                </c:pt>
              </c:strCache>
            </c:strRef>
          </c:cat>
          <c:val>
            <c:numRef>
              <c:f>Fig_2!$D$21:$N$21</c:f>
              <c:numCache>
                <c:formatCode>0.0</c:formatCode>
                <c:ptCount val="11"/>
                <c:pt idx="0">
                  <c:v>-7.0440653998819363</c:v>
                </c:pt>
                <c:pt idx="1">
                  <c:v>-5.5381315974872551</c:v>
                </c:pt>
                <c:pt idx="2">
                  <c:v>-7.7519399373073394</c:v>
                </c:pt>
                <c:pt idx="3">
                  <c:v>-10.517353002672793</c:v>
                </c:pt>
                <c:pt idx="4">
                  <c:v>-10.033932633519999</c:v>
                </c:pt>
                <c:pt idx="5">
                  <c:v>-5.6215146835683258</c:v>
                </c:pt>
                <c:pt idx="6">
                  <c:v>-1.9741554418589811</c:v>
                </c:pt>
                <c:pt idx="7">
                  <c:v>-0.59233060343995114</c:v>
                </c:pt>
                <c:pt idx="8">
                  <c:v>-0.17264413392012185</c:v>
                </c:pt>
                <c:pt idx="9">
                  <c:v>-1.880947762553857E-2</c:v>
                </c:pt>
                <c:pt idx="10">
                  <c:v>-9.2367970482555464E-4</c:v>
                </c:pt>
              </c:numCache>
            </c:numRef>
          </c:val>
          <c:extLst>
            <c:ext xmlns:c16="http://schemas.microsoft.com/office/drawing/2014/chart" uri="{C3380CC4-5D6E-409C-BE32-E72D297353CC}">
              <c16:uniqueId val="{00000000-2D48-41DD-95B4-0D0396156763}"/>
            </c:ext>
          </c:extLst>
        </c:ser>
        <c:ser>
          <c:idx val="2"/>
          <c:order val="1"/>
          <c:tx>
            <c:strRef>
              <c:f>Fig_2!$B$22</c:f>
              <c:strCache>
                <c:ptCount val="1"/>
                <c:pt idx="0">
                  <c:v>Stranieri</c:v>
                </c:pt>
              </c:strCache>
            </c:strRef>
          </c:tx>
          <c:spPr>
            <a:solidFill>
              <a:srgbClr val="D3D3D3"/>
            </a:solidFill>
            <a:ln w="6350">
              <a:solidFill>
                <a:srgbClr val="A5A5A5"/>
              </a:solidFill>
            </a:ln>
            <a:effectLst/>
          </c:spPr>
          <c:invertIfNegative val="0"/>
          <c:cat>
            <c:strRef>
              <c:f>Fig_2!$D$18:$N$18</c:f>
              <c:strCache>
                <c:ptCount val="11"/>
                <c:pt idx="0">
                  <c:v>0-9</c:v>
                </c:pt>
                <c:pt idx="1">
                  <c:v>10-19</c:v>
                </c:pt>
                <c:pt idx="2">
                  <c:v>20-29</c:v>
                </c:pt>
                <c:pt idx="3">
                  <c:v>30-39</c:v>
                </c:pt>
                <c:pt idx="4">
                  <c:v>40-49</c:v>
                </c:pt>
                <c:pt idx="5">
                  <c:v>50-59</c:v>
                </c:pt>
                <c:pt idx="6">
                  <c:v>60-69</c:v>
                </c:pt>
                <c:pt idx="7">
                  <c:v>70-79</c:v>
                </c:pt>
                <c:pt idx="8">
                  <c:v>80-89</c:v>
                </c:pt>
                <c:pt idx="9">
                  <c:v>90-99</c:v>
                </c:pt>
                <c:pt idx="10">
                  <c:v>100 e più</c:v>
                </c:pt>
              </c:strCache>
            </c:strRef>
          </c:cat>
          <c:val>
            <c:numRef>
              <c:f>Fig_2!$D$22:$N$22</c:f>
              <c:numCache>
                <c:formatCode>0.0</c:formatCode>
                <c:ptCount val="11"/>
                <c:pt idx="0">
                  <c:v>6.6289133580039783</c:v>
                </c:pt>
                <c:pt idx="1">
                  <c:v>4.9594042769729167</c:v>
                </c:pt>
                <c:pt idx="2">
                  <c:v>6.7434496414023481</c:v>
                </c:pt>
                <c:pt idx="3">
                  <c:v>10.839549277892397</c:v>
                </c:pt>
                <c:pt idx="4">
                  <c:v>9.8119136208328399</c:v>
                </c:pt>
                <c:pt idx="5">
                  <c:v>6.7084337835012331</c:v>
                </c:pt>
                <c:pt idx="6">
                  <c:v>3.5900071291279034</c:v>
                </c:pt>
                <c:pt idx="7">
                  <c:v>1.1056446066761891</c:v>
                </c:pt>
                <c:pt idx="8">
                  <c:v>0.30775328347142344</c:v>
                </c:pt>
                <c:pt idx="9">
                  <c:v>3.7534984368820266E-2</c:v>
                </c:pt>
                <c:pt idx="10">
                  <c:v>1.5954467628805037E-3</c:v>
                </c:pt>
              </c:numCache>
            </c:numRef>
          </c:val>
          <c:extLst>
            <c:ext xmlns:c16="http://schemas.microsoft.com/office/drawing/2014/chart" uri="{C3380CC4-5D6E-409C-BE32-E72D297353CC}">
              <c16:uniqueId val="{00000001-2D48-41DD-95B4-0D0396156763}"/>
            </c:ext>
          </c:extLst>
        </c:ser>
        <c:ser>
          <c:idx val="1"/>
          <c:order val="2"/>
          <c:tx>
            <c:strRef>
              <c:f>Fig_2!$B$19</c:f>
              <c:strCache>
                <c:ptCount val="1"/>
                <c:pt idx="0">
                  <c:v>Italiani</c:v>
                </c:pt>
              </c:strCache>
            </c:strRef>
          </c:tx>
          <c:spPr>
            <a:noFill/>
            <a:ln w="6350">
              <a:solidFill>
                <a:srgbClr val="C9321F"/>
              </a:solidFill>
            </a:ln>
            <a:effectLst/>
          </c:spPr>
          <c:invertIfNegative val="0"/>
          <c:cat>
            <c:strRef>
              <c:f>Fig_2!$D$18:$N$18</c:f>
              <c:strCache>
                <c:ptCount val="11"/>
                <c:pt idx="0">
                  <c:v>0-9</c:v>
                </c:pt>
                <c:pt idx="1">
                  <c:v>10-19</c:v>
                </c:pt>
                <c:pt idx="2">
                  <c:v>20-29</c:v>
                </c:pt>
                <c:pt idx="3">
                  <c:v>30-39</c:v>
                </c:pt>
                <c:pt idx="4">
                  <c:v>40-49</c:v>
                </c:pt>
                <c:pt idx="5">
                  <c:v>50-59</c:v>
                </c:pt>
                <c:pt idx="6">
                  <c:v>60-69</c:v>
                </c:pt>
                <c:pt idx="7">
                  <c:v>70-79</c:v>
                </c:pt>
                <c:pt idx="8">
                  <c:v>80-89</c:v>
                </c:pt>
                <c:pt idx="9">
                  <c:v>90-99</c:v>
                </c:pt>
                <c:pt idx="10">
                  <c:v>100 e più</c:v>
                </c:pt>
              </c:strCache>
            </c:strRef>
          </c:cat>
          <c:val>
            <c:numRef>
              <c:f>Fig_2!$D$19:$N$19</c:f>
              <c:numCache>
                <c:formatCode>0.0</c:formatCode>
                <c:ptCount val="11"/>
                <c:pt idx="0">
                  <c:v>-3.9248452762106165</c:v>
                </c:pt>
                <c:pt idx="1">
                  <c:v>-4.9309921376824164</c:v>
                </c:pt>
                <c:pt idx="2">
                  <c:v>-4.8301920275656052</c:v>
                </c:pt>
                <c:pt idx="3">
                  <c:v>-5.1989582130589662</c:v>
                </c:pt>
                <c:pt idx="4">
                  <c:v>-7.3233708712594545</c:v>
                </c:pt>
                <c:pt idx="5">
                  <c:v>-8.3983976183826812</c:v>
                </c:pt>
                <c:pt idx="6">
                  <c:v>-6.2769085160223952</c:v>
                </c:pt>
                <c:pt idx="7">
                  <c:v>-5.0530193108257455</c:v>
                </c:pt>
                <c:pt idx="8">
                  <c:v>-2.7166090392478841</c:v>
                </c:pt>
                <c:pt idx="9">
                  <c:v>-0.3582550353130281</c:v>
                </c:pt>
                <c:pt idx="10">
                  <c:v>-3.4582139121443031E-3</c:v>
                </c:pt>
              </c:numCache>
            </c:numRef>
          </c:val>
          <c:extLst>
            <c:ext xmlns:c16="http://schemas.microsoft.com/office/drawing/2014/chart" uri="{C3380CC4-5D6E-409C-BE32-E72D297353CC}">
              <c16:uniqueId val="{00000002-2D48-41DD-95B4-0D0396156763}"/>
            </c:ext>
          </c:extLst>
        </c:ser>
        <c:ser>
          <c:idx val="3"/>
          <c:order val="3"/>
          <c:tx>
            <c:strRef>
              <c:f>Fig_2!$B$20</c:f>
              <c:strCache>
                <c:ptCount val="1"/>
                <c:pt idx="0">
                  <c:v>Italiani</c:v>
                </c:pt>
              </c:strCache>
            </c:strRef>
          </c:tx>
          <c:spPr>
            <a:noFill/>
            <a:ln w="6350">
              <a:solidFill>
                <a:srgbClr val="C9321F"/>
              </a:solidFill>
            </a:ln>
            <a:effectLst/>
          </c:spPr>
          <c:invertIfNegative val="0"/>
          <c:cat>
            <c:strRef>
              <c:f>Fig_2!$D$18:$N$18</c:f>
              <c:strCache>
                <c:ptCount val="11"/>
                <c:pt idx="0">
                  <c:v>0-9</c:v>
                </c:pt>
                <c:pt idx="1">
                  <c:v>10-19</c:v>
                </c:pt>
                <c:pt idx="2">
                  <c:v>20-29</c:v>
                </c:pt>
                <c:pt idx="3">
                  <c:v>30-39</c:v>
                </c:pt>
                <c:pt idx="4">
                  <c:v>40-49</c:v>
                </c:pt>
                <c:pt idx="5">
                  <c:v>50-59</c:v>
                </c:pt>
                <c:pt idx="6">
                  <c:v>60-69</c:v>
                </c:pt>
                <c:pt idx="7">
                  <c:v>70-79</c:v>
                </c:pt>
                <c:pt idx="8">
                  <c:v>80-89</c:v>
                </c:pt>
                <c:pt idx="9">
                  <c:v>90-99</c:v>
                </c:pt>
                <c:pt idx="10">
                  <c:v>100 e più</c:v>
                </c:pt>
              </c:strCache>
            </c:strRef>
          </c:cat>
          <c:val>
            <c:numRef>
              <c:f>Fig_2!$D$20:$N$20</c:f>
              <c:numCache>
                <c:formatCode>0.0</c:formatCode>
                <c:ptCount val="11"/>
                <c:pt idx="0">
                  <c:v>3.7163627552636802</c:v>
                </c:pt>
                <c:pt idx="1">
                  <c:v>4.6397627483245012</c:v>
                </c:pt>
                <c:pt idx="2">
                  <c:v>4.523503056935966</c:v>
                </c:pt>
                <c:pt idx="3">
                  <c:v>4.9668369799099388</c:v>
                </c:pt>
                <c:pt idx="4">
                  <c:v>7.1186992110380727</c:v>
                </c:pt>
                <c:pt idx="5">
                  <c:v>8.2202427233889583</c:v>
                </c:pt>
                <c:pt idx="6">
                  <c:v>6.5701741563351579</c:v>
                </c:pt>
                <c:pt idx="7">
                  <c:v>5.9588779688453597</c:v>
                </c:pt>
                <c:pt idx="8">
                  <c:v>4.2025489539187308</c:v>
                </c:pt>
                <c:pt idx="9">
                  <c:v>1.0429586385102834</c:v>
                </c:pt>
                <c:pt idx="10">
                  <c:v>2.5026548048412721E-2</c:v>
                </c:pt>
              </c:numCache>
            </c:numRef>
          </c:val>
          <c:extLst>
            <c:ext xmlns:c16="http://schemas.microsoft.com/office/drawing/2014/chart" uri="{C3380CC4-5D6E-409C-BE32-E72D297353CC}">
              <c16:uniqueId val="{00000003-2D48-41DD-95B4-0D0396156763}"/>
            </c:ext>
          </c:extLst>
        </c:ser>
        <c:dLbls>
          <c:showLegendKey val="0"/>
          <c:showVal val="0"/>
          <c:showCatName val="0"/>
          <c:showSerName val="0"/>
          <c:showPercent val="0"/>
          <c:showBubbleSize val="0"/>
        </c:dLbls>
        <c:gapWidth val="0"/>
        <c:overlap val="100"/>
        <c:axId val="240200496"/>
        <c:axId val="240201056"/>
      </c:barChart>
      <c:catAx>
        <c:axId val="240200496"/>
        <c:scaling>
          <c:orientation val="minMax"/>
        </c:scaling>
        <c:delete val="0"/>
        <c:axPos val="l"/>
        <c:numFmt formatCode="General" sourceLinked="1"/>
        <c:majorTickMark val="none"/>
        <c:minorTickMark val="none"/>
        <c:tickLblPos val="low"/>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40201056"/>
        <c:crosses val="autoZero"/>
        <c:auto val="1"/>
        <c:lblAlgn val="ctr"/>
        <c:lblOffset val="100"/>
        <c:noMultiLvlLbl val="0"/>
      </c:catAx>
      <c:valAx>
        <c:axId val="24020105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40200496"/>
        <c:crosses val="autoZero"/>
        <c:crossBetween val="between"/>
      </c:valAx>
      <c:spPr>
        <a:noFill/>
        <a:ln w="6350">
          <a:solidFill>
            <a:schemeClr val="bg1">
              <a:lumMod val="85000"/>
            </a:schemeClr>
          </a:solidFill>
        </a:ln>
        <a:effectLst/>
      </c:spPr>
    </c:plotArea>
    <c:legend>
      <c:legendPos val="b"/>
      <c:legendEntry>
        <c:idx val="0"/>
        <c:delete val="1"/>
      </c:legendEntry>
      <c:legendEntry>
        <c:idx val="2"/>
        <c:delete val="1"/>
      </c:legendEntry>
      <c:layout>
        <c:manualLayout>
          <c:xMode val="edge"/>
          <c:yMode val="edge"/>
          <c:x val="0.15978969295504727"/>
          <c:y val="1.8890782982024158E-2"/>
          <c:w val="0.751574183006536"/>
          <c:h val="8.919431835509107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sz="800">
          <a:latin typeface="Arial Narrow" panose="020B0606020202030204" pitchFamily="34" charset="0"/>
        </a:defRPr>
      </a:pPr>
      <a:endParaRPr lang="it-IT"/>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988888888888885E-2"/>
          <c:y val="0.15875"/>
          <c:w val="0.93403398692810458"/>
          <c:h val="0.69163611111111112"/>
        </c:manualLayout>
      </c:layout>
      <c:barChart>
        <c:barDir val="col"/>
        <c:grouping val="clustered"/>
        <c:varyColors val="0"/>
        <c:ser>
          <c:idx val="0"/>
          <c:order val="1"/>
          <c:tx>
            <c:strRef>
              <c:f>'03 Lombardia'!$A$14</c:f>
              <c:strCache>
                <c:ptCount val="1"/>
                <c:pt idx="0">
                  <c:v>Lombardia</c:v>
                </c:pt>
              </c:strCache>
            </c:strRef>
          </c:tx>
          <c:spPr>
            <a:solidFill>
              <a:srgbClr val="D3D3D3"/>
            </a:solidFill>
            <a:ln>
              <a:noFill/>
            </a:ln>
            <a:effectLst/>
          </c:spPr>
          <c:invertIfNegative val="0"/>
          <c:cat>
            <c:strRef>
              <c:f>'03 Lombardia'!$B$16:$B$25</c:f>
              <c:strCache>
                <c:ptCount val="10"/>
                <c:pt idx="0">
                  <c:v>Romania</c:v>
                </c:pt>
                <c:pt idx="1">
                  <c:v>Egitto</c:v>
                </c:pt>
                <c:pt idx="2">
                  <c:v>Marocco</c:v>
                </c:pt>
                <c:pt idx="3">
                  <c:v>Albania</c:v>
                </c:pt>
                <c:pt idx="4">
                  <c:v>Cina</c:v>
                </c:pt>
                <c:pt idx="5">
                  <c:v>Filippine</c:v>
                </c:pt>
                <c:pt idx="6">
                  <c:v>Ucraina</c:v>
                </c:pt>
                <c:pt idx="7">
                  <c:v>India</c:v>
                </c:pt>
                <c:pt idx="8">
                  <c:v>Perù</c:v>
                </c:pt>
                <c:pt idx="9">
                  <c:v>Pakistan</c:v>
                </c:pt>
              </c:strCache>
            </c:strRef>
          </c:cat>
          <c:val>
            <c:numRef>
              <c:f>'03 Lombardia'!$E$16:$E$25</c:f>
              <c:numCache>
                <c:formatCode>General</c:formatCode>
                <c:ptCount val="10"/>
                <c:pt idx="0">
                  <c:v>14.06117614655942</c:v>
                </c:pt>
                <c:pt idx="1">
                  <c:v>7.9424698691481739</c:v>
                </c:pt>
                <c:pt idx="2">
                  <c:v>7.867064016881506</c:v>
                </c:pt>
                <c:pt idx="3">
                  <c:v>7.478194861149948</c:v>
                </c:pt>
                <c:pt idx="4">
                  <c:v>6.3032742766118419</c:v>
                </c:pt>
                <c:pt idx="5">
                  <c:v>4.8664485103145632</c:v>
                </c:pt>
                <c:pt idx="6">
                  <c:v>4.5977416870925838</c:v>
                </c:pt>
                <c:pt idx="7">
                  <c:v>4.1372453687959165</c:v>
                </c:pt>
                <c:pt idx="8">
                  <c:v>3.6052898296986537</c:v>
                </c:pt>
                <c:pt idx="9">
                  <c:v>3.5450827071204789</c:v>
                </c:pt>
              </c:numCache>
            </c:numRef>
          </c:val>
          <c:extLst>
            <c:ext xmlns:c16="http://schemas.microsoft.com/office/drawing/2014/chart" uri="{C3380CC4-5D6E-409C-BE32-E72D297353CC}">
              <c16:uniqueId val="{00000000-2AA4-41A9-85FC-B7948E6F3355}"/>
            </c:ext>
          </c:extLst>
        </c:ser>
        <c:dLbls>
          <c:showLegendKey val="0"/>
          <c:showVal val="0"/>
          <c:showCatName val="0"/>
          <c:showSerName val="0"/>
          <c:showPercent val="0"/>
          <c:showBubbleSize val="0"/>
        </c:dLbls>
        <c:gapWidth val="75"/>
        <c:overlap val="-25"/>
        <c:axId val="350056096"/>
        <c:axId val="350057776"/>
      </c:barChart>
      <c:lineChart>
        <c:grouping val="standard"/>
        <c:varyColors val="0"/>
        <c:ser>
          <c:idx val="1"/>
          <c:order val="0"/>
          <c:tx>
            <c:strRef>
              <c:f>'03 Lombardia'!$G$14</c:f>
              <c:strCache>
                <c:ptCount val="1"/>
                <c:pt idx="0">
                  <c:v>Italia</c:v>
                </c:pt>
              </c:strCache>
            </c:strRef>
          </c:tx>
          <c:spPr>
            <a:ln w="25400" cap="rnd">
              <a:noFill/>
              <a:round/>
            </a:ln>
            <a:effectLst/>
          </c:spPr>
          <c:marker>
            <c:symbol val="circle"/>
            <c:size val="7"/>
            <c:spPr>
              <a:solidFill>
                <a:srgbClr val="C00000"/>
              </a:solidFill>
              <a:ln w="12700">
                <a:noFill/>
                <a:round/>
              </a:ln>
              <a:effectLst/>
            </c:spPr>
          </c:marker>
          <c:cat>
            <c:strRef>
              <c:f>'03 Lombardia'!$B$16:$B$25</c:f>
              <c:strCache>
                <c:ptCount val="10"/>
                <c:pt idx="0">
                  <c:v>Romania</c:v>
                </c:pt>
                <c:pt idx="1">
                  <c:v>Egitto</c:v>
                </c:pt>
                <c:pt idx="2">
                  <c:v>Marocco</c:v>
                </c:pt>
                <c:pt idx="3">
                  <c:v>Albania</c:v>
                </c:pt>
                <c:pt idx="4">
                  <c:v>Cina</c:v>
                </c:pt>
                <c:pt idx="5">
                  <c:v>Filippine</c:v>
                </c:pt>
                <c:pt idx="6">
                  <c:v>Ucraina</c:v>
                </c:pt>
                <c:pt idx="7">
                  <c:v>India</c:v>
                </c:pt>
                <c:pt idx="8">
                  <c:v>Perù</c:v>
                </c:pt>
                <c:pt idx="9">
                  <c:v>Pakistan</c:v>
                </c:pt>
              </c:strCache>
            </c:strRef>
          </c:cat>
          <c:val>
            <c:numRef>
              <c:f>'03 Lombardia'!$J$16:$J$25</c:f>
              <c:numCache>
                <c:formatCode>General</c:formatCode>
                <c:ptCount val="10"/>
                <c:pt idx="0">
                  <c:v>20.812723539964274</c:v>
                </c:pt>
                <c:pt idx="1">
                  <c:v>2.6986051918310778</c:v>
                </c:pt>
                <c:pt idx="2">
                  <c:v>8.2938088058262593</c:v>
                </c:pt>
                <c:pt idx="3">
                  <c:v>8.3754810133386339</c:v>
                </c:pt>
                <c:pt idx="4">
                  <c:v>6.3902121737220448</c:v>
                </c:pt>
                <c:pt idx="5">
                  <c:v>3.1988861333971657</c:v>
                </c:pt>
                <c:pt idx="6">
                  <c:v>4.5622164723406939</c:v>
                </c:pt>
                <c:pt idx="7">
                  <c:v>3.2002202674687452</c:v>
                </c:pt>
                <c:pt idx="8">
                  <c:v>1.8667435952863691</c:v>
                </c:pt>
                <c:pt idx="9">
                  <c:v>2.6203166576886532</c:v>
                </c:pt>
              </c:numCache>
            </c:numRef>
          </c:val>
          <c:smooth val="0"/>
          <c:extLst>
            <c:ext xmlns:c16="http://schemas.microsoft.com/office/drawing/2014/chart" uri="{C3380CC4-5D6E-409C-BE32-E72D297353CC}">
              <c16:uniqueId val="{00000001-2AA4-41A9-85FC-B7948E6F3355}"/>
            </c:ext>
          </c:extLst>
        </c:ser>
        <c:dLbls>
          <c:showLegendKey val="0"/>
          <c:showVal val="0"/>
          <c:showCatName val="0"/>
          <c:showSerName val="0"/>
          <c:showPercent val="0"/>
          <c:showBubbleSize val="0"/>
        </c:dLbls>
        <c:marker val="1"/>
        <c:smooth val="0"/>
        <c:axId val="350056096"/>
        <c:axId val="350057776"/>
      </c:lineChart>
      <c:catAx>
        <c:axId val="350056096"/>
        <c:scaling>
          <c:orientation val="minMax"/>
        </c:scaling>
        <c:delete val="0"/>
        <c:axPos val="b"/>
        <c:majorGridlines>
          <c:spPr>
            <a:ln w="6350" cap="flat" cmpd="sng" algn="ctr">
              <a:solidFill>
                <a:schemeClr val="bg1">
                  <a:lumMod val="75000"/>
                </a:schemeClr>
              </a:solidFill>
              <a:round/>
            </a:ln>
            <a:effectLst/>
          </c:spPr>
        </c:majorGridlines>
        <c:numFmt formatCode="General" sourceLinked="1"/>
        <c:majorTickMark val="out"/>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350057776"/>
        <c:crosses val="autoZero"/>
        <c:auto val="1"/>
        <c:lblAlgn val="ctr"/>
        <c:lblOffset val="100"/>
        <c:noMultiLvlLbl val="0"/>
      </c:catAx>
      <c:valAx>
        <c:axId val="350057776"/>
        <c:scaling>
          <c:orientation val="minMax"/>
        </c:scaling>
        <c:delete val="0"/>
        <c:axPos val="l"/>
        <c:majorGridlines>
          <c:spPr>
            <a:ln w="9525" cap="flat" cmpd="sng" algn="ctr">
              <a:solidFill>
                <a:schemeClr val="bg1">
                  <a:lumMod val="75000"/>
                </a:schemeClr>
              </a:solidFill>
              <a:round/>
            </a:ln>
            <a:effectLst/>
          </c:spPr>
        </c:majorGridlines>
        <c:numFmt formatCode="General" sourceLinked="1"/>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crossAx val="350056096"/>
        <c:crosses val="autoZero"/>
        <c:crossBetween val="between"/>
      </c:valAx>
      <c:spPr>
        <a:noFill/>
        <a:ln>
          <a:noFill/>
        </a:ln>
        <a:effectLst/>
      </c:spPr>
    </c:plotArea>
    <c:legend>
      <c:legendPos val="b"/>
      <c:layout>
        <c:manualLayout>
          <c:xMode val="edge"/>
          <c:yMode val="edge"/>
          <c:x val="0.39997107843137253"/>
          <c:y val="4.1800462962963039E-2"/>
          <c:w val="0.17515588235294119"/>
          <c:h val="8.8014351851851858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a:latin typeface="Arial Narrow" panose="020B0606020202030204" pitchFamily="34" charset="0"/>
        </a:defRPr>
      </a:pPr>
      <a:endParaRPr lang="it-I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Fig_4!$B$4</c:f>
              <c:strCache>
                <c:ptCount val="1"/>
                <c:pt idx="0">
                  <c:v>Maschi</c:v>
                </c:pt>
              </c:strCache>
            </c:strRef>
          </c:tx>
          <c:spPr>
            <a:solidFill>
              <a:srgbClr val="D9D9D9"/>
            </a:solidFill>
            <a:ln>
              <a:noFill/>
            </a:ln>
            <a:effectLst/>
          </c:spPr>
          <c:invertIfNegative val="0"/>
          <c:cat>
            <c:strRef>
              <c:f>Fig_4!$C$2:$G$2</c:f>
              <c:strCache>
                <c:ptCount val="5"/>
                <c:pt idx="0">
                  <c:v>Nessun titolo</c:v>
                </c:pt>
                <c:pt idx="1">
                  <c:v>Licenza elementare</c:v>
                </c:pt>
                <c:pt idx="2">
                  <c:v>Licenza  media</c:v>
                </c:pt>
                <c:pt idx="3">
                  <c:v>Secondaria II grado</c:v>
                </c:pt>
                <c:pt idx="4">
                  <c:v>Terziaria (con dottorato)</c:v>
                </c:pt>
              </c:strCache>
            </c:strRef>
          </c:cat>
          <c:val>
            <c:numRef>
              <c:f>Fig_4!$C$4:$G$4</c:f>
              <c:numCache>
                <c:formatCode>General</c:formatCode>
                <c:ptCount val="5"/>
                <c:pt idx="0">
                  <c:v>46.24804729377891</c:v>
                </c:pt>
                <c:pt idx="1">
                  <c:v>40.974255069341048</c:v>
                </c:pt>
                <c:pt idx="2">
                  <c:v>53.83423807502281</c:v>
                </c:pt>
                <c:pt idx="3">
                  <c:v>49.958286542668851</c:v>
                </c:pt>
                <c:pt idx="4">
                  <c:v>45.263837818982978</c:v>
                </c:pt>
              </c:numCache>
            </c:numRef>
          </c:val>
          <c:extLst>
            <c:ext xmlns:c16="http://schemas.microsoft.com/office/drawing/2014/chart" uri="{C3380CC4-5D6E-409C-BE32-E72D297353CC}">
              <c16:uniqueId val="{00000000-4B5E-4C92-A8BD-40C8E80336F3}"/>
            </c:ext>
          </c:extLst>
        </c:ser>
        <c:dLbls>
          <c:showLegendKey val="0"/>
          <c:showVal val="0"/>
          <c:showCatName val="0"/>
          <c:showSerName val="0"/>
          <c:showPercent val="0"/>
          <c:showBubbleSize val="0"/>
        </c:dLbls>
        <c:gapWidth val="150"/>
        <c:axId val="247119872"/>
        <c:axId val="247120432"/>
      </c:barChart>
      <c:scatterChart>
        <c:scatterStyle val="lineMarker"/>
        <c:varyColors val="0"/>
        <c:ser>
          <c:idx val="0"/>
          <c:order val="0"/>
          <c:tx>
            <c:strRef>
              <c:f>Fig_4!$B$3</c:f>
              <c:strCache>
                <c:ptCount val="1"/>
                <c:pt idx="0">
                  <c:v>Femmine</c:v>
                </c:pt>
              </c:strCache>
            </c:strRef>
          </c:tx>
          <c:spPr>
            <a:ln w="25400" cap="rnd">
              <a:noFill/>
              <a:round/>
            </a:ln>
            <a:effectLst/>
          </c:spPr>
          <c:marker>
            <c:symbol val="circle"/>
            <c:size val="7"/>
            <c:spPr>
              <a:solidFill>
                <a:srgbClr val="C9321F"/>
              </a:solidFill>
              <a:ln w="9525">
                <a:solidFill>
                  <a:srgbClr val="C9321F"/>
                </a:solidFill>
              </a:ln>
              <a:effectLst/>
            </c:spPr>
          </c:marker>
          <c:xVal>
            <c:strRef>
              <c:f>Fig_4!$C$2:$G$2</c:f>
              <c:strCache>
                <c:ptCount val="5"/>
                <c:pt idx="0">
                  <c:v>Nessun titolo</c:v>
                </c:pt>
                <c:pt idx="1">
                  <c:v>Licenza elementare</c:v>
                </c:pt>
                <c:pt idx="2">
                  <c:v>Licenza  media</c:v>
                </c:pt>
                <c:pt idx="3">
                  <c:v>Secondaria II grado</c:v>
                </c:pt>
                <c:pt idx="4">
                  <c:v>Terziaria (con dottorato)</c:v>
                </c:pt>
              </c:strCache>
            </c:strRef>
          </c:xVal>
          <c:yVal>
            <c:numRef>
              <c:f>Fig_4!$C$3:$G$3</c:f>
              <c:numCache>
                <c:formatCode>General</c:formatCode>
                <c:ptCount val="5"/>
                <c:pt idx="0">
                  <c:v>53.751952706221097</c:v>
                </c:pt>
                <c:pt idx="1">
                  <c:v>59.025744930658952</c:v>
                </c:pt>
                <c:pt idx="2">
                  <c:v>46.165761924977197</c:v>
                </c:pt>
                <c:pt idx="3">
                  <c:v>50.041713457331149</c:v>
                </c:pt>
                <c:pt idx="4">
                  <c:v>54.736162181017022</c:v>
                </c:pt>
              </c:numCache>
            </c:numRef>
          </c:yVal>
          <c:smooth val="0"/>
          <c:extLst>
            <c:ext xmlns:c16="http://schemas.microsoft.com/office/drawing/2014/chart" uri="{C3380CC4-5D6E-409C-BE32-E72D297353CC}">
              <c16:uniqueId val="{00000001-4B5E-4C92-A8BD-40C8E80336F3}"/>
            </c:ext>
          </c:extLst>
        </c:ser>
        <c:dLbls>
          <c:showLegendKey val="0"/>
          <c:showVal val="0"/>
          <c:showCatName val="0"/>
          <c:showSerName val="0"/>
          <c:showPercent val="0"/>
          <c:showBubbleSize val="0"/>
        </c:dLbls>
        <c:axId val="247119872"/>
        <c:axId val="247120432"/>
      </c:scatterChart>
      <c:catAx>
        <c:axId val="247119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75000"/>
                    <a:lumOff val="25000"/>
                  </a:schemeClr>
                </a:solidFill>
                <a:latin typeface="Arial Narrow" panose="020B0606020202030204" pitchFamily="34" charset="0"/>
                <a:ea typeface="+mn-ea"/>
                <a:cs typeface="+mn-cs"/>
              </a:defRPr>
            </a:pPr>
            <a:endParaRPr lang="it-IT"/>
          </a:p>
        </c:txPr>
        <c:crossAx val="247120432"/>
        <c:crosses val="autoZero"/>
        <c:auto val="1"/>
        <c:lblAlgn val="ctr"/>
        <c:lblOffset val="100"/>
        <c:noMultiLvlLbl val="0"/>
      </c:catAx>
      <c:valAx>
        <c:axId val="247120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75000"/>
                    <a:lumOff val="25000"/>
                  </a:schemeClr>
                </a:solidFill>
                <a:latin typeface="Arial Narrow" panose="020B0606020202030204" pitchFamily="34" charset="0"/>
                <a:ea typeface="+mn-ea"/>
                <a:cs typeface="+mn-cs"/>
              </a:defRPr>
            </a:pPr>
            <a:endParaRPr lang="it-IT"/>
          </a:p>
        </c:txPr>
        <c:crossAx val="2471198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1">
          <a:solidFill>
            <a:schemeClr val="tx1">
              <a:lumMod val="75000"/>
              <a:lumOff val="25000"/>
            </a:schemeClr>
          </a:solidFill>
          <a:latin typeface="Arial Narrow" panose="020B0606020202030204" pitchFamily="34" charset="0"/>
        </a:defRPr>
      </a:pPr>
      <a:endParaRPr lang="it-I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330339321357289E-2"/>
          <c:y val="0.16996833152370611"/>
          <c:w val="0.8715756472491909"/>
          <c:h val="0.62410790598290589"/>
        </c:manualLayout>
      </c:layout>
      <c:barChart>
        <c:barDir val="col"/>
        <c:grouping val="clustered"/>
        <c:varyColors val="0"/>
        <c:ser>
          <c:idx val="0"/>
          <c:order val="0"/>
          <c:tx>
            <c:strRef>
              <c:f>Fig_5!$B$8</c:f>
              <c:strCache>
                <c:ptCount val="1"/>
                <c:pt idx="0">
                  <c:v>Italiani</c:v>
                </c:pt>
              </c:strCache>
            </c:strRef>
          </c:tx>
          <c:spPr>
            <a:solidFill>
              <a:srgbClr val="D3D3D3"/>
            </a:solidFill>
            <a:ln w="25400">
              <a:noFill/>
            </a:ln>
            <a:effectLst/>
          </c:spPr>
          <c:invertIfNegative val="0"/>
          <c:cat>
            <c:strRef>
              <c:f>Fig_5!$C$7:$G$7</c:f>
              <c:strCache>
                <c:ptCount val="5"/>
                <c:pt idx="0">
                  <c:v>Nessun titolo</c:v>
                </c:pt>
                <c:pt idx="1">
                  <c:v>Licenza elementare</c:v>
                </c:pt>
                <c:pt idx="2">
                  <c:v>Licenza  media</c:v>
                </c:pt>
                <c:pt idx="3">
                  <c:v>Secondaria II grado</c:v>
                </c:pt>
                <c:pt idx="4">
                  <c:v>Terziaria (con dottorato)</c:v>
                </c:pt>
              </c:strCache>
            </c:strRef>
          </c:cat>
          <c:val>
            <c:numRef>
              <c:f>Fig_5!$C$8:$G$8</c:f>
              <c:numCache>
                <c:formatCode>0.0</c:formatCode>
                <c:ptCount val="5"/>
                <c:pt idx="0">
                  <c:v>2.9558047948025301</c:v>
                </c:pt>
                <c:pt idx="1">
                  <c:v>15.632432221434073</c:v>
                </c:pt>
                <c:pt idx="2">
                  <c:v>28.320660271888858</c:v>
                </c:pt>
                <c:pt idx="3">
                  <c:v>37.098612011585985</c:v>
                </c:pt>
                <c:pt idx="4">
                  <c:v>15.992490700288553</c:v>
                </c:pt>
              </c:numCache>
            </c:numRef>
          </c:val>
          <c:extLst>
            <c:ext xmlns:c16="http://schemas.microsoft.com/office/drawing/2014/chart" uri="{C3380CC4-5D6E-409C-BE32-E72D297353CC}">
              <c16:uniqueId val="{00000000-D664-43EC-A7E1-51BA678ADC33}"/>
            </c:ext>
          </c:extLst>
        </c:ser>
        <c:dLbls>
          <c:showLegendKey val="0"/>
          <c:showVal val="0"/>
          <c:showCatName val="0"/>
          <c:showSerName val="0"/>
          <c:showPercent val="0"/>
          <c:showBubbleSize val="0"/>
        </c:dLbls>
        <c:gapWidth val="150"/>
        <c:axId val="247123792"/>
        <c:axId val="247124352"/>
      </c:barChart>
      <c:scatterChart>
        <c:scatterStyle val="lineMarker"/>
        <c:varyColors val="0"/>
        <c:ser>
          <c:idx val="1"/>
          <c:order val="1"/>
          <c:tx>
            <c:strRef>
              <c:f>Fig_5!$B$9</c:f>
              <c:strCache>
                <c:ptCount val="1"/>
                <c:pt idx="0">
                  <c:v>Stranieri</c:v>
                </c:pt>
              </c:strCache>
            </c:strRef>
          </c:tx>
          <c:spPr>
            <a:ln w="25400" cap="rnd">
              <a:noFill/>
              <a:round/>
            </a:ln>
            <a:effectLst/>
          </c:spPr>
          <c:marker>
            <c:symbol val="square"/>
            <c:size val="8"/>
            <c:spPr>
              <a:solidFill>
                <a:srgbClr val="C00000"/>
              </a:solidFill>
              <a:ln w="9525">
                <a:noFill/>
              </a:ln>
              <a:effectLst/>
            </c:spPr>
          </c:marker>
          <c:xVal>
            <c:strRef>
              <c:f>Fig_5!$C$7:$G$7</c:f>
              <c:strCache>
                <c:ptCount val="5"/>
                <c:pt idx="0">
                  <c:v>Nessun titolo</c:v>
                </c:pt>
                <c:pt idx="1">
                  <c:v>Licenza elementare</c:v>
                </c:pt>
                <c:pt idx="2">
                  <c:v>Licenza  media</c:v>
                </c:pt>
                <c:pt idx="3">
                  <c:v>Secondaria II grado</c:v>
                </c:pt>
                <c:pt idx="4">
                  <c:v>Terziaria (con dottorato)</c:v>
                </c:pt>
              </c:strCache>
            </c:strRef>
          </c:xVal>
          <c:yVal>
            <c:numRef>
              <c:f>Fig_5!$C$9:$G$9</c:f>
              <c:numCache>
                <c:formatCode>0.0</c:formatCode>
                <c:ptCount val="5"/>
                <c:pt idx="0">
                  <c:v>8.0655610758426111</c:v>
                </c:pt>
                <c:pt idx="1">
                  <c:v>9.9070943355721166</c:v>
                </c:pt>
                <c:pt idx="2">
                  <c:v>32.147142484742538</c:v>
                </c:pt>
                <c:pt idx="3">
                  <c:v>36.502323120802281</c:v>
                </c:pt>
                <c:pt idx="4">
                  <c:v>13.37787898304045</c:v>
                </c:pt>
              </c:numCache>
            </c:numRef>
          </c:yVal>
          <c:smooth val="0"/>
          <c:extLst>
            <c:ext xmlns:c16="http://schemas.microsoft.com/office/drawing/2014/chart" uri="{C3380CC4-5D6E-409C-BE32-E72D297353CC}">
              <c16:uniqueId val="{00000001-D664-43EC-A7E1-51BA678ADC33}"/>
            </c:ext>
          </c:extLst>
        </c:ser>
        <c:dLbls>
          <c:showLegendKey val="0"/>
          <c:showVal val="0"/>
          <c:showCatName val="0"/>
          <c:showSerName val="0"/>
          <c:showPercent val="0"/>
          <c:showBubbleSize val="0"/>
        </c:dLbls>
        <c:axId val="247123792"/>
        <c:axId val="247124352"/>
      </c:scatterChart>
      <c:catAx>
        <c:axId val="247123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75000"/>
                    <a:lumOff val="25000"/>
                  </a:schemeClr>
                </a:solidFill>
                <a:latin typeface="Arial Narrow" panose="020B0606020202030204" pitchFamily="34" charset="0"/>
                <a:ea typeface="+mn-ea"/>
                <a:cs typeface="+mn-cs"/>
              </a:defRPr>
            </a:pPr>
            <a:endParaRPr lang="it-IT"/>
          </a:p>
        </c:txPr>
        <c:crossAx val="247124352"/>
        <c:crosses val="autoZero"/>
        <c:auto val="1"/>
        <c:lblAlgn val="ctr"/>
        <c:lblOffset val="100"/>
        <c:noMultiLvlLbl val="0"/>
      </c:catAx>
      <c:valAx>
        <c:axId val="247124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75000"/>
                    <a:lumOff val="25000"/>
                  </a:schemeClr>
                </a:solidFill>
                <a:latin typeface="Arial Narrow" panose="020B0606020202030204" pitchFamily="34" charset="0"/>
                <a:ea typeface="+mn-ea"/>
                <a:cs typeface="+mn-cs"/>
              </a:defRPr>
            </a:pPr>
            <a:endParaRPr lang="it-IT"/>
          </a:p>
        </c:txPr>
        <c:crossAx val="2471237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1">
          <a:solidFill>
            <a:schemeClr val="tx1">
              <a:lumMod val="75000"/>
              <a:lumOff val="25000"/>
            </a:schemeClr>
          </a:solidFill>
          <a:latin typeface="Arial Narrow" panose="020B0606020202030204" pitchFamily="34" charset="0"/>
        </a:defRPr>
      </a:pPr>
      <a:endParaRPr lang="it-I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14938757655293"/>
          <c:y val="0.15483005285265716"/>
          <c:w val="0.7932257217847769"/>
          <c:h val="0.7457208371828512"/>
        </c:manualLayout>
      </c:layout>
      <c:barChart>
        <c:barDir val="bar"/>
        <c:grouping val="clustered"/>
        <c:varyColors val="0"/>
        <c:ser>
          <c:idx val="2"/>
          <c:order val="2"/>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Narrow" panose="020B0606020202030204" pitchFamily="34"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Fig_6!$A$4:$A$17</c:f>
              <c:strCache>
                <c:ptCount val="14"/>
                <c:pt idx="0">
                  <c:v>ITALIA</c:v>
                </c:pt>
                <c:pt idx="1">
                  <c:v>LOMBARDIA</c:v>
                </c:pt>
                <c:pt idx="2">
                  <c:v>Bergamo</c:v>
                </c:pt>
                <c:pt idx="3">
                  <c:v>Brescia</c:v>
                </c:pt>
                <c:pt idx="4">
                  <c:v>Como</c:v>
                </c:pt>
                <c:pt idx="5">
                  <c:v>Cremona</c:v>
                </c:pt>
                <c:pt idx="6">
                  <c:v>Lecco</c:v>
                </c:pt>
                <c:pt idx="7">
                  <c:v>Lodi</c:v>
                </c:pt>
                <c:pt idx="8">
                  <c:v>Mantova</c:v>
                </c:pt>
                <c:pt idx="9">
                  <c:v>Milano</c:v>
                </c:pt>
                <c:pt idx="10">
                  <c:v>Monza e della Brianza</c:v>
                </c:pt>
                <c:pt idx="11">
                  <c:v>Pavia</c:v>
                </c:pt>
                <c:pt idx="12">
                  <c:v>Sondrio</c:v>
                </c:pt>
                <c:pt idx="13">
                  <c:v>Varese</c:v>
                </c:pt>
              </c:strCache>
            </c:strRef>
          </c:cat>
          <c:val>
            <c:numRef>
              <c:f>Fig_6!$D$4:$D$17</c:f>
              <c:numCache>
                <c:formatCode>General</c:formatCode>
                <c:ptCount val="14"/>
                <c:pt idx="0">
                  <c:v>50.660038864221505</c:v>
                </c:pt>
                <c:pt idx="1">
                  <c:v>55.963549410915988</c:v>
                </c:pt>
                <c:pt idx="2">
                  <c:v>57.260185213594838</c:v>
                </c:pt>
                <c:pt idx="3">
                  <c:v>56.012129640913876</c:v>
                </c:pt>
                <c:pt idx="4">
                  <c:v>53.769480725919529</c:v>
                </c:pt>
                <c:pt idx="5">
                  <c:v>54.239578767546668</c:v>
                </c:pt>
                <c:pt idx="6">
                  <c:v>56.392833792590778</c:v>
                </c:pt>
                <c:pt idx="7">
                  <c:v>57.078342391782314</c:v>
                </c:pt>
                <c:pt idx="8">
                  <c:v>54.69171997375399</c:v>
                </c:pt>
                <c:pt idx="9">
                  <c:v>56.919046698845165</c:v>
                </c:pt>
                <c:pt idx="10">
                  <c:v>57.861646784104217</c:v>
                </c:pt>
                <c:pt idx="11">
                  <c:v>53.145587516840131</c:v>
                </c:pt>
                <c:pt idx="12">
                  <c:v>50.42372176804767</c:v>
                </c:pt>
                <c:pt idx="13">
                  <c:v>54.039888074713296</c:v>
                </c:pt>
              </c:numCache>
            </c:numRef>
          </c:val>
          <c:extLst>
            <c:ext xmlns:c16="http://schemas.microsoft.com/office/drawing/2014/chart" uri="{C3380CC4-5D6E-409C-BE32-E72D297353CC}">
              <c16:uniqueId val="{00000000-34DE-48E8-B936-C2CAAFC33328}"/>
            </c:ext>
          </c:extLst>
        </c:ser>
        <c:dLbls>
          <c:showLegendKey val="0"/>
          <c:showVal val="0"/>
          <c:showCatName val="0"/>
          <c:showSerName val="0"/>
          <c:showPercent val="0"/>
          <c:showBubbleSize val="0"/>
        </c:dLbls>
        <c:gapWidth val="150"/>
        <c:axId val="247128272"/>
        <c:axId val="286552544"/>
      </c:barChart>
      <c:barChart>
        <c:barDir val="bar"/>
        <c:grouping val="stacked"/>
        <c:varyColors val="0"/>
        <c:ser>
          <c:idx val="0"/>
          <c:order val="0"/>
          <c:tx>
            <c:strRef>
              <c:f>Fig_6!$B$3</c:f>
              <c:strCache>
                <c:ptCount val="1"/>
                <c:pt idx="0">
                  <c:v>Studio</c:v>
                </c:pt>
              </c:strCache>
            </c:strRef>
          </c:tx>
          <c:spPr>
            <a:solidFill>
              <a:srgbClr val="C9321F"/>
            </a:solidFill>
            <a:ln>
              <a:noFill/>
            </a:ln>
            <a:effectLst/>
          </c:spPr>
          <c:invertIfNegative val="0"/>
          <c:cat>
            <c:strRef>
              <c:f>Fig_6!$A$4:$A$17</c:f>
              <c:strCache>
                <c:ptCount val="14"/>
                <c:pt idx="0">
                  <c:v>ITALIA</c:v>
                </c:pt>
                <c:pt idx="1">
                  <c:v>LOMBARDIA</c:v>
                </c:pt>
                <c:pt idx="2">
                  <c:v>Bergamo</c:v>
                </c:pt>
                <c:pt idx="3">
                  <c:v>Brescia</c:v>
                </c:pt>
                <c:pt idx="4">
                  <c:v>Como</c:v>
                </c:pt>
                <c:pt idx="5">
                  <c:v>Cremona</c:v>
                </c:pt>
                <c:pt idx="6">
                  <c:v>Lecco</c:v>
                </c:pt>
                <c:pt idx="7">
                  <c:v>Lodi</c:v>
                </c:pt>
                <c:pt idx="8">
                  <c:v>Mantova</c:v>
                </c:pt>
                <c:pt idx="9">
                  <c:v>Milano</c:v>
                </c:pt>
                <c:pt idx="10">
                  <c:v>Monza e della Brianza</c:v>
                </c:pt>
                <c:pt idx="11">
                  <c:v>Pavia</c:v>
                </c:pt>
                <c:pt idx="12">
                  <c:v>Sondrio</c:v>
                </c:pt>
                <c:pt idx="13">
                  <c:v>Varese</c:v>
                </c:pt>
              </c:strCache>
            </c:strRef>
          </c:cat>
          <c:val>
            <c:numRef>
              <c:f>Fig_6!$B$4:$B$17</c:f>
              <c:numCache>
                <c:formatCode>General</c:formatCode>
                <c:ptCount val="14"/>
                <c:pt idx="0">
                  <c:v>16.258149025389841</c:v>
                </c:pt>
                <c:pt idx="1">
                  <c:v>16.711193762975434</c:v>
                </c:pt>
                <c:pt idx="2">
                  <c:v>17.504327125254708</c:v>
                </c:pt>
                <c:pt idx="3">
                  <c:v>16.886629914523787</c:v>
                </c:pt>
                <c:pt idx="4">
                  <c:v>16.543014045197626</c:v>
                </c:pt>
                <c:pt idx="5">
                  <c:v>15.542218775638647</c:v>
                </c:pt>
                <c:pt idx="6">
                  <c:v>16.990037646173732</c:v>
                </c:pt>
                <c:pt idx="7">
                  <c:v>16.438006789439434</c:v>
                </c:pt>
                <c:pt idx="8">
                  <c:v>15.450986559978766</c:v>
                </c:pt>
                <c:pt idx="9">
                  <c:v>16.914998099730898</c:v>
                </c:pt>
                <c:pt idx="10">
                  <c:v>17.259964168868287</c:v>
                </c:pt>
                <c:pt idx="11">
                  <c:v>15.079315143529689</c:v>
                </c:pt>
                <c:pt idx="12">
                  <c:v>14.742967992240544</c:v>
                </c:pt>
                <c:pt idx="13">
                  <c:v>16.70313128619151</c:v>
                </c:pt>
              </c:numCache>
            </c:numRef>
          </c:val>
          <c:extLst>
            <c:ext xmlns:c16="http://schemas.microsoft.com/office/drawing/2014/chart" uri="{C3380CC4-5D6E-409C-BE32-E72D297353CC}">
              <c16:uniqueId val="{00000001-34DE-48E8-B936-C2CAAFC33328}"/>
            </c:ext>
          </c:extLst>
        </c:ser>
        <c:ser>
          <c:idx val="1"/>
          <c:order val="1"/>
          <c:tx>
            <c:strRef>
              <c:f>Fig_6!$C$3</c:f>
              <c:strCache>
                <c:ptCount val="1"/>
                <c:pt idx="0">
                  <c:v>Lavoro</c:v>
                </c:pt>
              </c:strCache>
            </c:strRef>
          </c:tx>
          <c:spPr>
            <a:solidFill>
              <a:srgbClr val="A5A5A5"/>
            </a:solidFill>
            <a:ln>
              <a:noFill/>
            </a:ln>
            <a:effectLst/>
          </c:spPr>
          <c:invertIfNegative val="0"/>
          <c:cat>
            <c:strRef>
              <c:f>Fig_6!$A$4:$A$17</c:f>
              <c:strCache>
                <c:ptCount val="14"/>
                <c:pt idx="0">
                  <c:v>ITALIA</c:v>
                </c:pt>
                <c:pt idx="1">
                  <c:v>LOMBARDIA</c:v>
                </c:pt>
                <c:pt idx="2">
                  <c:v>Bergamo</c:v>
                </c:pt>
                <c:pt idx="3">
                  <c:v>Brescia</c:v>
                </c:pt>
                <c:pt idx="4">
                  <c:v>Como</c:v>
                </c:pt>
                <c:pt idx="5">
                  <c:v>Cremona</c:v>
                </c:pt>
                <c:pt idx="6">
                  <c:v>Lecco</c:v>
                </c:pt>
                <c:pt idx="7">
                  <c:v>Lodi</c:v>
                </c:pt>
                <c:pt idx="8">
                  <c:v>Mantova</c:v>
                </c:pt>
                <c:pt idx="9">
                  <c:v>Milano</c:v>
                </c:pt>
                <c:pt idx="10">
                  <c:v>Monza e della Brianza</c:v>
                </c:pt>
                <c:pt idx="11">
                  <c:v>Pavia</c:v>
                </c:pt>
                <c:pt idx="12">
                  <c:v>Sondrio</c:v>
                </c:pt>
                <c:pt idx="13">
                  <c:v>Varese</c:v>
                </c:pt>
              </c:strCache>
            </c:strRef>
          </c:cat>
          <c:val>
            <c:numRef>
              <c:f>Fig_6!$C$4:$C$17</c:f>
              <c:numCache>
                <c:formatCode>General</c:formatCode>
                <c:ptCount val="14"/>
                <c:pt idx="0">
                  <c:v>34.401889838831657</c:v>
                </c:pt>
                <c:pt idx="1">
                  <c:v>39.252355647940554</c:v>
                </c:pt>
                <c:pt idx="2">
                  <c:v>39.755858088340133</c:v>
                </c:pt>
                <c:pt idx="3">
                  <c:v>39.125499726390096</c:v>
                </c:pt>
                <c:pt idx="4">
                  <c:v>37.226466680721906</c:v>
                </c:pt>
                <c:pt idx="5">
                  <c:v>38.697359991908023</c:v>
                </c:pt>
                <c:pt idx="6">
                  <c:v>39.402796146417046</c:v>
                </c:pt>
                <c:pt idx="7">
                  <c:v>40.640335602342887</c:v>
                </c:pt>
                <c:pt idx="8">
                  <c:v>39.240733413775224</c:v>
                </c:pt>
                <c:pt idx="9">
                  <c:v>40.00404859911427</c:v>
                </c:pt>
                <c:pt idx="10">
                  <c:v>40.60168261523593</c:v>
                </c:pt>
                <c:pt idx="11">
                  <c:v>38.066272373310433</c:v>
                </c:pt>
                <c:pt idx="12">
                  <c:v>35.680753775807119</c:v>
                </c:pt>
                <c:pt idx="13">
                  <c:v>37.336756788521782</c:v>
                </c:pt>
              </c:numCache>
            </c:numRef>
          </c:val>
          <c:extLst>
            <c:ext xmlns:c16="http://schemas.microsoft.com/office/drawing/2014/chart" uri="{C3380CC4-5D6E-409C-BE32-E72D297353CC}">
              <c16:uniqueId val="{00000002-34DE-48E8-B936-C2CAAFC33328}"/>
            </c:ext>
          </c:extLst>
        </c:ser>
        <c:dLbls>
          <c:showLegendKey val="0"/>
          <c:showVal val="0"/>
          <c:showCatName val="0"/>
          <c:showSerName val="0"/>
          <c:showPercent val="0"/>
          <c:showBubbleSize val="0"/>
        </c:dLbls>
        <c:gapWidth val="150"/>
        <c:overlap val="100"/>
        <c:axId val="286553664"/>
        <c:axId val="286553104"/>
      </c:barChart>
      <c:catAx>
        <c:axId val="247128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Arial Narrow" panose="020B0606020202030204" pitchFamily="34" charset="0"/>
                <a:ea typeface="+mn-ea"/>
                <a:cs typeface="+mn-cs"/>
              </a:defRPr>
            </a:pPr>
            <a:endParaRPr lang="it-IT"/>
          </a:p>
        </c:txPr>
        <c:crossAx val="286552544"/>
        <c:crosses val="autoZero"/>
        <c:auto val="1"/>
        <c:lblAlgn val="ctr"/>
        <c:lblOffset val="100"/>
        <c:noMultiLvlLbl val="0"/>
      </c:catAx>
      <c:valAx>
        <c:axId val="286552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Arial Narrow" panose="020B0606020202030204" pitchFamily="34" charset="0"/>
                <a:ea typeface="+mn-ea"/>
                <a:cs typeface="+mn-cs"/>
              </a:defRPr>
            </a:pPr>
            <a:endParaRPr lang="it-IT"/>
          </a:p>
        </c:txPr>
        <c:crossAx val="247128272"/>
        <c:crosses val="autoZero"/>
        <c:crossBetween val="between"/>
      </c:valAx>
      <c:valAx>
        <c:axId val="286553104"/>
        <c:scaling>
          <c:orientation val="minMax"/>
        </c:scaling>
        <c:delete val="1"/>
        <c:axPos val="t"/>
        <c:numFmt formatCode="General" sourceLinked="1"/>
        <c:majorTickMark val="out"/>
        <c:minorTickMark val="none"/>
        <c:tickLblPos val="nextTo"/>
        <c:crossAx val="286553664"/>
        <c:crosses val="max"/>
        <c:crossBetween val="between"/>
      </c:valAx>
      <c:catAx>
        <c:axId val="286553664"/>
        <c:scaling>
          <c:orientation val="minMax"/>
        </c:scaling>
        <c:delete val="1"/>
        <c:axPos val="l"/>
        <c:numFmt formatCode="General" sourceLinked="1"/>
        <c:majorTickMark val="out"/>
        <c:minorTickMark val="none"/>
        <c:tickLblPos val="nextTo"/>
        <c:crossAx val="286553104"/>
        <c:crosses val="autoZero"/>
        <c:auto val="1"/>
        <c:lblAlgn val="ctr"/>
        <c:lblOffset val="100"/>
        <c:noMultiLvlLbl val="0"/>
      </c:catAx>
      <c:spPr>
        <a:noFill/>
        <a:ln>
          <a:noFill/>
        </a:ln>
        <a:effectLst/>
      </c:spPr>
    </c:plotArea>
    <c:legend>
      <c:legendPos val="t"/>
      <c:legendEntry>
        <c:idx val="0"/>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Arial Narrow" panose="020B0606020202030204" pitchFamily="34" charset="0"/>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0.33214</cdr:x>
      <cdr:y>0.1367</cdr:y>
    </cdr:from>
    <cdr:to>
      <cdr:x>0.81733</cdr:x>
      <cdr:y>0.23863</cdr:y>
    </cdr:to>
    <cdr:sp macro="" textlink="">
      <cdr:nvSpPr>
        <cdr:cNvPr id="2" name="CasellaDiTesto 1"/>
        <cdr:cNvSpPr txBox="1"/>
      </cdr:nvSpPr>
      <cdr:spPr>
        <a:xfrm xmlns:a="http://schemas.openxmlformats.org/drawingml/2006/main">
          <a:off x="955417" y="295282"/>
          <a:ext cx="1395674" cy="2201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t-IT" sz="800" b="1">
              <a:solidFill>
                <a:schemeClr val="tx1">
                  <a:lumMod val="65000"/>
                  <a:lumOff val="35000"/>
                </a:schemeClr>
              </a:solidFill>
              <a:latin typeface="Arial Narrow" panose="020B0606020202030204" pitchFamily="34" charset="0"/>
            </a:rPr>
            <a:t>Maschi                      Femmine             </a:t>
          </a:r>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AF290-07AE-4114-999E-683AB853C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6395</Words>
  <Characters>36456</Characters>
  <Application>Microsoft Office Word</Application>
  <DocSecurity>0</DocSecurity>
  <Lines>303</Lines>
  <Paragraphs>85</Paragraphs>
  <ScaleCrop>false</ScaleCrop>
  <HeadingPairs>
    <vt:vector size="2" baseType="variant">
      <vt:variant>
        <vt:lpstr>Titolo</vt:lpstr>
      </vt:variant>
      <vt:variant>
        <vt:i4>1</vt:i4>
      </vt:variant>
    </vt:vector>
  </HeadingPairs>
  <TitlesOfParts>
    <vt:vector size="1" baseType="lpstr">
      <vt:lpstr>Focus Provincia di Napoli</vt:lpstr>
    </vt:vector>
  </TitlesOfParts>
  <Company>ISTAT</Company>
  <LinksUpToDate>false</LinksUpToDate>
  <CharactersWithSpaces>42766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Provincia di Napoli</dc:title>
  <dc:creator>Istat sede per la Campania</dc:creator>
  <cp:lastModifiedBy>enzalucia vaccaro</cp:lastModifiedBy>
  <cp:revision>5</cp:revision>
  <cp:lastPrinted>2022-03-10T09:27:00Z</cp:lastPrinted>
  <dcterms:created xsi:type="dcterms:W3CDTF">2022-03-24T12:39:00Z</dcterms:created>
  <dcterms:modified xsi:type="dcterms:W3CDTF">2022-03-28T15:05:00Z</dcterms:modified>
</cp:coreProperties>
</file>