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14A10C8" w14:textId="7927198B" w:rsidR="00B43883" w:rsidRDefault="00B43883"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6192" behindDoc="0" locked="0" layoutInCell="1" allowOverlap="1" wp14:anchorId="7F386679" wp14:editId="6D6CDF9E">
                <wp:simplePos x="0" y="0"/>
                <wp:positionH relativeFrom="column">
                  <wp:posOffset>3780790</wp:posOffset>
                </wp:positionH>
                <wp:positionV relativeFrom="paragraph">
                  <wp:posOffset>-593090</wp:posOffset>
                </wp:positionV>
                <wp:extent cx="1305560" cy="261620"/>
                <wp:effectExtent l="0" t="0" r="8890" b="508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61620"/>
                        </a:xfrm>
                        <a:prstGeom prst="rect">
                          <a:avLst/>
                        </a:prstGeom>
                        <a:solidFill>
                          <a:srgbClr val="FFFFFF"/>
                        </a:solidFill>
                        <a:ln w="9525">
                          <a:solidFill>
                            <a:srgbClr val="FFFFFF"/>
                          </a:solidFill>
                          <a:miter lim="800000"/>
                          <a:headEnd/>
                          <a:tailEnd/>
                        </a:ln>
                      </wps:spPr>
                      <wps:txbx>
                        <w:txbxContent>
                          <w:p w14:paraId="2C41FE31" w14:textId="70661B19" w:rsidR="00166759" w:rsidRPr="00BC0AFE" w:rsidRDefault="00166759" w:rsidP="00AE6AE5">
                            <w:pPr>
                              <w:jc w:val="right"/>
                              <w:rPr>
                                <w:rFonts w:ascii="Arial Narrow" w:hAnsi="Arial Narrow"/>
                                <w:b/>
                                <w:color w:val="5F5F5F"/>
                                <w:sz w:val="26"/>
                                <w:szCs w:val="26"/>
                              </w:rPr>
                            </w:pPr>
                            <w:r>
                              <w:rPr>
                                <w:rFonts w:ascii="Arial Narrow" w:hAnsi="Arial Narrow"/>
                                <w:b/>
                                <w:color w:val="5F5F5F"/>
                                <w:sz w:val="26"/>
                                <w:szCs w:val="26"/>
                              </w:rPr>
                              <w:t>20 Aprile 2022</w:t>
                            </w:r>
                            <w:r w:rsidRPr="00BC0AFE">
                              <w:rPr>
                                <w:rFonts w:ascii="Arial Narrow" w:hAnsi="Arial Narrow"/>
                                <w:b/>
                                <w:color w:val="5F5F5F"/>
                                <w:sz w:val="26"/>
                                <w:szCs w:val="26"/>
                              </w:rPr>
                              <w:t xml:space="preserve"> </w:t>
                            </w:r>
                          </w:p>
                          <w:p w14:paraId="7AC159D1" w14:textId="77777777" w:rsidR="00166759" w:rsidRPr="00884ED9" w:rsidRDefault="00166759" w:rsidP="00AE6AE5">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F386679" id="_x0000_t202" coordsize="21600,21600" o:spt="202" path="m,l,21600r21600,l21600,xe">
                <v:stroke joinstyle="miter"/>
                <v:path gradientshapeok="t" o:connecttype="rect"/>
              </v:shapetype>
              <v:shape id="Casella di testo 2" o:spid="_x0000_s1026" type="#_x0000_t202" style="position:absolute;left:0;text-align:left;margin-left:297.7pt;margin-top:-46.7pt;width:102.8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" strokecolor="white">
                <v:textbox inset="0,0,0,0">
                  <w:txbxContent>
                    <w:p w14:paraId="2C41FE31" w14:textId="70661B19" w:rsidR="00166759" w:rsidRPr="00BC0AFE" w:rsidRDefault="00166759" w:rsidP="00AE6AE5">
                      <w:pPr>
                        <w:jc w:val="right"/>
                        <w:rPr>
                          <w:rFonts w:ascii="Arial Narrow" w:hAnsi="Arial Narrow"/>
                          <w:b/>
                          <w:color w:val="5F5F5F"/>
                          <w:sz w:val="26"/>
                          <w:szCs w:val="26"/>
                        </w:rPr>
                      </w:pPr>
                      <w:r>
                        <w:rPr>
                          <w:rFonts w:ascii="Arial Narrow" w:hAnsi="Arial Narrow"/>
                          <w:b/>
                          <w:color w:val="5F5F5F"/>
                          <w:sz w:val="26"/>
                          <w:szCs w:val="26"/>
                        </w:rPr>
                        <w:t xml:space="preserve">20 </w:t>
                      </w:r>
                      <w:proofErr w:type="gramStart"/>
                      <w:r>
                        <w:rPr>
                          <w:rFonts w:ascii="Arial Narrow" w:hAnsi="Arial Narrow"/>
                          <w:b/>
                          <w:color w:val="5F5F5F"/>
                          <w:sz w:val="26"/>
                          <w:szCs w:val="26"/>
                        </w:rPr>
                        <w:t>Aprile</w:t>
                      </w:r>
                      <w:proofErr w:type="gramEnd"/>
                      <w:r>
                        <w:rPr>
                          <w:rFonts w:ascii="Arial Narrow" w:hAnsi="Arial Narrow"/>
                          <w:b/>
                          <w:color w:val="5F5F5F"/>
                          <w:sz w:val="26"/>
                          <w:szCs w:val="26"/>
                        </w:rPr>
                        <w:t xml:space="preserve"> 2022</w:t>
                      </w:r>
                      <w:r w:rsidRPr="00BC0AFE">
                        <w:rPr>
                          <w:rFonts w:ascii="Arial Narrow" w:hAnsi="Arial Narrow"/>
                          <w:b/>
                          <w:color w:val="5F5F5F"/>
                          <w:sz w:val="26"/>
                          <w:szCs w:val="26"/>
                        </w:rPr>
                        <w:t xml:space="preserve"> </w:t>
                      </w:r>
                    </w:p>
                    <w:p w14:paraId="7AC159D1" w14:textId="77777777" w:rsidR="00166759" w:rsidRPr="00884ED9" w:rsidRDefault="00166759" w:rsidP="00AE6AE5">
                      <w:pPr>
                        <w:jc w:val="right"/>
                        <w:rPr>
                          <w:rFonts w:ascii="Arial Narrow" w:hAnsi="Arial Narrow"/>
                          <w:b/>
                          <w:color w:val="2298D1"/>
                          <w:sz w:val="26"/>
                          <w:szCs w:val="26"/>
                        </w:rPr>
                      </w:pPr>
                    </w:p>
                  </w:txbxContent>
                </v:textbox>
              </v:shape>
            </w:pict>
          </mc:Fallback>
        </mc:AlternateContent>
      </w:r>
    </w:p>
    <w:p w14:paraId="75303D0C" w14:textId="77777777" w:rsidR="004342C5" w:rsidRDefault="004342C5" w:rsidP="008D7D7F">
      <w:pPr>
        <w:ind w:left="1814" w:firstLine="58"/>
        <w:rPr>
          <w:rFonts w:ascii="Arial" w:hAnsi="Arial" w:cs="Arial"/>
          <w:noProof/>
          <w:color w:val="5F5F5F"/>
          <w:sz w:val="28"/>
          <w:szCs w:val="28"/>
        </w:rPr>
      </w:pPr>
    </w:p>
    <w:p w14:paraId="472D74AE" w14:textId="64C0AE74" w:rsidR="008D7D7F" w:rsidRPr="00D134E3" w:rsidRDefault="00236734" w:rsidP="008D7D7F">
      <w:pPr>
        <w:ind w:left="1814" w:firstLine="58"/>
        <w:rPr>
          <w:rFonts w:ascii="Arial" w:hAnsi="Arial" w:cs="Arial"/>
          <w:color w:val="5F5F5F"/>
          <w:sz w:val="28"/>
          <w:szCs w:val="28"/>
        </w:rPr>
      </w:pPr>
      <w:r>
        <w:rPr>
          <w:rFonts w:ascii="Arial" w:hAnsi="Arial" w:cs="Arial"/>
          <w:noProof/>
          <w:color w:val="5F5F5F"/>
          <w:sz w:val="28"/>
          <w:szCs w:val="28"/>
        </w:rPr>
        <w:t>Febbraio</w:t>
      </w:r>
      <w:r w:rsidR="00601954">
        <w:rPr>
          <w:rFonts w:ascii="Arial" w:hAnsi="Arial" w:cs="Arial"/>
          <w:color w:val="5F5F5F"/>
          <w:sz w:val="28"/>
          <w:szCs w:val="28"/>
        </w:rPr>
        <w:t xml:space="preserve"> 2022</w:t>
      </w:r>
    </w:p>
    <w:p w14:paraId="35E21BC4" w14:textId="77777777" w:rsidR="00A8222C" w:rsidRPr="00191F98" w:rsidRDefault="00AE6AE5" w:rsidP="00D134E3">
      <w:pPr>
        <w:ind w:left="1814" w:firstLine="58"/>
        <w:rPr>
          <w:rFonts w:ascii="Calibri" w:hAnsi="Calibri" w:cs="Arial"/>
          <w:b/>
          <w:color w:val="5F5F5F"/>
          <w:sz w:val="44"/>
          <w:szCs w:val="28"/>
        </w:rPr>
      </w:pPr>
      <w:r w:rsidRPr="00191F98">
        <w:rPr>
          <w:rFonts w:ascii="Calibri" w:hAnsi="Calibri" w:cs="Arial"/>
          <w:b/>
          <w:color w:val="5F5F5F"/>
          <w:sz w:val="44"/>
          <w:szCs w:val="28"/>
        </w:rPr>
        <w:t>CO</w:t>
      </w:r>
      <w:r w:rsidR="00284F38" w:rsidRPr="00191F98">
        <w:rPr>
          <w:rFonts w:ascii="Calibri" w:hAnsi="Calibri" w:cs="Arial"/>
          <w:b/>
          <w:color w:val="5F5F5F"/>
          <w:sz w:val="44"/>
          <w:szCs w:val="28"/>
        </w:rPr>
        <w:t>M</w:t>
      </w:r>
      <w:r w:rsidR="00A8222C" w:rsidRPr="00191F98">
        <w:rPr>
          <w:rFonts w:ascii="Calibri" w:hAnsi="Calibri" w:cs="Arial"/>
          <w:b/>
          <w:color w:val="5F5F5F"/>
          <w:sz w:val="44"/>
          <w:szCs w:val="28"/>
        </w:rPr>
        <w:t>MER</w:t>
      </w:r>
      <w:r w:rsidR="00284F38" w:rsidRPr="00191F98">
        <w:rPr>
          <w:rFonts w:ascii="Calibri" w:hAnsi="Calibri" w:cs="Arial"/>
          <w:b/>
          <w:color w:val="5F5F5F"/>
          <w:sz w:val="44"/>
          <w:szCs w:val="28"/>
        </w:rPr>
        <w:t>CI</w:t>
      </w:r>
      <w:r w:rsidR="00A8222C" w:rsidRPr="00191F98">
        <w:rPr>
          <w:rFonts w:ascii="Calibri" w:hAnsi="Calibri" w:cs="Arial"/>
          <w:b/>
          <w:color w:val="5F5F5F"/>
          <w:sz w:val="44"/>
          <w:szCs w:val="28"/>
        </w:rPr>
        <w:t>O CON L’ESTERO E</w:t>
      </w:r>
    </w:p>
    <w:p w14:paraId="3E4FFEE7" w14:textId="70C0DE69" w:rsidR="00A8222C" w:rsidRDefault="00A8222C" w:rsidP="00D66C47">
      <w:pPr>
        <w:ind w:left="1814" w:firstLine="57"/>
        <w:rPr>
          <w:rFonts w:ascii="Calibri" w:hAnsi="Calibri" w:cs="Arial"/>
          <w:b/>
          <w:color w:val="5F5F5F"/>
          <w:sz w:val="44"/>
          <w:szCs w:val="28"/>
        </w:rPr>
      </w:pPr>
      <w:r w:rsidRPr="00191F98">
        <w:rPr>
          <w:rFonts w:ascii="Calibri" w:hAnsi="Calibri" w:cs="Arial"/>
          <w:b/>
          <w:color w:val="5F5F5F"/>
          <w:sz w:val="44"/>
          <w:szCs w:val="28"/>
        </w:rPr>
        <w:t>PREZZI ALL’IMPORT</w:t>
      </w:r>
    </w:p>
    <w:p w14:paraId="32215862" w14:textId="77777777" w:rsidR="004E4512" w:rsidRPr="007F58F4" w:rsidRDefault="004E4512" w:rsidP="00D66C47">
      <w:pPr>
        <w:ind w:left="1814" w:firstLine="57"/>
        <w:rPr>
          <w:rFonts w:ascii="Calibri" w:hAnsi="Calibri" w:cs="Arial"/>
          <w:b/>
          <w:color w:val="5F5F5F"/>
          <w:sz w:val="6"/>
          <w:szCs w:val="6"/>
        </w:rPr>
      </w:pPr>
    </w:p>
    <w:p w14:paraId="1DF2AF73" w14:textId="77777777" w:rsidR="00A8222C" w:rsidRPr="000D42CA" w:rsidRDefault="00A8222C" w:rsidP="00E15738">
      <w:pPr>
        <w:tabs>
          <w:tab w:val="left" w:pos="1843"/>
        </w:tabs>
        <w:spacing w:line="216" w:lineRule="auto"/>
        <w:ind w:left="1814"/>
        <w:rPr>
          <w:rFonts w:ascii="Calibri" w:hAnsi="Calibri" w:cs="Arial"/>
          <w:b/>
          <w:bCs/>
          <w:color w:val="5F5F5F"/>
          <w:w w:val="95"/>
          <w:sz w:val="10"/>
          <w:szCs w:val="10"/>
        </w:rPr>
      </w:pPr>
    </w:p>
    <w:p w14:paraId="6F35E51B" w14:textId="4EFAC32D" w:rsidR="00236734" w:rsidRPr="00761ED3" w:rsidRDefault="00236734" w:rsidP="000077FA">
      <w:pPr>
        <w:numPr>
          <w:ilvl w:val="0"/>
          <w:numId w:val="22"/>
        </w:numPr>
        <w:tabs>
          <w:tab w:val="left" w:pos="426"/>
          <w:tab w:val="left" w:pos="1843"/>
        </w:tabs>
        <w:spacing w:after="100" w:line="230" w:lineRule="exact"/>
        <w:jc w:val="both"/>
        <w:rPr>
          <w:rFonts w:ascii="Arial" w:hAnsi="Arial" w:cs="Arial"/>
          <w:bCs/>
          <w:sz w:val="21"/>
          <w:szCs w:val="21"/>
          <w:lang w:eastAsia="en-US"/>
        </w:rPr>
      </w:pPr>
      <w:r w:rsidRPr="00761ED3">
        <w:rPr>
          <w:rFonts w:ascii="Arial" w:hAnsi="Arial" w:cs="Arial"/>
          <w:bCs/>
          <w:sz w:val="21"/>
          <w:szCs w:val="21"/>
          <w:lang w:eastAsia="en-US"/>
        </w:rPr>
        <w:t xml:space="preserve">A </w:t>
      </w:r>
      <w:r w:rsidR="007A7B26" w:rsidRPr="00761ED3">
        <w:rPr>
          <w:rFonts w:ascii="Arial" w:hAnsi="Arial" w:cs="Arial"/>
          <w:bCs/>
          <w:sz w:val="21"/>
          <w:szCs w:val="21"/>
          <w:lang w:eastAsia="en-US"/>
        </w:rPr>
        <w:t>febbraio 2022</w:t>
      </w:r>
      <w:r w:rsidRPr="00761ED3">
        <w:rPr>
          <w:rFonts w:ascii="Arial" w:hAnsi="Arial" w:cs="Arial"/>
          <w:bCs/>
          <w:sz w:val="21"/>
          <w:szCs w:val="21"/>
          <w:lang w:eastAsia="en-US"/>
        </w:rPr>
        <w:t xml:space="preserve"> si stima una crescita congiunturale per entrambi i flussi commerciali con l’estero, più intensa per le</w:t>
      </w:r>
      <w:r w:rsidR="009B6E04" w:rsidRPr="00761ED3">
        <w:rPr>
          <w:rFonts w:ascii="Arial" w:hAnsi="Arial" w:cs="Arial"/>
          <w:bCs/>
          <w:sz w:val="21"/>
          <w:szCs w:val="21"/>
          <w:lang w:eastAsia="en-US"/>
        </w:rPr>
        <w:t xml:space="preserve"> importazioni</w:t>
      </w:r>
      <w:r w:rsidRPr="00761ED3">
        <w:rPr>
          <w:rFonts w:ascii="Arial" w:hAnsi="Arial" w:cs="Arial"/>
          <w:bCs/>
          <w:sz w:val="21"/>
          <w:szCs w:val="21"/>
          <w:lang w:eastAsia="en-US"/>
        </w:rPr>
        <w:t xml:space="preserve"> </w:t>
      </w:r>
      <w:r w:rsidR="009B6E04" w:rsidRPr="00761ED3">
        <w:rPr>
          <w:rFonts w:ascii="Arial" w:hAnsi="Arial" w:cs="Arial"/>
          <w:bCs/>
          <w:sz w:val="21"/>
          <w:szCs w:val="21"/>
          <w:lang w:eastAsia="en-US"/>
        </w:rPr>
        <w:t>(+5</w:t>
      </w:r>
      <w:r w:rsidRPr="00761ED3">
        <w:rPr>
          <w:rFonts w:ascii="Arial" w:hAnsi="Arial" w:cs="Arial"/>
          <w:bCs/>
          <w:sz w:val="21"/>
          <w:szCs w:val="21"/>
          <w:lang w:eastAsia="en-US"/>
        </w:rPr>
        <w:t>,</w:t>
      </w:r>
      <w:r w:rsidR="009B6E04" w:rsidRPr="00761ED3">
        <w:rPr>
          <w:rFonts w:ascii="Arial" w:hAnsi="Arial" w:cs="Arial"/>
          <w:bCs/>
          <w:sz w:val="21"/>
          <w:szCs w:val="21"/>
          <w:lang w:eastAsia="en-US"/>
        </w:rPr>
        <w:t>4</w:t>
      </w:r>
      <w:r w:rsidRPr="00761ED3">
        <w:rPr>
          <w:rFonts w:ascii="Arial" w:hAnsi="Arial" w:cs="Arial"/>
          <w:bCs/>
          <w:sz w:val="21"/>
          <w:szCs w:val="21"/>
          <w:lang w:eastAsia="en-US"/>
        </w:rPr>
        <w:t xml:space="preserve">%) che per le </w:t>
      </w:r>
      <w:r w:rsidR="009B6E04" w:rsidRPr="00761ED3">
        <w:rPr>
          <w:rFonts w:ascii="Arial" w:hAnsi="Arial" w:cs="Arial"/>
          <w:bCs/>
          <w:sz w:val="21"/>
          <w:szCs w:val="21"/>
          <w:lang w:eastAsia="en-US"/>
        </w:rPr>
        <w:t>esportazioni (+1,6</w:t>
      </w:r>
      <w:r w:rsidRPr="00761ED3">
        <w:rPr>
          <w:rFonts w:ascii="Arial" w:hAnsi="Arial" w:cs="Arial"/>
          <w:bCs/>
          <w:sz w:val="21"/>
          <w:szCs w:val="21"/>
          <w:lang w:eastAsia="en-US"/>
        </w:rPr>
        <w:t xml:space="preserve">%). </w:t>
      </w:r>
      <w:r w:rsidRPr="00761ED3">
        <w:rPr>
          <w:rFonts w:ascii="Arial" w:hAnsi="Arial" w:cs="Arial"/>
          <w:bCs/>
          <w:sz w:val="21"/>
          <w:szCs w:val="21"/>
        </w:rPr>
        <w:t xml:space="preserve">L’aumento </w:t>
      </w:r>
      <w:r w:rsidRPr="00761ED3">
        <w:rPr>
          <w:rFonts w:ascii="Arial" w:hAnsi="Arial" w:cs="Arial"/>
          <w:bCs/>
          <w:sz w:val="21"/>
          <w:szCs w:val="21"/>
          <w:lang w:eastAsia="en-US"/>
        </w:rPr>
        <w:t>su base mensile dell’export è dovuto all’incremento delle vendite verso entrambe</w:t>
      </w:r>
      <w:r w:rsidR="009B6E04" w:rsidRPr="00761ED3">
        <w:rPr>
          <w:rFonts w:ascii="Arial" w:hAnsi="Arial" w:cs="Arial"/>
          <w:bCs/>
          <w:sz w:val="21"/>
          <w:szCs w:val="21"/>
          <w:lang w:eastAsia="en-US"/>
        </w:rPr>
        <w:t xml:space="preserve"> le aree, </w:t>
      </w:r>
      <w:r w:rsidR="00D4011C" w:rsidRPr="00761ED3">
        <w:rPr>
          <w:rFonts w:ascii="Arial" w:hAnsi="Arial" w:cs="Arial"/>
          <w:bCs/>
          <w:sz w:val="21"/>
          <w:szCs w:val="21"/>
          <w:lang w:eastAsia="en-US"/>
        </w:rPr>
        <w:t>Ue (+1,3</w:t>
      </w:r>
      <w:r w:rsidR="00D4011C">
        <w:rPr>
          <w:rFonts w:ascii="Arial" w:hAnsi="Arial" w:cs="Arial"/>
          <w:bCs/>
          <w:sz w:val="21"/>
          <w:szCs w:val="21"/>
          <w:lang w:eastAsia="en-US"/>
        </w:rPr>
        <w:t xml:space="preserve">%) ed </w:t>
      </w:r>
      <w:r w:rsidR="009B6E04" w:rsidRPr="00761ED3">
        <w:rPr>
          <w:rFonts w:ascii="Arial" w:hAnsi="Arial" w:cs="Arial"/>
          <w:bCs/>
          <w:sz w:val="21"/>
          <w:szCs w:val="21"/>
          <w:lang w:eastAsia="en-US"/>
        </w:rPr>
        <w:t>extra Ue (+2,0%)</w:t>
      </w:r>
      <w:r w:rsidR="00D4011C">
        <w:rPr>
          <w:rFonts w:ascii="Arial" w:hAnsi="Arial" w:cs="Arial"/>
          <w:bCs/>
          <w:sz w:val="21"/>
          <w:szCs w:val="21"/>
          <w:lang w:eastAsia="en-US"/>
        </w:rPr>
        <w:t>.</w:t>
      </w:r>
    </w:p>
    <w:p w14:paraId="01A33718" w14:textId="58D9B0F3" w:rsidR="00236734" w:rsidRPr="00761ED3" w:rsidRDefault="00236734" w:rsidP="000077FA">
      <w:pPr>
        <w:pStyle w:val="Paragrafoelenco"/>
        <w:numPr>
          <w:ilvl w:val="0"/>
          <w:numId w:val="22"/>
        </w:numPr>
        <w:spacing w:after="100"/>
        <w:rPr>
          <w:rFonts w:ascii="Arial" w:hAnsi="Arial" w:cs="Arial"/>
          <w:bCs/>
          <w:color w:val="auto"/>
          <w:sz w:val="21"/>
          <w:szCs w:val="21"/>
          <w:lang w:eastAsia="en-US"/>
        </w:rPr>
      </w:pPr>
      <w:r w:rsidRPr="00761ED3">
        <w:rPr>
          <w:rFonts w:ascii="Arial" w:hAnsi="Arial" w:cs="Arial"/>
          <w:bCs/>
          <w:color w:val="auto"/>
          <w:sz w:val="21"/>
          <w:szCs w:val="21"/>
          <w:lang w:eastAsia="en-US"/>
        </w:rPr>
        <w:t xml:space="preserve">Nel trimestre </w:t>
      </w:r>
      <w:r w:rsidR="009B6E04" w:rsidRPr="00761ED3">
        <w:rPr>
          <w:rFonts w:ascii="Arial" w:hAnsi="Arial" w:cs="Arial"/>
          <w:bCs/>
          <w:color w:val="auto"/>
          <w:sz w:val="21"/>
          <w:szCs w:val="21"/>
          <w:lang w:eastAsia="en-US"/>
        </w:rPr>
        <w:t>dicembre</w:t>
      </w:r>
      <w:r w:rsidR="00A626D6" w:rsidRPr="00761ED3">
        <w:rPr>
          <w:rFonts w:ascii="Arial" w:hAnsi="Arial" w:cs="Arial"/>
          <w:bCs/>
          <w:color w:val="auto"/>
          <w:sz w:val="21"/>
          <w:szCs w:val="21"/>
          <w:lang w:eastAsia="en-US"/>
        </w:rPr>
        <w:t xml:space="preserve"> </w:t>
      </w:r>
      <w:r w:rsidR="009B6E04" w:rsidRPr="00761ED3">
        <w:rPr>
          <w:rFonts w:ascii="Arial" w:hAnsi="Arial" w:cs="Arial"/>
          <w:bCs/>
          <w:color w:val="auto"/>
          <w:sz w:val="21"/>
          <w:szCs w:val="21"/>
          <w:lang w:eastAsia="en-US"/>
        </w:rPr>
        <w:t>2021</w:t>
      </w:r>
      <w:r w:rsidRPr="00761ED3">
        <w:rPr>
          <w:rFonts w:ascii="Arial" w:hAnsi="Arial" w:cs="Arial"/>
          <w:bCs/>
          <w:color w:val="auto"/>
          <w:sz w:val="21"/>
          <w:szCs w:val="21"/>
          <w:lang w:eastAsia="en-US"/>
        </w:rPr>
        <w:t>-</w:t>
      </w:r>
      <w:r w:rsidR="009B6E04" w:rsidRPr="00761ED3">
        <w:rPr>
          <w:rFonts w:ascii="Arial" w:hAnsi="Arial" w:cs="Arial"/>
          <w:bCs/>
          <w:color w:val="auto"/>
          <w:sz w:val="21"/>
          <w:szCs w:val="21"/>
          <w:lang w:eastAsia="en-US"/>
        </w:rPr>
        <w:t>febbraio</w:t>
      </w:r>
      <w:r w:rsidRPr="00761ED3">
        <w:rPr>
          <w:rFonts w:ascii="Arial" w:hAnsi="Arial" w:cs="Arial"/>
          <w:bCs/>
          <w:color w:val="auto"/>
          <w:sz w:val="21"/>
          <w:szCs w:val="21"/>
          <w:lang w:eastAsia="en-US"/>
        </w:rPr>
        <w:t xml:space="preserve"> 202</w:t>
      </w:r>
      <w:r w:rsidR="009B6E04" w:rsidRPr="00761ED3">
        <w:rPr>
          <w:rFonts w:ascii="Arial" w:hAnsi="Arial" w:cs="Arial"/>
          <w:bCs/>
          <w:color w:val="auto"/>
          <w:sz w:val="21"/>
          <w:szCs w:val="21"/>
          <w:lang w:eastAsia="en-US"/>
        </w:rPr>
        <w:t>2</w:t>
      </w:r>
      <w:r w:rsidRPr="00761ED3">
        <w:rPr>
          <w:rFonts w:ascii="Arial" w:hAnsi="Arial" w:cs="Arial"/>
          <w:bCs/>
          <w:color w:val="auto"/>
          <w:sz w:val="21"/>
          <w:szCs w:val="21"/>
          <w:lang w:eastAsia="en-US"/>
        </w:rPr>
        <w:t xml:space="preserve">, rispetto al precedente, l’export </w:t>
      </w:r>
      <w:r w:rsidRPr="00761ED3">
        <w:rPr>
          <w:rFonts w:ascii="Arial" w:hAnsi="Arial" w:cs="Arial"/>
          <w:bCs/>
          <w:sz w:val="21"/>
          <w:szCs w:val="21"/>
        </w:rPr>
        <w:t xml:space="preserve">cresce </w:t>
      </w:r>
      <w:r w:rsidR="00A626D6" w:rsidRPr="00761ED3">
        <w:rPr>
          <w:rFonts w:ascii="Arial" w:hAnsi="Arial" w:cs="Arial"/>
          <w:bCs/>
          <w:color w:val="auto"/>
          <w:sz w:val="21"/>
          <w:szCs w:val="21"/>
          <w:lang w:eastAsia="en-US"/>
        </w:rPr>
        <w:t xml:space="preserve">del </w:t>
      </w:r>
      <w:r w:rsidR="009B6E04" w:rsidRPr="00761ED3">
        <w:rPr>
          <w:rFonts w:ascii="Arial" w:hAnsi="Arial" w:cs="Arial"/>
          <w:bCs/>
          <w:color w:val="auto"/>
          <w:sz w:val="21"/>
          <w:szCs w:val="21"/>
          <w:lang w:eastAsia="en-US"/>
        </w:rPr>
        <w:t>5</w:t>
      </w:r>
      <w:r w:rsidRPr="00761ED3">
        <w:rPr>
          <w:rFonts w:ascii="Arial" w:hAnsi="Arial" w:cs="Arial"/>
          <w:bCs/>
          <w:color w:val="auto"/>
          <w:sz w:val="21"/>
          <w:szCs w:val="21"/>
          <w:lang w:eastAsia="en-US"/>
        </w:rPr>
        <w:t>,</w:t>
      </w:r>
      <w:r w:rsidR="009B6E04" w:rsidRPr="00761ED3">
        <w:rPr>
          <w:rFonts w:ascii="Arial" w:hAnsi="Arial" w:cs="Arial"/>
          <w:bCs/>
          <w:color w:val="auto"/>
          <w:sz w:val="21"/>
          <w:szCs w:val="21"/>
          <w:lang w:eastAsia="en-US"/>
        </w:rPr>
        <w:t>8</w:t>
      </w:r>
      <w:r w:rsidRPr="00761ED3">
        <w:rPr>
          <w:rFonts w:ascii="Arial" w:hAnsi="Arial" w:cs="Arial"/>
          <w:bCs/>
          <w:color w:val="auto"/>
          <w:sz w:val="21"/>
          <w:szCs w:val="21"/>
          <w:lang w:eastAsia="en-US"/>
        </w:rPr>
        <w:t xml:space="preserve">%, </w:t>
      </w:r>
      <w:r w:rsidRPr="00761ED3">
        <w:rPr>
          <w:rFonts w:ascii="Arial" w:hAnsi="Arial" w:cs="Arial"/>
          <w:bCs/>
          <w:sz w:val="21"/>
          <w:szCs w:val="21"/>
        </w:rPr>
        <w:t>l</w:t>
      </w:r>
      <w:r w:rsidR="009B6E04" w:rsidRPr="00761ED3">
        <w:rPr>
          <w:rFonts w:ascii="Arial" w:hAnsi="Arial" w:cs="Arial"/>
          <w:bCs/>
          <w:sz w:val="21"/>
          <w:szCs w:val="21"/>
        </w:rPr>
        <w:t>’import del 13</w:t>
      </w:r>
      <w:r w:rsidRPr="00761ED3">
        <w:rPr>
          <w:rFonts w:ascii="Arial" w:hAnsi="Arial" w:cs="Arial"/>
          <w:bCs/>
          <w:sz w:val="21"/>
          <w:szCs w:val="21"/>
          <w:lang w:eastAsia="en-US"/>
        </w:rPr>
        <w:t>,</w:t>
      </w:r>
      <w:r w:rsidR="009B6E04" w:rsidRPr="00761ED3">
        <w:rPr>
          <w:rFonts w:ascii="Arial" w:hAnsi="Arial" w:cs="Arial"/>
          <w:bCs/>
          <w:sz w:val="21"/>
          <w:szCs w:val="21"/>
          <w:lang w:eastAsia="en-US"/>
        </w:rPr>
        <w:t>6</w:t>
      </w:r>
      <w:r w:rsidRPr="00761ED3">
        <w:rPr>
          <w:rFonts w:ascii="Arial" w:hAnsi="Arial" w:cs="Arial"/>
          <w:bCs/>
          <w:sz w:val="21"/>
          <w:szCs w:val="21"/>
          <w:lang w:eastAsia="en-US"/>
        </w:rPr>
        <w:t>%</w:t>
      </w:r>
      <w:r w:rsidRPr="00761ED3">
        <w:rPr>
          <w:rFonts w:ascii="Arial" w:hAnsi="Arial" w:cs="Arial"/>
          <w:bCs/>
          <w:color w:val="auto"/>
          <w:sz w:val="21"/>
          <w:szCs w:val="21"/>
          <w:lang w:eastAsia="en-US"/>
        </w:rPr>
        <w:t>.</w:t>
      </w:r>
    </w:p>
    <w:p w14:paraId="6D8557FA" w14:textId="7A01DEFA" w:rsidR="00236734" w:rsidRPr="00761ED3" w:rsidRDefault="00236734" w:rsidP="000077FA">
      <w:pPr>
        <w:numPr>
          <w:ilvl w:val="0"/>
          <w:numId w:val="22"/>
        </w:numPr>
        <w:tabs>
          <w:tab w:val="left" w:pos="426"/>
          <w:tab w:val="left" w:pos="1843"/>
        </w:tabs>
        <w:spacing w:after="100" w:line="230" w:lineRule="exact"/>
        <w:jc w:val="both"/>
        <w:rPr>
          <w:rFonts w:ascii="Arial" w:hAnsi="Arial" w:cs="Arial"/>
          <w:bCs/>
          <w:sz w:val="21"/>
          <w:szCs w:val="21"/>
        </w:rPr>
      </w:pPr>
      <w:r w:rsidRPr="00761ED3">
        <w:rPr>
          <w:rFonts w:ascii="Arial" w:hAnsi="Arial" w:cs="Arial"/>
          <w:bCs/>
          <w:sz w:val="21"/>
          <w:szCs w:val="21"/>
          <w:lang w:eastAsia="en-US"/>
        </w:rPr>
        <w:t xml:space="preserve">A </w:t>
      </w:r>
      <w:r w:rsidR="00243992" w:rsidRPr="00761ED3">
        <w:rPr>
          <w:rFonts w:ascii="Arial" w:hAnsi="Arial" w:cs="Arial"/>
          <w:bCs/>
          <w:sz w:val="21"/>
          <w:szCs w:val="21"/>
          <w:lang w:eastAsia="en-US"/>
        </w:rPr>
        <w:t>febbraio 2022</w:t>
      </w:r>
      <w:r w:rsidRPr="00761ED3">
        <w:rPr>
          <w:rFonts w:ascii="Arial" w:hAnsi="Arial" w:cs="Arial"/>
          <w:bCs/>
          <w:sz w:val="21"/>
          <w:szCs w:val="21"/>
          <w:lang w:eastAsia="en-US"/>
        </w:rPr>
        <w:t>, l’ex</w:t>
      </w:r>
      <w:r w:rsidR="00243992" w:rsidRPr="00761ED3">
        <w:rPr>
          <w:rFonts w:ascii="Arial" w:hAnsi="Arial" w:cs="Arial"/>
          <w:bCs/>
          <w:sz w:val="21"/>
          <w:szCs w:val="21"/>
          <w:lang w:eastAsia="en-US"/>
        </w:rPr>
        <w:t xml:space="preserve">port </w:t>
      </w:r>
      <w:r w:rsidR="00104365">
        <w:rPr>
          <w:rFonts w:ascii="Arial" w:hAnsi="Arial" w:cs="Arial"/>
          <w:bCs/>
          <w:sz w:val="21"/>
          <w:szCs w:val="21"/>
          <w:lang w:eastAsia="en-US"/>
        </w:rPr>
        <w:t xml:space="preserve">cresce </w:t>
      </w:r>
      <w:r w:rsidR="00243992" w:rsidRPr="00761ED3">
        <w:rPr>
          <w:rFonts w:ascii="Arial" w:hAnsi="Arial" w:cs="Arial"/>
          <w:bCs/>
          <w:sz w:val="21"/>
          <w:szCs w:val="21"/>
          <w:lang w:eastAsia="en-US"/>
        </w:rPr>
        <w:t>su base annua del 22</w:t>
      </w:r>
      <w:r w:rsidRPr="00761ED3">
        <w:rPr>
          <w:rFonts w:ascii="Arial" w:hAnsi="Arial" w:cs="Arial"/>
          <w:bCs/>
          <w:sz w:val="21"/>
          <w:szCs w:val="21"/>
          <w:lang w:eastAsia="en-US"/>
        </w:rPr>
        <w:t>,</w:t>
      </w:r>
      <w:r w:rsidR="00243992" w:rsidRPr="00761ED3">
        <w:rPr>
          <w:rFonts w:ascii="Arial" w:hAnsi="Arial" w:cs="Arial"/>
          <w:bCs/>
          <w:sz w:val="21"/>
          <w:szCs w:val="21"/>
          <w:lang w:eastAsia="en-US"/>
        </w:rPr>
        <w:t>7</w:t>
      </w:r>
      <w:r w:rsidRPr="00761ED3">
        <w:rPr>
          <w:rFonts w:ascii="Arial" w:hAnsi="Arial" w:cs="Arial"/>
          <w:bCs/>
          <w:sz w:val="21"/>
          <w:szCs w:val="21"/>
          <w:lang w:eastAsia="en-US"/>
        </w:rPr>
        <w:t>%</w:t>
      </w:r>
      <w:r w:rsidR="00104365">
        <w:rPr>
          <w:rFonts w:ascii="Arial" w:hAnsi="Arial" w:cs="Arial"/>
          <w:bCs/>
          <w:sz w:val="21"/>
          <w:szCs w:val="21"/>
          <w:lang w:eastAsia="en-US"/>
        </w:rPr>
        <w:t xml:space="preserve">, con un forte aumento delle vendite sia </w:t>
      </w:r>
      <w:r w:rsidRPr="00761ED3">
        <w:rPr>
          <w:rFonts w:ascii="Arial" w:hAnsi="Arial" w:cs="Arial"/>
          <w:bCs/>
          <w:sz w:val="21"/>
          <w:szCs w:val="21"/>
          <w:lang w:eastAsia="en-US"/>
        </w:rPr>
        <w:t>verso l’ar</w:t>
      </w:r>
      <w:r w:rsidR="00243992" w:rsidRPr="00761ED3">
        <w:rPr>
          <w:rFonts w:ascii="Arial" w:hAnsi="Arial" w:cs="Arial"/>
          <w:bCs/>
          <w:sz w:val="21"/>
          <w:szCs w:val="21"/>
          <w:lang w:eastAsia="en-US"/>
        </w:rPr>
        <w:t>ea Ue (+24</w:t>
      </w:r>
      <w:r w:rsidRPr="00761ED3">
        <w:rPr>
          <w:rFonts w:ascii="Arial" w:hAnsi="Arial" w:cs="Arial"/>
          <w:bCs/>
          <w:sz w:val="21"/>
          <w:szCs w:val="21"/>
          <w:lang w:eastAsia="en-US"/>
        </w:rPr>
        <w:t>,</w:t>
      </w:r>
      <w:r w:rsidR="00243992" w:rsidRPr="00761ED3">
        <w:rPr>
          <w:rFonts w:ascii="Arial" w:hAnsi="Arial" w:cs="Arial"/>
          <w:bCs/>
          <w:sz w:val="21"/>
          <w:szCs w:val="21"/>
          <w:lang w:eastAsia="en-US"/>
        </w:rPr>
        <w:t>0</w:t>
      </w:r>
      <w:r w:rsidRPr="00761ED3">
        <w:rPr>
          <w:rFonts w:ascii="Arial" w:hAnsi="Arial" w:cs="Arial"/>
          <w:bCs/>
          <w:sz w:val="21"/>
          <w:szCs w:val="21"/>
          <w:lang w:eastAsia="en-US"/>
        </w:rPr>
        <w:t xml:space="preserve">%) </w:t>
      </w:r>
      <w:r w:rsidR="00104365">
        <w:rPr>
          <w:rFonts w:ascii="Arial" w:hAnsi="Arial" w:cs="Arial"/>
          <w:bCs/>
          <w:sz w:val="21"/>
          <w:szCs w:val="21"/>
          <w:lang w:eastAsia="en-US"/>
        </w:rPr>
        <w:t xml:space="preserve">sia verso </w:t>
      </w:r>
      <w:r w:rsidR="00243992" w:rsidRPr="00761ED3">
        <w:rPr>
          <w:rFonts w:ascii="Arial" w:hAnsi="Arial" w:cs="Arial"/>
          <w:bCs/>
          <w:sz w:val="21"/>
          <w:szCs w:val="21"/>
          <w:lang w:eastAsia="en-US"/>
        </w:rPr>
        <w:t>i mercati extra Ue (+21</w:t>
      </w:r>
      <w:r w:rsidRPr="00761ED3">
        <w:rPr>
          <w:rFonts w:ascii="Arial" w:hAnsi="Arial" w:cs="Arial"/>
          <w:bCs/>
          <w:sz w:val="21"/>
          <w:szCs w:val="21"/>
          <w:lang w:eastAsia="en-US"/>
        </w:rPr>
        <w:t>,</w:t>
      </w:r>
      <w:r w:rsidR="00243992" w:rsidRPr="00761ED3">
        <w:rPr>
          <w:rFonts w:ascii="Arial" w:hAnsi="Arial" w:cs="Arial"/>
          <w:bCs/>
          <w:sz w:val="21"/>
          <w:szCs w:val="21"/>
          <w:lang w:eastAsia="en-US"/>
        </w:rPr>
        <w:t>1</w:t>
      </w:r>
      <w:r w:rsidRPr="00761ED3">
        <w:rPr>
          <w:rFonts w:ascii="Arial" w:hAnsi="Arial" w:cs="Arial"/>
          <w:bCs/>
          <w:sz w:val="21"/>
          <w:szCs w:val="21"/>
          <w:lang w:eastAsia="en-US"/>
        </w:rPr>
        <w:t>%). L’import registra un incremento tendenziale</w:t>
      </w:r>
      <w:r w:rsidR="00104365">
        <w:rPr>
          <w:rFonts w:ascii="Arial" w:hAnsi="Arial" w:cs="Arial"/>
          <w:bCs/>
          <w:sz w:val="21"/>
          <w:szCs w:val="21"/>
          <w:lang w:eastAsia="en-US"/>
        </w:rPr>
        <w:t xml:space="preserve"> </w:t>
      </w:r>
      <w:r w:rsidR="003B7844">
        <w:rPr>
          <w:rFonts w:ascii="Arial" w:hAnsi="Arial" w:cs="Arial"/>
          <w:bCs/>
          <w:sz w:val="21"/>
          <w:szCs w:val="21"/>
          <w:lang w:eastAsia="en-US"/>
        </w:rPr>
        <w:t>più marcato (+</w:t>
      </w:r>
      <w:r w:rsidR="00243992" w:rsidRPr="00761ED3">
        <w:rPr>
          <w:rFonts w:ascii="Arial" w:hAnsi="Arial" w:cs="Arial"/>
          <w:bCs/>
          <w:sz w:val="21"/>
          <w:szCs w:val="21"/>
          <w:lang w:eastAsia="en-US"/>
        </w:rPr>
        <w:t>44</w:t>
      </w:r>
      <w:r w:rsidRPr="00761ED3">
        <w:rPr>
          <w:rFonts w:ascii="Arial" w:hAnsi="Arial" w:cs="Arial"/>
          <w:bCs/>
          <w:sz w:val="21"/>
          <w:szCs w:val="21"/>
          <w:lang w:eastAsia="en-US"/>
        </w:rPr>
        <w:t>,9%</w:t>
      </w:r>
      <w:r w:rsidR="003B7844">
        <w:rPr>
          <w:rFonts w:ascii="Arial" w:hAnsi="Arial" w:cs="Arial"/>
          <w:bCs/>
          <w:sz w:val="21"/>
          <w:szCs w:val="21"/>
          <w:lang w:eastAsia="en-US"/>
        </w:rPr>
        <w:t>)</w:t>
      </w:r>
      <w:r w:rsidRPr="00761ED3">
        <w:rPr>
          <w:rFonts w:ascii="Arial" w:hAnsi="Arial" w:cs="Arial"/>
          <w:bCs/>
          <w:sz w:val="21"/>
          <w:szCs w:val="21"/>
          <w:lang w:eastAsia="en-US"/>
        </w:rPr>
        <w:t xml:space="preserve">, </w:t>
      </w:r>
      <w:r w:rsidR="00243992" w:rsidRPr="00761ED3">
        <w:rPr>
          <w:rFonts w:ascii="Arial" w:hAnsi="Arial" w:cs="Arial"/>
          <w:bCs/>
          <w:sz w:val="21"/>
          <w:szCs w:val="21"/>
          <w:lang w:eastAsia="en-US"/>
        </w:rPr>
        <w:t>che coinvolge sia l’area Ue (+28</w:t>
      </w:r>
      <w:r w:rsidRPr="00761ED3">
        <w:rPr>
          <w:rFonts w:ascii="Arial" w:hAnsi="Arial" w:cs="Arial"/>
          <w:bCs/>
          <w:sz w:val="21"/>
          <w:szCs w:val="21"/>
          <w:lang w:eastAsia="en-US"/>
        </w:rPr>
        <w:t>,</w:t>
      </w:r>
      <w:r w:rsidR="00243992" w:rsidRPr="00761ED3">
        <w:rPr>
          <w:rFonts w:ascii="Arial" w:hAnsi="Arial" w:cs="Arial"/>
          <w:bCs/>
          <w:sz w:val="21"/>
          <w:szCs w:val="21"/>
          <w:lang w:eastAsia="en-US"/>
        </w:rPr>
        <w:t>3</w:t>
      </w:r>
      <w:r w:rsidRPr="00761ED3">
        <w:rPr>
          <w:rFonts w:ascii="Arial" w:hAnsi="Arial" w:cs="Arial"/>
          <w:bCs/>
          <w:sz w:val="21"/>
          <w:szCs w:val="21"/>
          <w:lang w:eastAsia="en-US"/>
        </w:rPr>
        <w:t>%) sia, in misura molt</w:t>
      </w:r>
      <w:r w:rsidR="00243992" w:rsidRPr="00761ED3">
        <w:rPr>
          <w:rFonts w:ascii="Arial" w:hAnsi="Arial" w:cs="Arial"/>
          <w:bCs/>
          <w:sz w:val="21"/>
          <w:szCs w:val="21"/>
          <w:lang w:eastAsia="en-US"/>
        </w:rPr>
        <w:t>o più ampia, l’area extra Ue (+69</w:t>
      </w:r>
      <w:r w:rsidRPr="00761ED3">
        <w:rPr>
          <w:rFonts w:ascii="Arial" w:hAnsi="Arial" w:cs="Arial"/>
          <w:bCs/>
          <w:sz w:val="21"/>
          <w:szCs w:val="21"/>
          <w:lang w:eastAsia="en-US"/>
        </w:rPr>
        <w:t>,</w:t>
      </w:r>
      <w:r w:rsidR="00243992" w:rsidRPr="00761ED3">
        <w:rPr>
          <w:rFonts w:ascii="Arial" w:hAnsi="Arial" w:cs="Arial"/>
          <w:bCs/>
          <w:sz w:val="21"/>
          <w:szCs w:val="21"/>
          <w:lang w:eastAsia="en-US"/>
        </w:rPr>
        <w:t>6</w:t>
      </w:r>
      <w:r w:rsidRPr="00761ED3">
        <w:rPr>
          <w:rFonts w:ascii="Arial" w:hAnsi="Arial" w:cs="Arial"/>
          <w:bCs/>
          <w:sz w:val="21"/>
          <w:szCs w:val="21"/>
          <w:lang w:eastAsia="en-US"/>
        </w:rPr>
        <w:t xml:space="preserve">%).  </w:t>
      </w:r>
    </w:p>
    <w:p w14:paraId="53F9BA99" w14:textId="0167A376" w:rsidR="00E27B9F" w:rsidRPr="009255D6" w:rsidRDefault="00236734" w:rsidP="000077FA">
      <w:pPr>
        <w:numPr>
          <w:ilvl w:val="0"/>
          <w:numId w:val="22"/>
        </w:numPr>
        <w:tabs>
          <w:tab w:val="left" w:pos="426"/>
          <w:tab w:val="left" w:pos="1843"/>
        </w:tabs>
        <w:spacing w:after="100" w:line="230" w:lineRule="exact"/>
        <w:jc w:val="both"/>
        <w:rPr>
          <w:rFonts w:ascii="Arial" w:hAnsi="Arial" w:cs="Arial"/>
          <w:bCs/>
          <w:sz w:val="21"/>
          <w:szCs w:val="21"/>
          <w:lang w:eastAsia="en-US"/>
        </w:rPr>
      </w:pPr>
      <w:r w:rsidRPr="009255D6">
        <w:rPr>
          <w:rFonts w:ascii="Arial" w:hAnsi="Arial" w:cs="Arial"/>
          <w:bCs/>
          <w:sz w:val="21"/>
          <w:szCs w:val="21"/>
          <w:lang w:eastAsia="en-US"/>
        </w:rPr>
        <w:t xml:space="preserve">Tra i settori che contribuiscono maggiormente all’aumento tendenziale dell’export si segnalano: </w:t>
      </w:r>
      <w:r w:rsidR="00A626D6" w:rsidRPr="009255D6">
        <w:rPr>
          <w:rFonts w:ascii="Arial" w:hAnsi="Arial" w:cs="Arial"/>
          <w:bCs/>
          <w:sz w:val="21"/>
          <w:szCs w:val="21"/>
          <w:lang w:eastAsia="en-US"/>
        </w:rPr>
        <w:t>metalli di base e prodotti in metallo, esclusi macchine e impianti (+24,4%), sostanze e prodotti chimici (+34,1%), prodotti alimentari, bevande e tabacco (+23,1%)</w:t>
      </w:r>
      <w:r w:rsidR="000D74A4">
        <w:rPr>
          <w:rFonts w:ascii="Arial" w:hAnsi="Arial" w:cs="Arial"/>
          <w:bCs/>
          <w:sz w:val="21"/>
          <w:szCs w:val="21"/>
          <w:lang w:eastAsia="en-US"/>
        </w:rPr>
        <w:t xml:space="preserve"> e</w:t>
      </w:r>
      <w:r w:rsidR="00A626D6" w:rsidRPr="009255D6">
        <w:rPr>
          <w:rFonts w:ascii="Arial" w:hAnsi="Arial" w:cs="Arial"/>
          <w:bCs/>
          <w:sz w:val="21"/>
          <w:szCs w:val="21"/>
          <w:lang w:eastAsia="en-US"/>
        </w:rPr>
        <w:t xml:space="preserve"> </w:t>
      </w:r>
      <w:r w:rsidRPr="009255D6">
        <w:rPr>
          <w:rFonts w:ascii="Arial" w:hAnsi="Arial" w:cs="Arial"/>
          <w:bCs/>
          <w:sz w:val="21"/>
          <w:szCs w:val="21"/>
          <w:lang w:eastAsia="en-US"/>
        </w:rPr>
        <w:t>prodotti petroliferi raffinati (+9</w:t>
      </w:r>
      <w:r w:rsidR="00A626D6" w:rsidRPr="009255D6">
        <w:rPr>
          <w:rFonts w:ascii="Arial" w:hAnsi="Arial" w:cs="Arial"/>
          <w:bCs/>
          <w:sz w:val="21"/>
          <w:szCs w:val="21"/>
          <w:lang w:eastAsia="en-US"/>
        </w:rPr>
        <w:t>8</w:t>
      </w:r>
      <w:r w:rsidRPr="009255D6">
        <w:rPr>
          <w:rFonts w:ascii="Arial" w:hAnsi="Arial" w:cs="Arial"/>
          <w:bCs/>
          <w:sz w:val="21"/>
          <w:szCs w:val="21"/>
          <w:lang w:eastAsia="en-US"/>
        </w:rPr>
        <w:t>,</w:t>
      </w:r>
      <w:r w:rsidR="00A626D6" w:rsidRPr="009255D6">
        <w:rPr>
          <w:rFonts w:ascii="Arial" w:hAnsi="Arial" w:cs="Arial"/>
          <w:bCs/>
          <w:sz w:val="21"/>
          <w:szCs w:val="21"/>
          <w:lang w:eastAsia="en-US"/>
        </w:rPr>
        <w:t>5</w:t>
      </w:r>
      <w:r w:rsidRPr="009255D6">
        <w:rPr>
          <w:rFonts w:ascii="Arial" w:hAnsi="Arial" w:cs="Arial"/>
          <w:bCs/>
          <w:sz w:val="21"/>
          <w:szCs w:val="21"/>
          <w:lang w:eastAsia="en-US"/>
        </w:rPr>
        <w:t>%</w:t>
      </w:r>
      <w:r w:rsidR="003B7844">
        <w:rPr>
          <w:rFonts w:ascii="Arial" w:hAnsi="Arial" w:cs="Arial"/>
          <w:bCs/>
          <w:sz w:val="21"/>
          <w:szCs w:val="21"/>
          <w:lang w:eastAsia="en-US"/>
        </w:rPr>
        <w:t>)</w:t>
      </w:r>
      <w:r w:rsidRPr="009255D6">
        <w:rPr>
          <w:rFonts w:ascii="Arial" w:hAnsi="Arial" w:cs="Arial"/>
          <w:bCs/>
          <w:color w:val="000000" w:themeColor="text1"/>
          <w:sz w:val="21"/>
          <w:szCs w:val="21"/>
          <w:lang w:eastAsia="en-US"/>
        </w:rPr>
        <w:t>.</w:t>
      </w:r>
      <w:r w:rsidR="009255D6" w:rsidRPr="009255D6">
        <w:rPr>
          <w:rFonts w:ascii="Arial" w:hAnsi="Arial" w:cs="Arial"/>
          <w:bCs/>
          <w:color w:val="000000" w:themeColor="text1"/>
          <w:sz w:val="21"/>
          <w:szCs w:val="21"/>
          <w:lang w:eastAsia="en-US"/>
        </w:rPr>
        <w:t xml:space="preserve"> </w:t>
      </w:r>
    </w:p>
    <w:p w14:paraId="4EF4102E" w14:textId="43506AE1" w:rsidR="00236734" w:rsidRPr="00761ED3" w:rsidRDefault="00236734" w:rsidP="000077FA">
      <w:pPr>
        <w:numPr>
          <w:ilvl w:val="0"/>
          <w:numId w:val="22"/>
        </w:numPr>
        <w:tabs>
          <w:tab w:val="left" w:pos="426"/>
          <w:tab w:val="left" w:pos="1843"/>
        </w:tabs>
        <w:spacing w:after="100" w:line="230" w:lineRule="exact"/>
        <w:jc w:val="both"/>
        <w:rPr>
          <w:rFonts w:ascii="Arial" w:hAnsi="Arial" w:cs="Arial"/>
          <w:bCs/>
          <w:sz w:val="21"/>
          <w:szCs w:val="21"/>
          <w:lang w:eastAsia="en-US"/>
        </w:rPr>
      </w:pPr>
      <w:r w:rsidRPr="00761ED3">
        <w:rPr>
          <w:rFonts w:ascii="Arial" w:hAnsi="Arial" w:cs="Arial"/>
          <w:bCs/>
          <w:sz w:val="21"/>
          <w:szCs w:val="21"/>
          <w:lang w:eastAsia="en-US"/>
        </w:rPr>
        <w:t>Su base annua, i paesi che</w:t>
      </w:r>
      <w:r w:rsidR="003B7844">
        <w:rPr>
          <w:rFonts w:ascii="Arial" w:hAnsi="Arial" w:cs="Arial"/>
          <w:bCs/>
          <w:sz w:val="21"/>
          <w:szCs w:val="21"/>
          <w:lang w:eastAsia="en-US"/>
        </w:rPr>
        <w:t xml:space="preserve"> forniscono i contributi maggiori all’incremento dell’export nazionale </w:t>
      </w:r>
      <w:r w:rsidRPr="00761ED3">
        <w:rPr>
          <w:rFonts w:ascii="Arial" w:hAnsi="Arial" w:cs="Arial"/>
          <w:bCs/>
          <w:sz w:val="21"/>
          <w:szCs w:val="21"/>
          <w:lang w:eastAsia="en-US"/>
        </w:rPr>
        <w:t>sono</w:t>
      </w:r>
      <w:r w:rsidR="00C9384E" w:rsidRPr="00761ED3">
        <w:rPr>
          <w:rFonts w:ascii="Arial" w:hAnsi="Arial" w:cs="Arial"/>
          <w:bCs/>
          <w:sz w:val="21"/>
          <w:szCs w:val="21"/>
          <w:lang w:eastAsia="en-US"/>
        </w:rPr>
        <w:t xml:space="preserve"> Germania (</w:t>
      </w:r>
      <w:r w:rsidR="00E27B9F">
        <w:rPr>
          <w:rFonts w:ascii="Arial" w:hAnsi="Arial" w:cs="Arial"/>
          <w:bCs/>
          <w:sz w:val="21"/>
          <w:szCs w:val="21"/>
          <w:lang w:eastAsia="en-US"/>
        </w:rPr>
        <w:t xml:space="preserve">con un aumento del </w:t>
      </w:r>
      <w:r w:rsidR="00C9384E" w:rsidRPr="00761ED3">
        <w:rPr>
          <w:rFonts w:ascii="Arial" w:hAnsi="Arial" w:cs="Arial"/>
          <w:bCs/>
          <w:sz w:val="21"/>
          <w:szCs w:val="21"/>
          <w:lang w:eastAsia="en-US"/>
        </w:rPr>
        <w:t>21</w:t>
      </w:r>
      <w:r w:rsidRPr="00761ED3">
        <w:rPr>
          <w:rFonts w:ascii="Arial" w:hAnsi="Arial" w:cs="Arial"/>
          <w:bCs/>
          <w:sz w:val="21"/>
          <w:szCs w:val="21"/>
          <w:lang w:eastAsia="en-US"/>
        </w:rPr>
        <w:t xml:space="preserve">,3%), Stati Uniti (+24,4%), </w:t>
      </w:r>
      <w:r w:rsidR="00C9384E" w:rsidRPr="00761ED3">
        <w:rPr>
          <w:rFonts w:ascii="Arial" w:hAnsi="Arial" w:cs="Arial"/>
          <w:bCs/>
          <w:sz w:val="21"/>
          <w:szCs w:val="21"/>
          <w:lang w:eastAsia="en-US"/>
        </w:rPr>
        <w:t>Francia (+16,0%)</w:t>
      </w:r>
      <w:r w:rsidR="000D74A4">
        <w:rPr>
          <w:rFonts w:ascii="Arial" w:hAnsi="Arial" w:cs="Arial"/>
          <w:bCs/>
          <w:sz w:val="21"/>
          <w:szCs w:val="21"/>
          <w:lang w:eastAsia="en-US"/>
        </w:rPr>
        <w:t xml:space="preserve"> e</w:t>
      </w:r>
      <w:r w:rsidRPr="00761ED3">
        <w:rPr>
          <w:rFonts w:ascii="Arial" w:hAnsi="Arial" w:cs="Arial"/>
          <w:bCs/>
          <w:sz w:val="21"/>
          <w:szCs w:val="21"/>
          <w:lang w:eastAsia="en-US"/>
        </w:rPr>
        <w:t xml:space="preserve"> </w:t>
      </w:r>
      <w:r w:rsidR="00C9384E" w:rsidRPr="00761ED3">
        <w:rPr>
          <w:rFonts w:ascii="Arial" w:hAnsi="Arial" w:cs="Arial"/>
          <w:bCs/>
          <w:sz w:val="21"/>
          <w:szCs w:val="21"/>
          <w:lang w:eastAsia="en-US"/>
        </w:rPr>
        <w:t>Spagna (+33</w:t>
      </w:r>
      <w:r w:rsidRPr="00761ED3">
        <w:rPr>
          <w:rFonts w:ascii="Arial" w:hAnsi="Arial" w:cs="Arial"/>
          <w:bCs/>
          <w:sz w:val="21"/>
          <w:szCs w:val="21"/>
          <w:lang w:eastAsia="en-US"/>
        </w:rPr>
        <w:t>,</w:t>
      </w:r>
      <w:r w:rsidR="00C9384E" w:rsidRPr="00761ED3">
        <w:rPr>
          <w:rFonts w:ascii="Arial" w:hAnsi="Arial" w:cs="Arial"/>
          <w:bCs/>
          <w:sz w:val="21"/>
          <w:szCs w:val="21"/>
          <w:lang w:eastAsia="en-US"/>
        </w:rPr>
        <w:t>3</w:t>
      </w:r>
      <w:r w:rsidRPr="00761ED3">
        <w:rPr>
          <w:rFonts w:ascii="Arial" w:hAnsi="Arial" w:cs="Arial"/>
          <w:bCs/>
          <w:sz w:val="21"/>
          <w:szCs w:val="21"/>
          <w:lang w:eastAsia="en-US"/>
        </w:rPr>
        <w:t>%)</w:t>
      </w:r>
      <w:r w:rsidR="000344D7">
        <w:rPr>
          <w:rFonts w:ascii="Arial" w:hAnsi="Arial" w:cs="Arial"/>
          <w:bCs/>
          <w:sz w:val="21"/>
          <w:szCs w:val="21"/>
          <w:lang w:eastAsia="en-US"/>
        </w:rPr>
        <w:t>.</w:t>
      </w:r>
      <w:r w:rsidRPr="00761ED3">
        <w:rPr>
          <w:rFonts w:ascii="Arial" w:hAnsi="Arial" w:cs="Arial"/>
          <w:bCs/>
          <w:sz w:val="21"/>
          <w:szCs w:val="21"/>
          <w:lang w:eastAsia="en-US"/>
        </w:rPr>
        <w:t xml:space="preserve"> </w:t>
      </w:r>
    </w:p>
    <w:p w14:paraId="041D8916" w14:textId="305F74D8" w:rsidR="00236734" w:rsidRDefault="00236734" w:rsidP="000077FA">
      <w:pPr>
        <w:numPr>
          <w:ilvl w:val="0"/>
          <w:numId w:val="22"/>
        </w:numPr>
        <w:tabs>
          <w:tab w:val="left" w:pos="426"/>
          <w:tab w:val="left" w:pos="1843"/>
        </w:tabs>
        <w:spacing w:after="100" w:line="230" w:lineRule="exact"/>
        <w:jc w:val="both"/>
        <w:rPr>
          <w:rFonts w:ascii="Arial" w:hAnsi="Arial" w:cs="Arial"/>
          <w:bCs/>
          <w:sz w:val="21"/>
          <w:szCs w:val="21"/>
          <w:lang w:eastAsia="en-US"/>
        </w:rPr>
      </w:pPr>
      <w:r w:rsidRPr="00761ED3">
        <w:rPr>
          <w:rFonts w:ascii="Arial" w:hAnsi="Arial" w:cs="Arial"/>
          <w:bCs/>
          <w:sz w:val="21"/>
          <w:szCs w:val="21"/>
          <w:lang w:eastAsia="en-US"/>
        </w:rPr>
        <w:t xml:space="preserve">Nei primi </w:t>
      </w:r>
      <w:r w:rsidR="00B91559" w:rsidRPr="00761ED3">
        <w:rPr>
          <w:rFonts w:ascii="Arial" w:hAnsi="Arial" w:cs="Arial"/>
          <w:bCs/>
          <w:sz w:val="21"/>
          <w:szCs w:val="21"/>
          <w:lang w:eastAsia="en-US"/>
        </w:rPr>
        <w:t>due mesi del 2022</w:t>
      </w:r>
      <w:r w:rsidRPr="00761ED3">
        <w:rPr>
          <w:rFonts w:ascii="Arial" w:hAnsi="Arial" w:cs="Arial"/>
          <w:bCs/>
          <w:sz w:val="21"/>
          <w:szCs w:val="21"/>
          <w:lang w:eastAsia="en-US"/>
        </w:rPr>
        <w:t>, la crescita ten</w:t>
      </w:r>
      <w:r w:rsidR="00B91559" w:rsidRPr="00761ED3">
        <w:rPr>
          <w:rFonts w:ascii="Arial" w:hAnsi="Arial" w:cs="Arial"/>
          <w:bCs/>
          <w:sz w:val="21"/>
          <w:szCs w:val="21"/>
          <w:lang w:eastAsia="en-US"/>
        </w:rPr>
        <w:t>denziale delle esportazioni (+22</w:t>
      </w:r>
      <w:r w:rsidRPr="00761ED3">
        <w:rPr>
          <w:rFonts w:ascii="Arial" w:hAnsi="Arial" w:cs="Arial"/>
          <w:bCs/>
          <w:sz w:val="21"/>
          <w:szCs w:val="21"/>
          <w:lang w:eastAsia="en-US"/>
        </w:rPr>
        <w:t>,</w:t>
      </w:r>
      <w:r w:rsidR="00B91559" w:rsidRPr="00761ED3">
        <w:rPr>
          <w:rFonts w:ascii="Arial" w:hAnsi="Arial" w:cs="Arial"/>
          <w:bCs/>
          <w:sz w:val="21"/>
          <w:szCs w:val="21"/>
          <w:lang w:eastAsia="en-US"/>
        </w:rPr>
        <w:t>6</w:t>
      </w:r>
      <w:r w:rsidRPr="00761ED3">
        <w:rPr>
          <w:rFonts w:ascii="Arial" w:hAnsi="Arial" w:cs="Arial"/>
          <w:bCs/>
          <w:sz w:val="21"/>
          <w:szCs w:val="21"/>
          <w:lang w:eastAsia="en-US"/>
        </w:rPr>
        <w:t>%) è dovuta in particolare all’aumento delle vendite di metalli di base e prodotti in metallo, esclusi macchine e impianti (+2</w:t>
      </w:r>
      <w:r w:rsidR="00B91559" w:rsidRPr="00761ED3">
        <w:rPr>
          <w:rFonts w:ascii="Arial" w:hAnsi="Arial" w:cs="Arial"/>
          <w:bCs/>
          <w:sz w:val="21"/>
          <w:szCs w:val="21"/>
          <w:lang w:eastAsia="en-US"/>
        </w:rPr>
        <w:t>5</w:t>
      </w:r>
      <w:r w:rsidRPr="00761ED3">
        <w:rPr>
          <w:rFonts w:ascii="Arial" w:hAnsi="Arial" w:cs="Arial"/>
          <w:bCs/>
          <w:sz w:val="21"/>
          <w:szCs w:val="21"/>
          <w:lang w:eastAsia="en-US"/>
        </w:rPr>
        <w:t>,</w:t>
      </w:r>
      <w:r w:rsidR="00B91559" w:rsidRPr="00761ED3">
        <w:rPr>
          <w:rFonts w:ascii="Arial" w:hAnsi="Arial" w:cs="Arial"/>
          <w:bCs/>
          <w:sz w:val="21"/>
          <w:szCs w:val="21"/>
          <w:lang w:eastAsia="en-US"/>
        </w:rPr>
        <w:t>6</w:t>
      </w:r>
      <w:r w:rsidRPr="00761ED3">
        <w:rPr>
          <w:rFonts w:ascii="Arial" w:hAnsi="Arial" w:cs="Arial"/>
          <w:bCs/>
          <w:sz w:val="21"/>
          <w:szCs w:val="21"/>
          <w:lang w:eastAsia="en-US"/>
        </w:rPr>
        <w:t xml:space="preserve">%), </w:t>
      </w:r>
      <w:r w:rsidR="00B91559" w:rsidRPr="00761ED3">
        <w:rPr>
          <w:rFonts w:ascii="Arial" w:hAnsi="Arial" w:cs="Arial"/>
          <w:bCs/>
          <w:sz w:val="21"/>
          <w:szCs w:val="21"/>
          <w:lang w:eastAsia="en-US"/>
        </w:rPr>
        <w:t>sostanze e prodotti chimici (+32,0%)</w:t>
      </w:r>
      <w:r w:rsidR="000D74A4">
        <w:rPr>
          <w:rFonts w:ascii="Arial" w:hAnsi="Arial" w:cs="Arial"/>
          <w:bCs/>
          <w:sz w:val="21"/>
          <w:szCs w:val="21"/>
          <w:lang w:eastAsia="en-US"/>
        </w:rPr>
        <w:t xml:space="preserve"> e </w:t>
      </w:r>
      <w:r w:rsidR="00B91559" w:rsidRPr="00761ED3">
        <w:rPr>
          <w:rFonts w:ascii="Arial" w:hAnsi="Arial" w:cs="Arial"/>
          <w:bCs/>
          <w:sz w:val="21"/>
          <w:szCs w:val="21"/>
          <w:lang w:eastAsia="en-US"/>
        </w:rPr>
        <w:t>mezzi di trasporto, autoveicoli esclusi (+38,2</w:t>
      </w:r>
      <w:r w:rsidR="000D74A4">
        <w:rPr>
          <w:rFonts w:ascii="Arial" w:hAnsi="Arial" w:cs="Arial"/>
          <w:bCs/>
          <w:sz w:val="21"/>
          <w:szCs w:val="21"/>
          <w:lang w:eastAsia="en-US"/>
        </w:rPr>
        <w:t>%</w:t>
      </w:r>
      <w:r w:rsidR="000344D7">
        <w:rPr>
          <w:rFonts w:ascii="Arial" w:hAnsi="Arial" w:cs="Arial"/>
          <w:bCs/>
          <w:sz w:val="21"/>
          <w:szCs w:val="21"/>
          <w:lang w:eastAsia="en-US"/>
        </w:rPr>
        <w:t>)</w:t>
      </w:r>
      <w:r w:rsidRPr="00761ED3">
        <w:rPr>
          <w:rFonts w:ascii="Arial" w:hAnsi="Arial" w:cs="Arial"/>
          <w:bCs/>
          <w:sz w:val="21"/>
          <w:szCs w:val="21"/>
          <w:lang w:eastAsia="en-US"/>
        </w:rPr>
        <w:t>.</w:t>
      </w:r>
    </w:p>
    <w:p w14:paraId="51B050FF" w14:textId="18E233A3" w:rsidR="007E3E14" w:rsidRPr="007E3E14" w:rsidRDefault="007E3E14" w:rsidP="000077FA">
      <w:pPr>
        <w:numPr>
          <w:ilvl w:val="0"/>
          <w:numId w:val="22"/>
        </w:numPr>
        <w:tabs>
          <w:tab w:val="left" w:pos="426"/>
          <w:tab w:val="left" w:pos="1843"/>
        </w:tabs>
        <w:spacing w:after="100" w:line="230" w:lineRule="exact"/>
        <w:jc w:val="both"/>
        <w:rPr>
          <w:rFonts w:ascii="Arial" w:hAnsi="Arial" w:cs="Arial"/>
          <w:bCs/>
          <w:sz w:val="21"/>
          <w:szCs w:val="21"/>
          <w:lang w:eastAsia="en-US"/>
        </w:rPr>
      </w:pPr>
      <w:r w:rsidRPr="007E3E14">
        <w:rPr>
          <w:rFonts w:ascii="Arial" w:hAnsi="Arial" w:cs="Arial"/>
          <w:bCs/>
          <w:sz w:val="21"/>
          <w:szCs w:val="21"/>
          <w:lang w:eastAsia="en-US"/>
        </w:rPr>
        <w:t>A febbraio 2022 il disavanzo commerciale è pari a 1.</w:t>
      </w:r>
      <w:r>
        <w:rPr>
          <w:rFonts w:ascii="Arial" w:hAnsi="Arial" w:cs="Arial"/>
          <w:bCs/>
          <w:sz w:val="21"/>
          <w:szCs w:val="21"/>
          <w:lang w:eastAsia="en-US"/>
        </w:rPr>
        <w:t>662</w:t>
      </w:r>
      <w:r w:rsidRPr="007E3E14">
        <w:rPr>
          <w:rFonts w:ascii="Arial" w:hAnsi="Arial" w:cs="Arial"/>
          <w:bCs/>
          <w:sz w:val="21"/>
          <w:szCs w:val="21"/>
          <w:lang w:eastAsia="en-US"/>
        </w:rPr>
        <w:t xml:space="preserve"> milioni</w:t>
      </w:r>
      <w:r>
        <w:rPr>
          <w:rFonts w:ascii="Arial" w:hAnsi="Arial" w:cs="Arial"/>
          <w:bCs/>
          <w:sz w:val="21"/>
          <w:szCs w:val="21"/>
          <w:lang w:eastAsia="en-US"/>
        </w:rPr>
        <w:t xml:space="preserve"> di euro</w:t>
      </w:r>
      <w:r w:rsidRPr="007E3E14">
        <w:rPr>
          <w:rFonts w:ascii="Arial" w:hAnsi="Arial" w:cs="Arial"/>
          <w:bCs/>
          <w:sz w:val="21"/>
          <w:szCs w:val="21"/>
          <w:lang w:eastAsia="en-US"/>
        </w:rPr>
        <w:t>, a fronte di un avanzo di 4.</w:t>
      </w:r>
      <w:r>
        <w:rPr>
          <w:rFonts w:ascii="Arial" w:hAnsi="Arial" w:cs="Arial"/>
          <w:bCs/>
          <w:sz w:val="21"/>
          <w:szCs w:val="21"/>
          <w:lang w:eastAsia="en-US"/>
        </w:rPr>
        <w:t>750</w:t>
      </w:r>
      <w:r w:rsidRPr="007E3E14">
        <w:rPr>
          <w:rFonts w:ascii="Arial" w:hAnsi="Arial" w:cs="Arial"/>
          <w:bCs/>
          <w:sz w:val="21"/>
          <w:szCs w:val="21"/>
          <w:lang w:eastAsia="en-US"/>
        </w:rPr>
        <w:t xml:space="preserve"> milioni dello stesso mese del 2021. Il deficit energetico (-7.</w:t>
      </w:r>
      <w:r w:rsidR="0008600F">
        <w:rPr>
          <w:rFonts w:ascii="Arial" w:hAnsi="Arial" w:cs="Arial"/>
          <w:bCs/>
          <w:sz w:val="21"/>
          <w:szCs w:val="21"/>
          <w:lang w:eastAsia="en-US"/>
        </w:rPr>
        <w:t>263</w:t>
      </w:r>
      <w:r w:rsidRPr="007E3E14">
        <w:rPr>
          <w:rFonts w:ascii="Arial" w:hAnsi="Arial" w:cs="Arial"/>
          <w:bCs/>
          <w:sz w:val="21"/>
          <w:szCs w:val="21"/>
          <w:lang w:eastAsia="en-US"/>
        </w:rPr>
        <w:t xml:space="preserve"> milioni) è molto più ampio rispetto a un anno prima (-2.</w:t>
      </w:r>
      <w:r w:rsidR="0008600F">
        <w:rPr>
          <w:rFonts w:ascii="Arial" w:hAnsi="Arial" w:cs="Arial"/>
          <w:bCs/>
          <w:sz w:val="21"/>
          <w:szCs w:val="21"/>
          <w:lang w:eastAsia="en-US"/>
        </w:rPr>
        <w:t>2</w:t>
      </w:r>
      <w:r w:rsidRPr="007E3E14">
        <w:rPr>
          <w:rFonts w:ascii="Arial" w:hAnsi="Arial" w:cs="Arial"/>
          <w:bCs/>
          <w:sz w:val="21"/>
          <w:szCs w:val="21"/>
          <w:lang w:eastAsia="en-US"/>
        </w:rPr>
        <w:t>1</w:t>
      </w:r>
      <w:r w:rsidR="0008600F">
        <w:rPr>
          <w:rFonts w:ascii="Arial" w:hAnsi="Arial" w:cs="Arial"/>
          <w:bCs/>
          <w:sz w:val="21"/>
          <w:szCs w:val="21"/>
          <w:lang w:eastAsia="en-US"/>
        </w:rPr>
        <w:t>3</w:t>
      </w:r>
      <w:r w:rsidRPr="007E3E14">
        <w:rPr>
          <w:rFonts w:ascii="Arial" w:hAnsi="Arial" w:cs="Arial"/>
          <w:bCs/>
          <w:sz w:val="21"/>
          <w:szCs w:val="21"/>
          <w:lang w:eastAsia="en-US"/>
        </w:rPr>
        <w:t xml:space="preserve"> milioni). L’avanzo nell’interscambio di prodotti non energetici </w:t>
      </w:r>
      <w:r w:rsidR="0008600F">
        <w:rPr>
          <w:rFonts w:ascii="Arial" w:hAnsi="Arial" w:cs="Arial"/>
          <w:bCs/>
          <w:sz w:val="21"/>
          <w:szCs w:val="21"/>
          <w:lang w:eastAsia="en-US"/>
        </w:rPr>
        <w:t xml:space="preserve">si </w:t>
      </w:r>
      <w:r w:rsidR="004E7A1D">
        <w:rPr>
          <w:rFonts w:ascii="Arial" w:hAnsi="Arial" w:cs="Arial"/>
          <w:bCs/>
          <w:sz w:val="21"/>
          <w:szCs w:val="21"/>
          <w:lang w:eastAsia="en-US"/>
        </w:rPr>
        <w:t>riduce</w:t>
      </w:r>
      <w:r w:rsidR="0008600F">
        <w:rPr>
          <w:rFonts w:ascii="Arial" w:hAnsi="Arial" w:cs="Arial"/>
          <w:bCs/>
          <w:sz w:val="21"/>
          <w:szCs w:val="21"/>
          <w:lang w:eastAsia="en-US"/>
        </w:rPr>
        <w:t xml:space="preserve"> </w:t>
      </w:r>
      <w:r w:rsidRPr="007E3E14">
        <w:rPr>
          <w:rFonts w:ascii="Arial" w:hAnsi="Arial" w:cs="Arial"/>
          <w:bCs/>
          <w:sz w:val="21"/>
          <w:szCs w:val="21"/>
          <w:lang w:eastAsia="en-US"/>
        </w:rPr>
        <w:t xml:space="preserve">a </w:t>
      </w:r>
      <w:r w:rsidR="0008600F">
        <w:rPr>
          <w:rFonts w:ascii="Arial" w:hAnsi="Arial" w:cs="Arial"/>
          <w:bCs/>
          <w:sz w:val="21"/>
          <w:szCs w:val="21"/>
          <w:lang w:eastAsia="en-US"/>
        </w:rPr>
        <w:t>5.600</w:t>
      </w:r>
      <w:r w:rsidRPr="007E3E14">
        <w:rPr>
          <w:rFonts w:ascii="Arial" w:hAnsi="Arial" w:cs="Arial"/>
          <w:bCs/>
          <w:sz w:val="21"/>
          <w:szCs w:val="21"/>
          <w:lang w:eastAsia="en-US"/>
        </w:rPr>
        <w:t xml:space="preserve"> milioni</w:t>
      </w:r>
      <w:r w:rsidR="009255D6">
        <w:rPr>
          <w:rFonts w:ascii="Arial" w:hAnsi="Arial" w:cs="Arial"/>
          <w:bCs/>
          <w:sz w:val="21"/>
          <w:szCs w:val="21"/>
          <w:lang w:eastAsia="en-US"/>
        </w:rPr>
        <w:t>,</w:t>
      </w:r>
      <w:r w:rsidRPr="007E3E14">
        <w:rPr>
          <w:rFonts w:ascii="Arial" w:hAnsi="Arial" w:cs="Arial"/>
          <w:bCs/>
          <w:sz w:val="21"/>
          <w:szCs w:val="21"/>
          <w:lang w:eastAsia="en-US"/>
        </w:rPr>
        <w:t xml:space="preserve"> </w:t>
      </w:r>
      <w:r w:rsidR="0008600F">
        <w:rPr>
          <w:rFonts w:ascii="Arial" w:hAnsi="Arial" w:cs="Arial"/>
          <w:bCs/>
          <w:sz w:val="21"/>
          <w:szCs w:val="21"/>
          <w:lang w:eastAsia="en-US"/>
        </w:rPr>
        <w:t>da</w:t>
      </w:r>
      <w:r w:rsidRPr="007E3E14">
        <w:rPr>
          <w:rFonts w:ascii="Arial" w:hAnsi="Arial" w:cs="Arial"/>
          <w:bCs/>
          <w:sz w:val="21"/>
          <w:szCs w:val="21"/>
          <w:lang w:eastAsia="en-US"/>
        </w:rPr>
        <w:t xml:space="preserve"> </w:t>
      </w:r>
      <w:r w:rsidR="0008600F">
        <w:rPr>
          <w:rFonts w:ascii="Arial" w:hAnsi="Arial" w:cs="Arial"/>
          <w:bCs/>
          <w:sz w:val="21"/>
          <w:szCs w:val="21"/>
          <w:lang w:eastAsia="en-US"/>
        </w:rPr>
        <w:t>6.964</w:t>
      </w:r>
      <w:r w:rsidRPr="007E3E14">
        <w:rPr>
          <w:rFonts w:ascii="Arial" w:hAnsi="Arial" w:cs="Arial"/>
          <w:bCs/>
          <w:sz w:val="21"/>
          <w:szCs w:val="21"/>
          <w:lang w:eastAsia="en-US"/>
        </w:rPr>
        <w:t xml:space="preserve"> milioni </w:t>
      </w:r>
      <w:r w:rsidR="0008600F">
        <w:rPr>
          <w:rFonts w:ascii="Arial" w:hAnsi="Arial" w:cs="Arial"/>
          <w:bCs/>
          <w:sz w:val="21"/>
          <w:szCs w:val="21"/>
          <w:lang w:eastAsia="en-US"/>
        </w:rPr>
        <w:t xml:space="preserve">di </w:t>
      </w:r>
      <w:r w:rsidRPr="007E3E14">
        <w:rPr>
          <w:rFonts w:ascii="Arial" w:hAnsi="Arial" w:cs="Arial"/>
          <w:bCs/>
          <w:sz w:val="21"/>
          <w:szCs w:val="21"/>
          <w:lang w:eastAsia="en-US"/>
        </w:rPr>
        <w:t>febbraio 2021.</w:t>
      </w:r>
    </w:p>
    <w:p w14:paraId="4F2234C4" w14:textId="3AA17741" w:rsidR="009255D6" w:rsidRPr="009255D6" w:rsidRDefault="004C1E20" w:rsidP="000077FA">
      <w:pPr>
        <w:pStyle w:val="Paragrafoelenco"/>
        <w:numPr>
          <w:ilvl w:val="0"/>
          <w:numId w:val="22"/>
        </w:numPr>
        <w:tabs>
          <w:tab w:val="left" w:pos="1843"/>
        </w:tabs>
        <w:spacing w:after="100" w:line="230" w:lineRule="exact"/>
        <w:ind w:left="357" w:hanging="357"/>
        <w:contextualSpacing w:val="0"/>
        <w:rPr>
          <w:rFonts w:ascii="Arial" w:hAnsi="Arial" w:cs="Arial"/>
          <w:sz w:val="21"/>
          <w:szCs w:val="21"/>
        </w:rPr>
      </w:pPr>
      <w:r>
        <w:rPr>
          <w:rFonts w:ascii="Arial" w:hAnsi="Arial" w:cs="Arial"/>
          <w:bCs/>
          <w:sz w:val="21"/>
          <w:szCs w:val="21"/>
          <w:lang w:eastAsia="en-US"/>
        </w:rPr>
        <w:t>A</w:t>
      </w:r>
      <w:r w:rsidR="002C489F" w:rsidRPr="00AC7E3B">
        <w:rPr>
          <w:rFonts w:ascii="Arial" w:hAnsi="Arial" w:cs="Arial"/>
          <w:bCs/>
          <w:sz w:val="21"/>
          <w:szCs w:val="21"/>
          <w:lang w:eastAsia="en-US"/>
        </w:rPr>
        <w:t xml:space="preserve"> febbraio</w:t>
      </w:r>
      <w:r w:rsidR="002C489F" w:rsidRPr="00AC7E3B">
        <w:rPr>
          <w:rFonts w:ascii="Arial" w:hAnsi="Arial" w:cs="Arial"/>
          <w:bCs/>
          <w:color w:val="auto"/>
          <w:sz w:val="21"/>
          <w:szCs w:val="21"/>
          <w:lang w:eastAsia="en-US"/>
        </w:rPr>
        <w:t xml:space="preserve"> 2022 i prezzi all’importazione crescono dell’1,6% su base mensile e del 18,5% su base annua.</w:t>
      </w:r>
      <w:r w:rsidR="00AC7E3B" w:rsidRPr="00AC7E3B">
        <w:rPr>
          <w:rFonts w:ascii="Arial" w:hAnsi="Arial" w:cs="Arial"/>
          <w:bCs/>
          <w:color w:val="auto"/>
          <w:sz w:val="21"/>
          <w:szCs w:val="21"/>
          <w:lang w:eastAsia="en-US"/>
        </w:rPr>
        <w:t xml:space="preserve"> </w:t>
      </w:r>
    </w:p>
    <w:p w14:paraId="0D666091" w14:textId="7AF2C951" w:rsidR="00236734" w:rsidRPr="00AC7E3B" w:rsidRDefault="00563557" w:rsidP="000077FA">
      <w:pPr>
        <w:pStyle w:val="Paragrafoelenco"/>
        <w:numPr>
          <w:ilvl w:val="0"/>
          <w:numId w:val="22"/>
        </w:numPr>
        <w:tabs>
          <w:tab w:val="left" w:pos="1843"/>
        </w:tabs>
        <w:spacing w:after="0" w:line="230" w:lineRule="exact"/>
        <w:ind w:left="357" w:hanging="357"/>
        <w:contextualSpacing w:val="0"/>
        <w:rPr>
          <w:rFonts w:ascii="Arial" w:hAnsi="Arial" w:cs="Arial"/>
          <w:sz w:val="21"/>
          <w:szCs w:val="21"/>
        </w:rPr>
      </w:pPr>
      <w:r w:rsidRPr="00AC7E3B">
        <w:rPr>
          <w:rFonts w:ascii="Arial" w:hAnsi="Arial" w:cs="Arial"/>
          <w:sz w:val="21"/>
          <w:szCs w:val="21"/>
        </w:rPr>
        <w:t>Si ricorda che, d</w:t>
      </w:r>
      <w:r w:rsidRPr="00AC7E3B">
        <w:rPr>
          <w:rFonts w:ascii="Arial" w:hAnsi="Arial" w:cs="Arial"/>
          <w:bCs/>
          <w:sz w:val="21"/>
          <w:szCs w:val="21"/>
          <w:lang w:eastAsia="en-US"/>
        </w:rPr>
        <w:t>ai dati di gennaio 2022, gli indici dei prezzi all’import sono calcolati con il metodo del concatenamento annuale</w:t>
      </w:r>
      <w:r w:rsidR="0008600F" w:rsidRPr="00AC7E3B">
        <w:rPr>
          <w:rFonts w:ascii="Arial" w:hAnsi="Arial" w:cs="Arial"/>
          <w:bCs/>
          <w:sz w:val="21"/>
          <w:szCs w:val="21"/>
          <w:lang w:eastAsia="en-US"/>
        </w:rPr>
        <w:t xml:space="preserve"> (si veda Nota informativa allegata)</w:t>
      </w:r>
      <w:r w:rsidRPr="00AC7E3B">
        <w:rPr>
          <w:rFonts w:ascii="Arial" w:hAnsi="Arial" w:cs="Arial"/>
          <w:bCs/>
          <w:sz w:val="21"/>
          <w:szCs w:val="21"/>
          <w:lang w:eastAsia="en-US"/>
        </w:rPr>
        <w:t>; l’anno 2015 resta la base di riferimento.</w:t>
      </w:r>
    </w:p>
    <w:p w14:paraId="2ACAD9E1" w14:textId="3E9916DB" w:rsidR="00E6386D" w:rsidRPr="00283CFC" w:rsidRDefault="00E6386D" w:rsidP="009738BA">
      <w:pPr>
        <w:tabs>
          <w:tab w:val="left" w:pos="426"/>
          <w:tab w:val="left" w:pos="1843"/>
        </w:tabs>
        <w:spacing w:before="80" w:line="230" w:lineRule="exact"/>
        <w:ind w:left="357"/>
        <w:jc w:val="both"/>
        <w:rPr>
          <w:rFonts w:ascii="Arial" w:hAnsi="Arial"/>
          <w:sz w:val="21"/>
          <w:szCs w:val="21"/>
        </w:rPr>
      </w:pPr>
      <w:r w:rsidRPr="004F13FA">
        <w:rPr>
          <w:noProof/>
          <w:highlight w:val="yellow"/>
        </w:rPr>
        <w:drawing>
          <wp:anchor distT="0" distB="0" distL="114300" distR="114300" simplePos="0" relativeHeight="251658240" behindDoc="0" locked="0" layoutInCell="1" allowOverlap="1" wp14:anchorId="325B255E" wp14:editId="61CEBCAC">
            <wp:simplePos x="0" y="0"/>
            <wp:positionH relativeFrom="column">
              <wp:posOffset>2540</wp:posOffset>
            </wp:positionH>
            <wp:positionV relativeFrom="paragraph">
              <wp:posOffset>66675</wp:posOffset>
            </wp:positionV>
            <wp:extent cx="734060" cy="734060"/>
            <wp:effectExtent l="0" t="0" r="8890" b="8890"/>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pic:spPr>
                </pic:pic>
              </a:graphicData>
            </a:graphic>
            <wp14:sizeRelH relativeFrom="margin">
              <wp14:pctWidth>0</wp14:pctWidth>
            </wp14:sizeRelH>
            <wp14:sizeRelV relativeFrom="margin">
              <wp14:pctHeight>0</wp14:pctHeight>
            </wp14:sizeRelV>
          </wp:anchor>
        </w:drawing>
      </w:r>
    </w:p>
    <w:p w14:paraId="43154CA7" w14:textId="77777777" w:rsidR="00904ABD" w:rsidRPr="0060494A" w:rsidRDefault="00904ABD" w:rsidP="007E5C5A">
      <w:pPr>
        <w:tabs>
          <w:tab w:val="left" w:pos="426"/>
          <w:tab w:val="left" w:pos="1843"/>
        </w:tabs>
        <w:spacing w:line="230" w:lineRule="exact"/>
        <w:ind w:left="357"/>
        <w:jc w:val="both"/>
        <w:rPr>
          <w:rFonts w:ascii="Arial" w:hAnsi="Arial"/>
          <w:sz w:val="12"/>
          <w:szCs w:val="1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27AD" w:rsidRPr="002578CE" w14:paraId="78C8AE30" w14:textId="77777777" w:rsidTr="00053850">
        <w:trPr>
          <w:trHeight w:val="115"/>
        </w:trPr>
        <w:tc>
          <w:tcPr>
            <w:tcW w:w="6916" w:type="dxa"/>
            <w:vMerge w:val="restart"/>
            <w:tcBorders>
              <w:top w:val="nil"/>
              <w:left w:val="single" w:sz="4" w:space="0" w:color="FFFFFF"/>
              <w:right w:val="single" w:sz="48" w:space="0" w:color="FFFFFF"/>
            </w:tcBorders>
            <w:shd w:val="clear" w:color="auto" w:fill="D9D9D9"/>
          </w:tcPr>
          <w:p w14:paraId="232A7A30" w14:textId="21285433" w:rsidR="00016974" w:rsidRDefault="005301CF" w:rsidP="00711FD1">
            <w:pPr>
              <w:pStyle w:val="Paragrafobase"/>
              <w:spacing w:before="120" w:line="140" w:lineRule="atLeast"/>
              <w:rPr>
                <w:rFonts w:ascii="Arial" w:hAnsi="Arial" w:cs="Arial"/>
                <w:sz w:val="21"/>
                <w:szCs w:val="21"/>
              </w:rPr>
            </w:pPr>
            <w:r>
              <w:rPr>
                <w:noProof/>
              </w:rPr>
              <w:drawing>
                <wp:anchor distT="0" distB="0" distL="114300" distR="114300" simplePos="0" relativeHeight="251659264" behindDoc="0" locked="0" layoutInCell="1" allowOverlap="1" wp14:anchorId="613FC820" wp14:editId="66ED5D32">
                  <wp:simplePos x="0" y="0"/>
                  <wp:positionH relativeFrom="column">
                    <wp:posOffset>5989320</wp:posOffset>
                  </wp:positionH>
                  <wp:positionV relativeFrom="paragraph">
                    <wp:posOffset>44450</wp:posOffset>
                  </wp:positionV>
                  <wp:extent cx="657225" cy="638175"/>
                  <wp:effectExtent l="0" t="0" r="0" b="0"/>
                  <wp:wrapNone/>
                  <wp:docPr id="259"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00F527AD" w:rsidRPr="002578CE">
              <w:rPr>
                <w:rFonts w:ascii="Arial" w:hAnsi="Arial" w:cs="Arial"/>
                <w:sz w:val="22"/>
                <w:szCs w:val="22"/>
              </w:rPr>
              <w:t xml:space="preserve">                 </w:t>
            </w:r>
            <w:r w:rsidR="00F527AD">
              <w:rPr>
                <w:rFonts w:ascii="Arial" w:hAnsi="Arial" w:cs="Arial"/>
                <w:sz w:val="22"/>
                <w:szCs w:val="22"/>
              </w:rPr>
              <w:t xml:space="preserve"> </w:t>
            </w:r>
            <w:r w:rsidR="00F527AD" w:rsidRPr="00AF6380">
              <w:rPr>
                <w:rFonts w:ascii="Calibri" w:hAnsi="Calibri" w:cs="Arial"/>
                <w:color w:val="E41C18"/>
                <w:sz w:val="56"/>
                <w:szCs w:val="56"/>
              </w:rPr>
              <w:t>Il commento</w:t>
            </w:r>
          </w:p>
          <w:p w14:paraId="1756416F" w14:textId="77777777" w:rsidR="00166759" w:rsidRPr="000077FA" w:rsidRDefault="00166759" w:rsidP="00166759">
            <w:pPr>
              <w:jc w:val="both"/>
              <w:rPr>
                <w:rFonts w:ascii="Arial" w:hAnsi="Arial" w:cs="Arial"/>
                <w:sz w:val="6"/>
                <w:szCs w:val="6"/>
              </w:rPr>
            </w:pPr>
          </w:p>
          <w:p w14:paraId="3E734598" w14:textId="7532CE73" w:rsidR="00FC20D1" w:rsidRDefault="00950FCF" w:rsidP="000077FA">
            <w:pPr>
              <w:spacing w:after="40"/>
              <w:jc w:val="both"/>
              <w:rPr>
                <w:rFonts w:ascii="Arial" w:hAnsi="Arial" w:cs="Arial"/>
                <w:sz w:val="21"/>
                <w:szCs w:val="21"/>
              </w:rPr>
            </w:pPr>
            <w:r w:rsidRPr="00950FCF">
              <w:rPr>
                <w:rFonts w:ascii="Arial" w:hAnsi="Arial" w:cs="Arial"/>
                <w:sz w:val="21"/>
                <w:szCs w:val="21"/>
              </w:rPr>
              <w:t xml:space="preserve">A febbraio 2022 l’export </w:t>
            </w:r>
            <w:r w:rsidR="00166759">
              <w:rPr>
                <w:rFonts w:ascii="Arial" w:hAnsi="Arial" w:cs="Arial"/>
                <w:sz w:val="21"/>
                <w:szCs w:val="21"/>
              </w:rPr>
              <w:t>segna un nuovo</w:t>
            </w:r>
            <w:r w:rsidRPr="00950FCF">
              <w:rPr>
                <w:rFonts w:ascii="Arial" w:hAnsi="Arial" w:cs="Arial"/>
                <w:sz w:val="21"/>
                <w:szCs w:val="21"/>
              </w:rPr>
              <w:t xml:space="preserve"> </w:t>
            </w:r>
            <w:r w:rsidR="0016038B">
              <w:rPr>
                <w:rFonts w:ascii="Arial" w:hAnsi="Arial" w:cs="Arial"/>
                <w:sz w:val="21"/>
                <w:szCs w:val="21"/>
              </w:rPr>
              <w:t>incremento</w:t>
            </w:r>
            <w:r w:rsidRPr="00950FCF">
              <w:rPr>
                <w:rFonts w:ascii="Arial" w:hAnsi="Arial" w:cs="Arial"/>
                <w:sz w:val="21"/>
                <w:szCs w:val="21"/>
              </w:rPr>
              <w:t xml:space="preserve"> su base mensile, trainato </w:t>
            </w:r>
            <w:r w:rsidR="0016038B">
              <w:rPr>
                <w:rFonts w:ascii="Arial" w:hAnsi="Arial" w:cs="Arial"/>
                <w:sz w:val="21"/>
                <w:szCs w:val="21"/>
              </w:rPr>
              <w:t>soprattutto</w:t>
            </w:r>
            <w:r w:rsidRPr="00950FCF">
              <w:rPr>
                <w:rFonts w:ascii="Arial" w:hAnsi="Arial" w:cs="Arial"/>
                <w:sz w:val="21"/>
                <w:szCs w:val="21"/>
              </w:rPr>
              <w:t xml:space="preserve"> dalle vendite di beni di consumo non durevoli e intermedi</w:t>
            </w:r>
            <w:r w:rsidR="00166759">
              <w:rPr>
                <w:rFonts w:ascii="Arial" w:hAnsi="Arial" w:cs="Arial"/>
                <w:sz w:val="21"/>
                <w:szCs w:val="21"/>
              </w:rPr>
              <w:t xml:space="preserve">. </w:t>
            </w:r>
            <w:r w:rsidR="00166759" w:rsidRPr="00166759">
              <w:rPr>
                <w:rFonts w:ascii="Arial" w:hAnsi="Arial" w:cs="Arial"/>
                <w:sz w:val="21"/>
                <w:szCs w:val="21"/>
              </w:rPr>
              <w:t xml:space="preserve">Nella media degli ultimi tre mesi, la dinamica congiunturale è </w:t>
            </w:r>
            <w:r w:rsidR="0016038B">
              <w:rPr>
                <w:rFonts w:ascii="Arial" w:hAnsi="Arial" w:cs="Arial"/>
                <w:sz w:val="21"/>
                <w:szCs w:val="21"/>
              </w:rPr>
              <w:t>molto</w:t>
            </w:r>
            <w:r w:rsidR="00166759">
              <w:rPr>
                <w:rFonts w:ascii="Arial" w:hAnsi="Arial" w:cs="Arial"/>
                <w:sz w:val="21"/>
                <w:szCs w:val="21"/>
              </w:rPr>
              <w:t xml:space="preserve"> positiva. </w:t>
            </w:r>
          </w:p>
          <w:p w14:paraId="1CD37B06" w14:textId="59125F4E" w:rsidR="000077FA" w:rsidRDefault="00950FCF" w:rsidP="000077FA">
            <w:pPr>
              <w:spacing w:after="40"/>
              <w:jc w:val="both"/>
              <w:rPr>
                <w:rFonts w:ascii="Arial" w:hAnsi="Arial" w:cs="Arial"/>
                <w:sz w:val="21"/>
                <w:szCs w:val="21"/>
              </w:rPr>
            </w:pPr>
            <w:r w:rsidRPr="00950FCF">
              <w:rPr>
                <w:rFonts w:ascii="Arial" w:hAnsi="Arial" w:cs="Arial"/>
                <w:sz w:val="21"/>
                <w:szCs w:val="21"/>
              </w:rPr>
              <w:t>Su base a</w:t>
            </w:r>
            <w:r w:rsidR="00DC045F">
              <w:rPr>
                <w:rFonts w:ascii="Arial" w:hAnsi="Arial" w:cs="Arial"/>
                <w:sz w:val="21"/>
                <w:szCs w:val="21"/>
              </w:rPr>
              <w:t xml:space="preserve">nnua, la crescita dell’export </w:t>
            </w:r>
            <w:r w:rsidR="00DC045F" w:rsidRPr="00950FCF">
              <w:rPr>
                <w:rFonts w:ascii="Arial" w:hAnsi="Arial" w:cs="Arial"/>
                <w:sz w:val="21"/>
                <w:szCs w:val="21"/>
              </w:rPr>
              <w:t xml:space="preserve">interessa </w:t>
            </w:r>
            <w:r w:rsidRPr="00950FCF">
              <w:rPr>
                <w:rFonts w:ascii="Arial" w:hAnsi="Arial" w:cs="Arial"/>
                <w:sz w:val="21"/>
                <w:szCs w:val="21"/>
              </w:rPr>
              <w:t xml:space="preserve">tutti i settori </w:t>
            </w:r>
            <w:r w:rsidR="00FC20D1">
              <w:rPr>
                <w:rFonts w:ascii="Arial" w:hAnsi="Arial" w:cs="Arial"/>
                <w:sz w:val="21"/>
                <w:szCs w:val="21"/>
              </w:rPr>
              <w:t>e tutti</w:t>
            </w:r>
            <w:r w:rsidRPr="00950FCF">
              <w:rPr>
                <w:rFonts w:ascii="Arial" w:hAnsi="Arial" w:cs="Arial"/>
                <w:sz w:val="21"/>
                <w:szCs w:val="21"/>
              </w:rPr>
              <w:t xml:space="preserve"> i principali paesi partner</w:t>
            </w:r>
            <w:r w:rsidR="00DA7FCD">
              <w:rPr>
                <w:rFonts w:ascii="Arial" w:hAnsi="Arial" w:cs="Arial"/>
                <w:sz w:val="21"/>
                <w:szCs w:val="21"/>
              </w:rPr>
              <w:t xml:space="preserve"> ed è spiegata per </w:t>
            </w:r>
            <w:r w:rsidR="000077FA">
              <w:rPr>
                <w:rFonts w:ascii="Arial" w:hAnsi="Arial" w:cs="Arial"/>
                <w:sz w:val="21"/>
                <w:szCs w:val="21"/>
              </w:rPr>
              <w:t xml:space="preserve">circa </w:t>
            </w:r>
            <w:r w:rsidR="00DA7FCD">
              <w:rPr>
                <w:rFonts w:ascii="Arial" w:hAnsi="Arial" w:cs="Arial"/>
                <w:sz w:val="21"/>
                <w:szCs w:val="21"/>
              </w:rPr>
              <w:t xml:space="preserve">un terzo dall’aumento delle </w:t>
            </w:r>
            <w:r w:rsidRPr="00950FCF">
              <w:rPr>
                <w:rFonts w:ascii="Arial" w:hAnsi="Arial" w:cs="Arial"/>
                <w:sz w:val="21"/>
                <w:szCs w:val="21"/>
              </w:rPr>
              <w:t>vendite di metalli, prodotti chimici e alimentari.</w:t>
            </w:r>
            <w:r w:rsidR="007F58F4">
              <w:rPr>
                <w:rFonts w:ascii="Arial" w:hAnsi="Arial" w:cs="Arial"/>
                <w:sz w:val="21"/>
                <w:szCs w:val="21"/>
              </w:rPr>
              <w:t xml:space="preserve"> </w:t>
            </w:r>
            <w:r w:rsidR="0016038B">
              <w:rPr>
                <w:rFonts w:ascii="Arial" w:hAnsi="Arial" w:cs="Arial"/>
                <w:sz w:val="21"/>
                <w:szCs w:val="21"/>
              </w:rPr>
              <w:t xml:space="preserve">Gli acquisti di gas naturale contribuiscono per </w:t>
            </w:r>
            <w:r w:rsidRPr="00950FCF">
              <w:rPr>
                <w:rFonts w:ascii="Arial" w:hAnsi="Arial" w:cs="Arial"/>
                <w:sz w:val="21"/>
                <w:szCs w:val="21"/>
              </w:rPr>
              <w:t xml:space="preserve">10 punti percentuali </w:t>
            </w:r>
            <w:r w:rsidR="00AA3A0B">
              <w:rPr>
                <w:rFonts w:ascii="Arial" w:hAnsi="Arial" w:cs="Arial"/>
                <w:sz w:val="21"/>
                <w:szCs w:val="21"/>
              </w:rPr>
              <w:t xml:space="preserve">al </w:t>
            </w:r>
            <w:r w:rsidR="0016038B">
              <w:rPr>
                <w:rFonts w:ascii="Arial" w:hAnsi="Arial" w:cs="Arial"/>
                <w:sz w:val="21"/>
                <w:szCs w:val="21"/>
              </w:rPr>
              <w:t xml:space="preserve">forte </w:t>
            </w:r>
            <w:r w:rsidR="00AA3A0B">
              <w:rPr>
                <w:rFonts w:ascii="Arial" w:hAnsi="Arial" w:cs="Arial"/>
                <w:sz w:val="21"/>
                <w:szCs w:val="21"/>
              </w:rPr>
              <w:t>incremento</w:t>
            </w:r>
            <w:r w:rsidR="00166759">
              <w:rPr>
                <w:rFonts w:ascii="Arial" w:hAnsi="Arial" w:cs="Arial"/>
                <w:sz w:val="21"/>
                <w:szCs w:val="21"/>
              </w:rPr>
              <w:t xml:space="preserve"> </w:t>
            </w:r>
            <w:r w:rsidR="0016038B">
              <w:rPr>
                <w:rFonts w:ascii="Arial" w:hAnsi="Arial" w:cs="Arial"/>
                <w:sz w:val="21"/>
                <w:szCs w:val="21"/>
              </w:rPr>
              <w:t>tendenziale</w:t>
            </w:r>
            <w:r w:rsidR="00166759">
              <w:rPr>
                <w:rFonts w:ascii="Arial" w:hAnsi="Arial" w:cs="Arial"/>
                <w:sz w:val="21"/>
                <w:szCs w:val="21"/>
              </w:rPr>
              <w:t xml:space="preserve"> delle import</w:t>
            </w:r>
            <w:r w:rsidR="000077FA">
              <w:rPr>
                <w:rFonts w:ascii="Arial" w:hAnsi="Arial" w:cs="Arial"/>
                <w:sz w:val="21"/>
                <w:szCs w:val="21"/>
              </w:rPr>
              <w:t>azioni</w:t>
            </w:r>
            <w:r w:rsidR="00166759">
              <w:rPr>
                <w:rFonts w:ascii="Arial" w:hAnsi="Arial" w:cs="Arial"/>
                <w:sz w:val="21"/>
                <w:szCs w:val="21"/>
              </w:rPr>
              <w:t xml:space="preserve"> </w:t>
            </w:r>
            <w:r w:rsidR="00AA3A0B">
              <w:rPr>
                <w:rFonts w:ascii="Arial" w:hAnsi="Arial" w:cs="Arial"/>
                <w:sz w:val="21"/>
                <w:szCs w:val="21"/>
              </w:rPr>
              <w:t>italiane</w:t>
            </w:r>
            <w:r w:rsidRPr="00950FCF">
              <w:rPr>
                <w:rFonts w:ascii="Arial" w:hAnsi="Arial" w:cs="Arial"/>
                <w:sz w:val="21"/>
                <w:szCs w:val="21"/>
              </w:rPr>
              <w:t>.</w:t>
            </w:r>
            <w:r w:rsidR="0016038B">
              <w:rPr>
                <w:rFonts w:ascii="Arial" w:hAnsi="Arial" w:cs="Arial"/>
                <w:sz w:val="21"/>
                <w:szCs w:val="21"/>
              </w:rPr>
              <w:t xml:space="preserve"> </w:t>
            </w:r>
            <w:r w:rsidR="00166759">
              <w:rPr>
                <w:rFonts w:ascii="Arial" w:hAnsi="Arial" w:cs="Arial"/>
                <w:sz w:val="21"/>
                <w:szCs w:val="21"/>
              </w:rPr>
              <w:t xml:space="preserve">Il deficit </w:t>
            </w:r>
            <w:r w:rsidRPr="00950FCF">
              <w:rPr>
                <w:rFonts w:ascii="Arial" w:hAnsi="Arial" w:cs="Arial"/>
                <w:sz w:val="21"/>
                <w:szCs w:val="21"/>
              </w:rPr>
              <w:t xml:space="preserve">energetico </w:t>
            </w:r>
            <w:r w:rsidR="00166759">
              <w:rPr>
                <w:rFonts w:ascii="Arial" w:hAnsi="Arial" w:cs="Arial"/>
                <w:sz w:val="21"/>
                <w:szCs w:val="21"/>
              </w:rPr>
              <w:t xml:space="preserve">si amplia </w:t>
            </w:r>
            <w:r w:rsidR="00AA3A0B">
              <w:rPr>
                <w:rFonts w:ascii="Arial" w:hAnsi="Arial" w:cs="Arial"/>
                <w:sz w:val="21"/>
                <w:szCs w:val="21"/>
              </w:rPr>
              <w:t>sensibilmente e</w:t>
            </w:r>
            <w:r w:rsidR="00166759">
              <w:rPr>
                <w:rFonts w:ascii="Arial" w:hAnsi="Arial" w:cs="Arial"/>
                <w:sz w:val="21"/>
                <w:szCs w:val="21"/>
              </w:rPr>
              <w:t xml:space="preserve"> </w:t>
            </w:r>
            <w:r w:rsidR="00AA3A0B">
              <w:rPr>
                <w:rFonts w:ascii="Arial" w:hAnsi="Arial" w:cs="Arial"/>
                <w:sz w:val="21"/>
                <w:szCs w:val="21"/>
              </w:rPr>
              <w:t xml:space="preserve">il saldo </w:t>
            </w:r>
            <w:r w:rsidRPr="00950FCF">
              <w:rPr>
                <w:rFonts w:ascii="Arial" w:hAnsi="Arial" w:cs="Arial"/>
                <w:sz w:val="21"/>
                <w:szCs w:val="21"/>
              </w:rPr>
              <w:t>nell’interscambio di prodotti non energetici</w:t>
            </w:r>
            <w:r w:rsidR="0016038B">
              <w:rPr>
                <w:rFonts w:ascii="Arial" w:hAnsi="Arial" w:cs="Arial"/>
                <w:sz w:val="21"/>
                <w:szCs w:val="21"/>
              </w:rPr>
              <w:t xml:space="preserve">, seppur ampiamente </w:t>
            </w:r>
            <w:r w:rsidRPr="00950FCF">
              <w:rPr>
                <w:rFonts w:ascii="Arial" w:hAnsi="Arial" w:cs="Arial"/>
                <w:sz w:val="21"/>
                <w:szCs w:val="21"/>
              </w:rPr>
              <w:t xml:space="preserve">positivo, </w:t>
            </w:r>
            <w:r w:rsidR="0016038B">
              <w:rPr>
                <w:rFonts w:ascii="Arial" w:hAnsi="Arial" w:cs="Arial"/>
                <w:sz w:val="21"/>
                <w:szCs w:val="21"/>
              </w:rPr>
              <w:t>si riduce</w:t>
            </w:r>
            <w:r w:rsidR="00AA3A0B">
              <w:rPr>
                <w:rFonts w:ascii="Arial" w:hAnsi="Arial" w:cs="Arial"/>
                <w:sz w:val="21"/>
                <w:szCs w:val="21"/>
              </w:rPr>
              <w:t xml:space="preserve"> rispetto a febbraio dello scorso anno</w:t>
            </w:r>
            <w:r w:rsidRPr="00950FCF">
              <w:rPr>
                <w:rFonts w:ascii="Arial" w:hAnsi="Arial" w:cs="Arial"/>
                <w:sz w:val="21"/>
                <w:szCs w:val="21"/>
              </w:rPr>
              <w:t>.</w:t>
            </w:r>
            <w:r w:rsidR="000077FA">
              <w:rPr>
                <w:rFonts w:ascii="Arial" w:hAnsi="Arial" w:cs="Arial"/>
                <w:sz w:val="21"/>
                <w:szCs w:val="21"/>
              </w:rPr>
              <w:t xml:space="preserve">  </w:t>
            </w:r>
          </w:p>
          <w:p w14:paraId="082F83DB" w14:textId="38FFFFEA" w:rsidR="004E7A1D" w:rsidRPr="00B16945" w:rsidRDefault="007F58F4" w:rsidP="00AA3A0B">
            <w:pPr>
              <w:spacing w:after="40"/>
              <w:jc w:val="both"/>
              <w:rPr>
                <w:rFonts w:ascii="Arial" w:hAnsi="Arial" w:cstheme="minorBidi"/>
                <w:kern w:val="28"/>
                <w:sz w:val="21"/>
                <w:szCs w:val="21"/>
              </w:rPr>
            </w:pPr>
            <w:r w:rsidRPr="00FC20D1">
              <w:rPr>
                <w:rFonts w:ascii="Arial" w:hAnsi="Arial" w:cs="Arial"/>
                <w:sz w:val="21"/>
                <w:szCs w:val="21"/>
              </w:rPr>
              <w:t xml:space="preserve">Prosegue la crescita dei </w:t>
            </w:r>
            <w:r w:rsidR="00236734" w:rsidRPr="00FC20D1">
              <w:rPr>
                <w:rFonts w:ascii="Arial" w:hAnsi="Arial" w:cstheme="minorBidi"/>
                <w:kern w:val="28"/>
                <w:sz w:val="21"/>
                <w:szCs w:val="21"/>
              </w:rPr>
              <w:t xml:space="preserve">prezzi all’import </w:t>
            </w:r>
            <w:r w:rsidRPr="00FC20D1">
              <w:rPr>
                <w:rFonts w:ascii="Arial" w:hAnsi="Arial" w:cstheme="minorBidi"/>
                <w:kern w:val="28"/>
                <w:sz w:val="21"/>
                <w:szCs w:val="21"/>
              </w:rPr>
              <w:t xml:space="preserve">che </w:t>
            </w:r>
            <w:r w:rsidR="00FC20D1" w:rsidRPr="00FC20D1">
              <w:rPr>
                <w:rFonts w:ascii="Arial" w:hAnsi="Arial" w:cstheme="minorBidi"/>
                <w:kern w:val="28"/>
                <w:sz w:val="21"/>
                <w:szCs w:val="21"/>
              </w:rPr>
              <w:t xml:space="preserve">si confermano in accelerazione </w:t>
            </w:r>
            <w:r w:rsidRPr="00FC20D1">
              <w:rPr>
                <w:rFonts w:ascii="Arial" w:hAnsi="Arial" w:cstheme="minorBidi"/>
                <w:kern w:val="28"/>
                <w:sz w:val="21"/>
                <w:szCs w:val="21"/>
              </w:rPr>
              <w:t xml:space="preserve">su base </w:t>
            </w:r>
            <w:r w:rsidR="00236734" w:rsidRPr="00FC20D1">
              <w:rPr>
                <w:rFonts w:ascii="Arial" w:hAnsi="Arial" w:cstheme="minorBidi"/>
                <w:kern w:val="28"/>
                <w:sz w:val="21"/>
                <w:szCs w:val="21"/>
              </w:rPr>
              <w:t>annua (+1</w:t>
            </w:r>
            <w:r w:rsidR="00AB0189" w:rsidRPr="00FC20D1">
              <w:rPr>
                <w:rFonts w:ascii="Arial" w:hAnsi="Arial" w:cstheme="minorBidi"/>
                <w:kern w:val="28"/>
                <w:sz w:val="21"/>
                <w:szCs w:val="21"/>
              </w:rPr>
              <w:t>8,5</w:t>
            </w:r>
            <w:r w:rsidR="00236734" w:rsidRPr="00FC20D1">
              <w:rPr>
                <w:rFonts w:ascii="Arial" w:hAnsi="Arial" w:cstheme="minorBidi"/>
                <w:kern w:val="28"/>
                <w:sz w:val="21"/>
                <w:szCs w:val="21"/>
              </w:rPr>
              <w:t>%, da +1</w:t>
            </w:r>
            <w:r w:rsidR="00AB0189" w:rsidRPr="00FC20D1">
              <w:rPr>
                <w:rFonts w:ascii="Arial" w:hAnsi="Arial" w:cstheme="minorBidi"/>
                <w:kern w:val="28"/>
                <w:sz w:val="21"/>
                <w:szCs w:val="21"/>
              </w:rPr>
              <w:t>7,5</w:t>
            </w:r>
            <w:r w:rsidR="00236734" w:rsidRPr="00FC20D1">
              <w:rPr>
                <w:rFonts w:ascii="Arial" w:hAnsi="Arial" w:cstheme="minorBidi"/>
                <w:kern w:val="28"/>
                <w:sz w:val="21"/>
                <w:szCs w:val="21"/>
              </w:rPr>
              <w:t xml:space="preserve">% di </w:t>
            </w:r>
            <w:r w:rsidRPr="00FC20D1">
              <w:rPr>
                <w:rFonts w:ascii="Arial" w:hAnsi="Arial" w:cstheme="minorBidi"/>
                <w:kern w:val="28"/>
                <w:sz w:val="21"/>
                <w:szCs w:val="21"/>
              </w:rPr>
              <w:t>gennaio</w:t>
            </w:r>
            <w:r w:rsidR="00236734" w:rsidRPr="00FC20D1">
              <w:rPr>
                <w:rFonts w:ascii="Arial" w:hAnsi="Arial" w:cstheme="minorBidi"/>
                <w:kern w:val="28"/>
                <w:sz w:val="21"/>
                <w:szCs w:val="21"/>
              </w:rPr>
              <w:t xml:space="preserve">), spinti </w:t>
            </w:r>
            <w:r w:rsidR="008F3175" w:rsidRPr="00FC20D1">
              <w:rPr>
                <w:rFonts w:ascii="Arial" w:hAnsi="Arial" w:cstheme="minorBidi"/>
                <w:kern w:val="28"/>
                <w:sz w:val="21"/>
                <w:szCs w:val="21"/>
              </w:rPr>
              <w:t xml:space="preserve">in particolare </w:t>
            </w:r>
            <w:r w:rsidR="00236734" w:rsidRPr="00FC20D1">
              <w:rPr>
                <w:rFonts w:ascii="Arial" w:hAnsi="Arial" w:cstheme="minorBidi"/>
                <w:kern w:val="28"/>
                <w:sz w:val="21"/>
                <w:szCs w:val="21"/>
              </w:rPr>
              <w:t xml:space="preserve">dai rialzi dei prezzi </w:t>
            </w:r>
            <w:r w:rsidR="008F3175" w:rsidRPr="00FC20D1">
              <w:rPr>
                <w:rFonts w:ascii="Arial" w:hAnsi="Arial" w:cstheme="minorBidi"/>
                <w:kern w:val="28"/>
                <w:sz w:val="21"/>
                <w:szCs w:val="21"/>
              </w:rPr>
              <w:t>dei prodotti energetici nell’area non euro</w:t>
            </w:r>
            <w:r w:rsidR="00236734" w:rsidRPr="00FC20D1">
              <w:rPr>
                <w:rFonts w:ascii="Arial" w:hAnsi="Arial" w:cstheme="minorBidi"/>
                <w:kern w:val="28"/>
                <w:sz w:val="21"/>
                <w:szCs w:val="21"/>
              </w:rPr>
              <w:t>.</w:t>
            </w:r>
          </w:p>
        </w:tc>
        <w:tc>
          <w:tcPr>
            <w:tcW w:w="3290" w:type="dxa"/>
            <w:tcBorders>
              <w:top w:val="nil"/>
              <w:left w:val="single" w:sz="48" w:space="0" w:color="FFFFFF"/>
              <w:bottom w:val="single" w:sz="36" w:space="0" w:color="FFFFFF"/>
              <w:right w:val="single" w:sz="36" w:space="0" w:color="FFFFFF"/>
            </w:tcBorders>
            <w:shd w:val="clear" w:color="auto" w:fill="E31C18"/>
          </w:tcPr>
          <w:p w14:paraId="21E22E65" w14:textId="77777777" w:rsidR="00F527AD" w:rsidRPr="00AC2483" w:rsidRDefault="00F527AD" w:rsidP="00FB50EB">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7D1A9741" w14:textId="77777777" w:rsidR="00F527AD" w:rsidRDefault="00F527AD" w:rsidP="00FB50EB">
            <w:pPr>
              <w:pStyle w:val="Paragrafobase"/>
              <w:spacing w:line="320" w:lineRule="exact"/>
              <w:ind w:left="175"/>
              <w:rPr>
                <w:rFonts w:ascii="Calibri" w:hAnsi="Calibri" w:cs="Arial"/>
                <w:b/>
                <w:color w:val="FFFFFF"/>
                <w:sz w:val="28"/>
                <w:szCs w:val="28"/>
              </w:rPr>
            </w:pPr>
            <w:r w:rsidRPr="00AC2483">
              <w:rPr>
                <w:rFonts w:ascii="Calibri" w:hAnsi="Calibri" w:cs="Arial"/>
                <w:b/>
                <w:color w:val="FFFFFF"/>
                <w:sz w:val="28"/>
                <w:szCs w:val="28"/>
              </w:rPr>
              <w:t>DIFFUSIONE</w:t>
            </w:r>
          </w:p>
          <w:p w14:paraId="00298C28" w14:textId="77777777" w:rsidR="00F527AD" w:rsidRPr="00C32401" w:rsidRDefault="00F527AD" w:rsidP="00FB50EB">
            <w:pPr>
              <w:pStyle w:val="Paragrafobase"/>
              <w:spacing w:line="320" w:lineRule="exact"/>
              <w:ind w:left="175"/>
              <w:rPr>
                <w:rStyle w:val="Collegamentoipertestuale"/>
                <w:rFonts w:ascii="Arial" w:hAnsi="Arial" w:cs="Arial"/>
                <w:color w:val="FFFFFF"/>
                <w:sz w:val="20"/>
                <w:szCs w:val="20"/>
              </w:rPr>
            </w:pPr>
          </w:p>
          <w:p w14:paraId="54F2919A" w14:textId="16AEA6CE" w:rsidR="00F527AD" w:rsidRPr="002578CE" w:rsidRDefault="00236734" w:rsidP="00236734">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17</w:t>
            </w:r>
            <w:r w:rsidR="00CB7383">
              <w:rPr>
                <w:rFonts w:ascii="Arial Narrow" w:hAnsi="Arial Narrow" w:cs="Arial"/>
                <w:color w:val="FFFFFF"/>
                <w:sz w:val="22"/>
                <w:szCs w:val="22"/>
              </w:rPr>
              <w:t xml:space="preserve"> </w:t>
            </w:r>
            <w:r>
              <w:rPr>
                <w:rFonts w:ascii="Arial Narrow" w:hAnsi="Arial Narrow" w:cs="Arial"/>
                <w:color w:val="FFFFFF"/>
                <w:sz w:val="22"/>
                <w:szCs w:val="22"/>
              </w:rPr>
              <w:t>Maggio</w:t>
            </w:r>
            <w:r w:rsidR="00A45FC3">
              <w:rPr>
                <w:rFonts w:ascii="Arial Narrow" w:hAnsi="Arial Narrow" w:cs="Arial"/>
                <w:color w:val="FFFFFF"/>
                <w:sz w:val="22"/>
                <w:szCs w:val="22"/>
              </w:rPr>
              <w:t xml:space="preserve"> </w:t>
            </w:r>
            <w:r w:rsidR="009C7615">
              <w:rPr>
                <w:rFonts w:ascii="Arial Narrow" w:hAnsi="Arial Narrow" w:cs="Arial"/>
                <w:color w:val="FFFFFF"/>
                <w:sz w:val="22"/>
                <w:szCs w:val="22"/>
              </w:rPr>
              <w:t>202</w:t>
            </w:r>
            <w:r w:rsidR="00CB7383">
              <w:rPr>
                <w:rFonts w:ascii="Arial Narrow" w:hAnsi="Arial Narrow" w:cs="Arial"/>
                <w:color w:val="FFFFFF"/>
                <w:sz w:val="22"/>
                <w:szCs w:val="22"/>
              </w:rPr>
              <w:t>2</w:t>
            </w:r>
          </w:p>
        </w:tc>
      </w:tr>
      <w:tr w:rsidR="00F527AD" w:rsidRPr="002578CE" w14:paraId="75B7B8EB" w14:textId="77777777" w:rsidTr="00053850">
        <w:trPr>
          <w:trHeight w:val="115"/>
        </w:trPr>
        <w:tc>
          <w:tcPr>
            <w:tcW w:w="6916" w:type="dxa"/>
            <w:vMerge/>
            <w:tcBorders>
              <w:left w:val="single" w:sz="4" w:space="0" w:color="FFFFFF"/>
              <w:right w:val="single" w:sz="48" w:space="0" w:color="FFFFFF"/>
            </w:tcBorders>
            <w:shd w:val="clear" w:color="auto" w:fill="D9D9D9"/>
          </w:tcPr>
          <w:p w14:paraId="45CF6F95"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auto"/>
          </w:tcPr>
          <w:p w14:paraId="41F8829E" w14:textId="77777777" w:rsidR="00F527AD" w:rsidRPr="002578CE" w:rsidRDefault="005301CF" w:rsidP="0056309F">
            <w:pPr>
              <w:pStyle w:val="Paragrafobase"/>
              <w:spacing w:before="120" w:line="240" w:lineRule="exact"/>
              <w:rPr>
                <w:rFonts w:ascii="Arial" w:hAnsi="Arial" w:cs="Arial"/>
                <w:sz w:val="21"/>
                <w:szCs w:val="21"/>
              </w:rPr>
            </w:pPr>
            <w:r>
              <w:rPr>
                <w:rFonts w:ascii="Arial" w:hAnsi="Arial" w:cs="Arial"/>
                <w:noProof/>
                <w:sz w:val="21"/>
                <w:szCs w:val="21"/>
              </w:rPr>
              <w:drawing>
                <wp:anchor distT="0" distB="0" distL="114300" distR="114300" simplePos="0" relativeHeight="251657216" behindDoc="0" locked="0" layoutInCell="1" allowOverlap="1" wp14:anchorId="3B1D44BF" wp14:editId="6CE31758">
                  <wp:simplePos x="0" y="0"/>
                  <wp:positionH relativeFrom="column">
                    <wp:posOffset>1497330</wp:posOffset>
                  </wp:positionH>
                  <wp:positionV relativeFrom="paragraph">
                    <wp:posOffset>49530</wp:posOffset>
                  </wp:positionV>
                  <wp:extent cx="647700" cy="628650"/>
                  <wp:effectExtent l="0" t="0" r="0" b="0"/>
                  <wp:wrapNone/>
                  <wp:docPr id="258"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527AD" w:rsidRPr="00F54F19" w14:paraId="7DA5D134" w14:textId="77777777" w:rsidTr="00053850">
        <w:trPr>
          <w:trHeight w:val="115"/>
        </w:trPr>
        <w:tc>
          <w:tcPr>
            <w:tcW w:w="6916" w:type="dxa"/>
            <w:vMerge/>
            <w:tcBorders>
              <w:left w:val="single" w:sz="4" w:space="0" w:color="FFFFFF"/>
              <w:bottom w:val="nil"/>
              <w:right w:val="single" w:sz="48" w:space="0" w:color="FFFFFF"/>
            </w:tcBorders>
            <w:shd w:val="clear" w:color="auto" w:fill="D9D9D9"/>
          </w:tcPr>
          <w:p w14:paraId="243E0130"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14:paraId="79C064FA" w14:textId="50AF6CF6" w:rsidR="00F527AD" w:rsidRDefault="00F527AD" w:rsidP="00FB50EB">
            <w:pPr>
              <w:pStyle w:val="Paragrafobase"/>
              <w:spacing w:before="160" w:line="320" w:lineRule="exact"/>
              <w:ind w:left="175"/>
              <w:rPr>
                <w:rFonts w:ascii="Calibri" w:hAnsi="Calibri" w:cs="Arial"/>
                <w:b/>
                <w:color w:val="FFFFFF"/>
                <w:sz w:val="28"/>
                <w:szCs w:val="28"/>
                <w:lang w:val="en-GB"/>
              </w:rPr>
            </w:pPr>
            <w:r w:rsidRPr="004E7A1D">
              <w:rPr>
                <w:rFonts w:ascii="Calibri" w:hAnsi="Calibri" w:cs="Arial"/>
                <w:b/>
                <w:color w:val="FFFFFF"/>
                <w:sz w:val="28"/>
                <w:szCs w:val="28"/>
                <w:lang w:val="en-GB"/>
              </w:rPr>
              <w:t>Link utili</w:t>
            </w:r>
          </w:p>
          <w:p w14:paraId="74F3F47A" w14:textId="77777777" w:rsidR="004E7A1D" w:rsidRPr="000077FA" w:rsidRDefault="004E7A1D" w:rsidP="004E7A1D">
            <w:pPr>
              <w:pStyle w:val="Paragrafobase"/>
              <w:spacing w:line="320" w:lineRule="exact"/>
              <w:ind w:left="176"/>
              <w:rPr>
                <w:rFonts w:ascii="Calibri" w:hAnsi="Calibri" w:cs="Arial"/>
                <w:b/>
                <w:color w:val="FFFFFF"/>
                <w:sz w:val="10"/>
                <w:szCs w:val="10"/>
                <w:lang w:val="en-GB"/>
              </w:rPr>
            </w:pPr>
          </w:p>
          <w:p w14:paraId="36DE46D0" w14:textId="77777777" w:rsidR="000876D8" w:rsidRPr="004E7A1D" w:rsidRDefault="004029EB" w:rsidP="000876D8">
            <w:pPr>
              <w:pStyle w:val="Paragrafobase"/>
              <w:spacing w:before="120" w:line="240" w:lineRule="exact"/>
              <w:ind w:left="176"/>
              <w:rPr>
                <w:rStyle w:val="Collegamentoipertestuale"/>
                <w:rFonts w:ascii="Arial Narrow" w:hAnsi="Arial Narrow" w:cs="Arial"/>
                <w:color w:val="FFFFFF"/>
                <w:sz w:val="22"/>
                <w:szCs w:val="22"/>
                <w:lang w:val="en-GB"/>
              </w:rPr>
            </w:pPr>
            <w:hyperlink r:id="rId16" w:history="1">
              <w:r w:rsidR="000876D8" w:rsidRPr="004E7A1D">
                <w:rPr>
                  <w:rStyle w:val="Collegamentoipertestuale"/>
                  <w:rFonts w:ascii="Arial Narrow" w:hAnsi="Arial Narrow" w:cs="Arial"/>
                  <w:color w:val="FFFFFF"/>
                  <w:sz w:val="22"/>
                  <w:szCs w:val="22"/>
                  <w:lang w:val="en-GB"/>
                </w:rPr>
                <w:t>http://dati.istat.it/</w:t>
              </w:r>
            </w:hyperlink>
          </w:p>
          <w:p w14:paraId="084F61B9" w14:textId="77777777" w:rsidR="000876D8" w:rsidRPr="00AF6380" w:rsidRDefault="004029EB" w:rsidP="000876D8">
            <w:pPr>
              <w:pStyle w:val="Paragrafobase"/>
              <w:spacing w:before="120" w:line="240" w:lineRule="exact"/>
              <w:ind w:left="175"/>
              <w:rPr>
                <w:rStyle w:val="Collegamentoipertestuale"/>
                <w:rFonts w:ascii="Arial Narrow" w:hAnsi="Arial Narrow" w:cs="Arial"/>
                <w:color w:val="FFFFFF"/>
                <w:sz w:val="22"/>
                <w:szCs w:val="22"/>
                <w:lang w:val="en-US"/>
              </w:rPr>
            </w:pPr>
            <w:hyperlink r:id="rId17" w:history="1">
              <w:r w:rsidR="000876D8" w:rsidRPr="00AF6380">
                <w:rPr>
                  <w:rStyle w:val="Collegamentoipertestuale"/>
                  <w:rFonts w:ascii="Arial Narrow" w:hAnsi="Arial Narrow" w:cs="Arial"/>
                  <w:color w:val="FFFFFF"/>
                  <w:sz w:val="22"/>
                  <w:szCs w:val="22"/>
                  <w:lang w:val="en-US"/>
                </w:rPr>
                <w:t>http://www.istat.it/it/congiuntura</w:t>
              </w:r>
            </w:hyperlink>
          </w:p>
          <w:p w14:paraId="3DD3B3CF" w14:textId="1FD42BFE" w:rsidR="004E7A1D" w:rsidRPr="000077FA" w:rsidRDefault="004029EB" w:rsidP="000077FA">
            <w:pPr>
              <w:pStyle w:val="Paragrafobase"/>
              <w:spacing w:before="120" w:line="240" w:lineRule="exact"/>
              <w:ind w:left="176"/>
              <w:rPr>
                <w:rFonts w:ascii="Arial Narrow" w:hAnsi="Arial Narrow" w:cs="Arial"/>
                <w:color w:val="FFFFFF"/>
                <w:sz w:val="22"/>
                <w:szCs w:val="22"/>
                <w:u w:val="single"/>
                <w:lang w:val="en-US"/>
              </w:rPr>
            </w:pPr>
            <w:hyperlink r:id="rId18" w:history="1">
              <w:r w:rsidR="000876D8" w:rsidRPr="00AF6380">
                <w:rPr>
                  <w:rStyle w:val="Collegamentoipertestuale"/>
                  <w:rFonts w:ascii="Arial Narrow" w:hAnsi="Arial Narrow" w:cs="Arial"/>
                  <w:color w:val="FFFFFF"/>
                  <w:sz w:val="22"/>
                  <w:szCs w:val="22"/>
                  <w:lang w:val="en-US"/>
                </w:rPr>
                <w:t>https://www.coeweb.istat.it</w:t>
              </w:r>
            </w:hyperlink>
          </w:p>
        </w:tc>
      </w:tr>
    </w:tbl>
    <w:p w14:paraId="3679F54B" w14:textId="77777777" w:rsidR="00031E4E" w:rsidRPr="00F54F19" w:rsidRDefault="00031E4E" w:rsidP="00DC76B3">
      <w:pPr>
        <w:tabs>
          <w:tab w:val="left" w:pos="284"/>
        </w:tabs>
        <w:rPr>
          <w:rFonts w:ascii="Arial Narrow" w:hAnsi="Arial Narrow" w:cs="Arial"/>
          <w:b/>
          <w:color w:val="E42618"/>
          <w:sz w:val="22"/>
          <w:szCs w:val="22"/>
          <w:lang w:val="en-US"/>
        </w:rPr>
      </w:pPr>
    </w:p>
    <w:p w14:paraId="21866E09" w14:textId="77777777" w:rsidR="00031E4E" w:rsidRPr="00F54F19" w:rsidRDefault="00031E4E" w:rsidP="00DC76B3">
      <w:pPr>
        <w:tabs>
          <w:tab w:val="left" w:pos="284"/>
        </w:tabs>
        <w:rPr>
          <w:rFonts w:ascii="Arial Narrow" w:hAnsi="Arial Narrow" w:cs="Arial"/>
          <w:b/>
          <w:color w:val="E42618"/>
          <w:sz w:val="22"/>
          <w:szCs w:val="22"/>
          <w:lang w:val="en-US"/>
        </w:rPr>
      </w:pPr>
    </w:p>
    <w:p w14:paraId="6381716D" w14:textId="7FC41C81" w:rsidR="00787294" w:rsidRDefault="00833A77" w:rsidP="00DC76B3">
      <w:pPr>
        <w:tabs>
          <w:tab w:val="left" w:pos="284"/>
        </w:tabs>
        <w:rPr>
          <w:sz w:val="22"/>
          <w:szCs w:val="22"/>
        </w:rPr>
      </w:pPr>
      <w:r w:rsidRPr="007939D9">
        <w:rPr>
          <w:rFonts w:ascii="Arial Narrow" w:hAnsi="Arial Narrow" w:cs="Arial"/>
          <w:b/>
          <w:color w:val="E42618"/>
          <w:sz w:val="22"/>
          <w:szCs w:val="22"/>
        </w:rPr>
        <w:lastRenderedPageBreak/>
        <w:t xml:space="preserve">FIGURA </w:t>
      </w:r>
      <w:r w:rsidR="00BE55AA">
        <w:rPr>
          <w:rFonts w:ascii="Arial Narrow" w:hAnsi="Arial Narrow" w:cs="Arial"/>
          <w:b/>
          <w:color w:val="E42618"/>
          <w:sz w:val="22"/>
          <w:szCs w:val="22"/>
        </w:rPr>
        <w:t>1</w:t>
      </w:r>
      <w:r w:rsidRPr="007939D9">
        <w:rPr>
          <w:rFonts w:ascii="Arial Narrow" w:hAnsi="Arial Narrow" w:cs="Arial"/>
          <w:b/>
          <w:color w:val="E42618"/>
          <w:sz w:val="22"/>
          <w:szCs w:val="22"/>
        </w:rPr>
        <w:t>.</w:t>
      </w:r>
      <w:r w:rsidRPr="007939D9">
        <w:rPr>
          <w:sz w:val="22"/>
          <w:szCs w:val="22"/>
        </w:rPr>
        <w:t xml:space="preserve"> </w:t>
      </w:r>
      <w:r w:rsidR="00787294" w:rsidRPr="00787294">
        <w:rPr>
          <w:rFonts w:ascii="Arial Narrow" w:hAnsi="Arial Narrow" w:cs="Arial"/>
          <w:b/>
          <w:caps/>
          <w:color w:val="5F5F5F"/>
          <w:sz w:val="22"/>
          <w:szCs w:val="22"/>
        </w:rPr>
        <w:t>FLUSSI COMMERCIALI CON L’ESTERO</w:t>
      </w:r>
      <w:r w:rsidR="00787294">
        <w:rPr>
          <w:sz w:val="22"/>
          <w:szCs w:val="22"/>
        </w:rPr>
        <w:t xml:space="preserve"> </w:t>
      </w:r>
    </w:p>
    <w:p w14:paraId="77E94247" w14:textId="46CF5329" w:rsidR="00833A77" w:rsidRPr="0071152F" w:rsidRDefault="00787294" w:rsidP="007939D9">
      <w:pPr>
        <w:tabs>
          <w:tab w:val="left" w:pos="284"/>
        </w:tabs>
        <w:spacing w:after="12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004D5E96" w:rsidRPr="0071152F">
        <w:rPr>
          <w:rFonts w:ascii="Arial Narrow" w:hAnsi="Arial Narrow" w:cs="Arial"/>
          <w:color w:val="5F5F5F"/>
          <w:sz w:val="20"/>
        </w:rPr>
        <w:t xml:space="preserve"> </w:t>
      </w:r>
      <w:r w:rsidRPr="0071152F">
        <w:rPr>
          <w:rFonts w:ascii="Arial Narrow" w:hAnsi="Arial Narrow" w:cs="Arial"/>
          <w:color w:val="5F5F5F"/>
          <w:sz w:val="20"/>
        </w:rPr>
        <w:t xml:space="preserve">- </w:t>
      </w:r>
      <w:r w:rsidR="00236734">
        <w:rPr>
          <w:rFonts w:ascii="Arial Narrow" w:hAnsi="Arial Narrow" w:cs="Arial"/>
          <w:color w:val="5F5F5F"/>
          <w:sz w:val="20"/>
        </w:rPr>
        <w:t>febbraio</w:t>
      </w:r>
      <w:r w:rsidR="00C60507"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Pr="0071152F">
        <w:rPr>
          <w:rFonts w:ascii="Arial Narrow" w:hAnsi="Arial Narrow" w:cs="Arial"/>
          <w:color w:val="5F5F5F"/>
          <w:sz w:val="20"/>
        </w:rPr>
        <w:t xml:space="preserve">, </w:t>
      </w:r>
      <w:r w:rsidR="000B7E0D" w:rsidRPr="0071152F">
        <w:rPr>
          <w:rFonts w:ascii="Arial Narrow" w:hAnsi="Arial Narrow" w:cs="Arial"/>
          <w:color w:val="5F5F5F"/>
          <w:sz w:val="20"/>
        </w:rPr>
        <w:t xml:space="preserve">dati mensili e medie mobili a tre mesi, </w:t>
      </w:r>
      <w:r w:rsidR="00D36CA1" w:rsidRPr="0071152F">
        <w:rPr>
          <w:rFonts w:ascii="Arial Narrow" w:hAnsi="Arial Narrow" w:cs="Arial"/>
          <w:color w:val="5F5F5F"/>
          <w:sz w:val="20"/>
        </w:rPr>
        <w:t>dati destagionalizzati e saldi in</w:t>
      </w:r>
      <w:r w:rsidR="00516EEC" w:rsidRPr="0071152F">
        <w:rPr>
          <w:rFonts w:ascii="Arial Narrow" w:hAnsi="Arial Narrow" w:cs="Arial"/>
          <w:color w:val="5F5F5F"/>
          <w:sz w:val="20"/>
        </w:rPr>
        <w:t xml:space="preserve"> miliardi</w:t>
      </w:r>
      <w:r w:rsidRPr="0071152F">
        <w:rPr>
          <w:rFonts w:ascii="Arial Narrow" w:hAnsi="Arial Narrow" w:cs="Arial"/>
          <w:color w:val="5F5F5F"/>
          <w:sz w:val="20"/>
        </w:rPr>
        <w:t xml:space="preserve"> di eur</w:t>
      </w:r>
      <w:r w:rsidR="00D36CA1" w:rsidRPr="0071152F">
        <w:rPr>
          <w:rFonts w:ascii="Arial Narrow" w:hAnsi="Arial Narrow" w:cs="Arial"/>
          <w:color w:val="5F5F5F"/>
          <w:sz w:val="20"/>
        </w:rPr>
        <w:t>o</w:t>
      </w:r>
    </w:p>
    <w:p w14:paraId="4AA09C46" w14:textId="420E47C4" w:rsidR="003D65F6" w:rsidRDefault="00AA59E1" w:rsidP="007939D9">
      <w:pPr>
        <w:tabs>
          <w:tab w:val="left" w:pos="284"/>
        </w:tabs>
        <w:spacing w:after="120"/>
        <w:rPr>
          <w:rFonts w:ascii="Arial Narrow" w:hAnsi="Arial Narrow" w:cs="Arial"/>
          <w:color w:val="5F5F5F"/>
        </w:rPr>
      </w:pPr>
      <w:r>
        <w:rPr>
          <w:noProof/>
        </w:rPr>
        <w:drawing>
          <wp:inline distT="0" distB="0" distL="0" distR="0" wp14:anchorId="38E40F48" wp14:editId="148D1767">
            <wp:extent cx="6480000" cy="324000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7F449" w14:textId="77777777" w:rsidR="00104132" w:rsidRPr="006448AE" w:rsidRDefault="00104132" w:rsidP="00D36CA1">
      <w:pPr>
        <w:rPr>
          <w:rFonts w:ascii="Arial Narrow" w:hAnsi="Arial Narrow" w:cs="Arial"/>
          <w:b/>
          <w:color w:val="E42618"/>
          <w:sz w:val="14"/>
          <w:szCs w:val="14"/>
        </w:rPr>
      </w:pPr>
    </w:p>
    <w:p w14:paraId="7683599A" w14:textId="77777777" w:rsidR="00833A77" w:rsidRDefault="00F00744" w:rsidP="00D36CA1">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Pr>
          <w:rFonts w:ascii="Arial Narrow" w:hAnsi="Arial Narrow" w:cs="Arial"/>
          <w:b/>
          <w:color w:val="E42618"/>
          <w:sz w:val="22"/>
          <w:szCs w:val="22"/>
        </w:rPr>
        <w:t>2</w:t>
      </w:r>
      <w:r w:rsidRPr="007939D9">
        <w:rPr>
          <w:rFonts w:ascii="Arial Narrow" w:hAnsi="Arial Narrow" w:cs="Arial"/>
          <w:b/>
          <w:color w:val="E42618"/>
          <w:sz w:val="22"/>
          <w:szCs w:val="22"/>
        </w:rPr>
        <w:t>.</w:t>
      </w:r>
      <w:r w:rsidR="00D36CA1">
        <w:rPr>
          <w:rFonts w:ascii="Arial Narrow" w:hAnsi="Arial Narrow" w:cs="Arial"/>
          <w:b/>
          <w:color w:val="E42618"/>
          <w:sz w:val="22"/>
          <w:szCs w:val="22"/>
        </w:rPr>
        <w:t xml:space="preserve"> </w:t>
      </w:r>
      <w:r w:rsidR="00605103" w:rsidRPr="00D36CA1">
        <w:rPr>
          <w:rFonts w:ascii="Arial Narrow" w:hAnsi="Arial Narrow" w:cs="Arial"/>
          <w:b/>
          <w:caps/>
          <w:color w:val="5F5F5F"/>
          <w:sz w:val="22"/>
          <w:szCs w:val="22"/>
        </w:rPr>
        <w:t>ESPORTAZIO</w:t>
      </w:r>
      <w:r w:rsidR="00605103">
        <w:rPr>
          <w:rFonts w:ascii="Arial Narrow" w:hAnsi="Arial Narrow" w:cs="Arial"/>
          <w:b/>
          <w:caps/>
          <w:color w:val="5F5F5F"/>
          <w:sz w:val="22"/>
          <w:szCs w:val="22"/>
        </w:rPr>
        <w:t xml:space="preserve">NI E IMPORTAZIONI </w:t>
      </w:r>
      <w:r w:rsidR="008014ED" w:rsidRPr="007C052D">
        <w:rPr>
          <w:rFonts w:ascii="Arial Narrow" w:hAnsi="Arial Narrow" w:cs="Arial"/>
          <w:b/>
          <w:caps/>
          <w:color w:val="5F5F5F"/>
          <w:sz w:val="22"/>
          <w:szCs w:val="22"/>
        </w:rPr>
        <w:t>CON L’</w:t>
      </w:r>
      <w:r w:rsidR="00D36CA1" w:rsidRPr="007C052D">
        <w:rPr>
          <w:rFonts w:ascii="Arial Narrow" w:hAnsi="Arial Narrow" w:cs="Arial"/>
          <w:b/>
          <w:caps/>
          <w:color w:val="5F5F5F"/>
          <w:sz w:val="22"/>
          <w:szCs w:val="22"/>
        </w:rPr>
        <w:t>AREA Ue</w:t>
      </w:r>
      <w:r w:rsidR="00E56E72" w:rsidRPr="007C052D">
        <w:rPr>
          <w:rFonts w:ascii="Arial Narrow" w:hAnsi="Arial Narrow" w:cs="Arial"/>
          <w:b/>
          <w:caps/>
          <w:color w:val="5F5F5F"/>
          <w:sz w:val="22"/>
          <w:szCs w:val="22"/>
        </w:rPr>
        <w:t>27</w:t>
      </w:r>
      <w:r w:rsidR="00D36CA1" w:rsidRPr="00D36CA1">
        <w:rPr>
          <w:rFonts w:ascii="Arial Narrow" w:hAnsi="Arial Narrow" w:cs="Arial"/>
          <w:b/>
          <w:caps/>
          <w:color w:val="5F5F5F"/>
          <w:sz w:val="22"/>
          <w:szCs w:val="22"/>
        </w:rPr>
        <w:t xml:space="preserve"> </w:t>
      </w:r>
    </w:p>
    <w:p w14:paraId="281154EB" w14:textId="5536B83A" w:rsidR="00516EEC" w:rsidRPr="0071152F" w:rsidRDefault="008D7D7F" w:rsidP="006448AE">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236734">
        <w:rPr>
          <w:rFonts w:ascii="Arial Narrow" w:hAnsi="Arial Narrow" w:cs="Arial"/>
          <w:color w:val="5F5F5F"/>
          <w:sz w:val="20"/>
        </w:rPr>
        <w:t>febbraio</w:t>
      </w:r>
      <w:r w:rsidR="003A1781"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516EEC" w:rsidRPr="0071152F">
        <w:rPr>
          <w:rFonts w:ascii="Arial Narrow" w:hAnsi="Arial Narrow" w:cs="Arial"/>
          <w:color w:val="5F5F5F"/>
          <w:sz w:val="20"/>
        </w:rPr>
        <w:t xml:space="preserve">, </w:t>
      </w:r>
      <w:r w:rsidR="0063317A" w:rsidRPr="0071152F">
        <w:rPr>
          <w:rFonts w:ascii="Arial Narrow" w:hAnsi="Arial Narrow" w:cs="Arial"/>
          <w:color w:val="5F5F5F"/>
          <w:sz w:val="20"/>
        </w:rPr>
        <w:t xml:space="preserve">dati mensili e medie mobili a tre mesi, </w:t>
      </w:r>
      <w:r w:rsidR="00516EEC" w:rsidRPr="0071152F">
        <w:rPr>
          <w:rFonts w:ascii="Arial Narrow" w:hAnsi="Arial Narrow" w:cs="Arial"/>
          <w:color w:val="5F5F5F"/>
          <w:sz w:val="20"/>
        </w:rPr>
        <w:t>dati destagionalizzati in miliardi di euro</w:t>
      </w:r>
    </w:p>
    <w:p w14:paraId="3BF38B78" w14:textId="5927158C" w:rsidR="002F6355" w:rsidRPr="007939D9" w:rsidRDefault="00AA59E1" w:rsidP="00D36CA1">
      <w:pPr>
        <w:rPr>
          <w:rFonts w:ascii="Arial Narrow" w:hAnsi="Arial Narrow" w:cs="Arial"/>
          <w:b/>
          <w:caps/>
          <w:color w:val="5F5F5F"/>
          <w:spacing w:val="-2"/>
          <w:sz w:val="22"/>
          <w:szCs w:val="22"/>
        </w:rPr>
      </w:pPr>
      <w:r>
        <w:rPr>
          <w:noProof/>
        </w:rPr>
        <w:drawing>
          <wp:inline distT="0" distB="0" distL="0" distR="0" wp14:anchorId="4B728CA0" wp14:editId="136A6D85">
            <wp:extent cx="6660000" cy="2160000"/>
            <wp:effectExtent l="0" t="0" r="762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DAEE92" w14:textId="77777777" w:rsidR="0003608C" w:rsidRPr="0003608C" w:rsidRDefault="0003608C" w:rsidP="000B7E0D">
      <w:pPr>
        <w:rPr>
          <w:rFonts w:ascii="Arial Narrow" w:hAnsi="Arial Narrow" w:cs="Arial"/>
          <w:b/>
          <w:color w:val="E42618"/>
          <w:sz w:val="14"/>
          <w:szCs w:val="14"/>
        </w:rPr>
      </w:pPr>
    </w:p>
    <w:p w14:paraId="1EC5CC7D" w14:textId="00628026" w:rsidR="000B7E0D" w:rsidRDefault="000B7E0D" w:rsidP="000B7E0D">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sidR="00CF30A4">
        <w:rPr>
          <w:rFonts w:ascii="Arial Narrow" w:hAnsi="Arial Narrow" w:cs="Arial"/>
          <w:b/>
          <w:color w:val="E42618"/>
          <w:sz w:val="22"/>
          <w:szCs w:val="22"/>
        </w:rPr>
        <w:t>3</w:t>
      </w:r>
      <w:r w:rsidRPr="007939D9">
        <w:rPr>
          <w:rFonts w:ascii="Arial Narrow" w:hAnsi="Arial Narrow" w:cs="Arial"/>
          <w:b/>
          <w:color w:val="E42618"/>
          <w:sz w:val="22"/>
          <w:szCs w:val="22"/>
        </w:rPr>
        <w:t>.</w:t>
      </w:r>
      <w:r>
        <w:rPr>
          <w:rFonts w:ascii="Arial Narrow" w:hAnsi="Arial Narrow" w:cs="Arial"/>
          <w:b/>
          <w:color w:val="E42618"/>
          <w:sz w:val="22"/>
          <w:szCs w:val="22"/>
        </w:rPr>
        <w:t xml:space="preserve"> </w:t>
      </w:r>
      <w:r w:rsidRPr="00D36CA1">
        <w:rPr>
          <w:rFonts w:ascii="Arial Narrow" w:hAnsi="Arial Narrow" w:cs="Arial"/>
          <w:b/>
          <w:caps/>
          <w:color w:val="5F5F5F"/>
          <w:sz w:val="22"/>
          <w:szCs w:val="22"/>
        </w:rPr>
        <w:t>ESPORTAZIO</w:t>
      </w:r>
      <w:r w:rsidR="00CF30A4">
        <w:rPr>
          <w:rFonts w:ascii="Arial Narrow" w:hAnsi="Arial Narrow" w:cs="Arial"/>
          <w:b/>
          <w:caps/>
          <w:color w:val="5F5F5F"/>
          <w:sz w:val="22"/>
          <w:szCs w:val="22"/>
        </w:rPr>
        <w:t xml:space="preserve">NI E IMPORTAZIONI </w:t>
      </w:r>
      <w:r w:rsidR="008014ED">
        <w:rPr>
          <w:rFonts w:ascii="Arial Narrow" w:hAnsi="Arial Narrow" w:cs="Arial"/>
          <w:b/>
          <w:caps/>
          <w:color w:val="5F5F5F"/>
          <w:sz w:val="22"/>
          <w:szCs w:val="22"/>
        </w:rPr>
        <w:t xml:space="preserve">CON </w:t>
      </w:r>
      <w:r w:rsidR="008014ED" w:rsidRPr="007C052D">
        <w:rPr>
          <w:rFonts w:ascii="Arial Narrow" w:hAnsi="Arial Narrow" w:cs="Arial"/>
          <w:b/>
          <w:caps/>
          <w:color w:val="5F5F5F"/>
          <w:sz w:val="22"/>
          <w:szCs w:val="22"/>
        </w:rPr>
        <w:t>L’</w:t>
      </w:r>
      <w:r w:rsidR="00CF30A4" w:rsidRPr="007C052D">
        <w:rPr>
          <w:rFonts w:ascii="Arial Narrow" w:hAnsi="Arial Narrow" w:cs="Arial"/>
          <w:b/>
          <w:caps/>
          <w:color w:val="5F5F5F"/>
          <w:sz w:val="22"/>
          <w:szCs w:val="22"/>
        </w:rPr>
        <w:t>AREA</w:t>
      </w:r>
      <w:r w:rsidRPr="007C052D">
        <w:rPr>
          <w:rFonts w:ascii="Arial Narrow" w:hAnsi="Arial Narrow" w:cs="Arial"/>
          <w:b/>
          <w:caps/>
          <w:color w:val="5F5F5F"/>
          <w:sz w:val="22"/>
          <w:szCs w:val="22"/>
        </w:rPr>
        <w:t xml:space="preserve"> extra Ue</w:t>
      </w:r>
      <w:r w:rsidR="00E56E72" w:rsidRPr="007C052D">
        <w:rPr>
          <w:rFonts w:ascii="Arial Narrow" w:hAnsi="Arial Narrow" w:cs="Arial"/>
          <w:b/>
          <w:caps/>
          <w:color w:val="5F5F5F"/>
          <w:sz w:val="22"/>
          <w:szCs w:val="22"/>
        </w:rPr>
        <w:t>27</w:t>
      </w:r>
    </w:p>
    <w:p w14:paraId="25429B4C" w14:textId="5B372EC4" w:rsidR="00CF30A4" w:rsidRPr="005B110A" w:rsidRDefault="008D7D7F" w:rsidP="0003608C">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236734">
        <w:rPr>
          <w:rFonts w:ascii="Arial Narrow" w:hAnsi="Arial Narrow" w:cs="Arial"/>
          <w:color w:val="5F5F5F"/>
          <w:sz w:val="20"/>
        </w:rPr>
        <w:t>febbraio</w:t>
      </w:r>
      <w:r w:rsidR="003A1781"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CF30A4" w:rsidRPr="005B110A">
        <w:rPr>
          <w:rFonts w:ascii="Arial Narrow" w:hAnsi="Arial Narrow" w:cs="Arial"/>
          <w:color w:val="5F5F5F"/>
          <w:sz w:val="20"/>
        </w:rPr>
        <w:t xml:space="preserve">, </w:t>
      </w:r>
      <w:r w:rsidR="0063317A" w:rsidRPr="005B110A">
        <w:rPr>
          <w:rFonts w:ascii="Arial Narrow" w:hAnsi="Arial Narrow" w:cs="Arial"/>
          <w:color w:val="5F5F5F"/>
          <w:sz w:val="20"/>
        </w:rPr>
        <w:t xml:space="preserve">dati mensili e medie mobili a tre mesi, </w:t>
      </w:r>
      <w:r w:rsidR="00CF30A4" w:rsidRPr="005B110A">
        <w:rPr>
          <w:rFonts w:ascii="Arial Narrow" w:hAnsi="Arial Narrow" w:cs="Arial"/>
          <w:color w:val="5F5F5F"/>
          <w:sz w:val="20"/>
        </w:rPr>
        <w:t>dati destagionalizzati in miliardi di euro</w:t>
      </w:r>
    </w:p>
    <w:p w14:paraId="074C7BD1" w14:textId="3A426840" w:rsidR="00F31459" w:rsidRDefault="006D367A" w:rsidP="00A43169">
      <w:pPr>
        <w:tabs>
          <w:tab w:val="left" w:pos="284"/>
        </w:tabs>
        <w:spacing w:after="120"/>
        <w:rPr>
          <w:rFonts w:ascii="Arial" w:hAnsi="Arial" w:cs="Arial"/>
          <w:b/>
          <w:color w:val="000000"/>
        </w:rPr>
      </w:pPr>
      <w:r>
        <w:rPr>
          <w:noProof/>
        </w:rPr>
        <w:drawing>
          <wp:inline distT="0" distB="0" distL="0" distR="0" wp14:anchorId="1DDA6B01" wp14:editId="1857A2A3">
            <wp:extent cx="6660000" cy="2160000"/>
            <wp:effectExtent l="0" t="0" r="762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5CE670" w14:textId="77777777" w:rsidR="00516EEC" w:rsidRDefault="00516EEC" w:rsidP="00516EEC">
      <w:pPr>
        <w:tabs>
          <w:tab w:val="left" w:pos="284"/>
        </w:tabs>
        <w:rPr>
          <w:sz w:val="22"/>
          <w:szCs w:val="22"/>
        </w:rPr>
      </w:pPr>
      <w:r w:rsidRPr="007939D9">
        <w:rPr>
          <w:rFonts w:ascii="Arial Narrow" w:hAnsi="Arial Narrow" w:cs="Arial"/>
          <w:b/>
          <w:color w:val="E42618"/>
          <w:sz w:val="22"/>
          <w:szCs w:val="22"/>
        </w:rPr>
        <w:lastRenderedPageBreak/>
        <w:t xml:space="preserve">FIGURA </w:t>
      </w:r>
      <w:r w:rsidR="006D02F3">
        <w:rPr>
          <w:rFonts w:ascii="Arial Narrow" w:hAnsi="Arial Narrow" w:cs="Arial"/>
          <w:b/>
          <w:color w:val="E42618"/>
          <w:sz w:val="22"/>
          <w:szCs w:val="22"/>
        </w:rPr>
        <w:t>4</w:t>
      </w:r>
      <w:r w:rsidRPr="007939D9">
        <w:rPr>
          <w:rFonts w:ascii="Arial Narrow" w:hAnsi="Arial Narrow" w:cs="Arial"/>
          <w:b/>
          <w:color w:val="E42618"/>
          <w:sz w:val="22"/>
          <w:szCs w:val="22"/>
        </w:rPr>
        <w:t>.</w:t>
      </w:r>
      <w:r w:rsidRPr="007939D9">
        <w:rPr>
          <w:sz w:val="22"/>
          <w:szCs w:val="22"/>
        </w:rPr>
        <w:t xml:space="preserve"> </w:t>
      </w:r>
      <w:r w:rsidRPr="00787294">
        <w:rPr>
          <w:rFonts w:ascii="Arial Narrow" w:hAnsi="Arial Narrow" w:cs="Arial"/>
          <w:b/>
          <w:caps/>
          <w:color w:val="5F5F5F"/>
          <w:sz w:val="22"/>
          <w:szCs w:val="22"/>
        </w:rPr>
        <w:t>FLUSSI COMMERCIALI CON L’ESTERO</w:t>
      </w:r>
      <w:r w:rsidR="00B827C7">
        <w:rPr>
          <w:sz w:val="22"/>
          <w:szCs w:val="22"/>
        </w:rPr>
        <w:t>,</w:t>
      </w:r>
      <w:r w:rsidR="008014ED">
        <w:rPr>
          <w:sz w:val="22"/>
          <w:szCs w:val="22"/>
        </w:rPr>
        <w:t xml:space="preserve"> </w:t>
      </w:r>
      <w:r>
        <w:rPr>
          <w:rFonts w:ascii="Arial Narrow" w:hAnsi="Arial Narrow" w:cs="Arial"/>
          <w:b/>
          <w:caps/>
          <w:color w:val="5F5F5F"/>
          <w:sz w:val="22"/>
          <w:szCs w:val="22"/>
        </w:rPr>
        <w:t xml:space="preserve">VARIAZIONI </w:t>
      </w:r>
      <w:r w:rsidR="00146099">
        <w:rPr>
          <w:rFonts w:ascii="Arial Narrow" w:hAnsi="Arial Narrow" w:cs="Arial"/>
          <w:b/>
          <w:caps/>
          <w:color w:val="5F5F5F"/>
          <w:sz w:val="22"/>
          <w:szCs w:val="22"/>
        </w:rPr>
        <w:t xml:space="preserve">PERCENTUALI </w:t>
      </w:r>
      <w:r w:rsidRPr="00516EEC">
        <w:rPr>
          <w:rFonts w:ascii="Arial Narrow" w:hAnsi="Arial Narrow" w:cs="Arial"/>
          <w:b/>
          <w:caps/>
          <w:color w:val="5F5F5F"/>
          <w:sz w:val="22"/>
          <w:szCs w:val="22"/>
        </w:rPr>
        <w:t>TENDENZIALI</w:t>
      </w:r>
    </w:p>
    <w:p w14:paraId="130144D6" w14:textId="0B5FD842" w:rsidR="00516EEC" w:rsidRPr="00787294" w:rsidRDefault="008D7D7F" w:rsidP="00516EEC">
      <w:pPr>
        <w:tabs>
          <w:tab w:val="left" w:pos="284"/>
        </w:tabs>
        <w:spacing w:after="120"/>
        <w:rPr>
          <w:rFonts w:ascii="Arial Narrow" w:hAnsi="Arial Narrow" w:cs="Arial"/>
          <w:color w:val="5F5F5F"/>
        </w:rPr>
      </w:pPr>
      <w:r w:rsidRPr="0071152F">
        <w:rPr>
          <w:rFonts w:ascii="Arial Narrow" w:hAnsi="Arial Narrow" w:cs="Arial"/>
          <w:color w:val="5F5F5F"/>
          <w:sz w:val="20"/>
        </w:rPr>
        <w:t>Gennaio 201</w:t>
      </w:r>
      <w:r w:rsidR="00CF288F">
        <w:rPr>
          <w:rFonts w:ascii="Arial Narrow" w:hAnsi="Arial Narrow" w:cs="Arial"/>
          <w:color w:val="5F5F5F"/>
          <w:sz w:val="20"/>
        </w:rPr>
        <w:t>8</w:t>
      </w:r>
      <w:r w:rsidRPr="0071152F">
        <w:rPr>
          <w:rFonts w:ascii="Arial Narrow" w:hAnsi="Arial Narrow" w:cs="Arial"/>
          <w:color w:val="5F5F5F"/>
          <w:sz w:val="20"/>
        </w:rPr>
        <w:t xml:space="preserve"> - </w:t>
      </w:r>
      <w:r w:rsidR="00236734">
        <w:rPr>
          <w:rFonts w:ascii="Arial Narrow" w:hAnsi="Arial Narrow" w:cs="Arial"/>
          <w:color w:val="5F5F5F"/>
          <w:sz w:val="20"/>
        </w:rPr>
        <w:t>febbraio</w:t>
      </w:r>
      <w:r w:rsidR="003A1781" w:rsidRPr="0071152F">
        <w:rPr>
          <w:rFonts w:ascii="Arial Narrow" w:hAnsi="Arial Narrow" w:cs="Arial"/>
          <w:color w:val="5F5F5F"/>
          <w:sz w:val="20"/>
        </w:rPr>
        <w:t xml:space="preserve"> </w:t>
      </w:r>
      <w:r w:rsidRPr="0071152F">
        <w:rPr>
          <w:rFonts w:ascii="Arial Narrow" w:hAnsi="Arial Narrow" w:cs="Arial"/>
          <w:color w:val="5F5F5F"/>
          <w:sz w:val="20"/>
        </w:rPr>
        <w:t>20</w:t>
      </w:r>
      <w:r w:rsidR="00CF288F">
        <w:rPr>
          <w:rFonts w:ascii="Arial Narrow" w:hAnsi="Arial Narrow" w:cs="Arial"/>
          <w:color w:val="5F5F5F"/>
          <w:sz w:val="20"/>
        </w:rPr>
        <w:t>22</w:t>
      </w:r>
      <w:r w:rsidR="0063317A" w:rsidRPr="00EE5993">
        <w:rPr>
          <w:rFonts w:ascii="Arial Narrow" w:hAnsi="Arial Narrow" w:cs="Arial"/>
          <w:color w:val="5F5F5F"/>
          <w:sz w:val="20"/>
        </w:rPr>
        <w:t>,</w:t>
      </w:r>
      <w:r w:rsidR="00516EEC" w:rsidRPr="00EE5993">
        <w:rPr>
          <w:rFonts w:ascii="Arial Narrow" w:hAnsi="Arial Narrow" w:cs="Arial"/>
          <w:color w:val="5F5F5F"/>
          <w:sz w:val="20"/>
        </w:rPr>
        <w:t xml:space="preserve"> dati grezzi</w:t>
      </w:r>
      <w:r w:rsidR="00516EEC" w:rsidRPr="00EE5993">
        <w:rPr>
          <w:noProof/>
          <w:sz w:val="20"/>
        </w:rPr>
        <w:t xml:space="preserve"> </w:t>
      </w:r>
      <w:r w:rsidR="00AA59E1">
        <w:rPr>
          <w:noProof/>
        </w:rPr>
        <w:drawing>
          <wp:inline distT="0" distB="0" distL="0" distR="0" wp14:anchorId="76F81E0F" wp14:editId="51F1F4EC">
            <wp:extent cx="6660000" cy="2160000"/>
            <wp:effectExtent l="0" t="0" r="762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BA79D2" w14:textId="77777777" w:rsidR="00F31459" w:rsidRDefault="00F31459" w:rsidP="00833A77">
      <w:pPr>
        <w:spacing w:line="240" w:lineRule="exact"/>
        <w:rPr>
          <w:rFonts w:ascii="Arial" w:hAnsi="Arial" w:cs="Arial"/>
          <w:b/>
          <w:color w:val="000000"/>
        </w:rPr>
      </w:pPr>
    </w:p>
    <w:p w14:paraId="36E029FB" w14:textId="77777777" w:rsidR="00FE069A" w:rsidRDefault="00FE069A" w:rsidP="00516EEC">
      <w:pPr>
        <w:tabs>
          <w:tab w:val="left" w:pos="284"/>
        </w:tabs>
        <w:rPr>
          <w:rFonts w:ascii="Arial Narrow" w:hAnsi="Arial Narrow" w:cs="Arial"/>
          <w:b/>
          <w:color w:val="E42618"/>
          <w:sz w:val="22"/>
          <w:szCs w:val="22"/>
        </w:rPr>
      </w:pPr>
    </w:p>
    <w:p w14:paraId="50B760F8" w14:textId="77777777" w:rsidR="00516EEC" w:rsidRPr="00EB3E42" w:rsidRDefault="00516EEC" w:rsidP="00516EEC">
      <w:pPr>
        <w:tabs>
          <w:tab w:val="left" w:pos="284"/>
        </w:tabs>
        <w:rPr>
          <w:sz w:val="22"/>
          <w:szCs w:val="22"/>
        </w:rPr>
      </w:pPr>
      <w:r w:rsidRPr="00EB3E42">
        <w:rPr>
          <w:rFonts w:ascii="Arial Narrow" w:hAnsi="Arial Narrow" w:cs="Arial"/>
          <w:b/>
          <w:color w:val="E42618"/>
          <w:sz w:val="22"/>
          <w:szCs w:val="22"/>
        </w:rPr>
        <w:t xml:space="preserve">FIGURA </w:t>
      </w:r>
      <w:r w:rsidR="006D02F3" w:rsidRPr="00EB3E42">
        <w:rPr>
          <w:rFonts w:ascii="Arial Narrow" w:hAnsi="Arial Narrow" w:cs="Arial"/>
          <w:b/>
          <w:color w:val="E42618"/>
          <w:sz w:val="22"/>
          <w:szCs w:val="22"/>
        </w:rPr>
        <w:t>5</w:t>
      </w:r>
      <w:r w:rsidRPr="00EB3E42">
        <w:rPr>
          <w:rFonts w:ascii="Arial Narrow" w:hAnsi="Arial Narrow" w:cs="Arial"/>
          <w:b/>
          <w:color w:val="E42618"/>
          <w:sz w:val="22"/>
          <w:szCs w:val="22"/>
        </w:rPr>
        <w:t>.</w:t>
      </w:r>
      <w:r w:rsidRPr="00EB3E42">
        <w:rPr>
          <w:sz w:val="22"/>
          <w:szCs w:val="22"/>
        </w:rPr>
        <w:t xml:space="preserve"> </w:t>
      </w:r>
      <w:r w:rsidRPr="00EB3E42">
        <w:rPr>
          <w:rFonts w:ascii="Arial Narrow" w:hAnsi="Arial Narrow" w:cs="Arial"/>
          <w:b/>
          <w:caps/>
          <w:color w:val="5F5F5F"/>
          <w:sz w:val="22"/>
          <w:szCs w:val="22"/>
        </w:rPr>
        <w:t>PREZZI ALL’IMPORTAZIONE</w:t>
      </w:r>
    </w:p>
    <w:p w14:paraId="260FDB51" w14:textId="226B8C4C" w:rsidR="00F00744" w:rsidRDefault="008D7D7F" w:rsidP="00EB3E42">
      <w:pPr>
        <w:spacing w:after="120"/>
        <w:rPr>
          <w:noProof/>
          <w:sz w:val="20"/>
        </w:rPr>
      </w:pPr>
      <w:r w:rsidRPr="00EB3E42">
        <w:rPr>
          <w:rFonts w:ascii="Arial Narrow" w:hAnsi="Arial Narrow" w:cs="Arial"/>
          <w:color w:val="5F5F5F"/>
          <w:sz w:val="20"/>
        </w:rPr>
        <w:t>Gennaio 201</w:t>
      </w:r>
      <w:r w:rsidR="00CF288F" w:rsidRPr="00EB3E42">
        <w:rPr>
          <w:rFonts w:ascii="Arial Narrow" w:hAnsi="Arial Narrow" w:cs="Arial"/>
          <w:color w:val="5F5F5F"/>
          <w:sz w:val="20"/>
        </w:rPr>
        <w:t>8</w:t>
      </w:r>
      <w:r w:rsidRPr="00EB3E42">
        <w:rPr>
          <w:rFonts w:ascii="Arial Narrow" w:hAnsi="Arial Narrow" w:cs="Arial"/>
          <w:color w:val="5F5F5F"/>
          <w:sz w:val="20"/>
        </w:rPr>
        <w:t xml:space="preserve"> - </w:t>
      </w:r>
      <w:r w:rsidR="00236734" w:rsidRPr="00EB3E42">
        <w:rPr>
          <w:rFonts w:ascii="Arial Narrow" w:hAnsi="Arial Narrow" w:cs="Arial"/>
          <w:color w:val="5F5F5F"/>
          <w:sz w:val="20"/>
        </w:rPr>
        <w:t>febbraio</w:t>
      </w:r>
      <w:r w:rsidR="003A1781" w:rsidRPr="00EB3E42">
        <w:rPr>
          <w:rFonts w:ascii="Arial Narrow" w:hAnsi="Arial Narrow" w:cs="Arial"/>
          <w:color w:val="5F5F5F"/>
          <w:sz w:val="20"/>
        </w:rPr>
        <w:t xml:space="preserve"> </w:t>
      </w:r>
      <w:r w:rsidR="00CF288F" w:rsidRPr="00EB3E42">
        <w:rPr>
          <w:rFonts w:ascii="Arial Narrow" w:hAnsi="Arial Narrow" w:cs="Arial"/>
          <w:color w:val="5F5F5F"/>
          <w:sz w:val="20"/>
        </w:rPr>
        <w:t>2022</w:t>
      </w:r>
      <w:r w:rsidR="00B827C7" w:rsidRPr="00EB3E42">
        <w:rPr>
          <w:rFonts w:ascii="Arial Narrow" w:hAnsi="Arial Narrow" w:cs="Arial"/>
          <w:color w:val="5F5F5F"/>
          <w:sz w:val="20"/>
        </w:rPr>
        <w:t>,</w:t>
      </w:r>
      <w:r w:rsidR="00516EEC" w:rsidRPr="00EB3E42">
        <w:rPr>
          <w:rFonts w:ascii="Arial Narrow" w:hAnsi="Arial Narrow" w:cs="Arial"/>
          <w:color w:val="5F5F5F"/>
          <w:sz w:val="20"/>
        </w:rPr>
        <w:t xml:space="preserve"> variazioni tendenziali</w:t>
      </w:r>
      <w:r w:rsidR="0063317A" w:rsidRPr="00EB3E42">
        <w:rPr>
          <w:rFonts w:ascii="Arial Narrow" w:hAnsi="Arial Narrow" w:cs="Arial"/>
          <w:color w:val="5F5F5F"/>
          <w:sz w:val="20"/>
        </w:rPr>
        <w:t xml:space="preserve"> </w:t>
      </w:r>
      <w:r w:rsidR="00516EEC" w:rsidRPr="00EB3E42">
        <w:rPr>
          <w:rFonts w:ascii="Arial Narrow" w:hAnsi="Arial Narrow" w:cs="Arial"/>
          <w:color w:val="5F5F5F"/>
          <w:sz w:val="20"/>
        </w:rPr>
        <w:t>(base 2015=100)</w:t>
      </w:r>
      <w:r w:rsidR="00B23E66" w:rsidRPr="00EE5993">
        <w:rPr>
          <w:noProof/>
          <w:sz w:val="20"/>
        </w:rPr>
        <w:t xml:space="preserve"> </w:t>
      </w:r>
    </w:p>
    <w:p w14:paraId="12F1F350" w14:textId="23FA5AF7" w:rsidR="00EB3E42" w:rsidRDefault="00EB3E42" w:rsidP="00516EEC">
      <w:pPr>
        <w:rPr>
          <w:noProof/>
          <w:sz w:val="20"/>
        </w:rPr>
      </w:pPr>
      <w:r>
        <w:rPr>
          <w:noProof/>
          <w:sz w:val="20"/>
        </w:rPr>
        <w:drawing>
          <wp:inline distT="0" distB="0" distL="0" distR="0" wp14:anchorId="0B4BF914" wp14:editId="43BA31BD">
            <wp:extent cx="6599582" cy="2075180"/>
            <wp:effectExtent l="0" t="0" r="0"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0262" cy="2081683"/>
                    </a:xfrm>
                    <a:prstGeom prst="rect">
                      <a:avLst/>
                    </a:prstGeom>
                    <a:noFill/>
                  </pic:spPr>
                </pic:pic>
              </a:graphicData>
            </a:graphic>
          </wp:inline>
        </w:drawing>
      </w:r>
    </w:p>
    <w:p w14:paraId="045B5B91" w14:textId="2BADAFDC" w:rsidR="00EB3E42" w:rsidRDefault="00EB3E42" w:rsidP="00516EEC">
      <w:pPr>
        <w:rPr>
          <w:noProof/>
          <w:sz w:val="20"/>
        </w:rPr>
      </w:pPr>
    </w:p>
    <w:p w14:paraId="50EF3077" w14:textId="158E13DD" w:rsidR="00A84F05" w:rsidRDefault="00A84F05" w:rsidP="00516EEC">
      <w:pPr>
        <w:rPr>
          <w:noProof/>
          <w:sz w:val="20"/>
        </w:rPr>
      </w:pPr>
    </w:p>
    <w:p w14:paraId="2455A9E6" w14:textId="25769B8B" w:rsidR="00A84F05" w:rsidRDefault="00A84F05" w:rsidP="00516EEC">
      <w:pPr>
        <w:rPr>
          <w:noProof/>
          <w:sz w:val="20"/>
        </w:rPr>
      </w:pPr>
    </w:p>
    <w:p w14:paraId="5CFDFFFA" w14:textId="564938B2" w:rsidR="00A84F05" w:rsidRDefault="00A84F05" w:rsidP="00516EEC">
      <w:pPr>
        <w:rPr>
          <w:noProof/>
          <w:sz w:val="20"/>
        </w:rPr>
      </w:pPr>
    </w:p>
    <w:p w14:paraId="5210F727" w14:textId="77372A75" w:rsidR="00A84F05" w:rsidRPr="00EE5993" w:rsidRDefault="00A84F05" w:rsidP="00516EEC">
      <w:pPr>
        <w:rPr>
          <w:noProof/>
          <w:sz w:val="20"/>
        </w:rPr>
      </w:pPr>
    </w:p>
    <w:p w14:paraId="495D885E" w14:textId="56D248E3" w:rsidR="009176F5" w:rsidRDefault="009176F5" w:rsidP="00516EEC">
      <w:pPr>
        <w:rPr>
          <w:rFonts w:ascii="Arial" w:hAnsi="Arial" w:cs="Arial"/>
          <w:b/>
          <w:color w:val="000000"/>
        </w:rPr>
      </w:pPr>
    </w:p>
    <w:p w14:paraId="2445651A" w14:textId="77777777" w:rsidR="00F31459" w:rsidRDefault="00F31459" w:rsidP="00833A77">
      <w:pPr>
        <w:spacing w:line="240" w:lineRule="exact"/>
        <w:rPr>
          <w:rFonts w:ascii="Arial" w:hAnsi="Arial" w:cs="Arial"/>
          <w:b/>
          <w:color w:val="000000"/>
        </w:rPr>
      </w:pPr>
    </w:p>
    <w:p w14:paraId="15445FF4" w14:textId="77777777" w:rsidR="00F31459" w:rsidRDefault="00F31459" w:rsidP="00833A77">
      <w:pPr>
        <w:spacing w:line="240" w:lineRule="exact"/>
        <w:rPr>
          <w:rFonts w:ascii="Arial" w:hAnsi="Arial" w:cs="Arial"/>
          <w:b/>
          <w:color w:val="000000"/>
        </w:rPr>
      </w:pPr>
    </w:p>
    <w:p w14:paraId="7B21CE62" w14:textId="77777777" w:rsidR="00787294" w:rsidRPr="005E4472" w:rsidRDefault="00787294" w:rsidP="00AF23DD">
      <w:pPr>
        <w:pStyle w:val="Corpodeltesto1"/>
        <w:spacing w:after="120"/>
        <w:rPr>
          <w:rFonts w:ascii="Arial" w:hAnsi="Arial" w:cs="Arial"/>
          <w:sz w:val="22"/>
          <w:szCs w:val="22"/>
        </w:rPr>
      </w:pPr>
    </w:p>
    <w:p w14:paraId="5AF76F06" w14:textId="77777777" w:rsidR="00833A77" w:rsidRPr="006768B9" w:rsidRDefault="00833A77" w:rsidP="00833A77">
      <w:pPr>
        <w:tabs>
          <w:tab w:val="left" w:pos="7485"/>
        </w:tabs>
        <w:sectPr w:rsidR="00833A77" w:rsidRPr="006768B9" w:rsidSect="004342C5">
          <w:headerReference w:type="default" r:id="rId24"/>
          <w:footerReference w:type="default" r:id="rId25"/>
          <w:headerReference w:type="first" r:id="rId26"/>
          <w:pgSz w:w="11907" w:h="16840" w:code="9"/>
          <w:pgMar w:top="1869" w:right="851" w:bottom="454" w:left="851" w:header="567" w:footer="567" w:gutter="0"/>
          <w:cols w:space="720"/>
          <w:noEndnote/>
          <w:titlePg/>
          <w:docGrid w:linePitch="326"/>
        </w:sectPr>
      </w:pPr>
    </w:p>
    <w:p w14:paraId="670CD2B9" w14:textId="73E515F4" w:rsidR="008D10C8" w:rsidRPr="005F1ADE" w:rsidRDefault="008D10C8" w:rsidP="004B5FCF">
      <w:pPr>
        <w:pStyle w:val="001TitoloBolocco"/>
        <w:spacing w:after="120" w:line="240" w:lineRule="auto"/>
        <w:rPr>
          <w:rFonts w:cs="Calibri"/>
          <w:b w:val="0"/>
          <w:bCs w:val="0"/>
          <w:caps w:val="0"/>
          <w:color w:val="E42618"/>
          <w:sz w:val="36"/>
          <w:szCs w:val="36"/>
        </w:rPr>
      </w:pPr>
      <w:r w:rsidRPr="005F1ADE">
        <w:rPr>
          <w:rFonts w:cs="Calibri"/>
          <w:b w:val="0"/>
          <w:bCs w:val="0"/>
          <w:caps w:val="0"/>
          <w:color w:val="E42618"/>
          <w:sz w:val="36"/>
          <w:szCs w:val="36"/>
        </w:rPr>
        <w:lastRenderedPageBreak/>
        <w:t>Commercio con l’estero</w:t>
      </w:r>
    </w:p>
    <w:p w14:paraId="71FCF4DF" w14:textId="77777777" w:rsidR="00833A77" w:rsidRDefault="00BF702B" w:rsidP="004B5FCF">
      <w:pPr>
        <w:pStyle w:val="001TitoloBolocco"/>
        <w:spacing w:after="120" w:line="240" w:lineRule="auto"/>
      </w:pPr>
      <w:r>
        <w:rPr>
          <w:bCs w:val="0"/>
          <w:caps w:val="0"/>
        </w:rPr>
        <w:t>P</w:t>
      </w:r>
      <w:r w:rsidR="003C7722">
        <w:rPr>
          <w:bCs w:val="0"/>
          <w:caps w:val="0"/>
        </w:rPr>
        <w:t>RODOTTI ESPORTATI E IMPORTATI</w:t>
      </w:r>
    </w:p>
    <w:p w14:paraId="104AFDE9" w14:textId="2201CFBE" w:rsidR="00516EEC" w:rsidRPr="00EE5993" w:rsidRDefault="00516EEC" w:rsidP="00516EEC">
      <w:pPr>
        <w:spacing w:after="120"/>
        <w:rPr>
          <w:rFonts w:ascii="Arial Narrow" w:hAnsi="Arial Narrow" w:cs="Arial"/>
          <w:b/>
          <w:bCs/>
          <w:i/>
          <w:sz w:val="16"/>
          <w:szCs w:val="19"/>
        </w:rPr>
      </w:pPr>
      <w:r w:rsidRPr="007939D9">
        <w:rPr>
          <w:rFonts w:ascii="Arial Narrow" w:hAnsi="Arial Narrow" w:cs="Arial"/>
          <w:b/>
          <w:bCs/>
          <w:color w:val="E42618"/>
          <w:sz w:val="22"/>
          <w:szCs w:val="22"/>
        </w:rPr>
        <w:t>PROSPETTO 1</w:t>
      </w:r>
      <w:r w:rsidRPr="00AF23DD">
        <w:rPr>
          <w:rFonts w:ascii="Arial Narrow" w:hAnsi="Arial Narrow" w:cs="Arial"/>
          <w:b/>
          <w:bCs/>
          <w:color w:val="E42618"/>
          <w:sz w:val="22"/>
          <w:szCs w:val="22"/>
        </w:rPr>
        <w:t xml:space="preserve">. </w:t>
      </w:r>
      <w:r w:rsidRPr="003C7722">
        <w:rPr>
          <w:rFonts w:ascii="Arial Narrow" w:hAnsi="Arial Narrow" w:cs="Arial"/>
          <w:b/>
          <w:bCs/>
          <w:color w:val="5F5F5F"/>
          <w:sz w:val="22"/>
          <w:szCs w:val="22"/>
        </w:rPr>
        <w:t>ESPORTAZIONI, IMPORTAZIONI E SALDI DELLA BILANCIA COMMERCIALE</w:t>
      </w:r>
      <w:r w:rsidRPr="005F1ADE">
        <w:rPr>
          <w:rFonts w:ascii="Arial Narrow" w:hAnsi="Arial Narrow" w:cs="Arial"/>
          <w:b/>
          <w:bCs/>
          <w:color w:val="7F7F7F"/>
          <w:sz w:val="22"/>
          <w:szCs w:val="22"/>
        </w:rPr>
        <w:br/>
      </w:r>
      <w:r w:rsidR="00236734">
        <w:rPr>
          <w:rFonts w:ascii="Arial Narrow" w:hAnsi="Arial Narrow" w:cs="Arial"/>
          <w:color w:val="5F5F5F"/>
          <w:sz w:val="20"/>
        </w:rPr>
        <w:t>Febbraio</w:t>
      </w:r>
      <w:r w:rsidR="00470B67">
        <w:rPr>
          <w:rFonts w:ascii="Arial Narrow" w:hAnsi="Arial Narrow" w:cs="Arial"/>
          <w:color w:val="5F5F5F"/>
          <w:sz w:val="20"/>
        </w:rPr>
        <w:t xml:space="preserve"> 2022</w:t>
      </w:r>
      <w:r w:rsidRPr="00EE5993">
        <w:rPr>
          <w:rFonts w:ascii="Arial Narrow" w:hAnsi="Arial Narrow" w:cs="Arial"/>
          <w:color w:val="5F5F5F"/>
          <w:sz w:val="20"/>
        </w:rPr>
        <w:t xml:space="preserve">, variazioni percentuali congiunturali e tendenziali e </w:t>
      </w:r>
      <w:r w:rsidR="00AF23DD" w:rsidRPr="00EE5993">
        <w:rPr>
          <w:rFonts w:ascii="Arial Narrow" w:hAnsi="Arial Narrow" w:cs="Arial"/>
          <w:color w:val="5F5F5F"/>
          <w:sz w:val="20"/>
        </w:rPr>
        <w:t xml:space="preserve">saldi in milioni di </w:t>
      </w:r>
      <w:r w:rsidR="00AF23DD" w:rsidRPr="00243B6A">
        <w:rPr>
          <w:rFonts w:ascii="Arial Narrow" w:hAnsi="Arial Narrow" w:cs="Arial"/>
          <w:color w:val="5F5F5F"/>
          <w:sz w:val="20"/>
        </w:rPr>
        <w:t>e</w:t>
      </w:r>
      <w:r w:rsidR="00CE1ED0" w:rsidRPr="00243B6A">
        <w:rPr>
          <w:rFonts w:ascii="Arial Narrow" w:hAnsi="Arial Narrow" w:cs="Arial"/>
          <w:color w:val="5F5F5F"/>
          <w:sz w:val="20"/>
        </w:rPr>
        <w:t>u</w:t>
      </w:r>
      <w:r w:rsidR="00AF23DD" w:rsidRPr="00243B6A">
        <w:rPr>
          <w:rFonts w:ascii="Arial Narrow" w:hAnsi="Arial Narrow" w:cs="Arial"/>
          <w:color w:val="5F5F5F"/>
          <w:sz w:val="20"/>
        </w:rPr>
        <w:t>ro</w:t>
      </w:r>
    </w:p>
    <w:tbl>
      <w:tblPr>
        <w:tblW w:w="10300" w:type="dxa"/>
        <w:tblInd w:w="70" w:type="dxa"/>
        <w:tblBorders>
          <w:top w:val="single" w:sz="4" w:space="0" w:color="333333"/>
          <w:bottom w:val="single" w:sz="4" w:space="0" w:color="333333"/>
          <w:insideH w:val="single" w:sz="4" w:space="0" w:color="333333"/>
        </w:tblBorders>
        <w:tblLayout w:type="fixed"/>
        <w:tblCellMar>
          <w:left w:w="70" w:type="dxa"/>
          <w:right w:w="70" w:type="dxa"/>
        </w:tblCellMar>
        <w:tblLook w:val="0000" w:firstRow="0" w:lastRow="0" w:firstColumn="0" w:lastColumn="0" w:noHBand="0" w:noVBand="0"/>
      </w:tblPr>
      <w:tblGrid>
        <w:gridCol w:w="1348"/>
        <w:gridCol w:w="709"/>
        <w:gridCol w:w="1123"/>
        <w:gridCol w:w="7"/>
        <w:gridCol w:w="629"/>
        <w:gridCol w:w="36"/>
        <w:gridCol w:w="1060"/>
        <w:gridCol w:w="7"/>
        <w:gridCol w:w="665"/>
        <w:gridCol w:w="1219"/>
        <w:gridCol w:w="7"/>
        <w:gridCol w:w="160"/>
        <w:gridCol w:w="672"/>
        <w:gridCol w:w="989"/>
        <w:gridCol w:w="7"/>
        <w:gridCol w:w="665"/>
        <w:gridCol w:w="990"/>
        <w:gridCol w:w="7"/>
      </w:tblGrid>
      <w:tr w:rsidR="00236734" w:rsidRPr="003C7722" w14:paraId="0720503B" w14:textId="77777777" w:rsidTr="0075218A">
        <w:trPr>
          <w:gridAfter w:val="1"/>
          <w:wAfter w:w="7" w:type="dxa"/>
          <w:trHeight w:val="255"/>
        </w:trPr>
        <w:tc>
          <w:tcPr>
            <w:tcW w:w="1348" w:type="dxa"/>
            <w:vMerge w:val="restart"/>
            <w:shd w:val="clear" w:color="auto" w:fill="auto"/>
            <w:noWrap/>
            <w:vAlign w:val="center"/>
          </w:tcPr>
          <w:p w14:paraId="434B9A6E" w14:textId="77777777" w:rsidR="00236734" w:rsidRPr="003C7722" w:rsidRDefault="00236734" w:rsidP="0075218A">
            <w:pPr>
              <w:spacing w:before="40" w:after="20"/>
              <w:ind w:left="-57"/>
              <w:rPr>
                <w:rFonts w:ascii="Arial Narrow" w:hAnsi="Arial Narrow"/>
                <w:sz w:val="18"/>
                <w:szCs w:val="18"/>
              </w:rPr>
            </w:pPr>
          </w:p>
        </w:tc>
        <w:tc>
          <w:tcPr>
            <w:tcW w:w="3564" w:type="dxa"/>
            <w:gridSpan w:val="6"/>
            <w:tcBorders>
              <w:bottom w:val="single" w:sz="4" w:space="0" w:color="333333"/>
            </w:tcBorders>
            <w:shd w:val="clear" w:color="auto" w:fill="D9D9D9"/>
            <w:vAlign w:val="center"/>
          </w:tcPr>
          <w:p w14:paraId="46703824" w14:textId="77777777" w:rsidR="00236734" w:rsidRPr="003C7722" w:rsidRDefault="00236734" w:rsidP="0075218A">
            <w:pPr>
              <w:tabs>
                <w:tab w:val="left" w:pos="1316"/>
              </w:tabs>
              <w:spacing w:before="40" w:after="20"/>
              <w:ind w:right="-70"/>
              <w:jc w:val="center"/>
              <w:rPr>
                <w:rFonts w:ascii="Arial Narrow" w:hAnsi="Arial Narrow"/>
                <w:sz w:val="18"/>
                <w:szCs w:val="18"/>
              </w:rPr>
            </w:pPr>
            <w:r w:rsidRPr="003C7722">
              <w:rPr>
                <w:rFonts w:ascii="Arial Narrow" w:hAnsi="Arial Narrow" w:cs="Arial"/>
                <w:b/>
                <w:sz w:val="18"/>
                <w:szCs w:val="18"/>
              </w:rPr>
              <w:t>ESPORTAZIONI</w:t>
            </w:r>
          </w:p>
        </w:tc>
        <w:tc>
          <w:tcPr>
            <w:tcW w:w="3719" w:type="dxa"/>
            <w:gridSpan w:val="7"/>
            <w:tcBorders>
              <w:bottom w:val="single" w:sz="4" w:space="0" w:color="333333"/>
            </w:tcBorders>
            <w:shd w:val="clear" w:color="auto" w:fill="auto"/>
            <w:vAlign w:val="center"/>
          </w:tcPr>
          <w:p w14:paraId="5A26902C" w14:textId="77777777" w:rsidR="00236734" w:rsidRPr="003C7722" w:rsidRDefault="00236734" w:rsidP="0075218A">
            <w:pPr>
              <w:spacing w:before="40" w:after="20"/>
              <w:jc w:val="center"/>
              <w:rPr>
                <w:rFonts w:ascii="Arial Narrow" w:hAnsi="Arial Narrow"/>
                <w:sz w:val="18"/>
                <w:szCs w:val="18"/>
              </w:rPr>
            </w:pPr>
            <w:r w:rsidRPr="003C7722">
              <w:rPr>
                <w:rFonts w:ascii="Arial Narrow" w:hAnsi="Arial Narrow" w:cs="Arial"/>
                <w:b/>
                <w:sz w:val="18"/>
                <w:szCs w:val="18"/>
              </w:rPr>
              <w:t>IMPORTAZIONI</w:t>
            </w:r>
          </w:p>
        </w:tc>
        <w:tc>
          <w:tcPr>
            <w:tcW w:w="1662" w:type="dxa"/>
            <w:gridSpan w:val="3"/>
            <w:vMerge w:val="restart"/>
            <w:shd w:val="clear" w:color="auto" w:fill="auto"/>
            <w:vAlign w:val="center"/>
          </w:tcPr>
          <w:p w14:paraId="1475D2AF" w14:textId="77777777" w:rsidR="00236734" w:rsidRPr="003C7722" w:rsidRDefault="00236734" w:rsidP="0075218A">
            <w:pPr>
              <w:spacing w:before="40" w:after="20"/>
              <w:jc w:val="center"/>
              <w:rPr>
                <w:rFonts w:ascii="Arial Narrow" w:hAnsi="Arial Narrow"/>
                <w:b/>
                <w:bCs/>
                <w:sz w:val="18"/>
                <w:szCs w:val="18"/>
              </w:rPr>
            </w:pPr>
            <w:r w:rsidRPr="003C7722">
              <w:rPr>
                <w:rFonts w:ascii="Arial Narrow" w:hAnsi="Arial Narrow"/>
                <w:b/>
                <w:bCs/>
                <w:sz w:val="18"/>
                <w:szCs w:val="18"/>
              </w:rPr>
              <w:t>SALDI</w:t>
            </w:r>
          </w:p>
        </w:tc>
      </w:tr>
      <w:tr w:rsidR="00236734" w:rsidRPr="003C7722" w14:paraId="57FD8FA1" w14:textId="77777777" w:rsidTr="0075218A">
        <w:trPr>
          <w:gridAfter w:val="1"/>
          <w:wAfter w:w="7" w:type="dxa"/>
          <w:trHeight w:val="255"/>
        </w:trPr>
        <w:tc>
          <w:tcPr>
            <w:tcW w:w="1348" w:type="dxa"/>
            <w:vMerge/>
            <w:shd w:val="clear" w:color="auto" w:fill="auto"/>
            <w:noWrap/>
            <w:vAlign w:val="center"/>
          </w:tcPr>
          <w:p w14:paraId="7DB293F0" w14:textId="77777777" w:rsidR="00236734" w:rsidRPr="003C7722" w:rsidRDefault="00236734" w:rsidP="0075218A">
            <w:pPr>
              <w:spacing w:before="40" w:after="20"/>
              <w:ind w:left="-57"/>
              <w:rPr>
                <w:rFonts w:ascii="Arial Narrow" w:hAnsi="Arial Narrow"/>
                <w:sz w:val="18"/>
                <w:szCs w:val="18"/>
              </w:rPr>
            </w:pPr>
          </w:p>
        </w:tc>
        <w:tc>
          <w:tcPr>
            <w:tcW w:w="1832" w:type="dxa"/>
            <w:gridSpan w:val="2"/>
            <w:tcBorders>
              <w:bottom w:val="single" w:sz="4" w:space="0" w:color="333333"/>
            </w:tcBorders>
            <w:shd w:val="clear" w:color="auto" w:fill="auto"/>
            <w:vAlign w:val="center"/>
          </w:tcPr>
          <w:p w14:paraId="46E25A58"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74B0BB0E" w14:textId="77777777" w:rsidR="00236734" w:rsidRPr="00AF23DD"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732" w:type="dxa"/>
            <w:gridSpan w:val="4"/>
            <w:tcBorders>
              <w:bottom w:val="single" w:sz="4" w:space="0" w:color="333333"/>
            </w:tcBorders>
            <w:shd w:val="clear" w:color="auto" w:fill="auto"/>
            <w:vAlign w:val="center"/>
          </w:tcPr>
          <w:p w14:paraId="3B05072A"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4AF0B27F"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2058" w:type="dxa"/>
            <w:gridSpan w:val="5"/>
            <w:tcBorders>
              <w:bottom w:val="single" w:sz="4" w:space="0" w:color="333333"/>
            </w:tcBorders>
            <w:shd w:val="clear" w:color="auto" w:fill="auto"/>
            <w:vAlign w:val="center"/>
          </w:tcPr>
          <w:p w14:paraId="0EFC7C9E"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07458202"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661" w:type="dxa"/>
            <w:gridSpan w:val="2"/>
            <w:tcBorders>
              <w:bottom w:val="single" w:sz="4" w:space="0" w:color="333333"/>
            </w:tcBorders>
            <w:shd w:val="clear" w:color="auto" w:fill="auto"/>
            <w:vAlign w:val="center"/>
          </w:tcPr>
          <w:p w14:paraId="10993A95"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1690DEA"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1662" w:type="dxa"/>
            <w:gridSpan w:val="3"/>
            <w:vMerge/>
            <w:shd w:val="clear" w:color="auto" w:fill="auto"/>
            <w:vAlign w:val="center"/>
          </w:tcPr>
          <w:p w14:paraId="1647B528" w14:textId="77777777" w:rsidR="00236734" w:rsidRPr="003C7722" w:rsidRDefault="00236734" w:rsidP="0075218A">
            <w:pPr>
              <w:spacing w:before="40" w:after="20"/>
              <w:jc w:val="center"/>
              <w:rPr>
                <w:rFonts w:ascii="Arial Narrow" w:hAnsi="Arial Narrow"/>
                <w:b/>
                <w:bCs/>
                <w:sz w:val="18"/>
                <w:szCs w:val="18"/>
              </w:rPr>
            </w:pPr>
          </w:p>
        </w:tc>
      </w:tr>
      <w:tr w:rsidR="00236734" w:rsidRPr="003C7722" w14:paraId="3F0C5E31" w14:textId="77777777" w:rsidTr="0075218A">
        <w:trPr>
          <w:gridAfter w:val="1"/>
          <w:wAfter w:w="7" w:type="dxa"/>
          <w:trHeight w:val="255"/>
        </w:trPr>
        <w:tc>
          <w:tcPr>
            <w:tcW w:w="1348" w:type="dxa"/>
            <w:vMerge/>
            <w:shd w:val="clear" w:color="auto" w:fill="auto"/>
            <w:noWrap/>
            <w:vAlign w:val="center"/>
          </w:tcPr>
          <w:p w14:paraId="357BF3FF" w14:textId="77777777" w:rsidR="00236734" w:rsidRPr="003C7722" w:rsidRDefault="00236734" w:rsidP="0075218A">
            <w:pPr>
              <w:spacing w:before="40" w:after="20"/>
              <w:ind w:left="-57"/>
              <w:rPr>
                <w:rFonts w:ascii="Arial Narrow" w:hAnsi="Arial Narrow"/>
                <w:sz w:val="18"/>
                <w:szCs w:val="18"/>
              </w:rPr>
            </w:pPr>
          </w:p>
        </w:tc>
        <w:tc>
          <w:tcPr>
            <w:tcW w:w="1832" w:type="dxa"/>
            <w:gridSpan w:val="2"/>
            <w:shd w:val="clear" w:color="auto" w:fill="D9D9D9"/>
            <w:vAlign w:val="center"/>
          </w:tcPr>
          <w:p w14:paraId="6F4C55AD"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destagionalizzati</w:t>
            </w:r>
          </w:p>
        </w:tc>
        <w:tc>
          <w:tcPr>
            <w:tcW w:w="1732" w:type="dxa"/>
            <w:gridSpan w:val="4"/>
            <w:shd w:val="clear" w:color="auto" w:fill="auto"/>
            <w:vAlign w:val="center"/>
          </w:tcPr>
          <w:p w14:paraId="5E7FB818"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grezzi</w:t>
            </w:r>
          </w:p>
        </w:tc>
        <w:tc>
          <w:tcPr>
            <w:tcW w:w="1891" w:type="dxa"/>
            <w:gridSpan w:val="3"/>
            <w:tcBorders>
              <w:bottom w:val="single" w:sz="4" w:space="0" w:color="333333"/>
            </w:tcBorders>
            <w:shd w:val="clear" w:color="auto" w:fill="D9D9D9"/>
            <w:vAlign w:val="center"/>
          </w:tcPr>
          <w:p w14:paraId="64C6606F"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destagionalizzati</w:t>
            </w:r>
          </w:p>
        </w:tc>
        <w:tc>
          <w:tcPr>
            <w:tcW w:w="1828" w:type="dxa"/>
            <w:gridSpan w:val="4"/>
            <w:tcBorders>
              <w:bottom w:val="single" w:sz="4" w:space="0" w:color="333333"/>
            </w:tcBorders>
            <w:shd w:val="clear" w:color="auto" w:fill="auto"/>
            <w:noWrap/>
            <w:vAlign w:val="center"/>
          </w:tcPr>
          <w:p w14:paraId="296E7BDC"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tc>
        <w:tc>
          <w:tcPr>
            <w:tcW w:w="1662" w:type="dxa"/>
            <w:gridSpan w:val="3"/>
            <w:tcBorders>
              <w:bottom w:val="single" w:sz="4" w:space="0" w:color="333333"/>
            </w:tcBorders>
            <w:shd w:val="clear" w:color="auto" w:fill="D9D9D9"/>
            <w:noWrap/>
            <w:vAlign w:val="center"/>
          </w:tcPr>
          <w:p w14:paraId="0E92723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p w14:paraId="2334E39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Milioni di euro</w:t>
            </w:r>
          </w:p>
        </w:tc>
      </w:tr>
      <w:tr w:rsidR="00236734" w:rsidRPr="003C7722" w14:paraId="6C2E91BF" w14:textId="77777777" w:rsidTr="0075218A">
        <w:trPr>
          <w:trHeight w:val="255"/>
        </w:trPr>
        <w:tc>
          <w:tcPr>
            <w:tcW w:w="1348" w:type="dxa"/>
            <w:vMerge/>
            <w:shd w:val="clear" w:color="auto" w:fill="auto"/>
            <w:noWrap/>
            <w:vAlign w:val="center"/>
          </w:tcPr>
          <w:p w14:paraId="58865012" w14:textId="77777777" w:rsidR="00236734" w:rsidRPr="003C7722" w:rsidRDefault="00236734" w:rsidP="00236734">
            <w:pPr>
              <w:spacing w:before="40" w:after="20"/>
              <w:ind w:left="-57"/>
              <w:rPr>
                <w:rFonts w:ascii="Arial Narrow" w:hAnsi="Arial Narrow"/>
                <w:sz w:val="18"/>
                <w:szCs w:val="18"/>
              </w:rPr>
            </w:pPr>
          </w:p>
        </w:tc>
        <w:tc>
          <w:tcPr>
            <w:tcW w:w="709" w:type="dxa"/>
            <w:shd w:val="clear" w:color="auto" w:fill="auto"/>
            <w:vAlign w:val="center"/>
          </w:tcPr>
          <w:p w14:paraId="33BAAD50" w14:textId="361909A5"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1B97A9AF" w14:textId="48602AC6"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gen 22</w:t>
            </w:r>
          </w:p>
        </w:tc>
        <w:tc>
          <w:tcPr>
            <w:tcW w:w="1130" w:type="dxa"/>
            <w:gridSpan w:val="2"/>
            <w:shd w:val="clear" w:color="auto" w:fill="auto"/>
            <w:noWrap/>
            <w:vAlign w:val="center"/>
          </w:tcPr>
          <w:p w14:paraId="24556D53" w14:textId="7D4FBBEB"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dic 21-feb 22</w:t>
            </w:r>
          </w:p>
          <w:p w14:paraId="7C4FDF51" w14:textId="68C4CEEA"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set-nov 21</w:t>
            </w:r>
          </w:p>
        </w:tc>
        <w:tc>
          <w:tcPr>
            <w:tcW w:w="665" w:type="dxa"/>
            <w:gridSpan w:val="2"/>
            <w:shd w:val="clear" w:color="auto" w:fill="auto"/>
            <w:vAlign w:val="center"/>
          </w:tcPr>
          <w:p w14:paraId="1F372249" w14:textId="7E1682E7"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212B07BD" w14:textId="5BEDF2EB"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067" w:type="dxa"/>
            <w:gridSpan w:val="2"/>
            <w:shd w:val="clear" w:color="auto" w:fill="auto"/>
            <w:noWrap/>
            <w:vAlign w:val="center"/>
          </w:tcPr>
          <w:p w14:paraId="0AD4A080" w14:textId="2511599B"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1A1E02E1" w14:textId="3B037294"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665" w:type="dxa"/>
            <w:shd w:val="clear" w:color="auto" w:fill="auto"/>
            <w:noWrap/>
            <w:vAlign w:val="center"/>
          </w:tcPr>
          <w:p w14:paraId="30CDD435" w14:textId="77777777"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05ACA2DB" w14:textId="6352D2EA"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gen 22</w:t>
            </w:r>
          </w:p>
        </w:tc>
        <w:tc>
          <w:tcPr>
            <w:tcW w:w="1226" w:type="dxa"/>
            <w:gridSpan w:val="2"/>
            <w:shd w:val="clear" w:color="auto" w:fill="auto"/>
            <w:vAlign w:val="center"/>
          </w:tcPr>
          <w:p w14:paraId="67ACF724" w14:textId="77777777"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dic 21-feb 22</w:t>
            </w:r>
          </w:p>
          <w:p w14:paraId="01699A3B" w14:textId="71920168"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set-nov 21</w:t>
            </w:r>
          </w:p>
        </w:tc>
        <w:tc>
          <w:tcPr>
            <w:tcW w:w="832" w:type="dxa"/>
            <w:gridSpan w:val="2"/>
            <w:shd w:val="clear" w:color="auto" w:fill="auto"/>
            <w:noWrap/>
            <w:vAlign w:val="center"/>
          </w:tcPr>
          <w:p w14:paraId="67CAA29A" w14:textId="77777777"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1E375B84" w14:textId="63CCC935"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996" w:type="dxa"/>
            <w:gridSpan w:val="2"/>
            <w:shd w:val="clear" w:color="auto" w:fill="auto"/>
            <w:noWrap/>
            <w:vAlign w:val="center"/>
          </w:tcPr>
          <w:p w14:paraId="0C4DAA9E" w14:textId="77777777" w:rsidR="00236734" w:rsidRPr="0069402A" w:rsidRDefault="00236734" w:rsidP="0023673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48918470" w14:textId="1A971E62"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665" w:type="dxa"/>
            <w:tcBorders>
              <w:bottom w:val="nil"/>
            </w:tcBorders>
            <w:shd w:val="clear" w:color="auto" w:fill="auto"/>
            <w:noWrap/>
            <w:vAlign w:val="center"/>
          </w:tcPr>
          <w:p w14:paraId="11929ABA" w14:textId="2095B490"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feb 22</w:t>
            </w:r>
          </w:p>
        </w:tc>
        <w:tc>
          <w:tcPr>
            <w:tcW w:w="997" w:type="dxa"/>
            <w:gridSpan w:val="2"/>
            <w:shd w:val="clear" w:color="auto" w:fill="auto"/>
            <w:vAlign w:val="center"/>
          </w:tcPr>
          <w:p w14:paraId="40468379" w14:textId="17724876" w:rsidR="00236734" w:rsidRPr="003C7722" w:rsidRDefault="00236734" w:rsidP="00236734">
            <w:pPr>
              <w:spacing w:before="40" w:after="20"/>
              <w:jc w:val="center"/>
              <w:rPr>
                <w:rFonts w:ascii="Arial Narrow" w:hAnsi="Arial Narrow"/>
                <w:sz w:val="18"/>
                <w:szCs w:val="18"/>
                <w:lang w:val="en-US"/>
              </w:rPr>
            </w:pPr>
            <w:r>
              <w:rPr>
                <w:rFonts w:ascii="Arial Narrow" w:hAnsi="Arial Narrow"/>
                <w:sz w:val="18"/>
                <w:szCs w:val="18"/>
                <w:lang w:val="en-US"/>
              </w:rPr>
              <w:t>gen-feb 22</w:t>
            </w:r>
          </w:p>
        </w:tc>
      </w:tr>
      <w:tr w:rsidR="00AA59E1" w:rsidRPr="008C0651" w14:paraId="21B8FC65" w14:textId="77777777" w:rsidTr="0075218A">
        <w:trPr>
          <w:trHeight w:val="255"/>
        </w:trPr>
        <w:tc>
          <w:tcPr>
            <w:tcW w:w="1348" w:type="dxa"/>
            <w:shd w:val="clear" w:color="auto" w:fill="auto"/>
            <w:noWrap/>
            <w:vAlign w:val="center"/>
          </w:tcPr>
          <w:p w14:paraId="519A2F97" w14:textId="77777777" w:rsidR="00AA59E1" w:rsidRPr="007C052D" w:rsidRDefault="00AA59E1" w:rsidP="00AA59E1">
            <w:pPr>
              <w:spacing w:before="40" w:after="20"/>
              <w:rPr>
                <w:rFonts w:ascii="Arial Narrow" w:hAnsi="Arial Narrow"/>
                <w:sz w:val="18"/>
                <w:szCs w:val="18"/>
              </w:rPr>
            </w:pPr>
            <w:r w:rsidRPr="007C052D">
              <w:rPr>
                <w:rFonts w:ascii="Arial Narrow" w:hAnsi="Arial Narrow"/>
                <w:sz w:val="18"/>
                <w:szCs w:val="18"/>
              </w:rPr>
              <w:t>Paesi Ue27</w:t>
            </w:r>
          </w:p>
        </w:tc>
        <w:tc>
          <w:tcPr>
            <w:tcW w:w="709" w:type="dxa"/>
            <w:shd w:val="clear" w:color="auto" w:fill="D9D9D9"/>
            <w:vAlign w:val="bottom"/>
          </w:tcPr>
          <w:p w14:paraId="2320A094" w14:textId="16444EB1" w:rsidR="00AA59E1" w:rsidRDefault="00AA59E1" w:rsidP="00AA59E1">
            <w:pPr>
              <w:jc w:val="center"/>
              <w:rPr>
                <w:rFonts w:ascii="Arial Narrow" w:hAnsi="Arial Narrow"/>
                <w:sz w:val="18"/>
                <w:szCs w:val="18"/>
              </w:rPr>
            </w:pPr>
            <w:r>
              <w:rPr>
                <w:rFonts w:ascii="Arial Narrow" w:hAnsi="Arial Narrow"/>
                <w:sz w:val="18"/>
                <w:szCs w:val="18"/>
              </w:rPr>
              <w:t>+1,3</w:t>
            </w:r>
          </w:p>
        </w:tc>
        <w:tc>
          <w:tcPr>
            <w:tcW w:w="1130" w:type="dxa"/>
            <w:gridSpan w:val="2"/>
            <w:shd w:val="clear" w:color="auto" w:fill="D9D9D9"/>
            <w:noWrap/>
            <w:vAlign w:val="bottom"/>
          </w:tcPr>
          <w:p w14:paraId="35BD16BF" w14:textId="68D4F768" w:rsidR="00AA59E1" w:rsidRDefault="00AA59E1" w:rsidP="00AA59E1">
            <w:pPr>
              <w:jc w:val="center"/>
              <w:rPr>
                <w:rFonts w:ascii="Arial Narrow" w:hAnsi="Arial Narrow"/>
                <w:sz w:val="18"/>
                <w:szCs w:val="18"/>
              </w:rPr>
            </w:pPr>
            <w:r>
              <w:rPr>
                <w:rFonts w:ascii="Arial Narrow" w:hAnsi="Arial Narrow"/>
                <w:sz w:val="18"/>
                <w:szCs w:val="18"/>
              </w:rPr>
              <w:t>+6,5</w:t>
            </w:r>
          </w:p>
        </w:tc>
        <w:tc>
          <w:tcPr>
            <w:tcW w:w="629" w:type="dxa"/>
            <w:vAlign w:val="bottom"/>
          </w:tcPr>
          <w:p w14:paraId="321E7414" w14:textId="03FBF3F7" w:rsidR="00AA59E1" w:rsidRDefault="00AA59E1" w:rsidP="00AA59E1">
            <w:pPr>
              <w:jc w:val="center"/>
              <w:rPr>
                <w:rFonts w:ascii="Arial Narrow" w:hAnsi="Arial Narrow"/>
                <w:sz w:val="18"/>
                <w:szCs w:val="18"/>
              </w:rPr>
            </w:pPr>
            <w:r>
              <w:rPr>
                <w:rFonts w:ascii="Arial Narrow" w:hAnsi="Arial Narrow"/>
                <w:sz w:val="18"/>
                <w:szCs w:val="18"/>
              </w:rPr>
              <w:t>+24,0</w:t>
            </w:r>
          </w:p>
        </w:tc>
        <w:tc>
          <w:tcPr>
            <w:tcW w:w="1103" w:type="dxa"/>
            <w:gridSpan w:val="3"/>
            <w:shd w:val="clear" w:color="auto" w:fill="auto"/>
            <w:noWrap/>
            <w:vAlign w:val="bottom"/>
          </w:tcPr>
          <w:p w14:paraId="5558032C" w14:textId="4EDFF968" w:rsidR="00AA59E1" w:rsidRDefault="00AA59E1" w:rsidP="00AA59E1">
            <w:pPr>
              <w:jc w:val="center"/>
              <w:rPr>
                <w:rFonts w:ascii="Arial Narrow" w:hAnsi="Arial Narrow"/>
                <w:sz w:val="18"/>
                <w:szCs w:val="18"/>
              </w:rPr>
            </w:pPr>
            <w:r>
              <w:rPr>
                <w:rFonts w:ascii="Arial Narrow" w:hAnsi="Arial Narrow"/>
                <w:sz w:val="18"/>
                <w:szCs w:val="18"/>
              </w:rPr>
              <w:t>+24,7</w:t>
            </w:r>
          </w:p>
        </w:tc>
        <w:tc>
          <w:tcPr>
            <w:tcW w:w="665" w:type="dxa"/>
            <w:shd w:val="clear" w:color="auto" w:fill="D9D9D9"/>
            <w:noWrap/>
            <w:vAlign w:val="bottom"/>
          </w:tcPr>
          <w:p w14:paraId="2C7E9C02" w14:textId="3D37F2B6" w:rsidR="00AA59E1" w:rsidRDefault="00AA59E1" w:rsidP="00AA59E1">
            <w:pPr>
              <w:jc w:val="center"/>
              <w:rPr>
                <w:rFonts w:ascii="Arial Narrow" w:hAnsi="Arial Narrow"/>
                <w:sz w:val="18"/>
                <w:szCs w:val="18"/>
              </w:rPr>
            </w:pPr>
            <w:r>
              <w:rPr>
                <w:rFonts w:ascii="Arial Narrow" w:hAnsi="Arial Narrow"/>
                <w:sz w:val="18"/>
                <w:szCs w:val="18"/>
              </w:rPr>
              <w:t>+1,5</w:t>
            </w:r>
          </w:p>
        </w:tc>
        <w:tc>
          <w:tcPr>
            <w:tcW w:w="1226" w:type="dxa"/>
            <w:gridSpan w:val="2"/>
            <w:shd w:val="clear" w:color="auto" w:fill="D9D9D9"/>
            <w:vAlign w:val="bottom"/>
          </w:tcPr>
          <w:p w14:paraId="1033B738" w14:textId="568640B6" w:rsidR="00AA59E1" w:rsidRDefault="00AA59E1" w:rsidP="00AA59E1">
            <w:pPr>
              <w:jc w:val="center"/>
              <w:rPr>
                <w:rFonts w:ascii="Arial Narrow" w:hAnsi="Arial Narrow"/>
                <w:sz w:val="18"/>
                <w:szCs w:val="18"/>
              </w:rPr>
            </w:pPr>
            <w:r>
              <w:rPr>
                <w:rFonts w:ascii="Arial Narrow" w:hAnsi="Arial Narrow"/>
                <w:sz w:val="18"/>
                <w:szCs w:val="18"/>
              </w:rPr>
              <w:t>+11,2</w:t>
            </w:r>
          </w:p>
        </w:tc>
        <w:tc>
          <w:tcPr>
            <w:tcW w:w="832" w:type="dxa"/>
            <w:gridSpan w:val="2"/>
            <w:shd w:val="clear" w:color="auto" w:fill="auto"/>
            <w:noWrap/>
            <w:vAlign w:val="bottom"/>
          </w:tcPr>
          <w:p w14:paraId="2B08A58E" w14:textId="3DC4409C" w:rsidR="00AA59E1" w:rsidRDefault="00AA59E1" w:rsidP="00AA59E1">
            <w:pPr>
              <w:jc w:val="center"/>
              <w:rPr>
                <w:rFonts w:ascii="Arial Narrow" w:hAnsi="Arial Narrow"/>
                <w:sz w:val="18"/>
                <w:szCs w:val="18"/>
              </w:rPr>
            </w:pPr>
            <w:r>
              <w:rPr>
                <w:rFonts w:ascii="Arial Narrow" w:hAnsi="Arial Narrow"/>
                <w:sz w:val="18"/>
                <w:szCs w:val="18"/>
              </w:rPr>
              <w:t>+28,3</w:t>
            </w:r>
          </w:p>
        </w:tc>
        <w:tc>
          <w:tcPr>
            <w:tcW w:w="996" w:type="dxa"/>
            <w:gridSpan w:val="2"/>
            <w:shd w:val="clear" w:color="auto" w:fill="auto"/>
            <w:noWrap/>
            <w:vAlign w:val="bottom"/>
          </w:tcPr>
          <w:p w14:paraId="05C3F3A2" w14:textId="7B7DB6C6" w:rsidR="00AA59E1" w:rsidRDefault="00AA59E1" w:rsidP="00AA59E1">
            <w:pPr>
              <w:jc w:val="center"/>
              <w:rPr>
                <w:rFonts w:ascii="Arial Narrow" w:hAnsi="Arial Narrow"/>
                <w:sz w:val="18"/>
                <w:szCs w:val="18"/>
              </w:rPr>
            </w:pPr>
            <w:r>
              <w:rPr>
                <w:rFonts w:ascii="Arial Narrow" w:hAnsi="Arial Narrow"/>
                <w:sz w:val="18"/>
                <w:szCs w:val="18"/>
              </w:rPr>
              <w:t>+28,8</w:t>
            </w:r>
          </w:p>
        </w:tc>
        <w:tc>
          <w:tcPr>
            <w:tcW w:w="665" w:type="dxa"/>
            <w:shd w:val="clear" w:color="auto" w:fill="D9D9D9"/>
            <w:noWrap/>
            <w:vAlign w:val="bottom"/>
          </w:tcPr>
          <w:p w14:paraId="4966466C" w14:textId="5DED0EF1" w:rsidR="00AA59E1" w:rsidRDefault="00AA59E1" w:rsidP="00AA59E1">
            <w:pPr>
              <w:jc w:val="center"/>
              <w:rPr>
                <w:rFonts w:ascii="Arial Narrow" w:hAnsi="Arial Narrow"/>
                <w:sz w:val="18"/>
                <w:szCs w:val="18"/>
              </w:rPr>
            </w:pPr>
            <w:r>
              <w:rPr>
                <w:rFonts w:ascii="Arial Narrow" w:hAnsi="Arial Narrow"/>
                <w:sz w:val="18"/>
                <w:szCs w:val="18"/>
              </w:rPr>
              <w:t>-115</w:t>
            </w:r>
          </w:p>
        </w:tc>
        <w:tc>
          <w:tcPr>
            <w:tcW w:w="997" w:type="dxa"/>
            <w:gridSpan w:val="2"/>
            <w:shd w:val="clear" w:color="auto" w:fill="D9D9D9"/>
            <w:vAlign w:val="bottom"/>
          </w:tcPr>
          <w:p w14:paraId="73A87C64" w14:textId="781643B1" w:rsidR="00AA59E1" w:rsidRDefault="00AA59E1" w:rsidP="00AA59E1">
            <w:pPr>
              <w:jc w:val="center"/>
              <w:rPr>
                <w:rFonts w:ascii="Arial Narrow" w:hAnsi="Arial Narrow"/>
                <w:sz w:val="18"/>
                <w:szCs w:val="18"/>
              </w:rPr>
            </w:pPr>
            <w:r>
              <w:rPr>
                <w:rFonts w:ascii="Arial Narrow" w:hAnsi="Arial Narrow"/>
                <w:sz w:val="18"/>
                <w:szCs w:val="18"/>
              </w:rPr>
              <w:t>-1.081</w:t>
            </w:r>
          </w:p>
        </w:tc>
      </w:tr>
      <w:tr w:rsidR="00AA59E1" w:rsidRPr="008C0651" w14:paraId="33DD8268" w14:textId="77777777" w:rsidTr="0075218A">
        <w:trPr>
          <w:trHeight w:val="255"/>
        </w:trPr>
        <w:tc>
          <w:tcPr>
            <w:tcW w:w="1348" w:type="dxa"/>
            <w:shd w:val="clear" w:color="auto" w:fill="auto"/>
            <w:noWrap/>
            <w:vAlign w:val="center"/>
          </w:tcPr>
          <w:p w14:paraId="50B7701A" w14:textId="77777777" w:rsidR="00AA59E1" w:rsidRPr="007C052D" w:rsidRDefault="00AA59E1" w:rsidP="00AA59E1">
            <w:pPr>
              <w:spacing w:before="40" w:after="20"/>
              <w:rPr>
                <w:rFonts w:ascii="Arial Narrow" w:hAnsi="Arial Narrow"/>
                <w:sz w:val="18"/>
                <w:szCs w:val="18"/>
              </w:rPr>
            </w:pPr>
            <w:r w:rsidRPr="007C052D">
              <w:rPr>
                <w:rFonts w:ascii="Arial Narrow" w:hAnsi="Arial Narrow"/>
                <w:sz w:val="18"/>
                <w:szCs w:val="18"/>
              </w:rPr>
              <w:t>Paesi extra Ue27</w:t>
            </w:r>
          </w:p>
        </w:tc>
        <w:tc>
          <w:tcPr>
            <w:tcW w:w="709" w:type="dxa"/>
            <w:shd w:val="clear" w:color="auto" w:fill="D9D9D9"/>
            <w:vAlign w:val="bottom"/>
          </w:tcPr>
          <w:p w14:paraId="2854853D" w14:textId="0A602610" w:rsidR="00AA59E1" w:rsidRDefault="00AA59E1" w:rsidP="00AA59E1">
            <w:pPr>
              <w:jc w:val="center"/>
              <w:rPr>
                <w:rFonts w:ascii="Arial Narrow" w:hAnsi="Arial Narrow"/>
                <w:sz w:val="18"/>
                <w:szCs w:val="18"/>
              </w:rPr>
            </w:pPr>
            <w:r>
              <w:rPr>
                <w:rFonts w:ascii="Arial Narrow" w:hAnsi="Arial Narrow"/>
                <w:sz w:val="18"/>
                <w:szCs w:val="18"/>
              </w:rPr>
              <w:t>+2,0</w:t>
            </w:r>
          </w:p>
        </w:tc>
        <w:tc>
          <w:tcPr>
            <w:tcW w:w="1130" w:type="dxa"/>
            <w:gridSpan w:val="2"/>
            <w:shd w:val="clear" w:color="auto" w:fill="D9D9D9"/>
            <w:noWrap/>
            <w:vAlign w:val="bottom"/>
          </w:tcPr>
          <w:p w14:paraId="4D884F4C" w14:textId="2876F7D3" w:rsidR="00AA59E1" w:rsidRDefault="00AA59E1" w:rsidP="00AA59E1">
            <w:pPr>
              <w:jc w:val="center"/>
              <w:rPr>
                <w:rFonts w:ascii="Arial Narrow" w:hAnsi="Arial Narrow"/>
                <w:sz w:val="18"/>
                <w:szCs w:val="18"/>
              </w:rPr>
            </w:pPr>
            <w:r>
              <w:rPr>
                <w:rFonts w:ascii="Arial Narrow" w:hAnsi="Arial Narrow"/>
                <w:sz w:val="18"/>
                <w:szCs w:val="18"/>
              </w:rPr>
              <w:t>+5,1</w:t>
            </w:r>
          </w:p>
        </w:tc>
        <w:tc>
          <w:tcPr>
            <w:tcW w:w="629" w:type="dxa"/>
            <w:vAlign w:val="bottom"/>
          </w:tcPr>
          <w:p w14:paraId="01570429" w14:textId="742B395A" w:rsidR="00AA59E1" w:rsidRDefault="00AA59E1" w:rsidP="00AA59E1">
            <w:pPr>
              <w:jc w:val="center"/>
              <w:rPr>
                <w:rFonts w:ascii="Arial Narrow" w:hAnsi="Arial Narrow"/>
                <w:sz w:val="18"/>
                <w:szCs w:val="18"/>
              </w:rPr>
            </w:pPr>
            <w:r>
              <w:rPr>
                <w:rFonts w:ascii="Arial Narrow" w:hAnsi="Arial Narrow"/>
                <w:sz w:val="18"/>
                <w:szCs w:val="18"/>
              </w:rPr>
              <w:t>+21,1</w:t>
            </w:r>
          </w:p>
        </w:tc>
        <w:tc>
          <w:tcPr>
            <w:tcW w:w="1103" w:type="dxa"/>
            <w:gridSpan w:val="3"/>
            <w:shd w:val="clear" w:color="auto" w:fill="auto"/>
            <w:noWrap/>
            <w:vAlign w:val="bottom"/>
          </w:tcPr>
          <w:p w14:paraId="02473B71" w14:textId="064CAC8D" w:rsidR="00AA59E1" w:rsidRDefault="00AA59E1" w:rsidP="00AA59E1">
            <w:pPr>
              <w:jc w:val="center"/>
              <w:rPr>
                <w:rFonts w:ascii="Arial Narrow" w:hAnsi="Arial Narrow"/>
                <w:sz w:val="18"/>
                <w:szCs w:val="18"/>
              </w:rPr>
            </w:pPr>
            <w:r>
              <w:rPr>
                <w:rFonts w:ascii="Arial Narrow" w:hAnsi="Arial Narrow"/>
                <w:sz w:val="18"/>
                <w:szCs w:val="18"/>
              </w:rPr>
              <w:t>+20,2</w:t>
            </w:r>
          </w:p>
        </w:tc>
        <w:tc>
          <w:tcPr>
            <w:tcW w:w="665" w:type="dxa"/>
            <w:shd w:val="clear" w:color="auto" w:fill="D9D9D9"/>
            <w:noWrap/>
            <w:vAlign w:val="bottom"/>
          </w:tcPr>
          <w:p w14:paraId="01C0076B" w14:textId="5B106C1B" w:rsidR="00AA59E1" w:rsidRDefault="00AA59E1" w:rsidP="00AA59E1">
            <w:pPr>
              <w:jc w:val="center"/>
              <w:rPr>
                <w:rFonts w:ascii="Arial Narrow" w:hAnsi="Arial Narrow"/>
                <w:sz w:val="18"/>
                <w:szCs w:val="18"/>
              </w:rPr>
            </w:pPr>
            <w:r>
              <w:rPr>
                <w:rFonts w:ascii="Arial Narrow" w:hAnsi="Arial Narrow"/>
                <w:sz w:val="18"/>
                <w:szCs w:val="18"/>
              </w:rPr>
              <w:t>+9,9</w:t>
            </w:r>
          </w:p>
        </w:tc>
        <w:tc>
          <w:tcPr>
            <w:tcW w:w="1226" w:type="dxa"/>
            <w:gridSpan w:val="2"/>
            <w:shd w:val="clear" w:color="auto" w:fill="D9D9D9"/>
            <w:vAlign w:val="bottom"/>
          </w:tcPr>
          <w:p w14:paraId="3EE936AC" w14:textId="2862F266" w:rsidR="00AA59E1" w:rsidRDefault="00AA59E1" w:rsidP="00AA59E1">
            <w:pPr>
              <w:jc w:val="center"/>
              <w:rPr>
                <w:rFonts w:ascii="Arial Narrow" w:hAnsi="Arial Narrow"/>
                <w:sz w:val="18"/>
                <w:szCs w:val="18"/>
              </w:rPr>
            </w:pPr>
            <w:r>
              <w:rPr>
                <w:rFonts w:ascii="Arial Narrow" w:hAnsi="Arial Narrow"/>
                <w:sz w:val="18"/>
                <w:szCs w:val="18"/>
              </w:rPr>
              <w:t>+16,5</w:t>
            </w:r>
          </w:p>
        </w:tc>
        <w:tc>
          <w:tcPr>
            <w:tcW w:w="832" w:type="dxa"/>
            <w:gridSpan w:val="2"/>
            <w:shd w:val="clear" w:color="auto" w:fill="auto"/>
            <w:noWrap/>
            <w:vAlign w:val="bottom"/>
          </w:tcPr>
          <w:p w14:paraId="13E348CA" w14:textId="6D7AD0A7" w:rsidR="00AA59E1" w:rsidRDefault="00AA59E1" w:rsidP="00AA59E1">
            <w:pPr>
              <w:jc w:val="center"/>
              <w:rPr>
                <w:rFonts w:ascii="Arial Narrow" w:hAnsi="Arial Narrow"/>
                <w:sz w:val="18"/>
                <w:szCs w:val="18"/>
              </w:rPr>
            </w:pPr>
            <w:r>
              <w:rPr>
                <w:rFonts w:ascii="Arial Narrow" w:hAnsi="Arial Narrow"/>
                <w:sz w:val="18"/>
                <w:szCs w:val="18"/>
              </w:rPr>
              <w:t>+69,6</w:t>
            </w:r>
          </w:p>
        </w:tc>
        <w:tc>
          <w:tcPr>
            <w:tcW w:w="996" w:type="dxa"/>
            <w:gridSpan w:val="2"/>
            <w:shd w:val="clear" w:color="auto" w:fill="auto"/>
            <w:noWrap/>
            <w:vAlign w:val="bottom"/>
          </w:tcPr>
          <w:p w14:paraId="116C21C3" w14:textId="6A1FA5F3" w:rsidR="00AA59E1" w:rsidRDefault="00AA59E1" w:rsidP="00AA59E1">
            <w:pPr>
              <w:jc w:val="center"/>
              <w:rPr>
                <w:rFonts w:ascii="Arial Narrow" w:hAnsi="Arial Narrow"/>
                <w:sz w:val="18"/>
                <w:szCs w:val="18"/>
              </w:rPr>
            </w:pPr>
            <w:r>
              <w:rPr>
                <w:rFonts w:ascii="Arial Narrow" w:hAnsi="Arial Narrow"/>
                <w:sz w:val="18"/>
                <w:szCs w:val="18"/>
              </w:rPr>
              <w:t>+67,6</w:t>
            </w:r>
          </w:p>
        </w:tc>
        <w:tc>
          <w:tcPr>
            <w:tcW w:w="665" w:type="dxa"/>
            <w:shd w:val="clear" w:color="auto" w:fill="D9D9D9"/>
            <w:noWrap/>
            <w:vAlign w:val="bottom"/>
          </w:tcPr>
          <w:p w14:paraId="7C57E80A" w14:textId="1CC02C20" w:rsidR="00AA59E1" w:rsidRDefault="00AA59E1" w:rsidP="00AA59E1">
            <w:pPr>
              <w:jc w:val="center"/>
              <w:rPr>
                <w:rFonts w:ascii="Arial Narrow" w:hAnsi="Arial Narrow"/>
                <w:sz w:val="18"/>
                <w:szCs w:val="18"/>
              </w:rPr>
            </w:pPr>
            <w:r>
              <w:rPr>
                <w:rFonts w:ascii="Arial Narrow" w:hAnsi="Arial Narrow"/>
                <w:sz w:val="18"/>
                <w:szCs w:val="18"/>
              </w:rPr>
              <w:t>-1.548</w:t>
            </w:r>
          </w:p>
        </w:tc>
        <w:tc>
          <w:tcPr>
            <w:tcW w:w="997" w:type="dxa"/>
            <w:gridSpan w:val="2"/>
            <w:shd w:val="clear" w:color="auto" w:fill="D9D9D9"/>
            <w:vAlign w:val="bottom"/>
          </w:tcPr>
          <w:p w14:paraId="536DBC4C" w14:textId="5261F212" w:rsidR="00AA59E1" w:rsidRDefault="00AA59E1" w:rsidP="00AA59E1">
            <w:pPr>
              <w:jc w:val="center"/>
              <w:rPr>
                <w:rFonts w:ascii="Arial Narrow" w:hAnsi="Arial Narrow"/>
                <w:sz w:val="18"/>
                <w:szCs w:val="18"/>
              </w:rPr>
            </w:pPr>
            <w:r>
              <w:rPr>
                <w:rFonts w:ascii="Arial Narrow" w:hAnsi="Arial Narrow"/>
                <w:sz w:val="18"/>
                <w:szCs w:val="18"/>
              </w:rPr>
              <w:t>-5.709</w:t>
            </w:r>
          </w:p>
        </w:tc>
      </w:tr>
      <w:tr w:rsidR="00AA59E1" w:rsidRPr="008C0651" w14:paraId="68FD8E49" w14:textId="77777777" w:rsidTr="0075218A">
        <w:trPr>
          <w:trHeight w:val="255"/>
        </w:trPr>
        <w:tc>
          <w:tcPr>
            <w:tcW w:w="1348" w:type="dxa"/>
            <w:shd w:val="clear" w:color="auto" w:fill="auto"/>
            <w:noWrap/>
            <w:vAlign w:val="center"/>
          </w:tcPr>
          <w:p w14:paraId="53E09E9B" w14:textId="77777777" w:rsidR="00AA59E1" w:rsidRPr="003C7722" w:rsidRDefault="00AA59E1" w:rsidP="00AA59E1">
            <w:pPr>
              <w:spacing w:before="40" w:after="20"/>
              <w:rPr>
                <w:rFonts w:ascii="Arial Narrow" w:hAnsi="Arial Narrow"/>
                <w:sz w:val="18"/>
                <w:szCs w:val="18"/>
              </w:rPr>
            </w:pPr>
            <w:r w:rsidRPr="003C7722">
              <w:rPr>
                <w:rFonts w:ascii="Arial Narrow" w:hAnsi="Arial Narrow"/>
                <w:sz w:val="18"/>
                <w:szCs w:val="18"/>
              </w:rPr>
              <w:t>Mondo</w:t>
            </w:r>
          </w:p>
        </w:tc>
        <w:tc>
          <w:tcPr>
            <w:tcW w:w="709" w:type="dxa"/>
            <w:shd w:val="clear" w:color="auto" w:fill="D9D9D9"/>
            <w:vAlign w:val="bottom"/>
          </w:tcPr>
          <w:p w14:paraId="6B317D71" w14:textId="4D0B8289" w:rsidR="00AA59E1" w:rsidRDefault="00AA59E1" w:rsidP="00AA59E1">
            <w:pPr>
              <w:jc w:val="center"/>
              <w:rPr>
                <w:rFonts w:ascii="Arial Narrow" w:hAnsi="Arial Narrow"/>
                <w:sz w:val="18"/>
                <w:szCs w:val="18"/>
              </w:rPr>
            </w:pPr>
            <w:r>
              <w:rPr>
                <w:rFonts w:ascii="Arial Narrow" w:hAnsi="Arial Narrow"/>
                <w:sz w:val="18"/>
                <w:szCs w:val="18"/>
              </w:rPr>
              <w:t>+1,6</w:t>
            </w:r>
          </w:p>
        </w:tc>
        <w:tc>
          <w:tcPr>
            <w:tcW w:w="1130" w:type="dxa"/>
            <w:gridSpan w:val="2"/>
            <w:shd w:val="clear" w:color="auto" w:fill="D9D9D9"/>
            <w:noWrap/>
            <w:vAlign w:val="bottom"/>
          </w:tcPr>
          <w:p w14:paraId="64A64FC9" w14:textId="68008692" w:rsidR="00AA59E1" w:rsidRDefault="00AA59E1" w:rsidP="00AA59E1">
            <w:pPr>
              <w:jc w:val="center"/>
              <w:rPr>
                <w:rFonts w:ascii="Arial Narrow" w:hAnsi="Arial Narrow"/>
                <w:sz w:val="18"/>
                <w:szCs w:val="18"/>
              </w:rPr>
            </w:pPr>
            <w:r>
              <w:rPr>
                <w:rFonts w:ascii="Arial Narrow" w:hAnsi="Arial Narrow"/>
                <w:sz w:val="18"/>
                <w:szCs w:val="18"/>
              </w:rPr>
              <w:t>+5,8</w:t>
            </w:r>
          </w:p>
        </w:tc>
        <w:tc>
          <w:tcPr>
            <w:tcW w:w="629" w:type="dxa"/>
            <w:vAlign w:val="bottom"/>
          </w:tcPr>
          <w:p w14:paraId="5B4FB60C" w14:textId="2811FF9F" w:rsidR="00AA59E1" w:rsidRDefault="00AA59E1" w:rsidP="00AA59E1">
            <w:pPr>
              <w:jc w:val="center"/>
              <w:rPr>
                <w:rFonts w:ascii="Arial Narrow" w:hAnsi="Arial Narrow"/>
                <w:sz w:val="18"/>
                <w:szCs w:val="18"/>
              </w:rPr>
            </w:pPr>
            <w:r>
              <w:rPr>
                <w:rFonts w:ascii="Arial Narrow" w:hAnsi="Arial Narrow"/>
                <w:sz w:val="18"/>
                <w:szCs w:val="18"/>
              </w:rPr>
              <w:t>+22,7</w:t>
            </w:r>
          </w:p>
        </w:tc>
        <w:tc>
          <w:tcPr>
            <w:tcW w:w="1103" w:type="dxa"/>
            <w:gridSpan w:val="3"/>
            <w:shd w:val="clear" w:color="auto" w:fill="auto"/>
            <w:noWrap/>
            <w:vAlign w:val="bottom"/>
          </w:tcPr>
          <w:p w14:paraId="1C07D702" w14:textId="676C8DEE" w:rsidR="00AA59E1" w:rsidRDefault="00AA59E1" w:rsidP="00AA59E1">
            <w:pPr>
              <w:jc w:val="center"/>
              <w:rPr>
                <w:rFonts w:ascii="Arial Narrow" w:hAnsi="Arial Narrow"/>
                <w:sz w:val="18"/>
                <w:szCs w:val="18"/>
              </w:rPr>
            </w:pPr>
            <w:r>
              <w:rPr>
                <w:rFonts w:ascii="Arial Narrow" w:hAnsi="Arial Narrow"/>
                <w:sz w:val="18"/>
                <w:szCs w:val="18"/>
              </w:rPr>
              <w:t>+22,6</w:t>
            </w:r>
          </w:p>
        </w:tc>
        <w:tc>
          <w:tcPr>
            <w:tcW w:w="665" w:type="dxa"/>
            <w:shd w:val="clear" w:color="auto" w:fill="D9D9D9"/>
            <w:noWrap/>
            <w:vAlign w:val="bottom"/>
          </w:tcPr>
          <w:p w14:paraId="73D029BC" w14:textId="3BB2387D" w:rsidR="00AA59E1" w:rsidRDefault="00AA59E1" w:rsidP="00AA59E1">
            <w:pPr>
              <w:jc w:val="center"/>
              <w:rPr>
                <w:rFonts w:ascii="Arial Narrow" w:hAnsi="Arial Narrow"/>
                <w:sz w:val="18"/>
                <w:szCs w:val="18"/>
              </w:rPr>
            </w:pPr>
            <w:r>
              <w:rPr>
                <w:rFonts w:ascii="Arial Narrow" w:hAnsi="Arial Narrow"/>
                <w:sz w:val="18"/>
                <w:szCs w:val="18"/>
              </w:rPr>
              <w:t>+5,4</w:t>
            </w:r>
          </w:p>
        </w:tc>
        <w:tc>
          <w:tcPr>
            <w:tcW w:w="1226" w:type="dxa"/>
            <w:gridSpan w:val="2"/>
            <w:shd w:val="clear" w:color="auto" w:fill="D9D9D9"/>
            <w:vAlign w:val="bottom"/>
          </w:tcPr>
          <w:p w14:paraId="13DE127A" w14:textId="5F52892A" w:rsidR="00AA59E1" w:rsidRDefault="00AA59E1" w:rsidP="00AA59E1">
            <w:pPr>
              <w:jc w:val="center"/>
              <w:rPr>
                <w:rFonts w:ascii="Arial Narrow" w:hAnsi="Arial Narrow"/>
                <w:sz w:val="18"/>
                <w:szCs w:val="18"/>
              </w:rPr>
            </w:pPr>
            <w:r>
              <w:rPr>
                <w:rFonts w:ascii="Arial Narrow" w:hAnsi="Arial Narrow"/>
                <w:sz w:val="18"/>
                <w:szCs w:val="18"/>
              </w:rPr>
              <w:t>+13,6</w:t>
            </w:r>
          </w:p>
        </w:tc>
        <w:tc>
          <w:tcPr>
            <w:tcW w:w="832" w:type="dxa"/>
            <w:gridSpan w:val="2"/>
            <w:shd w:val="clear" w:color="auto" w:fill="auto"/>
            <w:noWrap/>
            <w:vAlign w:val="bottom"/>
          </w:tcPr>
          <w:p w14:paraId="49778B7E" w14:textId="467B527F" w:rsidR="00AA59E1" w:rsidRDefault="00AA59E1" w:rsidP="00AA59E1">
            <w:pPr>
              <w:jc w:val="center"/>
              <w:rPr>
                <w:rFonts w:ascii="Arial Narrow" w:hAnsi="Arial Narrow"/>
                <w:sz w:val="18"/>
                <w:szCs w:val="18"/>
              </w:rPr>
            </w:pPr>
            <w:r>
              <w:rPr>
                <w:rFonts w:ascii="Arial Narrow" w:hAnsi="Arial Narrow"/>
                <w:sz w:val="18"/>
                <w:szCs w:val="18"/>
              </w:rPr>
              <w:t>+44,9</w:t>
            </w:r>
          </w:p>
        </w:tc>
        <w:tc>
          <w:tcPr>
            <w:tcW w:w="996" w:type="dxa"/>
            <w:gridSpan w:val="2"/>
            <w:shd w:val="clear" w:color="auto" w:fill="auto"/>
            <w:noWrap/>
            <w:vAlign w:val="bottom"/>
          </w:tcPr>
          <w:p w14:paraId="0A2F2AF5" w14:textId="403CF67F" w:rsidR="00AA59E1" w:rsidRDefault="00AA59E1" w:rsidP="00AA59E1">
            <w:pPr>
              <w:jc w:val="center"/>
              <w:rPr>
                <w:rFonts w:ascii="Arial Narrow" w:hAnsi="Arial Narrow"/>
                <w:sz w:val="18"/>
                <w:szCs w:val="18"/>
              </w:rPr>
            </w:pPr>
            <w:r>
              <w:rPr>
                <w:rFonts w:ascii="Arial Narrow" w:hAnsi="Arial Narrow"/>
                <w:sz w:val="18"/>
                <w:szCs w:val="18"/>
              </w:rPr>
              <w:t>+44,8</w:t>
            </w:r>
          </w:p>
        </w:tc>
        <w:tc>
          <w:tcPr>
            <w:tcW w:w="665" w:type="dxa"/>
            <w:shd w:val="clear" w:color="auto" w:fill="D9D9D9"/>
            <w:noWrap/>
            <w:vAlign w:val="bottom"/>
          </w:tcPr>
          <w:p w14:paraId="4E8FA5BC" w14:textId="297D8FF7" w:rsidR="00AA59E1" w:rsidRDefault="00AA59E1" w:rsidP="00AA59E1">
            <w:pPr>
              <w:jc w:val="center"/>
              <w:rPr>
                <w:rFonts w:ascii="Arial Narrow" w:hAnsi="Arial Narrow"/>
                <w:sz w:val="18"/>
                <w:szCs w:val="18"/>
              </w:rPr>
            </w:pPr>
            <w:r>
              <w:rPr>
                <w:rFonts w:ascii="Arial Narrow" w:hAnsi="Arial Narrow"/>
                <w:sz w:val="18"/>
                <w:szCs w:val="18"/>
              </w:rPr>
              <w:t>-1.662</w:t>
            </w:r>
          </w:p>
        </w:tc>
        <w:tc>
          <w:tcPr>
            <w:tcW w:w="997" w:type="dxa"/>
            <w:gridSpan w:val="2"/>
            <w:shd w:val="clear" w:color="auto" w:fill="D9D9D9"/>
            <w:vAlign w:val="bottom"/>
          </w:tcPr>
          <w:p w14:paraId="77D607FE" w14:textId="5614724D" w:rsidR="00AA59E1" w:rsidRDefault="00AA59E1" w:rsidP="00AA59E1">
            <w:pPr>
              <w:jc w:val="center"/>
              <w:rPr>
                <w:rFonts w:ascii="Arial Narrow" w:hAnsi="Arial Narrow"/>
                <w:sz w:val="18"/>
                <w:szCs w:val="18"/>
              </w:rPr>
            </w:pPr>
            <w:r>
              <w:rPr>
                <w:rFonts w:ascii="Arial Narrow" w:hAnsi="Arial Narrow"/>
                <w:sz w:val="18"/>
                <w:szCs w:val="18"/>
              </w:rPr>
              <w:t>-6.790</w:t>
            </w:r>
          </w:p>
        </w:tc>
      </w:tr>
      <w:tr w:rsidR="00AA59E1" w:rsidRPr="00826161" w14:paraId="0BA3DDEE" w14:textId="77777777" w:rsidTr="0075218A">
        <w:trPr>
          <w:trHeight w:val="255"/>
        </w:trPr>
        <w:tc>
          <w:tcPr>
            <w:tcW w:w="1348" w:type="dxa"/>
            <w:shd w:val="clear" w:color="auto" w:fill="auto"/>
            <w:noWrap/>
            <w:vAlign w:val="center"/>
          </w:tcPr>
          <w:p w14:paraId="62487FD4" w14:textId="77777777" w:rsidR="00AA59E1" w:rsidRPr="00826161" w:rsidRDefault="00AA59E1" w:rsidP="00AA59E1">
            <w:pPr>
              <w:spacing w:before="40" w:after="20"/>
              <w:rPr>
                <w:rFonts w:ascii="Arial Narrow" w:hAnsi="Arial Narrow"/>
                <w:sz w:val="18"/>
                <w:szCs w:val="18"/>
              </w:rPr>
            </w:pPr>
            <w:r w:rsidRPr="00826161">
              <w:rPr>
                <w:rFonts w:ascii="Arial Narrow" w:hAnsi="Arial Narrow"/>
                <w:sz w:val="18"/>
                <w:szCs w:val="18"/>
              </w:rPr>
              <w:t>Valori medi unitari</w:t>
            </w:r>
          </w:p>
        </w:tc>
        <w:tc>
          <w:tcPr>
            <w:tcW w:w="709" w:type="dxa"/>
            <w:shd w:val="clear" w:color="auto" w:fill="D9D9D9"/>
            <w:vAlign w:val="bottom"/>
          </w:tcPr>
          <w:p w14:paraId="125CC4C8" w14:textId="77777777" w:rsidR="00AA59E1" w:rsidRPr="00826161" w:rsidRDefault="00AA59E1" w:rsidP="00AA59E1">
            <w:pPr>
              <w:jc w:val="center"/>
              <w:rPr>
                <w:rFonts w:ascii="Arial Narrow" w:hAnsi="Arial Narrow"/>
                <w:sz w:val="18"/>
                <w:szCs w:val="18"/>
              </w:rPr>
            </w:pPr>
          </w:p>
        </w:tc>
        <w:tc>
          <w:tcPr>
            <w:tcW w:w="1130" w:type="dxa"/>
            <w:gridSpan w:val="2"/>
            <w:shd w:val="clear" w:color="auto" w:fill="D9D9D9"/>
            <w:noWrap/>
            <w:vAlign w:val="bottom"/>
          </w:tcPr>
          <w:p w14:paraId="0BF5DB31" w14:textId="77777777" w:rsidR="00AA59E1" w:rsidRPr="00826161" w:rsidRDefault="00AA59E1" w:rsidP="00AA59E1">
            <w:pPr>
              <w:jc w:val="center"/>
              <w:rPr>
                <w:sz w:val="20"/>
                <w:szCs w:val="20"/>
              </w:rPr>
            </w:pPr>
          </w:p>
        </w:tc>
        <w:tc>
          <w:tcPr>
            <w:tcW w:w="629" w:type="dxa"/>
            <w:vAlign w:val="bottom"/>
          </w:tcPr>
          <w:p w14:paraId="71E6928E" w14:textId="50EE13D5" w:rsidR="00AA59E1" w:rsidRPr="00826161" w:rsidRDefault="00AA59E1" w:rsidP="00AA59E1">
            <w:pPr>
              <w:jc w:val="center"/>
              <w:rPr>
                <w:rFonts w:ascii="Arial Narrow" w:hAnsi="Arial Narrow"/>
                <w:i/>
                <w:iCs/>
                <w:sz w:val="18"/>
                <w:szCs w:val="18"/>
              </w:rPr>
            </w:pPr>
            <w:r>
              <w:rPr>
                <w:rFonts w:ascii="Arial Narrow" w:hAnsi="Arial Narrow"/>
                <w:i/>
                <w:iCs/>
                <w:sz w:val="18"/>
                <w:szCs w:val="18"/>
              </w:rPr>
              <w:t>+16,5</w:t>
            </w:r>
          </w:p>
        </w:tc>
        <w:tc>
          <w:tcPr>
            <w:tcW w:w="1103" w:type="dxa"/>
            <w:gridSpan w:val="3"/>
            <w:shd w:val="clear" w:color="auto" w:fill="auto"/>
            <w:noWrap/>
            <w:vAlign w:val="bottom"/>
          </w:tcPr>
          <w:p w14:paraId="359154C9" w14:textId="1DEC169A" w:rsidR="00AA59E1" w:rsidRPr="00826161" w:rsidRDefault="00AA59E1" w:rsidP="00AA59E1">
            <w:pPr>
              <w:jc w:val="center"/>
              <w:rPr>
                <w:rFonts w:ascii="Arial Narrow" w:hAnsi="Arial Narrow"/>
                <w:i/>
                <w:iCs/>
                <w:sz w:val="18"/>
                <w:szCs w:val="18"/>
              </w:rPr>
            </w:pPr>
            <w:r>
              <w:rPr>
                <w:rFonts w:ascii="Arial Narrow" w:hAnsi="Arial Narrow"/>
                <w:i/>
                <w:iCs/>
                <w:sz w:val="18"/>
                <w:szCs w:val="18"/>
              </w:rPr>
              <w:t>+16,4</w:t>
            </w:r>
          </w:p>
        </w:tc>
        <w:tc>
          <w:tcPr>
            <w:tcW w:w="665" w:type="dxa"/>
            <w:shd w:val="clear" w:color="auto" w:fill="D9D9D9"/>
            <w:noWrap/>
            <w:vAlign w:val="bottom"/>
          </w:tcPr>
          <w:p w14:paraId="236E7EF5" w14:textId="77777777" w:rsidR="00AA59E1" w:rsidRPr="00826161" w:rsidRDefault="00AA59E1" w:rsidP="00AA59E1">
            <w:pPr>
              <w:jc w:val="center"/>
              <w:rPr>
                <w:rFonts w:ascii="Arial Narrow" w:hAnsi="Arial Narrow"/>
                <w:i/>
                <w:iCs/>
                <w:sz w:val="18"/>
                <w:szCs w:val="18"/>
              </w:rPr>
            </w:pPr>
          </w:p>
        </w:tc>
        <w:tc>
          <w:tcPr>
            <w:tcW w:w="1226" w:type="dxa"/>
            <w:gridSpan w:val="2"/>
            <w:shd w:val="clear" w:color="auto" w:fill="D9D9D9"/>
            <w:vAlign w:val="bottom"/>
          </w:tcPr>
          <w:p w14:paraId="610951F9" w14:textId="77777777" w:rsidR="00AA59E1" w:rsidRPr="00826161" w:rsidRDefault="00AA59E1" w:rsidP="00AA59E1">
            <w:pPr>
              <w:jc w:val="center"/>
              <w:rPr>
                <w:sz w:val="20"/>
                <w:szCs w:val="20"/>
              </w:rPr>
            </w:pPr>
          </w:p>
        </w:tc>
        <w:tc>
          <w:tcPr>
            <w:tcW w:w="832" w:type="dxa"/>
            <w:gridSpan w:val="2"/>
            <w:shd w:val="clear" w:color="auto" w:fill="auto"/>
            <w:noWrap/>
            <w:vAlign w:val="bottom"/>
          </w:tcPr>
          <w:p w14:paraId="3D9A968C" w14:textId="7C7DC3AD" w:rsidR="00AA59E1" w:rsidRPr="00826161" w:rsidRDefault="00AA59E1" w:rsidP="00AA59E1">
            <w:pPr>
              <w:jc w:val="center"/>
              <w:rPr>
                <w:rFonts w:ascii="Arial Narrow" w:hAnsi="Arial Narrow"/>
                <w:i/>
                <w:iCs/>
                <w:sz w:val="18"/>
                <w:szCs w:val="18"/>
              </w:rPr>
            </w:pPr>
            <w:r>
              <w:rPr>
                <w:rFonts w:ascii="Arial Narrow" w:hAnsi="Arial Narrow"/>
                <w:i/>
                <w:iCs/>
                <w:sz w:val="18"/>
                <w:szCs w:val="18"/>
              </w:rPr>
              <w:t>+37,3</w:t>
            </w:r>
          </w:p>
        </w:tc>
        <w:tc>
          <w:tcPr>
            <w:tcW w:w="996" w:type="dxa"/>
            <w:gridSpan w:val="2"/>
            <w:shd w:val="clear" w:color="auto" w:fill="auto"/>
            <w:noWrap/>
            <w:vAlign w:val="bottom"/>
          </w:tcPr>
          <w:p w14:paraId="6E8E5192" w14:textId="5512ED16" w:rsidR="00AA59E1" w:rsidRPr="00826161" w:rsidRDefault="00AA59E1" w:rsidP="00AA59E1">
            <w:pPr>
              <w:jc w:val="center"/>
              <w:rPr>
                <w:rFonts w:ascii="Arial Narrow" w:hAnsi="Arial Narrow"/>
                <w:i/>
                <w:iCs/>
                <w:sz w:val="18"/>
                <w:szCs w:val="18"/>
              </w:rPr>
            </w:pPr>
            <w:r>
              <w:rPr>
                <w:rFonts w:ascii="Arial Narrow" w:hAnsi="Arial Narrow"/>
                <w:i/>
                <w:iCs/>
                <w:sz w:val="18"/>
                <w:szCs w:val="18"/>
              </w:rPr>
              <w:t>+35,8</w:t>
            </w:r>
          </w:p>
        </w:tc>
        <w:tc>
          <w:tcPr>
            <w:tcW w:w="665" w:type="dxa"/>
            <w:shd w:val="clear" w:color="auto" w:fill="D9D9D9"/>
            <w:noWrap/>
            <w:vAlign w:val="bottom"/>
          </w:tcPr>
          <w:p w14:paraId="64DC50A3" w14:textId="77777777" w:rsidR="00AA59E1" w:rsidRPr="00826161" w:rsidRDefault="00AA59E1" w:rsidP="00AA59E1">
            <w:pPr>
              <w:jc w:val="center"/>
              <w:rPr>
                <w:rFonts w:ascii="Arial Narrow" w:hAnsi="Arial Narrow"/>
                <w:i/>
                <w:iCs/>
                <w:sz w:val="18"/>
                <w:szCs w:val="18"/>
              </w:rPr>
            </w:pPr>
          </w:p>
        </w:tc>
        <w:tc>
          <w:tcPr>
            <w:tcW w:w="997" w:type="dxa"/>
            <w:gridSpan w:val="2"/>
            <w:shd w:val="clear" w:color="auto" w:fill="D9D9D9"/>
            <w:vAlign w:val="bottom"/>
          </w:tcPr>
          <w:p w14:paraId="730E6E21" w14:textId="77777777" w:rsidR="00AA59E1" w:rsidRPr="00826161" w:rsidRDefault="00AA59E1" w:rsidP="00AA59E1">
            <w:pPr>
              <w:jc w:val="center"/>
              <w:rPr>
                <w:sz w:val="20"/>
                <w:szCs w:val="20"/>
              </w:rPr>
            </w:pPr>
          </w:p>
        </w:tc>
      </w:tr>
      <w:tr w:rsidR="00AA59E1" w:rsidRPr="008C0651" w14:paraId="351584CF" w14:textId="77777777" w:rsidTr="0075218A">
        <w:trPr>
          <w:trHeight w:val="255"/>
        </w:trPr>
        <w:tc>
          <w:tcPr>
            <w:tcW w:w="1348" w:type="dxa"/>
            <w:shd w:val="clear" w:color="auto" w:fill="auto"/>
            <w:noWrap/>
            <w:vAlign w:val="center"/>
          </w:tcPr>
          <w:p w14:paraId="2885A358" w14:textId="77777777" w:rsidR="00AA59E1" w:rsidRPr="00674C87" w:rsidRDefault="00AA59E1" w:rsidP="00AA59E1">
            <w:pPr>
              <w:spacing w:before="40" w:after="20"/>
              <w:rPr>
                <w:rFonts w:ascii="Arial Narrow" w:hAnsi="Arial Narrow"/>
                <w:sz w:val="18"/>
                <w:szCs w:val="18"/>
              </w:rPr>
            </w:pPr>
            <w:r w:rsidRPr="00674C87">
              <w:rPr>
                <w:rFonts w:ascii="Arial Narrow" w:hAnsi="Arial Narrow"/>
                <w:sz w:val="18"/>
                <w:szCs w:val="18"/>
              </w:rPr>
              <w:t>Volumi</w:t>
            </w:r>
          </w:p>
        </w:tc>
        <w:tc>
          <w:tcPr>
            <w:tcW w:w="709" w:type="dxa"/>
            <w:shd w:val="clear" w:color="auto" w:fill="D9D9D9"/>
            <w:vAlign w:val="bottom"/>
          </w:tcPr>
          <w:p w14:paraId="29D81D12" w14:textId="717F1375" w:rsidR="00AA59E1" w:rsidRDefault="00AA59E1" w:rsidP="00AA59E1">
            <w:pPr>
              <w:jc w:val="center"/>
              <w:rPr>
                <w:rFonts w:ascii="Arial Narrow" w:hAnsi="Arial Narrow"/>
                <w:i/>
                <w:iCs/>
                <w:sz w:val="18"/>
                <w:szCs w:val="18"/>
              </w:rPr>
            </w:pPr>
            <w:r>
              <w:rPr>
                <w:rFonts w:ascii="Arial Narrow" w:hAnsi="Arial Narrow"/>
                <w:i/>
                <w:iCs/>
                <w:sz w:val="18"/>
                <w:szCs w:val="18"/>
              </w:rPr>
              <w:t> </w:t>
            </w:r>
          </w:p>
        </w:tc>
        <w:tc>
          <w:tcPr>
            <w:tcW w:w="1130" w:type="dxa"/>
            <w:gridSpan w:val="2"/>
            <w:shd w:val="clear" w:color="auto" w:fill="D9D9D9"/>
            <w:noWrap/>
            <w:vAlign w:val="bottom"/>
          </w:tcPr>
          <w:p w14:paraId="62DFF48F" w14:textId="151D2875" w:rsidR="00AA59E1" w:rsidRDefault="00AA59E1" w:rsidP="00AA59E1">
            <w:pPr>
              <w:jc w:val="center"/>
              <w:rPr>
                <w:rFonts w:ascii="Arial Narrow" w:hAnsi="Arial Narrow"/>
                <w:i/>
                <w:iCs/>
                <w:sz w:val="18"/>
                <w:szCs w:val="18"/>
              </w:rPr>
            </w:pPr>
            <w:r>
              <w:rPr>
                <w:rFonts w:ascii="Arial Narrow" w:hAnsi="Arial Narrow"/>
                <w:i/>
                <w:iCs/>
                <w:sz w:val="18"/>
                <w:szCs w:val="18"/>
              </w:rPr>
              <w:t> </w:t>
            </w:r>
          </w:p>
        </w:tc>
        <w:tc>
          <w:tcPr>
            <w:tcW w:w="629" w:type="dxa"/>
            <w:vAlign w:val="bottom"/>
          </w:tcPr>
          <w:p w14:paraId="44B5F48E" w14:textId="648D23A8" w:rsidR="00AA59E1" w:rsidRDefault="00AA59E1" w:rsidP="00AA59E1">
            <w:pPr>
              <w:jc w:val="center"/>
              <w:rPr>
                <w:rFonts w:ascii="Arial Narrow" w:hAnsi="Arial Narrow"/>
                <w:i/>
                <w:iCs/>
                <w:sz w:val="18"/>
                <w:szCs w:val="18"/>
              </w:rPr>
            </w:pPr>
            <w:r>
              <w:rPr>
                <w:rFonts w:ascii="Arial Narrow" w:hAnsi="Arial Narrow"/>
                <w:i/>
                <w:iCs/>
                <w:sz w:val="18"/>
                <w:szCs w:val="18"/>
              </w:rPr>
              <w:t>+5,3</w:t>
            </w:r>
          </w:p>
        </w:tc>
        <w:tc>
          <w:tcPr>
            <w:tcW w:w="1103" w:type="dxa"/>
            <w:gridSpan w:val="3"/>
            <w:shd w:val="clear" w:color="auto" w:fill="auto"/>
            <w:noWrap/>
            <w:vAlign w:val="bottom"/>
          </w:tcPr>
          <w:p w14:paraId="1373C6ED" w14:textId="60787AF3" w:rsidR="00AA59E1" w:rsidRDefault="00AA59E1" w:rsidP="00AA59E1">
            <w:pPr>
              <w:jc w:val="center"/>
              <w:rPr>
                <w:rFonts w:ascii="Arial Narrow" w:hAnsi="Arial Narrow"/>
                <w:i/>
                <w:iCs/>
                <w:sz w:val="18"/>
                <w:szCs w:val="18"/>
              </w:rPr>
            </w:pPr>
            <w:r>
              <w:rPr>
                <w:rFonts w:ascii="Arial Narrow" w:hAnsi="Arial Narrow"/>
                <w:i/>
                <w:iCs/>
                <w:sz w:val="18"/>
                <w:szCs w:val="18"/>
              </w:rPr>
              <w:t>+5,4</w:t>
            </w:r>
          </w:p>
        </w:tc>
        <w:tc>
          <w:tcPr>
            <w:tcW w:w="665" w:type="dxa"/>
            <w:shd w:val="clear" w:color="auto" w:fill="D9D9D9"/>
            <w:noWrap/>
            <w:vAlign w:val="bottom"/>
          </w:tcPr>
          <w:p w14:paraId="5BA335AE" w14:textId="032329CA" w:rsidR="00AA59E1" w:rsidRDefault="00AA59E1" w:rsidP="00AA59E1">
            <w:pPr>
              <w:jc w:val="center"/>
              <w:rPr>
                <w:rFonts w:ascii="Arial Narrow" w:hAnsi="Arial Narrow"/>
                <w:sz w:val="18"/>
                <w:szCs w:val="18"/>
              </w:rPr>
            </w:pPr>
            <w:r>
              <w:rPr>
                <w:rFonts w:ascii="Arial Narrow" w:hAnsi="Arial Narrow"/>
                <w:sz w:val="18"/>
                <w:szCs w:val="18"/>
              </w:rPr>
              <w:t> </w:t>
            </w:r>
          </w:p>
        </w:tc>
        <w:tc>
          <w:tcPr>
            <w:tcW w:w="1226" w:type="dxa"/>
            <w:gridSpan w:val="2"/>
            <w:shd w:val="clear" w:color="auto" w:fill="D9D9D9"/>
            <w:vAlign w:val="bottom"/>
          </w:tcPr>
          <w:p w14:paraId="1F4F4E45" w14:textId="5D8E31B0" w:rsidR="00AA59E1" w:rsidRDefault="00AA59E1" w:rsidP="00AA59E1">
            <w:pPr>
              <w:jc w:val="center"/>
              <w:rPr>
                <w:rFonts w:ascii="Arial Narrow" w:hAnsi="Arial Narrow"/>
                <w:sz w:val="18"/>
                <w:szCs w:val="18"/>
              </w:rPr>
            </w:pPr>
            <w:r>
              <w:rPr>
                <w:rFonts w:ascii="Arial Narrow" w:hAnsi="Arial Narrow"/>
                <w:sz w:val="18"/>
                <w:szCs w:val="18"/>
              </w:rPr>
              <w:t> </w:t>
            </w:r>
          </w:p>
        </w:tc>
        <w:tc>
          <w:tcPr>
            <w:tcW w:w="832" w:type="dxa"/>
            <w:gridSpan w:val="2"/>
            <w:shd w:val="clear" w:color="auto" w:fill="auto"/>
            <w:noWrap/>
            <w:vAlign w:val="bottom"/>
          </w:tcPr>
          <w:p w14:paraId="407A82C9" w14:textId="4D801A9D" w:rsidR="00AA59E1" w:rsidRDefault="00AA59E1" w:rsidP="00AA59E1">
            <w:pPr>
              <w:jc w:val="center"/>
              <w:rPr>
                <w:rFonts w:ascii="Arial Narrow" w:hAnsi="Arial Narrow"/>
                <w:i/>
                <w:iCs/>
                <w:sz w:val="18"/>
                <w:szCs w:val="18"/>
              </w:rPr>
            </w:pPr>
            <w:r>
              <w:rPr>
                <w:rFonts w:ascii="Arial Narrow" w:hAnsi="Arial Narrow"/>
                <w:i/>
                <w:iCs/>
                <w:sz w:val="18"/>
                <w:szCs w:val="18"/>
              </w:rPr>
              <w:t>+5,5</w:t>
            </w:r>
          </w:p>
        </w:tc>
        <w:tc>
          <w:tcPr>
            <w:tcW w:w="996" w:type="dxa"/>
            <w:gridSpan w:val="2"/>
            <w:shd w:val="clear" w:color="auto" w:fill="auto"/>
            <w:noWrap/>
            <w:vAlign w:val="bottom"/>
          </w:tcPr>
          <w:p w14:paraId="36F82B11" w14:textId="307CEC46" w:rsidR="00AA59E1" w:rsidRDefault="00AA59E1" w:rsidP="00AA59E1">
            <w:pPr>
              <w:jc w:val="center"/>
              <w:rPr>
                <w:rFonts w:ascii="Arial Narrow" w:hAnsi="Arial Narrow"/>
                <w:i/>
                <w:iCs/>
                <w:sz w:val="18"/>
                <w:szCs w:val="18"/>
              </w:rPr>
            </w:pPr>
            <w:r>
              <w:rPr>
                <w:rFonts w:ascii="Arial Narrow" w:hAnsi="Arial Narrow"/>
                <w:i/>
                <w:iCs/>
                <w:sz w:val="18"/>
                <w:szCs w:val="18"/>
              </w:rPr>
              <w:t>+6,7</w:t>
            </w:r>
          </w:p>
        </w:tc>
        <w:tc>
          <w:tcPr>
            <w:tcW w:w="665" w:type="dxa"/>
            <w:shd w:val="clear" w:color="auto" w:fill="D9D9D9"/>
            <w:noWrap/>
            <w:vAlign w:val="bottom"/>
          </w:tcPr>
          <w:p w14:paraId="6999010B" w14:textId="46073B31" w:rsidR="00AA59E1" w:rsidRDefault="00AA59E1" w:rsidP="00AA59E1">
            <w:pPr>
              <w:jc w:val="center"/>
              <w:rPr>
                <w:rFonts w:ascii="Arial Narrow" w:hAnsi="Arial Narrow"/>
                <w:sz w:val="18"/>
                <w:szCs w:val="18"/>
              </w:rPr>
            </w:pPr>
            <w:r>
              <w:rPr>
                <w:rFonts w:ascii="Arial Narrow" w:hAnsi="Arial Narrow"/>
                <w:sz w:val="18"/>
                <w:szCs w:val="18"/>
              </w:rPr>
              <w:t> </w:t>
            </w:r>
          </w:p>
        </w:tc>
        <w:tc>
          <w:tcPr>
            <w:tcW w:w="997" w:type="dxa"/>
            <w:gridSpan w:val="2"/>
            <w:shd w:val="clear" w:color="auto" w:fill="D9D9D9"/>
            <w:vAlign w:val="bottom"/>
          </w:tcPr>
          <w:p w14:paraId="2DC9E2FB" w14:textId="48763FD1" w:rsidR="00AA59E1" w:rsidRDefault="00AA59E1" w:rsidP="00AA59E1">
            <w:pPr>
              <w:jc w:val="center"/>
              <w:rPr>
                <w:rFonts w:ascii="Arial Narrow" w:hAnsi="Arial Narrow"/>
                <w:sz w:val="18"/>
                <w:szCs w:val="18"/>
              </w:rPr>
            </w:pPr>
            <w:r>
              <w:rPr>
                <w:rFonts w:ascii="Arial Narrow" w:hAnsi="Arial Narrow"/>
                <w:sz w:val="18"/>
                <w:szCs w:val="18"/>
              </w:rPr>
              <w:t> </w:t>
            </w:r>
          </w:p>
        </w:tc>
      </w:tr>
    </w:tbl>
    <w:p w14:paraId="6DC34355" w14:textId="2321C5EE" w:rsidR="00B77B33" w:rsidRDefault="00B77B33" w:rsidP="00AF23DD">
      <w:pPr>
        <w:pStyle w:val="Corpodeltesto1"/>
        <w:rPr>
          <w:rFonts w:ascii="Arial Narrow" w:hAnsi="Arial Narrow" w:cs="Arial"/>
          <w:bCs/>
          <w:color w:val="E42618"/>
          <w:kern w:val="28"/>
          <w:sz w:val="22"/>
          <w:szCs w:val="22"/>
        </w:rPr>
      </w:pPr>
    </w:p>
    <w:p w14:paraId="61B2F9A6" w14:textId="77777777" w:rsidR="0067206D" w:rsidRDefault="0067206D" w:rsidP="00AF23DD">
      <w:pPr>
        <w:pStyle w:val="Corpodeltesto1"/>
        <w:rPr>
          <w:rFonts w:ascii="Arial Narrow" w:hAnsi="Arial Narrow" w:cs="Arial"/>
          <w:bCs/>
          <w:color w:val="E42618"/>
          <w:kern w:val="28"/>
          <w:sz w:val="22"/>
          <w:szCs w:val="22"/>
        </w:rPr>
      </w:pPr>
    </w:p>
    <w:p w14:paraId="4BDFB4B0" w14:textId="0618500A" w:rsidR="00AF23DD" w:rsidRDefault="003C7722" w:rsidP="00AF23DD">
      <w:pPr>
        <w:pStyle w:val="Corpodeltesto1"/>
        <w:rPr>
          <w:rFonts w:ascii="Arial" w:hAnsi="Arial" w:cs="Arial"/>
          <w:sz w:val="17"/>
          <w:szCs w:val="17"/>
        </w:rPr>
      </w:pPr>
      <w:r w:rsidRPr="00831F78">
        <w:rPr>
          <w:rFonts w:ascii="Arial Narrow" w:hAnsi="Arial Narrow" w:cs="Arial"/>
          <w:bCs/>
          <w:color w:val="E42618"/>
          <w:kern w:val="28"/>
          <w:sz w:val="22"/>
          <w:szCs w:val="22"/>
        </w:rPr>
        <w:t xml:space="preserve">PROSPETTO </w:t>
      </w:r>
      <w:r w:rsidR="00831F78">
        <w:rPr>
          <w:rFonts w:ascii="Arial Narrow" w:hAnsi="Arial Narrow" w:cs="Arial"/>
          <w:bCs/>
          <w:color w:val="E42618"/>
          <w:kern w:val="28"/>
          <w:sz w:val="22"/>
          <w:szCs w:val="22"/>
        </w:rPr>
        <w:t>2</w:t>
      </w:r>
      <w:r w:rsidRPr="00831F78">
        <w:rPr>
          <w:rFonts w:ascii="Arial Narrow" w:hAnsi="Arial Narrow" w:cs="Arial"/>
          <w:bCs/>
          <w:color w:val="E42618"/>
          <w:kern w:val="28"/>
          <w:sz w:val="22"/>
          <w:szCs w:val="22"/>
        </w:rPr>
        <w:t xml:space="preserve">. </w:t>
      </w:r>
      <w:r w:rsidRPr="00831F78">
        <w:rPr>
          <w:rFonts w:ascii="Arial Narrow" w:hAnsi="Arial Narrow" w:cs="Arial"/>
          <w:bCs/>
          <w:color w:val="5F5F5F"/>
          <w:kern w:val="28"/>
          <w:sz w:val="22"/>
          <w:szCs w:val="22"/>
        </w:rPr>
        <w:t>ESPORTAZIONI, IMPORTAZIONI E SALDI DELLA BILANCIA COMMERCIALE SECONDO I RAGGRUPPAMENTI PRINCIPALI DI INDUSTRIE</w:t>
      </w:r>
      <w:r w:rsidRPr="00B37F7D">
        <w:rPr>
          <w:rFonts w:ascii="Arial" w:hAnsi="Arial" w:cs="Arial"/>
          <w:sz w:val="17"/>
          <w:szCs w:val="17"/>
        </w:rPr>
        <w:t xml:space="preserve"> </w:t>
      </w:r>
    </w:p>
    <w:p w14:paraId="6023A485" w14:textId="77A706BA" w:rsidR="00AF23DD" w:rsidRPr="00EE5993" w:rsidRDefault="0075218A" w:rsidP="00AF23DD">
      <w:pPr>
        <w:spacing w:after="120"/>
        <w:rPr>
          <w:rFonts w:ascii="Arial Narrow" w:hAnsi="Arial Narrow" w:cs="Arial"/>
          <w:b/>
          <w:bCs/>
          <w:i/>
          <w:sz w:val="16"/>
          <w:szCs w:val="19"/>
        </w:rPr>
      </w:pPr>
      <w:r>
        <w:rPr>
          <w:rFonts w:ascii="Arial Narrow" w:hAnsi="Arial Narrow" w:cs="Arial"/>
          <w:color w:val="5F5F5F"/>
          <w:sz w:val="20"/>
        </w:rPr>
        <w:t>Febbraio</w:t>
      </w:r>
      <w:r w:rsidR="003A1781">
        <w:rPr>
          <w:rFonts w:ascii="Arial Narrow" w:hAnsi="Arial Narrow" w:cs="Arial"/>
          <w:color w:val="5F5F5F"/>
          <w:sz w:val="20"/>
        </w:rPr>
        <w:t xml:space="preserve"> </w:t>
      </w:r>
      <w:r w:rsidR="00470B67">
        <w:rPr>
          <w:rFonts w:ascii="Arial Narrow" w:hAnsi="Arial Narrow" w:cs="Arial"/>
          <w:color w:val="5F5F5F"/>
          <w:sz w:val="20"/>
        </w:rPr>
        <w:t>2022</w:t>
      </w:r>
      <w:r w:rsidR="003C7722" w:rsidRPr="00EE5993">
        <w:rPr>
          <w:rFonts w:ascii="Arial Narrow" w:hAnsi="Arial Narrow" w:cs="Arial"/>
          <w:color w:val="5F5F5F"/>
          <w:sz w:val="20"/>
        </w:rPr>
        <w:t xml:space="preserve">, variazioni percentuali </w:t>
      </w:r>
      <w:r w:rsidR="00516EEC" w:rsidRPr="00EE5993">
        <w:rPr>
          <w:rFonts w:ascii="Arial Narrow" w:hAnsi="Arial Narrow" w:cs="Arial"/>
          <w:color w:val="5F5F5F"/>
          <w:sz w:val="20"/>
        </w:rPr>
        <w:t xml:space="preserve">congiunturali e tendenziali </w:t>
      </w:r>
      <w:r w:rsidR="003C7722" w:rsidRPr="00EE5993">
        <w:rPr>
          <w:rFonts w:ascii="Arial Narrow" w:hAnsi="Arial Narrow" w:cs="Arial"/>
          <w:color w:val="5F5F5F"/>
          <w:sz w:val="20"/>
        </w:rPr>
        <w:t>e</w:t>
      </w:r>
      <w:r w:rsidR="003C7722" w:rsidRPr="00EE5993">
        <w:rPr>
          <w:rFonts w:ascii="Arial Narrow" w:hAnsi="Arial Narrow" w:cs="Arial"/>
          <w:b/>
          <w:color w:val="5F5F5F"/>
          <w:sz w:val="20"/>
        </w:rPr>
        <w:t xml:space="preserve"> </w:t>
      </w:r>
      <w:r w:rsidR="00AF23DD" w:rsidRPr="00EE5993">
        <w:rPr>
          <w:rFonts w:ascii="Arial Narrow" w:hAnsi="Arial Narrow" w:cs="Arial"/>
          <w:color w:val="5F5F5F"/>
          <w:sz w:val="20"/>
        </w:rPr>
        <w:t>saldi in milioni di euro</w:t>
      </w:r>
    </w:p>
    <w:tbl>
      <w:tblPr>
        <w:tblW w:w="10235" w:type="dxa"/>
        <w:tblInd w:w="70" w:type="dxa"/>
        <w:tblLayout w:type="fixed"/>
        <w:tblCellMar>
          <w:left w:w="70" w:type="dxa"/>
          <w:right w:w="70" w:type="dxa"/>
        </w:tblCellMar>
        <w:tblLook w:val="04A0" w:firstRow="1" w:lastRow="0" w:firstColumn="1" w:lastColumn="0" w:noHBand="0" w:noVBand="1"/>
      </w:tblPr>
      <w:tblGrid>
        <w:gridCol w:w="1587"/>
        <w:gridCol w:w="665"/>
        <w:gridCol w:w="1108"/>
        <w:gridCol w:w="685"/>
        <w:gridCol w:w="1017"/>
        <w:gridCol w:w="708"/>
        <w:gridCol w:w="1134"/>
        <w:gridCol w:w="654"/>
        <w:gridCol w:w="984"/>
        <w:gridCol w:w="709"/>
        <w:gridCol w:w="984"/>
      </w:tblGrid>
      <w:tr w:rsidR="0075218A" w:rsidRPr="00831F78" w14:paraId="26CF1AA9" w14:textId="77777777" w:rsidTr="0075218A">
        <w:trPr>
          <w:trHeight w:val="255"/>
        </w:trPr>
        <w:tc>
          <w:tcPr>
            <w:tcW w:w="1587" w:type="dxa"/>
            <w:vMerge w:val="restart"/>
            <w:tcBorders>
              <w:top w:val="single" w:sz="4" w:space="0" w:color="auto"/>
              <w:left w:val="nil"/>
              <w:bottom w:val="single" w:sz="4" w:space="0" w:color="000000"/>
              <w:right w:val="nil"/>
            </w:tcBorders>
            <w:shd w:val="clear" w:color="auto" w:fill="auto"/>
            <w:vAlign w:val="center"/>
          </w:tcPr>
          <w:p w14:paraId="04D4E2BB" w14:textId="77777777" w:rsidR="0075218A" w:rsidRPr="00831F78" w:rsidRDefault="0075218A" w:rsidP="0075218A">
            <w:pPr>
              <w:spacing w:before="40" w:after="20"/>
              <w:rPr>
                <w:rFonts w:ascii="Arial Narrow" w:hAnsi="Arial Narrow"/>
                <w:b/>
                <w:sz w:val="18"/>
                <w:szCs w:val="18"/>
              </w:rPr>
            </w:pPr>
            <w:r w:rsidRPr="000A4139">
              <w:rPr>
                <w:rFonts w:ascii="Arial Narrow" w:hAnsi="Arial Narrow"/>
                <w:b/>
                <w:sz w:val="18"/>
                <w:szCs w:val="18"/>
              </w:rPr>
              <w:t xml:space="preserve">RAGGRUPPAMENTI PRINCIPALI </w:t>
            </w:r>
            <w:r w:rsidRPr="000A4139">
              <w:rPr>
                <w:rFonts w:ascii="Arial Narrow" w:hAnsi="Arial Narrow"/>
                <w:b/>
                <w:sz w:val="18"/>
                <w:szCs w:val="18"/>
              </w:rPr>
              <w:br/>
              <w:t>DI INDUSTRIE</w:t>
            </w:r>
          </w:p>
        </w:tc>
        <w:tc>
          <w:tcPr>
            <w:tcW w:w="3475" w:type="dxa"/>
            <w:gridSpan w:val="4"/>
            <w:tcBorders>
              <w:top w:val="single" w:sz="4" w:space="0" w:color="auto"/>
              <w:left w:val="nil"/>
              <w:bottom w:val="single" w:sz="4" w:space="0" w:color="auto"/>
              <w:right w:val="nil"/>
            </w:tcBorders>
            <w:shd w:val="clear" w:color="auto" w:fill="D9D9D9"/>
            <w:vAlign w:val="center"/>
          </w:tcPr>
          <w:p w14:paraId="760ACFCF" w14:textId="77777777" w:rsidR="0075218A" w:rsidRPr="00831F78" w:rsidRDefault="0075218A" w:rsidP="0075218A">
            <w:pPr>
              <w:spacing w:before="40" w:after="20"/>
              <w:jc w:val="center"/>
              <w:rPr>
                <w:rFonts w:ascii="Arial Narrow" w:hAnsi="Arial Narrow"/>
                <w:sz w:val="18"/>
                <w:szCs w:val="18"/>
              </w:rPr>
            </w:pPr>
            <w:r w:rsidRPr="00831F78">
              <w:rPr>
                <w:rFonts w:ascii="Arial Narrow" w:hAnsi="Arial Narrow" w:cs="Arial"/>
                <w:b/>
                <w:sz w:val="18"/>
                <w:szCs w:val="18"/>
              </w:rPr>
              <w:t>ESPORTAZIONI</w:t>
            </w:r>
          </w:p>
        </w:tc>
        <w:tc>
          <w:tcPr>
            <w:tcW w:w="3480" w:type="dxa"/>
            <w:gridSpan w:val="4"/>
            <w:tcBorders>
              <w:top w:val="single" w:sz="4" w:space="0" w:color="auto"/>
              <w:left w:val="nil"/>
              <w:bottom w:val="single" w:sz="4" w:space="0" w:color="auto"/>
              <w:right w:val="nil"/>
            </w:tcBorders>
            <w:shd w:val="clear" w:color="auto" w:fill="auto"/>
            <w:vAlign w:val="center"/>
          </w:tcPr>
          <w:p w14:paraId="17D33B07" w14:textId="77777777" w:rsidR="0075218A" w:rsidRPr="00831F78" w:rsidRDefault="0075218A" w:rsidP="0075218A">
            <w:pPr>
              <w:spacing w:before="40" w:after="20"/>
              <w:jc w:val="center"/>
              <w:rPr>
                <w:rFonts w:ascii="Arial Narrow" w:hAnsi="Arial Narrow" w:cs="Arial"/>
                <w:sz w:val="18"/>
                <w:szCs w:val="18"/>
              </w:rPr>
            </w:pPr>
            <w:r w:rsidRPr="00831F78">
              <w:rPr>
                <w:rFonts w:ascii="Arial Narrow" w:hAnsi="Arial Narrow" w:cs="Arial"/>
                <w:b/>
                <w:sz w:val="18"/>
                <w:szCs w:val="18"/>
              </w:rPr>
              <w:t>IMPORTAZIONI</w:t>
            </w:r>
          </w:p>
        </w:tc>
        <w:tc>
          <w:tcPr>
            <w:tcW w:w="1693" w:type="dxa"/>
            <w:gridSpan w:val="2"/>
            <w:vMerge w:val="restart"/>
            <w:tcBorders>
              <w:top w:val="single" w:sz="4" w:space="0" w:color="auto"/>
              <w:left w:val="nil"/>
              <w:right w:val="nil"/>
            </w:tcBorders>
            <w:shd w:val="clear" w:color="auto" w:fill="D9D9D9"/>
            <w:vAlign w:val="center"/>
          </w:tcPr>
          <w:p w14:paraId="1D8C34B7" w14:textId="77777777" w:rsidR="0075218A" w:rsidRPr="00831F78" w:rsidRDefault="0075218A" w:rsidP="0075218A">
            <w:pPr>
              <w:spacing w:before="40" w:after="20"/>
              <w:jc w:val="center"/>
              <w:rPr>
                <w:rFonts w:ascii="Arial Narrow" w:hAnsi="Arial Narrow" w:cs="Arial"/>
                <w:b/>
                <w:sz w:val="18"/>
                <w:szCs w:val="18"/>
              </w:rPr>
            </w:pPr>
            <w:r w:rsidRPr="00831F78">
              <w:rPr>
                <w:rFonts w:ascii="Arial Narrow" w:hAnsi="Arial Narrow" w:cs="Arial"/>
                <w:b/>
                <w:sz w:val="18"/>
                <w:szCs w:val="18"/>
              </w:rPr>
              <w:t>SALDI</w:t>
            </w:r>
          </w:p>
        </w:tc>
      </w:tr>
      <w:tr w:rsidR="0075218A" w:rsidRPr="00831F78" w14:paraId="3A3C6E18" w14:textId="77777777" w:rsidTr="0075218A">
        <w:trPr>
          <w:trHeight w:val="255"/>
        </w:trPr>
        <w:tc>
          <w:tcPr>
            <w:tcW w:w="1587" w:type="dxa"/>
            <w:vMerge/>
            <w:tcBorders>
              <w:top w:val="single" w:sz="4" w:space="0" w:color="auto"/>
              <w:left w:val="nil"/>
              <w:bottom w:val="single" w:sz="4" w:space="0" w:color="000000"/>
              <w:right w:val="nil"/>
            </w:tcBorders>
            <w:vAlign w:val="center"/>
          </w:tcPr>
          <w:p w14:paraId="723E987D"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auto"/>
            <w:vAlign w:val="center"/>
          </w:tcPr>
          <w:p w14:paraId="666CDE1B"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702" w:type="dxa"/>
            <w:gridSpan w:val="2"/>
            <w:tcBorders>
              <w:top w:val="single" w:sz="4" w:space="0" w:color="auto"/>
              <w:left w:val="nil"/>
              <w:bottom w:val="single" w:sz="4" w:space="0" w:color="auto"/>
              <w:right w:val="nil"/>
            </w:tcBorders>
            <w:shd w:val="clear" w:color="auto" w:fill="auto"/>
            <w:vAlign w:val="center"/>
          </w:tcPr>
          <w:p w14:paraId="7991A4D2"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36D0585"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842" w:type="dxa"/>
            <w:gridSpan w:val="2"/>
            <w:tcBorders>
              <w:top w:val="single" w:sz="4" w:space="0" w:color="auto"/>
              <w:left w:val="nil"/>
              <w:bottom w:val="single" w:sz="4" w:space="0" w:color="auto"/>
              <w:right w:val="nil"/>
            </w:tcBorders>
            <w:shd w:val="clear" w:color="auto" w:fill="auto"/>
            <w:vAlign w:val="center"/>
          </w:tcPr>
          <w:p w14:paraId="6879BB9F"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638" w:type="dxa"/>
            <w:gridSpan w:val="2"/>
            <w:tcBorders>
              <w:top w:val="single" w:sz="4" w:space="0" w:color="auto"/>
              <w:left w:val="nil"/>
              <w:bottom w:val="single" w:sz="4" w:space="0" w:color="auto"/>
              <w:right w:val="nil"/>
            </w:tcBorders>
            <w:shd w:val="clear" w:color="auto" w:fill="auto"/>
            <w:vAlign w:val="center"/>
          </w:tcPr>
          <w:p w14:paraId="211FA9B7"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56BE9AFC"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693" w:type="dxa"/>
            <w:gridSpan w:val="2"/>
            <w:vMerge/>
            <w:tcBorders>
              <w:left w:val="nil"/>
              <w:bottom w:val="single" w:sz="4" w:space="0" w:color="auto"/>
              <w:right w:val="nil"/>
            </w:tcBorders>
            <w:shd w:val="clear" w:color="auto" w:fill="D9D9D9"/>
            <w:vAlign w:val="center"/>
          </w:tcPr>
          <w:p w14:paraId="694C96A7" w14:textId="77777777" w:rsidR="0075218A" w:rsidRPr="00831F78" w:rsidRDefault="0075218A" w:rsidP="0075218A">
            <w:pPr>
              <w:spacing w:before="40" w:after="20"/>
              <w:jc w:val="center"/>
              <w:rPr>
                <w:rFonts w:ascii="Arial Narrow" w:hAnsi="Arial Narrow"/>
                <w:b/>
                <w:sz w:val="18"/>
                <w:szCs w:val="18"/>
              </w:rPr>
            </w:pPr>
          </w:p>
        </w:tc>
      </w:tr>
      <w:tr w:rsidR="0075218A" w:rsidRPr="00831F78" w14:paraId="626C9A21" w14:textId="77777777" w:rsidTr="0075218A">
        <w:trPr>
          <w:trHeight w:val="255"/>
        </w:trPr>
        <w:tc>
          <w:tcPr>
            <w:tcW w:w="1587" w:type="dxa"/>
            <w:vMerge/>
            <w:tcBorders>
              <w:top w:val="single" w:sz="4" w:space="0" w:color="auto"/>
              <w:left w:val="nil"/>
              <w:bottom w:val="single" w:sz="4" w:space="0" w:color="000000"/>
              <w:right w:val="nil"/>
            </w:tcBorders>
            <w:vAlign w:val="center"/>
          </w:tcPr>
          <w:p w14:paraId="3B585800"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D9D9D9"/>
            <w:vAlign w:val="center"/>
          </w:tcPr>
          <w:p w14:paraId="4734C434"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702" w:type="dxa"/>
            <w:gridSpan w:val="2"/>
            <w:tcBorders>
              <w:top w:val="single" w:sz="4" w:space="0" w:color="auto"/>
              <w:left w:val="nil"/>
              <w:bottom w:val="single" w:sz="4" w:space="0" w:color="auto"/>
              <w:right w:val="nil"/>
            </w:tcBorders>
            <w:shd w:val="clear" w:color="auto" w:fill="auto"/>
            <w:vAlign w:val="center"/>
          </w:tcPr>
          <w:p w14:paraId="4E57CE50"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842" w:type="dxa"/>
            <w:gridSpan w:val="2"/>
            <w:tcBorders>
              <w:top w:val="single" w:sz="4" w:space="0" w:color="auto"/>
              <w:left w:val="nil"/>
              <w:bottom w:val="single" w:sz="4" w:space="0" w:color="auto"/>
              <w:right w:val="nil"/>
            </w:tcBorders>
            <w:shd w:val="clear" w:color="auto" w:fill="D9D9D9"/>
            <w:vAlign w:val="center"/>
          </w:tcPr>
          <w:p w14:paraId="1992C19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638" w:type="dxa"/>
            <w:gridSpan w:val="2"/>
            <w:tcBorders>
              <w:top w:val="single" w:sz="4" w:space="0" w:color="auto"/>
              <w:left w:val="nil"/>
              <w:bottom w:val="single" w:sz="4" w:space="0" w:color="auto"/>
              <w:right w:val="nil"/>
            </w:tcBorders>
            <w:shd w:val="clear" w:color="auto" w:fill="auto"/>
            <w:vAlign w:val="center"/>
          </w:tcPr>
          <w:p w14:paraId="2E1947E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693" w:type="dxa"/>
            <w:gridSpan w:val="2"/>
            <w:tcBorders>
              <w:top w:val="single" w:sz="4" w:space="0" w:color="auto"/>
              <w:left w:val="nil"/>
              <w:bottom w:val="single" w:sz="4" w:space="0" w:color="auto"/>
              <w:right w:val="nil"/>
            </w:tcBorders>
            <w:shd w:val="clear" w:color="auto" w:fill="D9D9D9"/>
            <w:vAlign w:val="center"/>
          </w:tcPr>
          <w:p w14:paraId="1AE80312"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p w14:paraId="51CA8C13"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Milioni di euro</w:t>
            </w:r>
          </w:p>
        </w:tc>
      </w:tr>
      <w:tr w:rsidR="0075218A" w:rsidRPr="00831F78" w14:paraId="1643CD66" w14:textId="77777777" w:rsidTr="0075218A">
        <w:trPr>
          <w:trHeight w:val="255"/>
        </w:trPr>
        <w:tc>
          <w:tcPr>
            <w:tcW w:w="1587" w:type="dxa"/>
            <w:vMerge/>
            <w:tcBorders>
              <w:top w:val="single" w:sz="4" w:space="0" w:color="auto"/>
              <w:left w:val="nil"/>
              <w:bottom w:val="single" w:sz="4" w:space="0" w:color="000000"/>
              <w:right w:val="nil"/>
            </w:tcBorders>
            <w:vAlign w:val="center"/>
          </w:tcPr>
          <w:p w14:paraId="7B61CD09" w14:textId="77777777" w:rsidR="0075218A" w:rsidRPr="00831F78" w:rsidRDefault="0075218A" w:rsidP="0075218A">
            <w:pPr>
              <w:spacing w:before="40" w:after="20"/>
              <w:rPr>
                <w:rFonts w:ascii="Arial Narrow" w:hAnsi="Arial Narrow"/>
                <w:sz w:val="18"/>
                <w:szCs w:val="18"/>
              </w:rPr>
            </w:pPr>
          </w:p>
        </w:tc>
        <w:tc>
          <w:tcPr>
            <w:tcW w:w="665" w:type="dxa"/>
            <w:tcBorders>
              <w:top w:val="nil"/>
              <w:left w:val="nil"/>
              <w:right w:val="nil"/>
            </w:tcBorders>
            <w:shd w:val="clear" w:color="auto" w:fill="auto"/>
            <w:vAlign w:val="center"/>
          </w:tcPr>
          <w:p w14:paraId="0425417F"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15BA1436" w14:textId="244E4941"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 22</w:t>
            </w:r>
          </w:p>
        </w:tc>
        <w:tc>
          <w:tcPr>
            <w:tcW w:w="1108" w:type="dxa"/>
            <w:tcBorders>
              <w:top w:val="nil"/>
              <w:left w:val="nil"/>
              <w:right w:val="nil"/>
            </w:tcBorders>
            <w:shd w:val="clear" w:color="auto" w:fill="auto"/>
            <w:vAlign w:val="center"/>
          </w:tcPr>
          <w:p w14:paraId="0E843D90"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dic 21-feb 22</w:t>
            </w:r>
          </w:p>
          <w:p w14:paraId="62D4A671" w14:textId="023A651B"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set-nov 21</w:t>
            </w:r>
          </w:p>
        </w:tc>
        <w:tc>
          <w:tcPr>
            <w:tcW w:w="685" w:type="dxa"/>
            <w:tcBorders>
              <w:top w:val="nil"/>
              <w:left w:val="nil"/>
              <w:right w:val="nil"/>
            </w:tcBorders>
            <w:shd w:val="clear" w:color="auto" w:fill="auto"/>
            <w:noWrap/>
            <w:vAlign w:val="center"/>
          </w:tcPr>
          <w:p w14:paraId="20C9B689"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552058E0" w14:textId="756C76EA"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017" w:type="dxa"/>
            <w:tcBorders>
              <w:top w:val="nil"/>
              <w:left w:val="nil"/>
              <w:right w:val="nil"/>
            </w:tcBorders>
            <w:shd w:val="clear" w:color="auto" w:fill="auto"/>
            <w:noWrap/>
            <w:vAlign w:val="center"/>
          </w:tcPr>
          <w:p w14:paraId="6BB6EF30"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3E8742C6" w14:textId="640301DE"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708" w:type="dxa"/>
            <w:tcBorders>
              <w:top w:val="nil"/>
              <w:left w:val="nil"/>
              <w:right w:val="nil"/>
            </w:tcBorders>
            <w:shd w:val="clear" w:color="auto" w:fill="auto"/>
            <w:vAlign w:val="center"/>
          </w:tcPr>
          <w:p w14:paraId="50D4B76D"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79EE89C1" w14:textId="0B8DAF16"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 22</w:t>
            </w:r>
          </w:p>
        </w:tc>
        <w:tc>
          <w:tcPr>
            <w:tcW w:w="1134" w:type="dxa"/>
            <w:tcBorders>
              <w:top w:val="nil"/>
              <w:left w:val="nil"/>
              <w:right w:val="nil"/>
            </w:tcBorders>
            <w:shd w:val="clear" w:color="auto" w:fill="auto"/>
            <w:vAlign w:val="center"/>
          </w:tcPr>
          <w:p w14:paraId="0D81B409"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dic 21-feb 22</w:t>
            </w:r>
          </w:p>
          <w:p w14:paraId="40180A31" w14:textId="43E47C5C"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set-nov 21</w:t>
            </w:r>
          </w:p>
        </w:tc>
        <w:tc>
          <w:tcPr>
            <w:tcW w:w="654" w:type="dxa"/>
            <w:tcBorders>
              <w:top w:val="nil"/>
              <w:left w:val="nil"/>
              <w:right w:val="nil"/>
            </w:tcBorders>
            <w:shd w:val="clear" w:color="auto" w:fill="auto"/>
            <w:noWrap/>
            <w:vAlign w:val="center"/>
          </w:tcPr>
          <w:p w14:paraId="699132E4"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7808F780" w14:textId="025A36C3"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984" w:type="dxa"/>
            <w:tcBorders>
              <w:top w:val="nil"/>
              <w:left w:val="nil"/>
              <w:right w:val="nil"/>
            </w:tcBorders>
            <w:shd w:val="clear" w:color="auto" w:fill="auto"/>
            <w:noWrap/>
            <w:vAlign w:val="center"/>
          </w:tcPr>
          <w:p w14:paraId="71611C54"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5F401C1B" w14:textId="3588A9D8"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709" w:type="dxa"/>
            <w:tcBorders>
              <w:top w:val="single" w:sz="4" w:space="0" w:color="auto"/>
              <w:left w:val="nil"/>
              <w:right w:val="nil"/>
            </w:tcBorders>
            <w:shd w:val="clear" w:color="auto" w:fill="auto"/>
            <w:vAlign w:val="center"/>
          </w:tcPr>
          <w:p w14:paraId="39832C3F" w14:textId="31F0D384"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22</w:t>
            </w:r>
          </w:p>
        </w:tc>
        <w:tc>
          <w:tcPr>
            <w:tcW w:w="984" w:type="dxa"/>
            <w:tcBorders>
              <w:top w:val="single" w:sz="4" w:space="0" w:color="auto"/>
              <w:left w:val="nil"/>
              <w:right w:val="nil"/>
            </w:tcBorders>
            <w:shd w:val="clear" w:color="auto" w:fill="auto"/>
            <w:vAlign w:val="center"/>
          </w:tcPr>
          <w:p w14:paraId="78455110" w14:textId="3908509D"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22</w:t>
            </w:r>
          </w:p>
        </w:tc>
      </w:tr>
      <w:tr w:rsidR="00AA59E1" w:rsidRPr="008C0651" w14:paraId="736716A8"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422B7BD3" w14:textId="77777777" w:rsidR="00AA59E1" w:rsidRPr="00831F78" w:rsidRDefault="00AA59E1" w:rsidP="00AA59E1">
            <w:pPr>
              <w:spacing w:before="40" w:after="20"/>
              <w:rPr>
                <w:rFonts w:ascii="Arial Narrow" w:hAnsi="Arial Narrow"/>
                <w:sz w:val="18"/>
                <w:szCs w:val="18"/>
              </w:rPr>
            </w:pPr>
            <w:r w:rsidRPr="00831F78">
              <w:rPr>
                <w:rFonts w:ascii="Arial Narrow" w:hAnsi="Arial Narrow"/>
                <w:sz w:val="18"/>
                <w:szCs w:val="18"/>
              </w:rPr>
              <w:t>Beni di consumo</w:t>
            </w:r>
          </w:p>
        </w:tc>
        <w:tc>
          <w:tcPr>
            <w:tcW w:w="665" w:type="dxa"/>
            <w:tcBorders>
              <w:top w:val="single" w:sz="4" w:space="0" w:color="auto"/>
              <w:left w:val="nil"/>
              <w:bottom w:val="single" w:sz="4" w:space="0" w:color="auto"/>
              <w:right w:val="nil"/>
            </w:tcBorders>
            <w:shd w:val="clear" w:color="auto" w:fill="D9D9D9"/>
            <w:noWrap/>
            <w:vAlign w:val="center"/>
          </w:tcPr>
          <w:p w14:paraId="193A2938" w14:textId="390340F8" w:rsidR="00AA59E1" w:rsidRDefault="00AA59E1" w:rsidP="00AA59E1">
            <w:pPr>
              <w:jc w:val="center"/>
              <w:rPr>
                <w:rFonts w:ascii="Arial Narrow" w:hAnsi="Arial Narrow"/>
                <w:sz w:val="18"/>
                <w:szCs w:val="18"/>
              </w:rPr>
            </w:pPr>
            <w:r>
              <w:rPr>
                <w:rFonts w:ascii="Arial Narrow" w:hAnsi="Arial Narrow"/>
                <w:sz w:val="18"/>
                <w:szCs w:val="18"/>
              </w:rPr>
              <w:t>+3,6</w:t>
            </w:r>
          </w:p>
        </w:tc>
        <w:tc>
          <w:tcPr>
            <w:tcW w:w="1108" w:type="dxa"/>
            <w:tcBorders>
              <w:top w:val="single" w:sz="4" w:space="0" w:color="auto"/>
              <w:left w:val="nil"/>
              <w:bottom w:val="single" w:sz="4" w:space="0" w:color="auto"/>
              <w:right w:val="nil"/>
            </w:tcBorders>
            <w:shd w:val="clear" w:color="auto" w:fill="D9D9D9"/>
            <w:noWrap/>
            <w:vAlign w:val="center"/>
          </w:tcPr>
          <w:p w14:paraId="674BFB78" w14:textId="53D72B45" w:rsidR="00AA59E1" w:rsidRDefault="00AA59E1" w:rsidP="00AA59E1">
            <w:pPr>
              <w:jc w:val="center"/>
              <w:rPr>
                <w:rFonts w:ascii="Arial Narrow" w:hAnsi="Arial Narrow"/>
                <w:sz w:val="18"/>
                <w:szCs w:val="18"/>
              </w:rPr>
            </w:pPr>
            <w:r>
              <w:rPr>
                <w:rFonts w:ascii="Arial Narrow" w:hAnsi="Arial Narrow"/>
                <w:sz w:val="18"/>
                <w:szCs w:val="18"/>
              </w:rPr>
              <w:t>+5,2</w:t>
            </w:r>
          </w:p>
        </w:tc>
        <w:tc>
          <w:tcPr>
            <w:tcW w:w="685" w:type="dxa"/>
            <w:tcBorders>
              <w:top w:val="single" w:sz="4" w:space="0" w:color="auto"/>
              <w:left w:val="nil"/>
              <w:bottom w:val="single" w:sz="4" w:space="0" w:color="auto"/>
              <w:right w:val="nil"/>
            </w:tcBorders>
            <w:shd w:val="clear" w:color="auto" w:fill="auto"/>
            <w:noWrap/>
            <w:vAlign w:val="center"/>
          </w:tcPr>
          <w:p w14:paraId="68FB1849" w14:textId="2868BD93" w:rsidR="00AA59E1" w:rsidRDefault="00AA59E1" w:rsidP="00AA59E1">
            <w:pPr>
              <w:jc w:val="center"/>
              <w:rPr>
                <w:rFonts w:ascii="Arial Narrow" w:hAnsi="Arial Narrow"/>
                <w:sz w:val="18"/>
                <w:szCs w:val="18"/>
              </w:rPr>
            </w:pPr>
            <w:r>
              <w:rPr>
                <w:rFonts w:ascii="Arial Narrow" w:hAnsi="Arial Narrow"/>
                <w:sz w:val="18"/>
                <w:szCs w:val="18"/>
              </w:rPr>
              <w:t>+21,3</w:t>
            </w:r>
          </w:p>
        </w:tc>
        <w:tc>
          <w:tcPr>
            <w:tcW w:w="1017" w:type="dxa"/>
            <w:tcBorders>
              <w:top w:val="single" w:sz="4" w:space="0" w:color="auto"/>
              <w:left w:val="nil"/>
              <w:bottom w:val="single" w:sz="4" w:space="0" w:color="auto"/>
              <w:right w:val="nil"/>
            </w:tcBorders>
            <w:shd w:val="clear" w:color="auto" w:fill="auto"/>
            <w:noWrap/>
            <w:vAlign w:val="center"/>
          </w:tcPr>
          <w:p w14:paraId="03DFA5BB" w14:textId="3241287A" w:rsidR="00AA59E1" w:rsidRDefault="00AA59E1" w:rsidP="00AA59E1">
            <w:pPr>
              <w:jc w:val="center"/>
              <w:rPr>
                <w:rFonts w:ascii="Arial Narrow" w:hAnsi="Arial Narrow"/>
                <w:sz w:val="18"/>
                <w:szCs w:val="18"/>
              </w:rPr>
            </w:pPr>
            <w:r>
              <w:rPr>
                <w:rFonts w:ascii="Arial Narrow" w:hAnsi="Arial Narrow"/>
                <w:sz w:val="18"/>
                <w:szCs w:val="18"/>
              </w:rPr>
              <w:t>+20,0</w:t>
            </w:r>
          </w:p>
        </w:tc>
        <w:tc>
          <w:tcPr>
            <w:tcW w:w="708" w:type="dxa"/>
            <w:tcBorders>
              <w:top w:val="single" w:sz="4" w:space="0" w:color="auto"/>
              <w:left w:val="nil"/>
              <w:bottom w:val="single" w:sz="4" w:space="0" w:color="auto"/>
              <w:right w:val="nil"/>
            </w:tcBorders>
            <w:shd w:val="clear" w:color="auto" w:fill="D9D9D9"/>
            <w:noWrap/>
            <w:vAlign w:val="center"/>
          </w:tcPr>
          <w:p w14:paraId="35E5980E" w14:textId="45153D04" w:rsidR="00AA59E1" w:rsidRDefault="00AA59E1" w:rsidP="00AA59E1">
            <w:pPr>
              <w:jc w:val="center"/>
              <w:rPr>
                <w:rFonts w:ascii="Arial Narrow" w:hAnsi="Arial Narrow"/>
                <w:sz w:val="18"/>
                <w:szCs w:val="18"/>
              </w:rPr>
            </w:pPr>
            <w:r>
              <w:rPr>
                <w:rFonts w:ascii="Arial Narrow" w:hAnsi="Arial Narrow"/>
                <w:sz w:val="18"/>
                <w:szCs w:val="18"/>
              </w:rPr>
              <w:t>+2,9</w:t>
            </w:r>
          </w:p>
        </w:tc>
        <w:tc>
          <w:tcPr>
            <w:tcW w:w="1134" w:type="dxa"/>
            <w:tcBorders>
              <w:top w:val="single" w:sz="4" w:space="0" w:color="auto"/>
              <w:left w:val="nil"/>
              <w:bottom w:val="single" w:sz="4" w:space="0" w:color="auto"/>
              <w:right w:val="nil"/>
            </w:tcBorders>
            <w:shd w:val="clear" w:color="auto" w:fill="D9D9D9"/>
            <w:noWrap/>
            <w:vAlign w:val="center"/>
          </w:tcPr>
          <w:p w14:paraId="44070F80" w14:textId="5BEE047D" w:rsidR="00AA59E1" w:rsidRDefault="00AA59E1" w:rsidP="00AA59E1">
            <w:pPr>
              <w:jc w:val="center"/>
              <w:rPr>
                <w:rFonts w:ascii="Arial Narrow" w:hAnsi="Arial Narrow"/>
                <w:sz w:val="18"/>
                <w:szCs w:val="18"/>
              </w:rPr>
            </w:pPr>
            <w:r>
              <w:rPr>
                <w:rFonts w:ascii="Arial Narrow" w:hAnsi="Arial Narrow"/>
                <w:sz w:val="18"/>
                <w:szCs w:val="18"/>
              </w:rPr>
              <w:t>+7,9</w:t>
            </w:r>
          </w:p>
        </w:tc>
        <w:tc>
          <w:tcPr>
            <w:tcW w:w="654" w:type="dxa"/>
            <w:tcBorders>
              <w:top w:val="single" w:sz="4" w:space="0" w:color="auto"/>
              <w:left w:val="nil"/>
              <w:bottom w:val="single" w:sz="4" w:space="0" w:color="auto"/>
              <w:right w:val="nil"/>
            </w:tcBorders>
            <w:shd w:val="clear" w:color="auto" w:fill="auto"/>
            <w:noWrap/>
            <w:vAlign w:val="center"/>
          </w:tcPr>
          <w:p w14:paraId="5DEA871A" w14:textId="0826B210" w:rsidR="00AA59E1" w:rsidRDefault="00AA59E1" w:rsidP="00AA59E1">
            <w:pPr>
              <w:jc w:val="center"/>
              <w:rPr>
                <w:rFonts w:ascii="Arial Narrow" w:hAnsi="Arial Narrow"/>
                <w:sz w:val="18"/>
                <w:szCs w:val="18"/>
              </w:rPr>
            </w:pPr>
            <w:r>
              <w:rPr>
                <w:rFonts w:ascii="Arial Narrow" w:hAnsi="Arial Narrow"/>
                <w:sz w:val="18"/>
                <w:szCs w:val="18"/>
              </w:rPr>
              <w:t>+27,2</w:t>
            </w:r>
          </w:p>
        </w:tc>
        <w:tc>
          <w:tcPr>
            <w:tcW w:w="984" w:type="dxa"/>
            <w:tcBorders>
              <w:top w:val="single" w:sz="4" w:space="0" w:color="auto"/>
              <w:left w:val="nil"/>
              <w:bottom w:val="single" w:sz="4" w:space="0" w:color="auto"/>
              <w:right w:val="nil"/>
            </w:tcBorders>
            <w:shd w:val="clear" w:color="auto" w:fill="auto"/>
            <w:noWrap/>
            <w:vAlign w:val="center"/>
          </w:tcPr>
          <w:p w14:paraId="094DD5FA" w14:textId="7588635C" w:rsidR="00AA59E1" w:rsidRDefault="00AA59E1" w:rsidP="00AA59E1">
            <w:pPr>
              <w:jc w:val="center"/>
              <w:rPr>
                <w:rFonts w:ascii="Arial Narrow" w:hAnsi="Arial Narrow"/>
                <w:sz w:val="18"/>
                <w:szCs w:val="18"/>
              </w:rPr>
            </w:pPr>
            <w:r>
              <w:rPr>
                <w:rFonts w:ascii="Arial Narrow" w:hAnsi="Arial Narrow"/>
                <w:sz w:val="18"/>
                <w:szCs w:val="18"/>
              </w:rPr>
              <w:t>+27,6</w:t>
            </w:r>
          </w:p>
        </w:tc>
        <w:tc>
          <w:tcPr>
            <w:tcW w:w="709" w:type="dxa"/>
            <w:tcBorders>
              <w:top w:val="single" w:sz="4" w:space="0" w:color="auto"/>
              <w:left w:val="nil"/>
              <w:bottom w:val="single" w:sz="4" w:space="0" w:color="auto"/>
              <w:right w:val="nil"/>
            </w:tcBorders>
            <w:shd w:val="clear" w:color="auto" w:fill="D9D9D9"/>
            <w:noWrap/>
            <w:vAlign w:val="center"/>
          </w:tcPr>
          <w:p w14:paraId="0A169005" w14:textId="416A2853" w:rsidR="00AA59E1" w:rsidRDefault="00AA59E1" w:rsidP="00AA59E1">
            <w:pPr>
              <w:jc w:val="center"/>
              <w:rPr>
                <w:rFonts w:ascii="Arial Narrow" w:hAnsi="Arial Narrow"/>
                <w:sz w:val="18"/>
                <w:szCs w:val="18"/>
              </w:rPr>
            </w:pPr>
            <w:r>
              <w:rPr>
                <w:rFonts w:ascii="Arial Narrow" w:hAnsi="Arial Narrow"/>
                <w:sz w:val="18"/>
                <w:szCs w:val="18"/>
              </w:rPr>
              <w:t>+4.114</w:t>
            </w:r>
          </w:p>
        </w:tc>
        <w:tc>
          <w:tcPr>
            <w:tcW w:w="984" w:type="dxa"/>
            <w:tcBorders>
              <w:top w:val="single" w:sz="4" w:space="0" w:color="auto"/>
              <w:left w:val="nil"/>
              <w:bottom w:val="single" w:sz="4" w:space="0" w:color="auto"/>
              <w:right w:val="nil"/>
            </w:tcBorders>
            <w:shd w:val="clear" w:color="auto" w:fill="D9D9D9"/>
            <w:vAlign w:val="center"/>
          </w:tcPr>
          <w:p w14:paraId="1E9FCC23" w14:textId="46F77C02" w:rsidR="00AA59E1" w:rsidRDefault="00AA59E1" w:rsidP="00AA59E1">
            <w:pPr>
              <w:jc w:val="center"/>
              <w:rPr>
                <w:rFonts w:ascii="Arial Narrow" w:hAnsi="Arial Narrow"/>
                <w:sz w:val="18"/>
                <w:szCs w:val="18"/>
              </w:rPr>
            </w:pPr>
            <w:r>
              <w:rPr>
                <w:rFonts w:ascii="Arial Narrow" w:hAnsi="Arial Narrow"/>
                <w:sz w:val="18"/>
                <w:szCs w:val="18"/>
              </w:rPr>
              <w:t>+6.385</w:t>
            </w:r>
          </w:p>
        </w:tc>
      </w:tr>
      <w:tr w:rsidR="00AA59E1" w:rsidRPr="008C0651" w14:paraId="1B907A93"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54DD10DC" w14:textId="77777777" w:rsidR="00AA59E1" w:rsidRPr="00AB0DE6" w:rsidRDefault="00AA59E1" w:rsidP="00AA59E1">
            <w:pPr>
              <w:spacing w:before="40" w:after="20"/>
              <w:rPr>
                <w:rFonts w:ascii="Arial Narrow" w:hAnsi="Arial Narrow"/>
                <w:sz w:val="18"/>
                <w:szCs w:val="18"/>
              </w:rPr>
            </w:pPr>
            <w:r w:rsidRPr="00AB0DE6">
              <w:rPr>
                <w:rFonts w:ascii="Arial Narrow" w:hAnsi="Arial Narrow"/>
                <w:sz w:val="18"/>
                <w:szCs w:val="18"/>
              </w:rPr>
              <w:t xml:space="preserve">  </w:t>
            </w:r>
            <w:r>
              <w:rPr>
                <w:rFonts w:ascii="Arial Narrow" w:hAnsi="Arial Narrow"/>
                <w:sz w:val="18"/>
                <w:szCs w:val="18"/>
              </w:rPr>
              <w:t>d</w:t>
            </w:r>
            <w:r w:rsidRPr="00AB0DE6">
              <w:rPr>
                <w:rFonts w:ascii="Arial Narrow" w:hAnsi="Arial Narrow"/>
                <w:sz w:val="18"/>
                <w:szCs w:val="18"/>
              </w:rPr>
              <w:t>urevoli</w:t>
            </w:r>
          </w:p>
        </w:tc>
        <w:tc>
          <w:tcPr>
            <w:tcW w:w="665" w:type="dxa"/>
            <w:tcBorders>
              <w:top w:val="single" w:sz="4" w:space="0" w:color="auto"/>
              <w:left w:val="nil"/>
              <w:bottom w:val="single" w:sz="4" w:space="0" w:color="auto"/>
              <w:right w:val="nil"/>
            </w:tcBorders>
            <w:shd w:val="clear" w:color="auto" w:fill="D9D9D9"/>
            <w:noWrap/>
            <w:vAlign w:val="center"/>
          </w:tcPr>
          <w:p w14:paraId="3FDC9C11" w14:textId="7BBFDCD5" w:rsidR="00AA59E1" w:rsidRDefault="00AA59E1" w:rsidP="00AA59E1">
            <w:pPr>
              <w:jc w:val="center"/>
              <w:rPr>
                <w:rFonts w:ascii="Arial Narrow" w:hAnsi="Arial Narrow"/>
                <w:sz w:val="18"/>
                <w:szCs w:val="18"/>
              </w:rPr>
            </w:pPr>
            <w:r>
              <w:rPr>
                <w:rFonts w:ascii="Arial Narrow" w:hAnsi="Arial Narrow"/>
                <w:sz w:val="18"/>
                <w:szCs w:val="18"/>
              </w:rPr>
              <w:t>+0,0</w:t>
            </w:r>
          </w:p>
        </w:tc>
        <w:tc>
          <w:tcPr>
            <w:tcW w:w="1108" w:type="dxa"/>
            <w:tcBorders>
              <w:top w:val="single" w:sz="4" w:space="0" w:color="auto"/>
              <w:left w:val="nil"/>
              <w:bottom w:val="single" w:sz="4" w:space="0" w:color="auto"/>
              <w:right w:val="nil"/>
            </w:tcBorders>
            <w:shd w:val="clear" w:color="auto" w:fill="D9D9D9"/>
            <w:noWrap/>
            <w:vAlign w:val="center"/>
          </w:tcPr>
          <w:p w14:paraId="0D5C1158" w14:textId="15B73FB6" w:rsidR="00AA59E1" w:rsidRDefault="00AA59E1" w:rsidP="00AA59E1">
            <w:pPr>
              <w:jc w:val="center"/>
              <w:rPr>
                <w:rFonts w:ascii="Arial Narrow" w:hAnsi="Arial Narrow"/>
                <w:sz w:val="18"/>
                <w:szCs w:val="18"/>
              </w:rPr>
            </w:pPr>
            <w:r>
              <w:rPr>
                <w:rFonts w:ascii="Arial Narrow" w:hAnsi="Arial Narrow"/>
                <w:sz w:val="18"/>
                <w:szCs w:val="18"/>
              </w:rPr>
              <w:t>+4,1</w:t>
            </w:r>
          </w:p>
        </w:tc>
        <w:tc>
          <w:tcPr>
            <w:tcW w:w="685" w:type="dxa"/>
            <w:tcBorders>
              <w:top w:val="single" w:sz="4" w:space="0" w:color="auto"/>
              <w:left w:val="nil"/>
              <w:bottom w:val="single" w:sz="4" w:space="0" w:color="auto"/>
              <w:right w:val="nil"/>
            </w:tcBorders>
            <w:shd w:val="clear" w:color="auto" w:fill="auto"/>
            <w:noWrap/>
            <w:vAlign w:val="center"/>
          </w:tcPr>
          <w:p w14:paraId="2012164B" w14:textId="42D0F90D" w:rsidR="00AA59E1" w:rsidRDefault="00AA59E1" w:rsidP="00AA59E1">
            <w:pPr>
              <w:jc w:val="center"/>
              <w:rPr>
                <w:rFonts w:ascii="Arial Narrow" w:hAnsi="Arial Narrow"/>
                <w:sz w:val="18"/>
                <w:szCs w:val="18"/>
              </w:rPr>
            </w:pPr>
            <w:r>
              <w:rPr>
                <w:rFonts w:ascii="Arial Narrow" w:hAnsi="Arial Narrow"/>
                <w:sz w:val="18"/>
                <w:szCs w:val="18"/>
              </w:rPr>
              <w:t>+18,3</w:t>
            </w:r>
          </w:p>
        </w:tc>
        <w:tc>
          <w:tcPr>
            <w:tcW w:w="1017" w:type="dxa"/>
            <w:tcBorders>
              <w:top w:val="single" w:sz="4" w:space="0" w:color="auto"/>
              <w:left w:val="nil"/>
              <w:bottom w:val="single" w:sz="4" w:space="0" w:color="auto"/>
              <w:right w:val="nil"/>
            </w:tcBorders>
            <w:shd w:val="clear" w:color="auto" w:fill="auto"/>
            <w:noWrap/>
            <w:vAlign w:val="center"/>
          </w:tcPr>
          <w:p w14:paraId="70EDECFF" w14:textId="243D7F4F" w:rsidR="00AA59E1" w:rsidRDefault="00AA59E1" w:rsidP="00AA59E1">
            <w:pPr>
              <w:jc w:val="center"/>
              <w:rPr>
                <w:rFonts w:ascii="Arial Narrow" w:hAnsi="Arial Narrow"/>
                <w:sz w:val="18"/>
                <w:szCs w:val="18"/>
              </w:rPr>
            </w:pPr>
            <w:r>
              <w:rPr>
                <w:rFonts w:ascii="Arial Narrow" w:hAnsi="Arial Narrow"/>
                <w:sz w:val="18"/>
                <w:szCs w:val="18"/>
              </w:rPr>
              <w:t>+18,2</w:t>
            </w:r>
          </w:p>
        </w:tc>
        <w:tc>
          <w:tcPr>
            <w:tcW w:w="708" w:type="dxa"/>
            <w:tcBorders>
              <w:top w:val="single" w:sz="4" w:space="0" w:color="auto"/>
              <w:left w:val="nil"/>
              <w:bottom w:val="single" w:sz="4" w:space="0" w:color="auto"/>
              <w:right w:val="nil"/>
            </w:tcBorders>
            <w:shd w:val="clear" w:color="auto" w:fill="D9D9D9"/>
            <w:noWrap/>
            <w:vAlign w:val="center"/>
          </w:tcPr>
          <w:p w14:paraId="72A9E3DA" w14:textId="547B2115" w:rsidR="00AA59E1" w:rsidRDefault="00AA59E1" w:rsidP="00AA59E1">
            <w:pPr>
              <w:jc w:val="center"/>
              <w:rPr>
                <w:rFonts w:ascii="Arial Narrow" w:hAnsi="Arial Narrow"/>
                <w:sz w:val="18"/>
                <w:szCs w:val="18"/>
              </w:rPr>
            </w:pPr>
            <w:r>
              <w:rPr>
                <w:rFonts w:ascii="Arial Narrow" w:hAnsi="Arial Narrow"/>
                <w:sz w:val="18"/>
                <w:szCs w:val="18"/>
              </w:rPr>
              <w:t>+6,1</w:t>
            </w:r>
          </w:p>
        </w:tc>
        <w:tc>
          <w:tcPr>
            <w:tcW w:w="1134" w:type="dxa"/>
            <w:tcBorders>
              <w:top w:val="single" w:sz="4" w:space="0" w:color="auto"/>
              <w:left w:val="nil"/>
              <w:bottom w:val="single" w:sz="4" w:space="0" w:color="auto"/>
              <w:right w:val="nil"/>
            </w:tcBorders>
            <w:shd w:val="clear" w:color="auto" w:fill="D9D9D9"/>
            <w:noWrap/>
            <w:vAlign w:val="center"/>
          </w:tcPr>
          <w:p w14:paraId="7A970DB7" w14:textId="2A457F9B" w:rsidR="00AA59E1" w:rsidRDefault="00AA59E1" w:rsidP="00AA59E1">
            <w:pPr>
              <w:jc w:val="center"/>
              <w:rPr>
                <w:rFonts w:ascii="Arial Narrow" w:hAnsi="Arial Narrow"/>
                <w:sz w:val="18"/>
                <w:szCs w:val="18"/>
              </w:rPr>
            </w:pPr>
            <w:r>
              <w:rPr>
                <w:rFonts w:ascii="Arial Narrow" w:hAnsi="Arial Narrow"/>
                <w:sz w:val="18"/>
                <w:szCs w:val="18"/>
              </w:rPr>
              <w:t>+12,7</w:t>
            </w:r>
          </w:p>
        </w:tc>
        <w:tc>
          <w:tcPr>
            <w:tcW w:w="654" w:type="dxa"/>
            <w:tcBorders>
              <w:top w:val="single" w:sz="4" w:space="0" w:color="auto"/>
              <w:left w:val="nil"/>
              <w:bottom w:val="single" w:sz="4" w:space="0" w:color="auto"/>
              <w:right w:val="nil"/>
            </w:tcBorders>
            <w:shd w:val="clear" w:color="auto" w:fill="auto"/>
            <w:noWrap/>
            <w:vAlign w:val="center"/>
          </w:tcPr>
          <w:p w14:paraId="0FF61880" w14:textId="0E2C9003" w:rsidR="00AA59E1" w:rsidRDefault="00AA59E1" w:rsidP="00AA59E1">
            <w:pPr>
              <w:jc w:val="center"/>
              <w:rPr>
                <w:rFonts w:ascii="Arial Narrow" w:hAnsi="Arial Narrow"/>
                <w:sz w:val="18"/>
                <w:szCs w:val="18"/>
              </w:rPr>
            </w:pPr>
            <w:r>
              <w:rPr>
                <w:rFonts w:ascii="Arial Narrow" w:hAnsi="Arial Narrow"/>
                <w:sz w:val="18"/>
                <w:szCs w:val="18"/>
              </w:rPr>
              <w:t>+33,3</w:t>
            </w:r>
          </w:p>
        </w:tc>
        <w:tc>
          <w:tcPr>
            <w:tcW w:w="984" w:type="dxa"/>
            <w:tcBorders>
              <w:top w:val="single" w:sz="4" w:space="0" w:color="auto"/>
              <w:left w:val="nil"/>
              <w:bottom w:val="single" w:sz="4" w:space="0" w:color="auto"/>
              <w:right w:val="nil"/>
            </w:tcBorders>
            <w:shd w:val="clear" w:color="auto" w:fill="auto"/>
            <w:noWrap/>
            <w:vAlign w:val="center"/>
          </w:tcPr>
          <w:p w14:paraId="6F169314" w14:textId="5A9B01AE" w:rsidR="00AA59E1" w:rsidRDefault="00AA59E1" w:rsidP="00AA59E1">
            <w:pPr>
              <w:jc w:val="center"/>
              <w:rPr>
                <w:rFonts w:ascii="Arial Narrow" w:hAnsi="Arial Narrow"/>
                <w:sz w:val="18"/>
                <w:szCs w:val="18"/>
              </w:rPr>
            </w:pPr>
            <w:r>
              <w:rPr>
                <w:rFonts w:ascii="Arial Narrow" w:hAnsi="Arial Narrow"/>
                <w:sz w:val="18"/>
                <w:szCs w:val="18"/>
              </w:rPr>
              <w:t>+30,8</w:t>
            </w:r>
          </w:p>
        </w:tc>
        <w:tc>
          <w:tcPr>
            <w:tcW w:w="709" w:type="dxa"/>
            <w:tcBorders>
              <w:top w:val="single" w:sz="4" w:space="0" w:color="auto"/>
              <w:left w:val="nil"/>
              <w:bottom w:val="single" w:sz="4" w:space="0" w:color="auto"/>
              <w:right w:val="nil"/>
            </w:tcBorders>
            <w:shd w:val="clear" w:color="auto" w:fill="D9D9D9"/>
            <w:noWrap/>
            <w:vAlign w:val="center"/>
          </w:tcPr>
          <w:p w14:paraId="50156964" w14:textId="165DD205" w:rsidR="00AA59E1" w:rsidRDefault="00AA59E1" w:rsidP="00AA59E1">
            <w:pPr>
              <w:jc w:val="center"/>
              <w:rPr>
                <w:rFonts w:ascii="Arial Narrow" w:hAnsi="Arial Narrow"/>
                <w:sz w:val="18"/>
                <w:szCs w:val="18"/>
              </w:rPr>
            </w:pPr>
            <w:r>
              <w:rPr>
                <w:rFonts w:ascii="Arial Narrow" w:hAnsi="Arial Narrow"/>
                <w:sz w:val="18"/>
                <w:szCs w:val="18"/>
              </w:rPr>
              <w:t>+1.171</w:t>
            </w:r>
          </w:p>
        </w:tc>
        <w:tc>
          <w:tcPr>
            <w:tcW w:w="984" w:type="dxa"/>
            <w:tcBorders>
              <w:top w:val="single" w:sz="4" w:space="0" w:color="auto"/>
              <w:left w:val="nil"/>
              <w:bottom w:val="single" w:sz="4" w:space="0" w:color="auto"/>
              <w:right w:val="nil"/>
            </w:tcBorders>
            <w:shd w:val="clear" w:color="auto" w:fill="D9D9D9"/>
            <w:vAlign w:val="center"/>
          </w:tcPr>
          <w:p w14:paraId="6078F65F" w14:textId="7286B7F9" w:rsidR="00AA59E1" w:rsidRDefault="00AA59E1" w:rsidP="00AA59E1">
            <w:pPr>
              <w:jc w:val="center"/>
              <w:rPr>
                <w:rFonts w:ascii="Arial Narrow" w:hAnsi="Arial Narrow"/>
                <w:sz w:val="18"/>
                <w:szCs w:val="18"/>
              </w:rPr>
            </w:pPr>
            <w:r>
              <w:rPr>
                <w:rFonts w:ascii="Arial Narrow" w:hAnsi="Arial Narrow"/>
                <w:sz w:val="18"/>
                <w:szCs w:val="18"/>
              </w:rPr>
              <w:t>+1.915</w:t>
            </w:r>
          </w:p>
        </w:tc>
      </w:tr>
      <w:tr w:rsidR="00AA59E1" w:rsidRPr="008C0651" w14:paraId="23399346"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10BB07A3" w14:textId="77777777" w:rsidR="00AA59E1" w:rsidRPr="00AB0DE6" w:rsidRDefault="00AA59E1" w:rsidP="00AA59E1">
            <w:pPr>
              <w:spacing w:before="40" w:after="20"/>
              <w:rPr>
                <w:rFonts w:ascii="Arial Narrow" w:hAnsi="Arial Narrow"/>
                <w:sz w:val="18"/>
                <w:szCs w:val="18"/>
              </w:rPr>
            </w:pPr>
            <w:r w:rsidRPr="00AB0DE6">
              <w:rPr>
                <w:rFonts w:ascii="Arial Narrow" w:hAnsi="Arial Narrow"/>
                <w:sz w:val="18"/>
                <w:szCs w:val="18"/>
              </w:rPr>
              <w:t xml:space="preserve">  non durevoli</w:t>
            </w:r>
          </w:p>
        </w:tc>
        <w:tc>
          <w:tcPr>
            <w:tcW w:w="665" w:type="dxa"/>
            <w:tcBorders>
              <w:top w:val="single" w:sz="4" w:space="0" w:color="auto"/>
              <w:left w:val="nil"/>
              <w:bottom w:val="single" w:sz="4" w:space="0" w:color="auto"/>
              <w:right w:val="nil"/>
            </w:tcBorders>
            <w:shd w:val="clear" w:color="auto" w:fill="D9D9D9"/>
            <w:noWrap/>
            <w:vAlign w:val="center"/>
          </w:tcPr>
          <w:p w14:paraId="7220AE76" w14:textId="36796702" w:rsidR="00AA59E1" w:rsidRDefault="00AA59E1" w:rsidP="00AA59E1">
            <w:pPr>
              <w:jc w:val="center"/>
              <w:rPr>
                <w:rFonts w:ascii="Arial Narrow" w:hAnsi="Arial Narrow"/>
                <w:sz w:val="18"/>
                <w:szCs w:val="18"/>
              </w:rPr>
            </w:pPr>
            <w:r>
              <w:rPr>
                <w:rFonts w:ascii="Arial Narrow" w:hAnsi="Arial Narrow"/>
                <w:sz w:val="18"/>
                <w:szCs w:val="18"/>
              </w:rPr>
              <w:t>+4,4</w:t>
            </w:r>
          </w:p>
        </w:tc>
        <w:tc>
          <w:tcPr>
            <w:tcW w:w="1108" w:type="dxa"/>
            <w:tcBorders>
              <w:top w:val="single" w:sz="4" w:space="0" w:color="auto"/>
              <w:left w:val="nil"/>
              <w:bottom w:val="single" w:sz="4" w:space="0" w:color="auto"/>
              <w:right w:val="nil"/>
            </w:tcBorders>
            <w:shd w:val="clear" w:color="auto" w:fill="D9D9D9"/>
            <w:noWrap/>
            <w:vAlign w:val="center"/>
          </w:tcPr>
          <w:p w14:paraId="6AD1D22F" w14:textId="20662ACF" w:rsidR="00AA59E1" w:rsidRDefault="00AA59E1" w:rsidP="00AA59E1">
            <w:pPr>
              <w:jc w:val="center"/>
              <w:rPr>
                <w:rFonts w:ascii="Arial Narrow" w:hAnsi="Arial Narrow"/>
                <w:sz w:val="18"/>
                <w:szCs w:val="18"/>
              </w:rPr>
            </w:pPr>
            <w:r>
              <w:rPr>
                <w:rFonts w:ascii="Arial Narrow" w:hAnsi="Arial Narrow"/>
                <w:sz w:val="18"/>
                <w:szCs w:val="18"/>
              </w:rPr>
              <w:t>+5,5</w:t>
            </w:r>
          </w:p>
        </w:tc>
        <w:tc>
          <w:tcPr>
            <w:tcW w:w="685" w:type="dxa"/>
            <w:tcBorders>
              <w:top w:val="single" w:sz="4" w:space="0" w:color="auto"/>
              <w:left w:val="nil"/>
              <w:bottom w:val="single" w:sz="4" w:space="0" w:color="auto"/>
              <w:right w:val="nil"/>
            </w:tcBorders>
            <w:shd w:val="clear" w:color="auto" w:fill="auto"/>
            <w:noWrap/>
            <w:vAlign w:val="center"/>
          </w:tcPr>
          <w:p w14:paraId="0E7955E1" w14:textId="2D63100F" w:rsidR="00AA59E1" w:rsidRDefault="00AA59E1" w:rsidP="00AA59E1">
            <w:pPr>
              <w:jc w:val="center"/>
              <w:rPr>
                <w:rFonts w:ascii="Arial Narrow" w:hAnsi="Arial Narrow"/>
                <w:sz w:val="18"/>
                <w:szCs w:val="18"/>
              </w:rPr>
            </w:pPr>
            <w:r>
              <w:rPr>
                <w:rFonts w:ascii="Arial Narrow" w:hAnsi="Arial Narrow"/>
                <w:sz w:val="18"/>
                <w:szCs w:val="18"/>
              </w:rPr>
              <w:t>+21,9</w:t>
            </w:r>
          </w:p>
        </w:tc>
        <w:tc>
          <w:tcPr>
            <w:tcW w:w="1017" w:type="dxa"/>
            <w:tcBorders>
              <w:top w:val="single" w:sz="4" w:space="0" w:color="auto"/>
              <w:left w:val="nil"/>
              <w:bottom w:val="single" w:sz="4" w:space="0" w:color="auto"/>
              <w:right w:val="nil"/>
            </w:tcBorders>
            <w:shd w:val="clear" w:color="auto" w:fill="auto"/>
            <w:noWrap/>
            <w:vAlign w:val="center"/>
          </w:tcPr>
          <w:p w14:paraId="5FE05581" w14:textId="6306EBDF" w:rsidR="00AA59E1" w:rsidRDefault="00AA59E1" w:rsidP="00AA59E1">
            <w:pPr>
              <w:jc w:val="center"/>
              <w:rPr>
                <w:rFonts w:ascii="Arial Narrow" w:hAnsi="Arial Narrow"/>
                <w:sz w:val="18"/>
                <w:szCs w:val="18"/>
              </w:rPr>
            </w:pPr>
            <w:r>
              <w:rPr>
                <w:rFonts w:ascii="Arial Narrow" w:hAnsi="Arial Narrow"/>
                <w:sz w:val="18"/>
                <w:szCs w:val="18"/>
              </w:rPr>
              <w:t>+20,4</w:t>
            </w:r>
          </w:p>
        </w:tc>
        <w:tc>
          <w:tcPr>
            <w:tcW w:w="708" w:type="dxa"/>
            <w:tcBorders>
              <w:top w:val="single" w:sz="4" w:space="0" w:color="auto"/>
              <w:left w:val="nil"/>
              <w:bottom w:val="single" w:sz="4" w:space="0" w:color="auto"/>
              <w:right w:val="nil"/>
            </w:tcBorders>
            <w:shd w:val="clear" w:color="auto" w:fill="D9D9D9"/>
            <w:noWrap/>
            <w:vAlign w:val="center"/>
          </w:tcPr>
          <w:p w14:paraId="3C3D1B9E" w14:textId="5B0BE826" w:rsidR="00AA59E1" w:rsidRDefault="00AA59E1" w:rsidP="00AA59E1">
            <w:pPr>
              <w:jc w:val="center"/>
              <w:rPr>
                <w:rFonts w:ascii="Arial Narrow" w:hAnsi="Arial Narrow"/>
                <w:sz w:val="18"/>
                <w:szCs w:val="18"/>
              </w:rPr>
            </w:pPr>
            <w:r>
              <w:rPr>
                <w:rFonts w:ascii="Arial Narrow" w:hAnsi="Arial Narrow"/>
                <w:sz w:val="18"/>
                <w:szCs w:val="18"/>
              </w:rPr>
              <w:t>+2,4</w:t>
            </w:r>
          </w:p>
        </w:tc>
        <w:tc>
          <w:tcPr>
            <w:tcW w:w="1134" w:type="dxa"/>
            <w:tcBorders>
              <w:top w:val="single" w:sz="4" w:space="0" w:color="auto"/>
              <w:left w:val="nil"/>
              <w:bottom w:val="single" w:sz="4" w:space="0" w:color="auto"/>
              <w:right w:val="nil"/>
            </w:tcBorders>
            <w:shd w:val="clear" w:color="auto" w:fill="D9D9D9"/>
            <w:noWrap/>
            <w:vAlign w:val="center"/>
          </w:tcPr>
          <w:p w14:paraId="0F594981" w14:textId="0FE8D555" w:rsidR="00AA59E1" w:rsidRDefault="00AA59E1" w:rsidP="00AA59E1">
            <w:pPr>
              <w:jc w:val="center"/>
              <w:rPr>
                <w:rFonts w:ascii="Arial Narrow" w:hAnsi="Arial Narrow"/>
                <w:sz w:val="18"/>
                <w:szCs w:val="18"/>
              </w:rPr>
            </w:pPr>
            <w:r>
              <w:rPr>
                <w:rFonts w:ascii="Arial Narrow" w:hAnsi="Arial Narrow"/>
                <w:sz w:val="18"/>
                <w:szCs w:val="18"/>
              </w:rPr>
              <w:t>+7,1</w:t>
            </w:r>
          </w:p>
        </w:tc>
        <w:tc>
          <w:tcPr>
            <w:tcW w:w="654" w:type="dxa"/>
            <w:tcBorders>
              <w:top w:val="single" w:sz="4" w:space="0" w:color="auto"/>
              <w:left w:val="nil"/>
              <w:bottom w:val="single" w:sz="4" w:space="0" w:color="auto"/>
              <w:right w:val="nil"/>
            </w:tcBorders>
            <w:shd w:val="clear" w:color="auto" w:fill="auto"/>
            <w:noWrap/>
            <w:vAlign w:val="center"/>
          </w:tcPr>
          <w:p w14:paraId="6F6589D1" w14:textId="09729170" w:rsidR="00AA59E1" w:rsidRDefault="00AA59E1" w:rsidP="00AA59E1">
            <w:pPr>
              <w:jc w:val="center"/>
              <w:rPr>
                <w:rFonts w:ascii="Arial Narrow" w:hAnsi="Arial Narrow"/>
                <w:sz w:val="18"/>
                <w:szCs w:val="18"/>
              </w:rPr>
            </w:pPr>
            <w:r>
              <w:rPr>
                <w:rFonts w:ascii="Arial Narrow" w:hAnsi="Arial Narrow"/>
                <w:sz w:val="18"/>
                <w:szCs w:val="18"/>
              </w:rPr>
              <w:t>+26,2</w:t>
            </w:r>
          </w:p>
        </w:tc>
        <w:tc>
          <w:tcPr>
            <w:tcW w:w="984" w:type="dxa"/>
            <w:tcBorders>
              <w:top w:val="single" w:sz="4" w:space="0" w:color="auto"/>
              <w:left w:val="nil"/>
              <w:bottom w:val="single" w:sz="4" w:space="0" w:color="auto"/>
              <w:right w:val="nil"/>
            </w:tcBorders>
            <w:shd w:val="clear" w:color="auto" w:fill="auto"/>
            <w:noWrap/>
            <w:vAlign w:val="center"/>
          </w:tcPr>
          <w:p w14:paraId="2564FA5C" w14:textId="06CCE3EE" w:rsidR="00AA59E1" w:rsidRDefault="00AA59E1" w:rsidP="00AA59E1">
            <w:pPr>
              <w:jc w:val="center"/>
              <w:rPr>
                <w:rFonts w:ascii="Arial Narrow" w:hAnsi="Arial Narrow"/>
                <w:sz w:val="18"/>
                <w:szCs w:val="18"/>
              </w:rPr>
            </w:pPr>
            <w:r>
              <w:rPr>
                <w:rFonts w:ascii="Arial Narrow" w:hAnsi="Arial Narrow"/>
                <w:sz w:val="18"/>
                <w:szCs w:val="18"/>
              </w:rPr>
              <w:t>+27,2</w:t>
            </w:r>
          </w:p>
        </w:tc>
        <w:tc>
          <w:tcPr>
            <w:tcW w:w="709" w:type="dxa"/>
            <w:tcBorders>
              <w:top w:val="single" w:sz="4" w:space="0" w:color="auto"/>
              <w:left w:val="nil"/>
              <w:bottom w:val="single" w:sz="4" w:space="0" w:color="auto"/>
              <w:right w:val="nil"/>
            </w:tcBorders>
            <w:shd w:val="clear" w:color="auto" w:fill="D9D9D9"/>
            <w:noWrap/>
            <w:vAlign w:val="center"/>
          </w:tcPr>
          <w:p w14:paraId="2DE55066" w14:textId="21678877" w:rsidR="00AA59E1" w:rsidRDefault="00AA59E1" w:rsidP="00AA59E1">
            <w:pPr>
              <w:jc w:val="center"/>
              <w:rPr>
                <w:rFonts w:ascii="Arial Narrow" w:hAnsi="Arial Narrow"/>
                <w:sz w:val="18"/>
                <w:szCs w:val="18"/>
              </w:rPr>
            </w:pPr>
            <w:r>
              <w:rPr>
                <w:rFonts w:ascii="Arial Narrow" w:hAnsi="Arial Narrow"/>
                <w:sz w:val="18"/>
                <w:szCs w:val="18"/>
              </w:rPr>
              <w:t>+2.943</w:t>
            </w:r>
          </w:p>
        </w:tc>
        <w:tc>
          <w:tcPr>
            <w:tcW w:w="984" w:type="dxa"/>
            <w:tcBorders>
              <w:top w:val="single" w:sz="4" w:space="0" w:color="auto"/>
              <w:left w:val="nil"/>
              <w:bottom w:val="single" w:sz="4" w:space="0" w:color="auto"/>
              <w:right w:val="nil"/>
            </w:tcBorders>
            <w:shd w:val="clear" w:color="auto" w:fill="D9D9D9"/>
            <w:vAlign w:val="center"/>
          </w:tcPr>
          <w:p w14:paraId="514A1CA4" w14:textId="210F8B2F" w:rsidR="00AA59E1" w:rsidRDefault="00AA59E1" w:rsidP="00AA59E1">
            <w:pPr>
              <w:jc w:val="center"/>
              <w:rPr>
                <w:rFonts w:ascii="Arial Narrow" w:hAnsi="Arial Narrow"/>
                <w:sz w:val="18"/>
                <w:szCs w:val="18"/>
              </w:rPr>
            </w:pPr>
            <w:r>
              <w:rPr>
                <w:rFonts w:ascii="Arial Narrow" w:hAnsi="Arial Narrow"/>
                <w:sz w:val="18"/>
                <w:szCs w:val="18"/>
              </w:rPr>
              <w:t>+4.470</w:t>
            </w:r>
          </w:p>
        </w:tc>
      </w:tr>
      <w:tr w:rsidR="00AA59E1" w:rsidRPr="008C0651" w14:paraId="17A82108"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72D3BA25" w14:textId="77777777" w:rsidR="00AA59E1" w:rsidRPr="00831F78" w:rsidRDefault="00AA59E1" w:rsidP="00AA59E1">
            <w:pPr>
              <w:spacing w:before="40" w:after="20"/>
              <w:rPr>
                <w:rFonts w:ascii="Arial Narrow" w:hAnsi="Arial Narrow"/>
                <w:sz w:val="18"/>
                <w:szCs w:val="18"/>
              </w:rPr>
            </w:pPr>
            <w:r w:rsidRPr="00831F78">
              <w:rPr>
                <w:rFonts w:ascii="Arial Narrow" w:hAnsi="Arial Narrow"/>
                <w:sz w:val="18"/>
                <w:szCs w:val="18"/>
              </w:rPr>
              <w:t>Beni strumentali</w:t>
            </w:r>
          </w:p>
        </w:tc>
        <w:tc>
          <w:tcPr>
            <w:tcW w:w="665" w:type="dxa"/>
            <w:tcBorders>
              <w:top w:val="single" w:sz="4" w:space="0" w:color="auto"/>
              <w:left w:val="nil"/>
              <w:bottom w:val="single" w:sz="4" w:space="0" w:color="auto"/>
              <w:right w:val="nil"/>
            </w:tcBorders>
            <w:shd w:val="clear" w:color="auto" w:fill="D9D9D9"/>
            <w:noWrap/>
            <w:vAlign w:val="center"/>
          </w:tcPr>
          <w:p w14:paraId="3F9915DA" w14:textId="0D68ACAF" w:rsidR="00AA59E1" w:rsidRDefault="00AA59E1" w:rsidP="00AA59E1">
            <w:pPr>
              <w:jc w:val="center"/>
              <w:rPr>
                <w:rFonts w:ascii="Arial Narrow" w:hAnsi="Arial Narrow"/>
                <w:sz w:val="18"/>
                <w:szCs w:val="18"/>
              </w:rPr>
            </w:pPr>
            <w:r>
              <w:rPr>
                <w:rFonts w:ascii="Arial Narrow" w:hAnsi="Arial Narrow"/>
                <w:sz w:val="18"/>
                <w:szCs w:val="18"/>
              </w:rPr>
              <w:t>-2,3</w:t>
            </w:r>
          </w:p>
        </w:tc>
        <w:tc>
          <w:tcPr>
            <w:tcW w:w="1108" w:type="dxa"/>
            <w:tcBorders>
              <w:top w:val="single" w:sz="4" w:space="0" w:color="auto"/>
              <w:left w:val="nil"/>
              <w:bottom w:val="single" w:sz="4" w:space="0" w:color="auto"/>
              <w:right w:val="nil"/>
            </w:tcBorders>
            <w:shd w:val="clear" w:color="auto" w:fill="D9D9D9"/>
            <w:noWrap/>
            <w:vAlign w:val="center"/>
          </w:tcPr>
          <w:p w14:paraId="6EE82223" w14:textId="6412AC4B" w:rsidR="00AA59E1" w:rsidRDefault="00AA59E1" w:rsidP="00AA59E1">
            <w:pPr>
              <w:jc w:val="center"/>
              <w:rPr>
                <w:rFonts w:ascii="Arial Narrow" w:hAnsi="Arial Narrow"/>
                <w:sz w:val="18"/>
                <w:szCs w:val="18"/>
              </w:rPr>
            </w:pPr>
            <w:r>
              <w:rPr>
                <w:rFonts w:ascii="Arial Narrow" w:hAnsi="Arial Narrow"/>
                <w:sz w:val="18"/>
                <w:szCs w:val="18"/>
              </w:rPr>
              <w:t>+4,5</w:t>
            </w:r>
          </w:p>
        </w:tc>
        <w:tc>
          <w:tcPr>
            <w:tcW w:w="685" w:type="dxa"/>
            <w:tcBorders>
              <w:top w:val="single" w:sz="4" w:space="0" w:color="auto"/>
              <w:left w:val="nil"/>
              <w:bottom w:val="single" w:sz="4" w:space="0" w:color="auto"/>
              <w:right w:val="nil"/>
            </w:tcBorders>
            <w:shd w:val="clear" w:color="auto" w:fill="auto"/>
            <w:noWrap/>
            <w:vAlign w:val="center"/>
          </w:tcPr>
          <w:p w14:paraId="5A727FAA" w14:textId="3A93EE7A" w:rsidR="00AA59E1" w:rsidRDefault="00AA59E1" w:rsidP="00AA59E1">
            <w:pPr>
              <w:jc w:val="center"/>
              <w:rPr>
                <w:rFonts w:ascii="Arial Narrow" w:hAnsi="Arial Narrow"/>
                <w:sz w:val="18"/>
                <w:szCs w:val="18"/>
              </w:rPr>
            </w:pPr>
            <w:r>
              <w:rPr>
                <w:rFonts w:ascii="Arial Narrow" w:hAnsi="Arial Narrow"/>
                <w:sz w:val="18"/>
                <w:szCs w:val="18"/>
              </w:rPr>
              <w:t>+13,3</w:t>
            </w:r>
          </w:p>
        </w:tc>
        <w:tc>
          <w:tcPr>
            <w:tcW w:w="1017" w:type="dxa"/>
            <w:tcBorders>
              <w:top w:val="single" w:sz="4" w:space="0" w:color="auto"/>
              <w:left w:val="nil"/>
              <w:bottom w:val="single" w:sz="4" w:space="0" w:color="auto"/>
              <w:right w:val="nil"/>
            </w:tcBorders>
            <w:shd w:val="clear" w:color="auto" w:fill="auto"/>
            <w:noWrap/>
            <w:vAlign w:val="center"/>
          </w:tcPr>
          <w:p w14:paraId="75988CC6" w14:textId="5B2A8FFD" w:rsidR="00AA59E1" w:rsidRDefault="00AA59E1" w:rsidP="00AA59E1">
            <w:pPr>
              <w:jc w:val="center"/>
              <w:rPr>
                <w:rFonts w:ascii="Arial Narrow" w:hAnsi="Arial Narrow"/>
                <w:sz w:val="18"/>
                <w:szCs w:val="18"/>
              </w:rPr>
            </w:pPr>
            <w:r>
              <w:rPr>
                <w:rFonts w:ascii="Arial Narrow" w:hAnsi="Arial Narrow"/>
                <w:sz w:val="18"/>
                <w:szCs w:val="18"/>
              </w:rPr>
              <w:t>+14,6</w:t>
            </w:r>
          </w:p>
        </w:tc>
        <w:tc>
          <w:tcPr>
            <w:tcW w:w="708" w:type="dxa"/>
            <w:tcBorders>
              <w:top w:val="single" w:sz="4" w:space="0" w:color="auto"/>
              <w:left w:val="nil"/>
              <w:bottom w:val="single" w:sz="4" w:space="0" w:color="auto"/>
              <w:right w:val="nil"/>
            </w:tcBorders>
            <w:shd w:val="clear" w:color="auto" w:fill="D9D9D9"/>
            <w:noWrap/>
            <w:vAlign w:val="center"/>
          </w:tcPr>
          <w:p w14:paraId="785D76F8" w14:textId="06463A04" w:rsidR="00AA59E1" w:rsidRDefault="00AA59E1" w:rsidP="00AA59E1">
            <w:pPr>
              <w:jc w:val="center"/>
              <w:rPr>
                <w:rFonts w:ascii="Arial Narrow" w:hAnsi="Arial Narrow"/>
                <w:sz w:val="18"/>
                <w:szCs w:val="18"/>
              </w:rPr>
            </w:pPr>
            <w:r>
              <w:rPr>
                <w:rFonts w:ascii="Arial Narrow" w:hAnsi="Arial Narrow"/>
                <w:sz w:val="18"/>
                <w:szCs w:val="18"/>
              </w:rPr>
              <w:t>+4,0</w:t>
            </w:r>
          </w:p>
        </w:tc>
        <w:tc>
          <w:tcPr>
            <w:tcW w:w="1134" w:type="dxa"/>
            <w:tcBorders>
              <w:top w:val="single" w:sz="4" w:space="0" w:color="auto"/>
              <w:left w:val="nil"/>
              <w:bottom w:val="single" w:sz="4" w:space="0" w:color="auto"/>
              <w:right w:val="nil"/>
            </w:tcBorders>
            <w:shd w:val="clear" w:color="auto" w:fill="D9D9D9"/>
            <w:noWrap/>
            <w:vAlign w:val="center"/>
          </w:tcPr>
          <w:p w14:paraId="34AA0FCA" w14:textId="735CAC7A" w:rsidR="00AA59E1" w:rsidRDefault="00AA59E1" w:rsidP="00AA59E1">
            <w:pPr>
              <w:jc w:val="center"/>
              <w:rPr>
                <w:rFonts w:ascii="Arial Narrow" w:hAnsi="Arial Narrow"/>
                <w:sz w:val="18"/>
                <w:szCs w:val="18"/>
              </w:rPr>
            </w:pPr>
            <w:r>
              <w:rPr>
                <w:rFonts w:ascii="Arial Narrow" w:hAnsi="Arial Narrow"/>
                <w:sz w:val="18"/>
                <w:szCs w:val="18"/>
              </w:rPr>
              <w:t>+16,9</w:t>
            </w:r>
          </w:p>
        </w:tc>
        <w:tc>
          <w:tcPr>
            <w:tcW w:w="654" w:type="dxa"/>
            <w:tcBorders>
              <w:top w:val="single" w:sz="4" w:space="0" w:color="auto"/>
              <w:left w:val="nil"/>
              <w:bottom w:val="single" w:sz="4" w:space="0" w:color="auto"/>
              <w:right w:val="nil"/>
            </w:tcBorders>
            <w:shd w:val="clear" w:color="auto" w:fill="auto"/>
            <w:noWrap/>
            <w:vAlign w:val="center"/>
          </w:tcPr>
          <w:p w14:paraId="7B2C906C" w14:textId="6A85F61A" w:rsidR="00AA59E1" w:rsidRDefault="00AA59E1" w:rsidP="00AA59E1">
            <w:pPr>
              <w:jc w:val="center"/>
              <w:rPr>
                <w:rFonts w:ascii="Arial Narrow" w:hAnsi="Arial Narrow"/>
                <w:sz w:val="18"/>
                <w:szCs w:val="18"/>
              </w:rPr>
            </w:pPr>
            <w:r>
              <w:rPr>
                <w:rFonts w:ascii="Arial Narrow" w:hAnsi="Arial Narrow"/>
                <w:sz w:val="18"/>
                <w:szCs w:val="18"/>
              </w:rPr>
              <w:t>+12,8</w:t>
            </w:r>
          </w:p>
        </w:tc>
        <w:tc>
          <w:tcPr>
            <w:tcW w:w="984" w:type="dxa"/>
            <w:tcBorders>
              <w:top w:val="single" w:sz="4" w:space="0" w:color="auto"/>
              <w:left w:val="nil"/>
              <w:bottom w:val="single" w:sz="4" w:space="0" w:color="auto"/>
              <w:right w:val="nil"/>
            </w:tcBorders>
            <w:shd w:val="clear" w:color="auto" w:fill="auto"/>
            <w:noWrap/>
            <w:vAlign w:val="center"/>
          </w:tcPr>
          <w:p w14:paraId="77AD697B" w14:textId="013C20B8" w:rsidR="00AA59E1" w:rsidRDefault="00AA59E1" w:rsidP="00AA59E1">
            <w:pPr>
              <w:jc w:val="center"/>
              <w:rPr>
                <w:rFonts w:ascii="Arial Narrow" w:hAnsi="Arial Narrow"/>
                <w:sz w:val="18"/>
                <w:szCs w:val="18"/>
              </w:rPr>
            </w:pPr>
            <w:r>
              <w:rPr>
                <w:rFonts w:ascii="Arial Narrow" w:hAnsi="Arial Narrow"/>
                <w:sz w:val="18"/>
                <w:szCs w:val="18"/>
              </w:rPr>
              <w:t>+12,5</w:t>
            </w:r>
          </w:p>
        </w:tc>
        <w:tc>
          <w:tcPr>
            <w:tcW w:w="709" w:type="dxa"/>
            <w:tcBorders>
              <w:top w:val="single" w:sz="4" w:space="0" w:color="auto"/>
              <w:left w:val="nil"/>
              <w:bottom w:val="single" w:sz="4" w:space="0" w:color="auto"/>
              <w:right w:val="nil"/>
            </w:tcBorders>
            <w:shd w:val="clear" w:color="auto" w:fill="D9D9D9"/>
            <w:noWrap/>
            <w:vAlign w:val="center"/>
          </w:tcPr>
          <w:p w14:paraId="52B48367" w14:textId="309A3674" w:rsidR="00AA59E1" w:rsidRDefault="00AA59E1" w:rsidP="00AA59E1">
            <w:pPr>
              <w:jc w:val="center"/>
              <w:rPr>
                <w:rFonts w:ascii="Arial Narrow" w:hAnsi="Arial Narrow"/>
                <w:sz w:val="18"/>
                <w:szCs w:val="18"/>
              </w:rPr>
            </w:pPr>
            <w:r>
              <w:rPr>
                <w:rFonts w:ascii="Arial Narrow" w:hAnsi="Arial Narrow"/>
                <w:sz w:val="18"/>
                <w:szCs w:val="18"/>
              </w:rPr>
              <w:t>+3.254</w:t>
            </w:r>
          </w:p>
        </w:tc>
        <w:tc>
          <w:tcPr>
            <w:tcW w:w="984" w:type="dxa"/>
            <w:tcBorders>
              <w:top w:val="single" w:sz="4" w:space="0" w:color="auto"/>
              <w:left w:val="nil"/>
              <w:bottom w:val="single" w:sz="4" w:space="0" w:color="auto"/>
              <w:right w:val="nil"/>
            </w:tcBorders>
            <w:shd w:val="clear" w:color="auto" w:fill="D9D9D9"/>
            <w:vAlign w:val="center"/>
          </w:tcPr>
          <w:p w14:paraId="7221D9A9" w14:textId="3C0264F7" w:rsidR="00AA59E1" w:rsidRDefault="00AA59E1" w:rsidP="00AA59E1">
            <w:pPr>
              <w:jc w:val="center"/>
              <w:rPr>
                <w:rFonts w:ascii="Arial Narrow" w:hAnsi="Arial Narrow"/>
                <w:sz w:val="18"/>
                <w:szCs w:val="18"/>
              </w:rPr>
            </w:pPr>
            <w:r>
              <w:rPr>
                <w:rFonts w:ascii="Arial Narrow" w:hAnsi="Arial Narrow"/>
                <w:sz w:val="18"/>
                <w:szCs w:val="18"/>
              </w:rPr>
              <w:t>+5.755</w:t>
            </w:r>
          </w:p>
        </w:tc>
      </w:tr>
      <w:tr w:rsidR="00AA59E1" w:rsidRPr="008C0651" w14:paraId="3BC242ED"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2807F478" w14:textId="77777777" w:rsidR="00AA59E1" w:rsidRPr="00831F78" w:rsidRDefault="00AA59E1" w:rsidP="00AA59E1">
            <w:pPr>
              <w:spacing w:before="40" w:after="20"/>
              <w:rPr>
                <w:rFonts w:ascii="Arial Narrow" w:hAnsi="Arial Narrow"/>
                <w:sz w:val="18"/>
                <w:szCs w:val="18"/>
              </w:rPr>
            </w:pPr>
            <w:r w:rsidRPr="00831F78">
              <w:rPr>
                <w:rFonts w:ascii="Arial Narrow" w:hAnsi="Arial Narrow"/>
                <w:sz w:val="18"/>
                <w:szCs w:val="18"/>
              </w:rPr>
              <w:t>Beni intermedi</w:t>
            </w:r>
          </w:p>
        </w:tc>
        <w:tc>
          <w:tcPr>
            <w:tcW w:w="665" w:type="dxa"/>
            <w:tcBorders>
              <w:top w:val="single" w:sz="4" w:space="0" w:color="auto"/>
              <w:left w:val="nil"/>
              <w:bottom w:val="single" w:sz="4" w:space="0" w:color="auto"/>
              <w:right w:val="nil"/>
            </w:tcBorders>
            <w:shd w:val="clear" w:color="auto" w:fill="D9D9D9"/>
            <w:noWrap/>
            <w:vAlign w:val="center"/>
          </w:tcPr>
          <w:p w14:paraId="543A5AC9" w14:textId="3783CA2C" w:rsidR="00AA59E1" w:rsidRDefault="00AA59E1" w:rsidP="00AA59E1">
            <w:pPr>
              <w:jc w:val="center"/>
              <w:rPr>
                <w:rFonts w:ascii="Arial Narrow" w:hAnsi="Arial Narrow"/>
                <w:sz w:val="18"/>
                <w:szCs w:val="18"/>
              </w:rPr>
            </w:pPr>
            <w:r>
              <w:rPr>
                <w:rFonts w:ascii="Arial Narrow" w:hAnsi="Arial Narrow"/>
                <w:sz w:val="18"/>
                <w:szCs w:val="18"/>
              </w:rPr>
              <w:t>+2,3</w:t>
            </w:r>
          </w:p>
        </w:tc>
        <w:tc>
          <w:tcPr>
            <w:tcW w:w="1108" w:type="dxa"/>
            <w:tcBorders>
              <w:top w:val="single" w:sz="4" w:space="0" w:color="auto"/>
              <w:left w:val="nil"/>
              <w:bottom w:val="single" w:sz="4" w:space="0" w:color="auto"/>
              <w:right w:val="nil"/>
            </w:tcBorders>
            <w:shd w:val="clear" w:color="auto" w:fill="D9D9D9"/>
            <w:noWrap/>
            <w:vAlign w:val="center"/>
          </w:tcPr>
          <w:p w14:paraId="5DB9BDE4" w14:textId="6A900EFD" w:rsidR="00AA59E1" w:rsidRDefault="00AA59E1" w:rsidP="00AA59E1">
            <w:pPr>
              <w:jc w:val="center"/>
              <w:rPr>
                <w:rFonts w:ascii="Arial Narrow" w:hAnsi="Arial Narrow"/>
                <w:sz w:val="18"/>
                <w:szCs w:val="18"/>
              </w:rPr>
            </w:pPr>
            <w:r>
              <w:rPr>
                <w:rFonts w:ascii="Arial Narrow" w:hAnsi="Arial Narrow"/>
                <w:sz w:val="18"/>
                <w:szCs w:val="18"/>
              </w:rPr>
              <w:t>+7,5</w:t>
            </w:r>
          </w:p>
        </w:tc>
        <w:tc>
          <w:tcPr>
            <w:tcW w:w="685" w:type="dxa"/>
            <w:tcBorders>
              <w:top w:val="single" w:sz="4" w:space="0" w:color="auto"/>
              <w:left w:val="nil"/>
              <w:bottom w:val="single" w:sz="4" w:space="0" w:color="auto"/>
              <w:right w:val="nil"/>
            </w:tcBorders>
            <w:shd w:val="clear" w:color="auto" w:fill="auto"/>
            <w:noWrap/>
            <w:vAlign w:val="center"/>
          </w:tcPr>
          <w:p w14:paraId="39B6AABF" w14:textId="00B4E19F" w:rsidR="00AA59E1" w:rsidRDefault="00AA59E1" w:rsidP="00AA59E1">
            <w:pPr>
              <w:jc w:val="center"/>
              <w:rPr>
                <w:rFonts w:ascii="Arial Narrow" w:hAnsi="Arial Narrow"/>
                <w:sz w:val="18"/>
                <w:szCs w:val="18"/>
              </w:rPr>
            </w:pPr>
            <w:r>
              <w:rPr>
                <w:rFonts w:ascii="Arial Narrow" w:hAnsi="Arial Narrow"/>
                <w:sz w:val="18"/>
                <w:szCs w:val="18"/>
              </w:rPr>
              <w:t>+27,2</w:t>
            </w:r>
          </w:p>
        </w:tc>
        <w:tc>
          <w:tcPr>
            <w:tcW w:w="1017" w:type="dxa"/>
            <w:tcBorders>
              <w:top w:val="single" w:sz="4" w:space="0" w:color="auto"/>
              <w:left w:val="nil"/>
              <w:bottom w:val="single" w:sz="4" w:space="0" w:color="auto"/>
              <w:right w:val="nil"/>
            </w:tcBorders>
            <w:shd w:val="clear" w:color="auto" w:fill="auto"/>
            <w:noWrap/>
            <w:vAlign w:val="center"/>
          </w:tcPr>
          <w:p w14:paraId="2FC12FD7" w14:textId="57422F77" w:rsidR="00AA59E1" w:rsidRDefault="00AA59E1" w:rsidP="00AA59E1">
            <w:pPr>
              <w:jc w:val="center"/>
              <w:rPr>
                <w:rFonts w:ascii="Arial Narrow" w:hAnsi="Arial Narrow"/>
                <w:sz w:val="18"/>
                <w:szCs w:val="18"/>
              </w:rPr>
            </w:pPr>
            <w:r>
              <w:rPr>
                <w:rFonts w:ascii="Arial Narrow" w:hAnsi="Arial Narrow"/>
                <w:sz w:val="18"/>
                <w:szCs w:val="18"/>
              </w:rPr>
              <w:t>+27,1</w:t>
            </w:r>
          </w:p>
        </w:tc>
        <w:tc>
          <w:tcPr>
            <w:tcW w:w="708" w:type="dxa"/>
            <w:tcBorders>
              <w:top w:val="single" w:sz="4" w:space="0" w:color="auto"/>
              <w:left w:val="nil"/>
              <w:bottom w:val="single" w:sz="4" w:space="0" w:color="auto"/>
              <w:right w:val="nil"/>
            </w:tcBorders>
            <w:shd w:val="clear" w:color="auto" w:fill="D9D9D9"/>
            <w:noWrap/>
            <w:vAlign w:val="center"/>
          </w:tcPr>
          <w:p w14:paraId="21550567" w14:textId="5DD16198" w:rsidR="00AA59E1" w:rsidRDefault="00AA59E1" w:rsidP="00AA59E1">
            <w:pPr>
              <w:jc w:val="center"/>
              <w:rPr>
                <w:rFonts w:ascii="Arial Narrow" w:hAnsi="Arial Narrow"/>
                <w:sz w:val="18"/>
                <w:szCs w:val="18"/>
              </w:rPr>
            </w:pPr>
            <w:r>
              <w:rPr>
                <w:rFonts w:ascii="Arial Narrow" w:hAnsi="Arial Narrow"/>
                <w:sz w:val="18"/>
                <w:szCs w:val="18"/>
              </w:rPr>
              <w:t>+1,4</w:t>
            </w:r>
          </w:p>
        </w:tc>
        <w:tc>
          <w:tcPr>
            <w:tcW w:w="1134" w:type="dxa"/>
            <w:tcBorders>
              <w:top w:val="single" w:sz="4" w:space="0" w:color="auto"/>
              <w:left w:val="nil"/>
              <w:bottom w:val="single" w:sz="4" w:space="0" w:color="auto"/>
              <w:right w:val="nil"/>
            </w:tcBorders>
            <w:shd w:val="clear" w:color="auto" w:fill="D9D9D9"/>
            <w:noWrap/>
            <w:vAlign w:val="center"/>
          </w:tcPr>
          <w:p w14:paraId="55BD0008" w14:textId="5EAC2E53" w:rsidR="00AA59E1" w:rsidRDefault="00AA59E1" w:rsidP="00AA59E1">
            <w:pPr>
              <w:jc w:val="center"/>
              <w:rPr>
                <w:rFonts w:ascii="Arial Narrow" w:hAnsi="Arial Narrow"/>
                <w:sz w:val="18"/>
                <w:szCs w:val="18"/>
              </w:rPr>
            </w:pPr>
            <w:r>
              <w:rPr>
                <w:rFonts w:ascii="Arial Narrow" w:hAnsi="Arial Narrow"/>
                <w:sz w:val="18"/>
                <w:szCs w:val="18"/>
              </w:rPr>
              <w:t>+10,8</w:t>
            </w:r>
          </w:p>
        </w:tc>
        <w:tc>
          <w:tcPr>
            <w:tcW w:w="654" w:type="dxa"/>
            <w:tcBorders>
              <w:top w:val="single" w:sz="4" w:space="0" w:color="auto"/>
              <w:left w:val="nil"/>
              <w:bottom w:val="single" w:sz="4" w:space="0" w:color="auto"/>
              <w:right w:val="nil"/>
            </w:tcBorders>
            <w:shd w:val="clear" w:color="auto" w:fill="auto"/>
            <w:noWrap/>
            <w:vAlign w:val="center"/>
          </w:tcPr>
          <w:p w14:paraId="4EB714E9" w14:textId="7D4C97AE" w:rsidR="00AA59E1" w:rsidRDefault="00AA59E1" w:rsidP="00AA59E1">
            <w:pPr>
              <w:jc w:val="center"/>
              <w:rPr>
                <w:rFonts w:ascii="Arial Narrow" w:hAnsi="Arial Narrow"/>
                <w:sz w:val="18"/>
                <w:szCs w:val="18"/>
              </w:rPr>
            </w:pPr>
            <w:r>
              <w:rPr>
                <w:rFonts w:ascii="Arial Narrow" w:hAnsi="Arial Narrow"/>
                <w:sz w:val="18"/>
                <w:szCs w:val="18"/>
              </w:rPr>
              <w:t>+44,4</w:t>
            </w:r>
          </w:p>
        </w:tc>
        <w:tc>
          <w:tcPr>
            <w:tcW w:w="984" w:type="dxa"/>
            <w:tcBorders>
              <w:top w:val="single" w:sz="4" w:space="0" w:color="auto"/>
              <w:left w:val="nil"/>
              <w:bottom w:val="single" w:sz="4" w:space="0" w:color="auto"/>
              <w:right w:val="nil"/>
            </w:tcBorders>
            <w:shd w:val="clear" w:color="auto" w:fill="auto"/>
            <w:noWrap/>
            <w:vAlign w:val="center"/>
          </w:tcPr>
          <w:p w14:paraId="60AA1EF6" w14:textId="573D529A" w:rsidR="00AA59E1" w:rsidRDefault="00AA59E1" w:rsidP="00AA59E1">
            <w:pPr>
              <w:jc w:val="center"/>
              <w:rPr>
                <w:rFonts w:ascii="Arial Narrow" w:hAnsi="Arial Narrow"/>
                <w:sz w:val="18"/>
                <w:szCs w:val="18"/>
              </w:rPr>
            </w:pPr>
            <w:r>
              <w:rPr>
                <w:rFonts w:ascii="Arial Narrow" w:hAnsi="Arial Narrow"/>
                <w:sz w:val="18"/>
                <w:szCs w:val="18"/>
              </w:rPr>
              <w:t>+46,8</w:t>
            </w:r>
          </w:p>
        </w:tc>
        <w:tc>
          <w:tcPr>
            <w:tcW w:w="709" w:type="dxa"/>
            <w:tcBorders>
              <w:top w:val="single" w:sz="4" w:space="0" w:color="auto"/>
              <w:left w:val="nil"/>
              <w:bottom w:val="single" w:sz="4" w:space="0" w:color="auto"/>
              <w:right w:val="nil"/>
            </w:tcBorders>
            <w:shd w:val="clear" w:color="auto" w:fill="D9D9D9"/>
            <w:noWrap/>
            <w:vAlign w:val="center"/>
          </w:tcPr>
          <w:p w14:paraId="7972A7EB" w14:textId="43093E2B" w:rsidR="00AA59E1" w:rsidRDefault="00AA59E1" w:rsidP="00AA59E1">
            <w:pPr>
              <w:jc w:val="center"/>
              <w:rPr>
                <w:rFonts w:ascii="Arial Narrow" w:hAnsi="Arial Narrow"/>
                <w:sz w:val="18"/>
                <w:szCs w:val="18"/>
              </w:rPr>
            </w:pPr>
            <w:r>
              <w:rPr>
                <w:rFonts w:ascii="Arial Narrow" w:hAnsi="Arial Narrow"/>
                <w:sz w:val="18"/>
                <w:szCs w:val="18"/>
              </w:rPr>
              <w:t>-1.767</w:t>
            </w:r>
          </w:p>
        </w:tc>
        <w:tc>
          <w:tcPr>
            <w:tcW w:w="984" w:type="dxa"/>
            <w:tcBorders>
              <w:top w:val="single" w:sz="4" w:space="0" w:color="auto"/>
              <w:left w:val="nil"/>
              <w:bottom w:val="single" w:sz="4" w:space="0" w:color="auto"/>
              <w:right w:val="nil"/>
            </w:tcBorders>
            <w:shd w:val="clear" w:color="auto" w:fill="D9D9D9"/>
            <w:vAlign w:val="center"/>
          </w:tcPr>
          <w:p w14:paraId="3EA0D96F" w14:textId="064D21E7" w:rsidR="00AA59E1" w:rsidRDefault="00AA59E1" w:rsidP="00AA59E1">
            <w:pPr>
              <w:jc w:val="center"/>
              <w:rPr>
                <w:rFonts w:ascii="Arial Narrow" w:hAnsi="Arial Narrow"/>
                <w:sz w:val="18"/>
                <w:szCs w:val="18"/>
              </w:rPr>
            </w:pPr>
            <w:r>
              <w:rPr>
                <w:rFonts w:ascii="Arial Narrow" w:hAnsi="Arial Narrow"/>
                <w:sz w:val="18"/>
                <w:szCs w:val="18"/>
              </w:rPr>
              <w:t>-5.152</w:t>
            </w:r>
          </w:p>
        </w:tc>
      </w:tr>
      <w:tr w:rsidR="00AA59E1" w:rsidRPr="008C0651" w14:paraId="7064A5C0"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268E6281" w14:textId="77777777" w:rsidR="00AA59E1" w:rsidRPr="00831F78" w:rsidRDefault="00AA59E1" w:rsidP="00AA59E1">
            <w:pPr>
              <w:spacing w:before="40" w:after="20"/>
              <w:rPr>
                <w:rFonts w:ascii="Arial Narrow" w:hAnsi="Arial Narrow"/>
                <w:sz w:val="18"/>
                <w:szCs w:val="18"/>
              </w:rPr>
            </w:pPr>
            <w:r w:rsidRPr="00831F78">
              <w:rPr>
                <w:rFonts w:ascii="Arial Narrow" w:hAnsi="Arial Narrow"/>
                <w:sz w:val="18"/>
                <w:szCs w:val="18"/>
              </w:rPr>
              <w:t>Energia</w:t>
            </w:r>
          </w:p>
        </w:tc>
        <w:tc>
          <w:tcPr>
            <w:tcW w:w="665" w:type="dxa"/>
            <w:tcBorders>
              <w:top w:val="single" w:sz="4" w:space="0" w:color="auto"/>
              <w:left w:val="nil"/>
              <w:bottom w:val="single" w:sz="4" w:space="0" w:color="auto"/>
              <w:right w:val="nil"/>
            </w:tcBorders>
            <w:shd w:val="clear" w:color="auto" w:fill="D9D9D9"/>
            <w:noWrap/>
            <w:vAlign w:val="center"/>
          </w:tcPr>
          <w:p w14:paraId="3F65B1A0" w14:textId="76FDD9FF" w:rsidR="00AA59E1" w:rsidRDefault="00AA59E1" w:rsidP="00AA59E1">
            <w:pPr>
              <w:jc w:val="center"/>
              <w:rPr>
                <w:rFonts w:ascii="Arial Narrow" w:hAnsi="Arial Narrow"/>
                <w:sz w:val="18"/>
                <w:szCs w:val="18"/>
              </w:rPr>
            </w:pPr>
            <w:r>
              <w:rPr>
                <w:rFonts w:ascii="Arial Narrow" w:hAnsi="Arial Narrow"/>
                <w:sz w:val="18"/>
                <w:szCs w:val="18"/>
              </w:rPr>
              <w:t>+9,4</w:t>
            </w:r>
          </w:p>
        </w:tc>
        <w:tc>
          <w:tcPr>
            <w:tcW w:w="1108" w:type="dxa"/>
            <w:tcBorders>
              <w:top w:val="single" w:sz="4" w:space="0" w:color="auto"/>
              <w:left w:val="nil"/>
              <w:bottom w:val="single" w:sz="4" w:space="0" w:color="auto"/>
              <w:right w:val="nil"/>
            </w:tcBorders>
            <w:shd w:val="clear" w:color="auto" w:fill="D9D9D9"/>
            <w:noWrap/>
            <w:vAlign w:val="center"/>
          </w:tcPr>
          <w:p w14:paraId="3B5C1AE5" w14:textId="53CBCECD" w:rsidR="00AA59E1" w:rsidRDefault="00AA59E1" w:rsidP="00AA59E1">
            <w:pPr>
              <w:jc w:val="center"/>
              <w:rPr>
                <w:rFonts w:ascii="Arial Narrow" w:hAnsi="Arial Narrow"/>
                <w:sz w:val="18"/>
                <w:szCs w:val="18"/>
              </w:rPr>
            </w:pPr>
            <w:r>
              <w:rPr>
                <w:rFonts w:ascii="Arial Narrow" w:hAnsi="Arial Narrow"/>
                <w:sz w:val="18"/>
                <w:szCs w:val="18"/>
              </w:rPr>
              <w:t>+6,3</w:t>
            </w:r>
          </w:p>
        </w:tc>
        <w:tc>
          <w:tcPr>
            <w:tcW w:w="685" w:type="dxa"/>
            <w:tcBorders>
              <w:top w:val="single" w:sz="4" w:space="0" w:color="auto"/>
              <w:left w:val="nil"/>
              <w:bottom w:val="single" w:sz="4" w:space="0" w:color="auto"/>
              <w:right w:val="nil"/>
            </w:tcBorders>
            <w:shd w:val="clear" w:color="auto" w:fill="auto"/>
            <w:noWrap/>
            <w:vAlign w:val="center"/>
          </w:tcPr>
          <w:p w14:paraId="57809FE0" w14:textId="66576F5C" w:rsidR="00AA59E1" w:rsidRDefault="00AA59E1" w:rsidP="00AA59E1">
            <w:pPr>
              <w:jc w:val="center"/>
              <w:rPr>
                <w:rFonts w:ascii="Arial Narrow" w:hAnsi="Arial Narrow"/>
                <w:sz w:val="18"/>
                <w:szCs w:val="18"/>
              </w:rPr>
            </w:pPr>
            <w:r>
              <w:rPr>
                <w:rFonts w:ascii="Arial Narrow" w:hAnsi="Arial Narrow"/>
                <w:sz w:val="18"/>
                <w:szCs w:val="18"/>
              </w:rPr>
              <w:t>+125,0</w:t>
            </w:r>
          </w:p>
        </w:tc>
        <w:tc>
          <w:tcPr>
            <w:tcW w:w="1017" w:type="dxa"/>
            <w:tcBorders>
              <w:top w:val="single" w:sz="4" w:space="0" w:color="auto"/>
              <w:left w:val="nil"/>
              <w:bottom w:val="single" w:sz="4" w:space="0" w:color="auto"/>
              <w:right w:val="nil"/>
            </w:tcBorders>
            <w:shd w:val="clear" w:color="auto" w:fill="auto"/>
            <w:noWrap/>
            <w:vAlign w:val="center"/>
          </w:tcPr>
          <w:p w14:paraId="7C8248A9" w14:textId="2588A0B9" w:rsidR="00AA59E1" w:rsidRDefault="00AA59E1" w:rsidP="00AA59E1">
            <w:pPr>
              <w:jc w:val="center"/>
              <w:rPr>
                <w:rFonts w:ascii="Arial Narrow" w:hAnsi="Arial Narrow"/>
                <w:sz w:val="18"/>
                <w:szCs w:val="18"/>
              </w:rPr>
            </w:pPr>
            <w:r>
              <w:rPr>
                <w:rFonts w:ascii="Arial Narrow" w:hAnsi="Arial Narrow"/>
                <w:sz w:val="18"/>
                <w:szCs w:val="18"/>
              </w:rPr>
              <w:t>+114,1</w:t>
            </w:r>
          </w:p>
        </w:tc>
        <w:tc>
          <w:tcPr>
            <w:tcW w:w="708" w:type="dxa"/>
            <w:tcBorders>
              <w:top w:val="single" w:sz="4" w:space="0" w:color="auto"/>
              <w:left w:val="nil"/>
              <w:bottom w:val="single" w:sz="4" w:space="0" w:color="auto"/>
              <w:right w:val="nil"/>
            </w:tcBorders>
            <w:shd w:val="clear" w:color="auto" w:fill="D9D9D9"/>
            <w:noWrap/>
            <w:vAlign w:val="center"/>
          </w:tcPr>
          <w:p w14:paraId="2D2A7800" w14:textId="0615B528" w:rsidR="00AA59E1" w:rsidRDefault="00AA59E1" w:rsidP="00AA59E1">
            <w:pPr>
              <w:jc w:val="center"/>
              <w:rPr>
                <w:rFonts w:ascii="Arial Narrow" w:hAnsi="Arial Narrow"/>
                <w:sz w:val="18"/>
                <w:szCs w:val="18"/>
              </w:rPr>
            </w:pPr>
            <w:r>
              <w:rPr>
                <w:rFonts w:ascii="Arial Narrow" w:hAnsi="Arial Narrow"/>
                <w:sz w:val="18"/>
                <w:szCs w:val="18"/>
              </w:rPr>
              <w:t>+20,1</w:t>
            </w:r>
          </w:p>
        </w:tc>
        <w:tc>
          <w:tcPr>
            <w:tcW w:w="1134" w:type="dxa"/>
            <w:tcBorders>
              <w:top w:val="single" w:sz="4" w:space="0" w:color="auto"/>
              <w:left w:val="nil"/>
              <w:bottom w:val="single" w:sz="4" w:space="0" w:color="auto"/>
              <w:right w:val="nil"/>
            </w:tcBorders>
            <w:shd w:val="clear" w:color="auto" w:fill="D9D9D9"/>
            <w:noWrap/>
            <w:vAlign w:val="center"/>
          </w:tcPr>
          <w:p w14:paraId="514A7489" w14:textId="12120CD4" w:rsidR="00AA59E1" w:rsidRDefault="00AA59E1" w:rsidP="00AA59E1">
            <w:pPr>
              <w:jc w:val="center"/>
              <w:rPr>
                <w:rFonts w:ascii="Arial Narrow" w:hAnsi="Arial Narrow"/>
                <w:sz w:val="18"/>
                <w:szCs w:val="18"/>
              </w:rPr>
            </w:pPr>
            <w:r>
              <w:rPr>
                <w:rFonts w:ascii="Arial Narrow" w:hAnsi="Arial Narrow"/>
                <w:sz w:val="18"/>
                <w:szCs w:val="18"/>
              </w:rPr>
              <w:t>+25,9</w:t>
            </w:r>
          </w:p>
        </w:tc>
        <w:tc>
          <w:tcPr>
            <w:tcW w:w="654" w:type="dxa"/>
            <w:tcBorders>
              <w:top w:val="single" w:sz="4" w:space="0" w:color="auto"/>
              <w:left w:val="nil"/>
              <w:bottom w:val="single" w:sz="4" w:space="0" w:color="auto"/>
              <w:right w:val="nil"/>
            </w:tcBorders>
            <w:shd w:val="clear" w:color="auto" w:fill="auto"/>
            <w:noWrap/>
            <w:vAlign w:val="center"/>
          </w:tcPr>
          <w:p w14:paraId="3065921F" w14:textId="0E71912B" w:rsidR="00AA59E1" w:rsidRDefault="00AA59E1" w:rsidP="00AA59E1">
            <w:pPr>
              <w:jc w:val="center"/>
              <w:rPr>
                <w:rFonts w:ascii="Arial Narrow" w:hAnsi="Arial Narrow"/>
                <w:sz w:val="18"/>
                <w:szCs w:val="18"/>
              </w:rPr>
            </w:pPr>
            <w:r>
              <w:rPr>
                <w:rFonts w:ascii="Arial Narrow" w:hAnsi="Arial Narrow"/>
                <w:sz w:val="18"/>
                <w:szCs w:val="18"/>
              </w:rPr>
              <w:t>+203,0</w:t>
            </w:r>
          </w:p>
        </w:tc>
        <w:tc>
          <w:tcPr>
            <w:tcW w:w="984" w:type="dxa"/>
            <w:tcBorders>
              <w:top w:val="single" w:sz="4" w:space="0" w:color="auto"/>
              <w:left w:val="nil"/>
              <w:bottom w:val="single" w:sz="4" w:space="0" w:color="auto"/>
              <w:right w:val="nil"/>
            </w:tcBorders>
            <w:shd w:val="clear" w:color="auto" w:fill="auto"/>
            <w:noWrap/>
            <w:vAlign w:val="center"/>
          </w:tcPr>
          <w:p w14:paraId="43A38DBF" w14:textId="27D48E15" w:rsidR="00AA59E1" w:rsidRDefault="00AA59E1" w:rsidP="00AA59E1">
            <w:pPr>
              <w:jc w:val="center"/>
              <w:rPr>
                <w:rFonts w:ascii="Arial Narrow" w:hAnsi="Arial Narrow"/>
                <w:sz w:val="18"/>
                <w:szCs w:val="18"/>
              </w:rPr>
            </w:pPr>
            <w:r>
              <w:rPr>
                <w:rFonts w:ascii="Arial Narrow" w:hAnsi="Arial Narrow"/>
                <w:sz w:val="18"/>
                <w:szCs w:val="18"/>
              </w:rPr>
              <w:t>+181,5</w:t>
            </w:r>
          </w:p>
        </w:tc>
        <w:tc>
          <w:tcPr>
            <w:tcW w:w="709" w:type="dxa"/>
            <w:tcBorders>
              <w:top w:val="single" w:sz="4" w:space="0" w:color="auto"/>
              <w:left w:val="nil"/>
              <w:bottom w:val="single" w:sz="4" w:space="0" w:color="auto"/>
              <w:right w:val="nil"/>
            </w:tcBorders>
            <w:shd w:val="clear" w:color="auto" w:fill="D9D9D9"/>
            <w:noWrap/>
            <w:vAlign w:val="center"/>
          </w:tcPr>
          <w:p w14:paraId="7481B419" w14:textId="716891F5" w:rsidR="00AA59E1" w:rsidRDefault="00AA59E1" w:rsidP="00AA59E1">
            <w:pPr>
              <w:jc w:val="center"/>
              <w:rPr>
                <w:rFonts w:ascii="Arial Narrow" w:hAnsi="Arial Narrow"/>
                <w:sz w:val="18"/>
                <w:szCs w:val="18"/>
              </w:rPr>
            </w:pPr>
            <w:r>
              <w:rPr>
                <w:rFonts w:ascii="Arial Narrow" w:hAnsi="Arial Narrow"/>
                <w:sz w:val="18"/>
                <w:szCs w:val="18"/>
              </w:rPr>
              <w:t>-7.263</w:t>
            </w:r>
          </w:p>
        </w:tc>
        <w:tc>
          <w:tcPr>
            <w:tcW w:w="984" w:type="dxa"/>
            <w:tcBorders>
              <w:top w:val="single" w:sz="4" w:space="0" w:color="auto"/>
              <w:left w:val="nil"/>
              <w:bottom w:val="single" w:sz="4" w:space="0" w:color="auto"/>
              <w:right w:val="nil"/>
            </w:tcBorders>
            <w:shd w:val="clear" w:color="auto" w:fill="D9D9D9"/>
            <w:vAlign w:val="center"/>
          </w:tcPr>
          <w:p w14:paraId="2EE70983" w14:textId="485E6F0E" w:rsidR="00AA59E1" w:rsidRDefault="00AA59E1" w:rsidP="00AA59E1">
            <w:pPr>
              <w:jc w:val="center"/>
              <w:rPr>
                <w:rFonts w:ascii="Arial Narrow" w:hAnsi="Arial Narrow"/>
                <w:sz w:val="18"/>
                <w:szCs w:val="18"/>
              </w:rPr>
            </w:pPr>
            <w:r>
              <w:rPr>
                <w:rFonts w:ascii="Arial Narrow" w:hAnsi="Arial Narrow"/>
                <w:sz w:val="18"/>
                <w:szCs w:val="18"/>
              </w:rPr>
              <w:t>-13.778</w:t>
            </w:r>
          </w:p>
        </w:tc>
      </w:tr>
      <w:tr w:rsidR="00AA59E1" w:rsidRPr="008C0651" w14:paraId="5E98AC6E" w14:textId="77777777" w:rsidTr="00AA59E1">
        <w:trPr>
          <w:trHeight w:val="255"/>
        </w:trPr>
        <w:tc>
          <w:tcPr>
            <w:tcW w:w="1587" w:type="dxa"/>
            <w:tcBorders>
              <w:top w:val="single" w:sz="4" w:space="0" w:color="auto"/>
              <w:left w:val="nil"/>
              <w:bottom w:val="single" w:sz="4" w:space="0" w:color="auto"/>
              <w:right w:val="nil"/>
            </w:tcBorders>
            <w:shd w:val="clear" w:color="auto" w:fill="auto"/>
            <w:vAlign w:val="bottom"/>
          </w:tcPr>
          <w:p w14:paraId="6037BBAC" w14:textId="77777777" w:rsidR="00AA59E1" w:rsidRPr="00831F78" w:rsidRDefault="00AA59E1" w:rsidP="00AA59E1">
            <w:pPr>
              <w:spacing w:before="40" w:after="20"/>
              <w:rPr>
                <w:rFonts w:ascii="Arial Narrow" w:hAnsi="Arial Narrow"/>
                <w:sz w:val="18"/>
                <w:szCs w:val="18"/>
              </w:rPr>
            </w:pPr>
            <w:r w:rsidRPr="00831F78">
              <w:rPr>
                <w:rFonts w:ascii="Arial Narrow" w:hAnsi="Arial Narrow"/>
                <w:sz w:val="18"/>
                <w:szCs w:val="18"/>
              </w:rPr>
              <w:t>Totale al netto dell’energia</w:t>
            </w:r>
          </w:p>
        </w:tc>
        <w:tc>
          <w:tcPr>
            <w:tcW w:w="665" w:type="dxa"/>
            <w:tcBorders>
              <w:top w:val="single" w:sz="4" w:space="0" w:color="auto"/>
              <w:left w:val="nil"/>
              <w:bottom w:val="single" w:sz="4" w:space="0" w:color="auto"/>
              <w:right w:val="nil"/>
            </w:tcBorders>
            <w:shd w:val="clear" w:color="auto" w:fill="D9D9D9"/>
            <w:noWrap/>
            <w:vAlign w:val="center"/>
          </w:tcPr>
          <w:p w14:paraId="55279850" w14:textId="31912CBC" w:rsidR="00AA59E1" w:rsidRDefault="00AA59E1" w:rsidP="00AA59E1">
            <w:pPr>
              <w:jc w:val="center"/>
              <w:rPr>
                <w:rFonts w:ascii="Arial Narrow" w:hAnsi="Arial Narrow"/>
                <w:sz w:val="18"/>
                <w:szCs w:val="18"/>
              </w:rPr>
            </w:pPr>
            <w:r>
              <w:rPr>
                <w:rFonts w:ascii="Arial Narrow" w:hAnsi="Arial Narrow"/>
                <w:sz w:val="18"/>
                <w:szCs w:val="18"/>
              </w:rPr>
              <w:t>+1,3</w:t>
            </w:r>
          </w:p>
        </w:tc>
        <w:tc>
          <w:tcPr>
            <w:tcW w:w="1108" w:type="dxa"/>
            <w:tcBorders>
              <w:top w:val="single" w:sz="4" w:space="0" w:color="auto"/>
              <w:left w:val="nil"/>
              <w:bottom w:val="single" w:sz="4" w:space="0" w:color="auto"/>
              <w:right w:val="nil"/>
            </w:tcBorders>
            <w:shd w:val="clear" w:color="auto" w:fill="D9D9D9"/>
            <w:noWrap/>
            <w:vAlign w:val="center"/>
          </w:tcPr>
          <w:p w14:paraId="6B0B254E" w14:textId="7C23EC95" w:rsidR="00AA59E1" w:rsidRDefault="00AA59E1" w:rsidP="00AA59E1">
            <w:pPr>
              <w:jc w:val="center"/>
              <w:rPr>
                <w:rFonts w:ascii="Arial Narrow" w:hAnsi="Arial Narrow"/>
                <w:sz w:val="18"/>
                <w:szCs w:val="18"/>
              </w:rPr>
            </w:pPr>
            <w:r>
              <w:rPr>
                <w:rFonts w:ascii="Arial Narrow" w:hAnsi="Arial Narrow"/>
                <w:sz w:val="18"/>
                <w:szCs w:val="18"/>
              </w:rPr>
              <w:t>+5,8</w:t>
            </w:r>
          </w:p>
        </w:tc>
        <w:tc>
          <w:tcPr>
            <w:tcW w:w="685" w:type="dxa"/>
            <w:tcBorders>
              <w:top w:val="single" w:sz="4" w:space="0" w:color="auto"/>
              <w:left w:val="nil"/>
              <w:bottom w:val="single" w:sz="4" w:space="0" w:color="auto"/>
              <w:right w:val="nil"/>
            </w:tcBorders>
            <w:shd w:val="clear" w:color="auto" w:fill="auto"/>
            <w:noWrap/>
            <w:vAlign w:val="center"/>
          </w:tcPr>
          <w:p w14:paraId="25A2FEEC" w14:textId="45C64AD6" w:rsidR="00AA59E1" w:rsidRDefault="00AA59E1" w:rsidP="00AA59E1">
            <w:pPr>
              <w:jc w:val="center"/>
              <w:rPr>
                <w:rFonts w:ascii="Arial Narrow" w:hAnsi="Arial Narrow"/>
                <w:sz w:val="18"/>
                <w:szCs w:val="18"/>
              </w:rPr>
            </w:pPr>
            <w:r>
              <w:rPr>
                <w:rFonts w:ascii="Arial Narrow" w:hAnsi="Arial Narrow"/>
                <w:sz w:val="18"/>
                <w:szCs w:val="18"/>
              </w:rPr>
              <w:t>+20,8</w:t>
            </w:r>
          </w:p>
        </w:tc>
        <w:tc>
          <w:tcPr>
            <w:tcW w:w="1017" w:type="dxa"/>
            <w:tcBorders>
              <w:top w:val="single" w:sz="4" w:space="0" w:color="auto"/>
              <w:left w:val="nil"/>
              <w:bottom w:val="single" w:sz="4" w:space="0" w:color="auto"/>
              <w:right w:val="nil"/>
            </w:tcBorders>
            <w:shd w:val="clear" w:color="auto" w:fill="auto"/>
            <w:noWrap/>
            <w:vAlign w:val="center"/>
          </w:tcPr>
          <w:p w14:paraId="791A78A0" w14:textId="09C53200" w:rsidR="00AA59E1" w:rsidRDefault="00AA59E1" w:rsidP="00AA59E1">
            <w:pPr>
              <w:jc w:val="center"/>
              <w:rPr>
                <w:rFonts w:ascii="Arial Narrow" w:hAnsi="Arial Narrow"/>
                <w:sz w:val="18"/>
                <w:szCs w:val="18"/>
              </w:rPr>
            </w:pPr>
            <w:r>
              <w:rPr>
                <w:rFonts w:ascii="Arial Narrow" w:hAnsi="Arial Narrow"/>
                <w:sz w:val="18"/>
                <w:szCs w:val="18"/>
              </w:rPr>
              <w:t>+20,7</w:t>
            </w:r>
          </w:p>
        </w:tc>
        <w:tc>
          <w:tcPr>
            <w:tcW w:w="708" w:type="dxa"/>
            <w:tcBorders>
              <w:top w:val="single" w:sz="4" w:space="0" w:color="auto"/>
              <w:left w:val="nil"/>
              <w:bottom w:val="single" w:sz="4" w:space="0" w:color="auto"/>
              <w:right w:val="nil"/>
            </w:tcBorders>
            <w:shd w:val="clear" w:color="auto" w:fill="D9D9D9"/>
            <w:noWrap/>
            <w:vAlign w:val="center"/>
          </w:tcPr>
          <w:p w14:paraId="07928A9D" w14:textId="037FBCD1" w:rsidR="00AA59E1" w:rsidRDefault="00AA59E1" w:rsidP="00AA59E1">
            <w:pPr>
              <w:jc w:val="center"/>
              <w:rPr>
                <w:rFonts w:ascii="Arial Narrow" w:hAnsi="Arial Narrow"/>
                <w:sz w:val="18"/>
                <w:szCs w:val="18"/>
              </w:rPr>
            </w:pPr>
            <w:r>
              <w:rPr>
                <w:rFonts w:ascii="Arial Narrow" w:hAnsi="Arial Narrow"/>
                <w:sz w:val="18"/>
                <w:szCs w:val="18"/>
              </w:rPr>
              <w:t>+2,5</w:t>
            </w:r>
          </w:p>
        </w:tc>
        <w:tc>
          <w:tcPr>
            <w:tcW w:w="1134" w:type="dxa"/>
            <w:tcBorders>
              <w:top w:val="single" w:sz="4" w:space="0" w:color="auto"/>
              <w:left w:val="nil"/>
              <w:bottom w:val="single" w:sz="4" w:space="0" w:color="auto"/>
              <w:right w:val="nil"/>
            </w:tcBorders>
            <w:shd w:val="clear" w:color="auto" w:fill="D9D9D9"/>
            <w:noWrap/>
            <w:vAlign w:val="center"/>
          </w:tcPr>
          <w:p w14:paraId="1BDC5F83" w14:textId="524DE0D7" w:rsidR="00AA59E1" w:rsidRDefault="00AA59E1" w:rsidP="00AA59E1">
            <w:pPr>
              <w:jc w:val="center"/>
              <w:rPr>
                <w:rFonts w:ascii="Arial Narrow" w:hAnsi="Arial Narrow"/>
                <w:sz w:val="18"/>
                <w:szCs w:val="18"/>
              </w:rPr>
            </w:pPr>
            <w:r>
              <w:rPr>
                <w:rFonts w:ascii="Arial Narrow" w:hAnsi="Arial Narrow"/>
                <w:sz w:val="18"/>
                <w:szCs w:val="18"/>
              </w:rPr>
              <w:t>+11,4</w:t>
            </w:r>
          </w:p>
        </w:tc>
        <w:tc>
          <w:tcPr>
            <w:tcW w:w="654" w:type="dxa"/>
            <w:tcBorders>
              <w:top w:val="single" w:sz="4" w:space="0" w:color="auto"/>
              <w:left w:val="nil"/>
              <w:bottom w:val="single" w:sz="4" w:space="0" w:color="auto"/>
              <w:right w:val="nil"/>
            </w:tcBorders>
            <w:shd w:val="clear" w:color="auto" w:fill="auto"/>
            <w:noWrap/>
            <w:vAlign w:val="center"/>
          </w:tcPr>
          <w:p w14:paraId="7048DA16" w14:textId="6BD9DD35" w:rsidR="00AA59E1" w:rsidRDefault="00AA59E1" w:rsidP="00AA59E1">
            <w:pPr>
              <w:jc w:val="center"/>
              <w:rPr>
                <w:rFonts w:ascii="Arial Narrow" w:hAnsi="Arial Narrow"/>
                <w:sz w:val="18"/>
                <w:szCs w:val="18"/>
              </w:rPr>
            </w:pPr>
            <w:r>
              <w:rPr>
                <w:rFonts w:ascii="Arial Narrow" w:hAnsi="Arial Narrow"/>
                <w:sz w:val="18"/>
                <w:szCs w:val="18"/>
              </w:rPr>
              <w:t>+29,9</w:t>
            </w:r>
          </w:p>
        </w:tc>
        <w:tc>
          <w:tcPr>
            <w:tcW w:w="984" w:type="dxa"/>
            <w:tcBorders>
              <w:top w:val="single" w:sz="4" w:space="0" w:color="auto"/>
              <w:left w:val="nil"/>
              <w:bottom w:val="single" w:sz="4" w:space="0" w:color="auto"/>
              <w:right w:val="nil"/>
            </w:tcBorders>
            <w:shd w:val="clear" w:color="auto" w:fill="auto"/>
            <w:noWrap/>
            <w:vAlign w:val="center"/>
          </w:tcPr>
          <w:p w14:paraId="35E3725B" w14:textId="76641013" w:rsidR="00AA59E1" w:rsidRDefault="00AA59E1" w:rsidP="00AA59E1">
            <w:pPr>
              <w:jc w:val="center"/>
              <w:rPr>
                <w:rFonts w:ascii="Arial Narrow" w:hAnsi="Arial Narrow"/>
                <w:sz w:val="18"/>
                <w:szCs w:val="18"/>
              </w:rPr>
            </w:pPr>
            <w:r>
              <w:rPr>
                <w:rFonts w:ascii="Arial Narrow" w:hAnsi="Arial Narrow"/>
                <w:sz w:val="18"/>
                <w:szCs w:val="18"/>
              </w:rPr>
              <w:t>+31,0</w:t>
            </w:r>
          </w:p>
        </w:tc>
        <w:tc>
          <w:tcPr>
            <w:tcW w:w="709" w:type="dxa"/>
            <w:tcBorders>
              <w:top w:val="single" w:sz="4" w:space="0" w:color="auto"/>
              <w:left w:val="nil"/>
              <w:bottom w:val="single" w:sz="4" w:space="0" w:color="auto"/>
              <w:right w:val="nil"/>
            </w:tcBorders>
            <w:shd w:val="clear" w:color="auto" w:fill="D9D9D9"/>
            <w:noWrap/>
            <w:vAlign w:val="center"/>
          </w:tcPr>
          <w:p w14:paraId="71A6EA57" w14:textId="0B5885F1" w:rsidR="00AA59E1" w:rsidRDefault="00AA59E1" w:rsidP="00AA59E1">
            <w:pPr>
              <w:jc w:val="center"/>
              <w:rPr>
                <w:rFonts w:ascii="Arial Narrow" w:hAnsi="Arial Narrow"/>
                <w:sz w:val="18"/>
                <w:szCs w:val="18"/>
              </w:rPr>
            </w:pPr>
            <w:r>
              <w:rPr>
                <w:rFonts w:ascii="Arial Narrow" w:hAnsi="Arial Narrow"/>
                <w:sz w:val="18"/>
                <w:szCs w:val="18"/>
              </w:rPr>
              <w:t>+5.600</w:t>
            </w:r>
          </w:p>
        </w:tc>
        <w:tc>
          <w:tcPr>
            <w:tcW w:w="984" w:type="dxa"/>
            <w:tcBorders>
              <w:top w:val="single" w:sz="4" w:space="0" w:color="auto"/>
              <w:left w:val="nil"/>
              <w:bottom w:val="single" w:sz="4" w:space="0" w:color="auto"/>
              <w:right w:val="nil"/>
            </w:tcBorders>
            <w:shd w:val="clear" w:color="auto" w:fill="D9D9D9"/>
            <w:vAlign w:val="center"/>
          </w:tcPr>
          <w:p w14:paraId="2B791147" w14:textId="36A9CD6D" w:rsidR="00AA59E1" w:rsidRDefault="00AA59E1" w:rsidP="00AA59E1">
            <w:pPr>
              <w:jc w:val="center"/>
              <w:rPr>
                <w:rFonts w:ascii="Arial Narrow" w:hAnsi="Arial Narrow"/>
                <w:sz w:val="18"/>
                <w:szCs w:val="18"/>
              </w:rPr>
            </w:pPr>
            <w:r>
              <w:rPr>
                <w:rFonts w:ascii="Arial Narrow" w:hAnsi="Arial Narrow"/>
                <w:sz w:val="18"/>
                <w:szCs w:val="18"/>
              </w:rPr>
              <w:t>+6.988</w:t>
            </w:r>
          </w:p>
        </w:tc>
      </w:tr>
      <w:tr w:rsidR="00AA59E1" w:rsidRPr="008C0651" w14:paraId="55245CCE" w14:textId="77777777" w:rsidTr="00AA59E1">
        <w:trPr>
          <w:trHeight w:val="255"/>
        </w:trPr>
        <w:tc>
          <w:tcPr>
            <w:tcW w:w="1587" w:type="dxa"/>
            <w:tcBorders>
              <w:top w:val="single" w:sz="4" w:space="0" w:color="auto"/>
              <w:left w:val="nil"/>
              <w:bottom w:val="single" w:sz="4" w:space="0" w:color="auto"/>
              <w:right w:val="nil"/>
            </w:tcBorders>
            <w:shd w:val="clear" w:color="000000" w:fill="FF0000"/>
            <w:vAlign w:val="bottom"/>
          </w:tcPr>
          <w:p w14:paraId="221BD76C" w14:textId="77777777" w:rsidR="00AA59E1" w:rsidRPr="008C0651" w:rsidRDefault="00AA59E1" w:rsidP="00AA59E1">
            <w:pPr>
              <w:spacing w:before="40" w:after="20"/>
              <w:rPr>
                <w:rFonts w:ascii="Arial Narrow" w:hAnsi="Arial Narrow"/>
                <w:b/>
                <w:color w:val="FFFFFF" w:themeColor="background1"/>
                <w:sz w:val="18"/>
                <w:szCs w:val="18"/>
              </w:rPr>
            </w:pPr>
            <w:r w:rsidRPr="008C0651">
              <w:rPr>
                <w:rFonts w:ascii="Arial Narrow" w:hAnsi="Arial Narrow"/>
                <w:b/>
                <w:color w:val="FFFFFF" w:themeColor="background1"/>
                <w:sz w:val="18"/>
                <w:szCs w:val="18"/>
              </w:rPr>
              <w:t>Totale</w:t>
            </w:r>
          </w:p>
        </w:tc>
        <w:tc>
          <w:tcPr>
            <w:tcW w:w="665" w:type="dxa"/>
            <w:tcBorders>
              <w:top w:val="single" w:sz="4" w:space="0" w:color="auto"/>
              <w:left w:val="nil"/>
              <w:bottom w:val="single" w:sz="4" w:space="0" w:color="auto"/>
              <w:right w:val="nil"/>
            </w:tcBorders>
            <w:shd w:val="clear" w:color="000000" w:fill="FF0000"/>
            <w:noWrap/>
            <w:vAlign w:val="center"/>
          </w:tcPr>
          <w:p w14:paraId="21240D72" w14:textId="6314AB95"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+1,6</w:t>
            </w:r>
          </w:p>
        </w:tc>
        <w:tc>
          <w:tcPr>
            <w:tcW w:w="1108" w:type="dxa"/>
            <w:tcBorders>
              <w:top w:val="single" w:sz="4" w:space="0" w:color="auto"/>
              <w:left w:val="nil"/>
              <w:bottom w:val="single" w:sz="4" w:space="0" w:color="auto"/>
              <w:right w:val="nil"/>
            </w:tcBorders>
            <w:shd w:val="clear" w:color="000000" w:fill="FF0000"/>
            <w:noWrap/>
            <w:vAlign w:val="center"/>
          </w:tcPr>
          <w:p w14:paraId="7F24A5A1" w14:textId="5545738E"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+5,8</w:t>
            </w:r>
          </w:p>
        </w:tc>
        <w:tc>
          <w:tcPr>
            <w:tcW w:w="685" w:type="dxa"/>
            <w:tcBorders>
              <w:top w:val="single" w:sz="4" w:space="0" w:color="auto"/>
              <w:left w:val="nil"/>
              <w:bottom w:val="single" w:sz="4" w:space="0" w:color="auto"/>
              <w:right w:val="nil"/>
            </w:tcBorders>
            <w:shd w:val="clear" w:color="000000" w:fill="FF0000"/>
            <w:noWrap/>
            <w:vAlign w:val="center"/>
          </w:tcPr>
          <w:p w14:paraId="3BF2FBD0" w14:textId="0D533539"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+22,7</w:t>
            </w:r>
          </w:p>
        </w:tc>
        <w:tc>
          <w:tcPr>
            <w:tcW w:w="1017" w:type="dxa"/>
            <w:tcBorders>
              <w:top w:val="single" w:sz="4" w:space="0" w:color="auto"/>
              <w:left w:val="nil"/>
              <w:bottom w:val="single" w:sz="4" w:space="0" w:color="auto"/>
              <w:right w:val="nil"/>
            </w:tcBorders>
            <w:shd w:val="clear" w:color="000000" w:fill="FF0000"/>
            <w:noWrap/>
            <w:vAlign w:val="center"/>
          </w:tcPr>
          <w:p w14:paraId="73B32ACF" w14:textId="080D8468"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+22,6</w:t>
            </w:r>
          </w:p>
        </w:tc>
        <w:tc>
          <w:tcPr>
            <w:tcW w:w="708" w:type="dxa"/>
            <w:tcBorders>
              <w:top w:val="single" w:sz="4" w:space="0" w:color="auto"/>
              <w:left w:val="nil"/>
              <w:bottom w:val="single" w:sz="4" w:space="0" w:color="auto"/>
              <w:right w:val="nil"/>
            </w:tcBorders>
            <w:shd w:val="clear" w:color="000000" w:fill="FF0000"/>
            <w:noWrap/>
            <w:vAlign w:val="center"/>
          </w:tcPr>
          <w:p w14:paraId="3B7E35A5" w14:textId="0217FC7D"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+5,4</w:t>
            </w:r>
          </w:p>
        </w:tc>
        <w:tc>
          <w:tcPr>
            <w:tcW w:w="1134" w:type="dxa"/>
            <w:tcBorders>
              <w:top w:val="single" w:sz="4" w:space="0" w:color="auto"/>
              <w:left w:val="nil"/>
              <w:bottom w:val="single" w:sz="4" w:space="0" w:color="auto"/>
              <w:right w:val="nil"/>
            </w:tcBorders>
            <w:shd w:val="clear" w:color="000000" w:fill="FF0000"/>
            <w:noWrap/>
            <w:vAlign w:val="center"/>
          </w:tcPr>
          <w:p w14:paraId="73DCCAE3" w14:textId="7C02BCD4"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+13,6</w:t>
            </w:r>
          </w:p>
        </w:tc>
        <w:tc>
          <w:tcPr>
            <w:tcW w:w="654" w:type="dxa"/>
            <w:tcBorders>
              <w:top w:val="single" w:sz="4" w:space="0" w:color="auto"/>
              <w:left w:val="nil"/>
              <w:bottom w:val="single" w:sz="4" w:space="0" w:color="auto"/>
              <w:right w:val="nil"/>
            </w:tcBorders>
            <w:shd w:val="clear" w:color="000000" w:fill="FF0000"/>
            <w:noWrap/>
            <w:vAlign w:val="center"/>
          </w:tcPr>
          <w:p w14:paraId="78605F65" w14:textId="4540B1D5"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+44,9</w:t>
            </w:r>
          </w:p>
        </w:tc>
        <w:tc>
          <w:tcPr>
            <w:tcW w:w="984" w:type="dxa"/>
            <w:tcBorders>
              <w:top w:val="single" w:sz="4" w:space="0" w:color="auto"/>
              <w:left w:val="nil"/>
              <w:bottom w:val="single" w:sz="4" w:space="0" w:color="auto"/>
              <w:right w:val="nil"/>
            </w:tcBorders>
            <w:shd w:val="clear" w:color="000000" w:fill="FF0000"/>
            <w:noWrap/>
            <w:vAlign w:val="center"/>
          </w:tcPr>
          <w:p w14:paraId="2438AC7D" w14:textId="53730478"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+44,8</w:t>
            </w:r>
          </w:p>
        </w:tc>
        <w:tc>
          <w:tcPr>
            <w:tcW w:w="709" w:type="dxa"/>
            <w:tcBorders>
              <w:top w:val="single" w:sz="4" w:space="0" w:color="auto"/>
              <w:left w:val="nil"/>
              <w:bottom w:val="single" w:sz="4" w:space="0" w:color="auto"/>
              <w:right w:val="nil"/>
            </w:tcBorders>
            <w:shd w:val="clear" w:color="000000" w:fill="FF0000"/>
            <w:noWrap/>
            <w:vAlign w:val="center"/>
          </w:tcPr>
          <w:p w14:paraId="2D3E088F" w14:textId="74CF11E1"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-1.662</w:t>
            </w:r>
          </w:p>
        </w:tc>
        <w:tc>
          <w:tcPr>
            <w:tcW w:w="984" w:type="dxa"/>
            <w:tcBorders>
              <w:top w:val="single" w:sz="4" w:space="0" w:color="auto"/>
              <w:left w:val="nil"/>
              <w:bottom w:val="single" w:sz="4" w:space="0" w:color="auto"/>
              <w:right w:val="nil"/>
            </w:tcBorders>
            <w:shd w:val="clear" w:color="000000" w:fill="FF0000"/>
            <w:vAlign w:val="center"/>
          </w:tcPr>
          <w:p w14:paraId="3FDB24ED" w14:textId="2FED7DDE" w:rsidR="00AA59E1" w:rsidRDefault="00AA59E1" w:rsidP="00AA59E1">
            <w:pPr>
              <w:jc w:val="center"/>
              <w:rPr>
                <w:rFonts w:ascii="Arial Narrow" w:hAnsi="Arial Narrow"/>
                <w:b/>
                <w:bCs/>
                <w:color w:val="FFFFFF"/>
                <w:sz w:val="18"/>
                <w:szCs w:val="18"/>
              </w:rPr>
            </w:pPr>
            <w:r>
              <w:rPr>
                <w:rFonts w:ascii="Arial Narrow" w:hAnsi="Arial Narrow"/>
                <w:b/>
                <w:bCs/>
                <w:color w:val="FFFFFF"/>
                <w:sz w:val="18"/>
                <w:szCs w:val="18"/>
              </w:rPr>
              <w:t>-6.790</w:t>
            </w:r>
          </w:p>
        </w:tc>
      </w:tr>
    </w:tbl>
    <w:p w14:paraId="25AF6E9D" w14:textId="77777777" w:rsidR="00E35D07" w:rsidRPr="00F515CD" w:rsidRDefault="00E35D07" w:rsidP="00C32401">
      <w:pPr>
        <w:pStyle w:val="Corpodeltesto1"/>
        <w:spacing w:after="120"/>
        <w:rPr>
          <w:rFonts w:ascii="Arial" w:hAnsi="Arial" w:cs="Arial"/>
          <w:b w:val="0"/>
          <w:color w:val="000000"/>
          <w:kern w:val="28"/>
          <w:sz w:val="21"/>
          <w:szCs w:val="21"/>
        </w:rPr>
      </w:pPr>
    </w:p>
    <w:p w14:paraId="0D3E450B" w14:textId="62828491" w:rsidR="00A27F34" w:rsidRPr="00DD6F80" w:rsidRDefault="0075218A" w:rsidP="0075218A">
      <w:pPr>
        <w:pStyle w:val="Corpodeltesto1"/>
        <w:rPr>
          <w:rFonts w:ascii="Arial" w:hAnsi="Arial" w:cs="Arial"/>
          <w:b w:val="0"/>
          <w:color w:val="000000"/>
          <w:kern w:val="28"/>
          <w:sz w:val="21"/>
          <w:szCs w:val="21"/>
        </w:rPr>
      </w:pPr>
      <w:r w:rsidRPr="00DD6F80">
        <w:rPr>
          <w:rFonts w:ascii="Arial" w:hAnsi="Arial" w:cs="Arial"/>
          <w:b w:val="0"/>
          <w:color w:val="000000"/>
          <w:kern w:val="28"/>
          <w:sz w:val="21"/>
          <w:szCs w:val="21"/>
        </w:rPr>
        <w:t xml:space="preserve">A </w:t>
      </w:r>
      <w:r w:rsidR="00FA17CB" w:rsidRPr="00DD6F80">
        <w:rPr>
          <w:rFonts w:ascii="Arial" w:hAnsi="Arial" w:cs="Arial"/>
          <w:b w:val="0"/>
          <w:color w:val="000000"/>
          <w:kern w:val="28"/>
          <w:sz w:val="21"/>
          <w:szCs w:val="21"/>
        </w:rPr>
        <w:t>febbraio</w:t>
      </w:r>
      <w:r w:rsidR="00C15B87" w:rsidRPr="00DD6F80">
        <w:rPr>
          <w:rFonts w:ascii="Arial" w:hAnsi="Arial" w:cs="Arial"/>
          <w:b w:val="0"/>
          <w:color w:val="000000"/>
          <w:kern w:val="28"/>
          <w:sz w:val="21"/>
          <w:szCs w:val="21"/>
        </w:rPr>
        <w:t xml:space="preserve"> 2022</w:t>
      </w:r>
      <w:r w:rsidRPr="00DD6F80">
        <w:rPr>
          <w:rFonts w:ascii="Arial" w:hAnsi="Arial" w:cs="Arial"/>
          <w:b w:val="0"/>
          <w:color w:val="000000"/>
          <w:kern w:val="28"/>
          <w:sz w:val="21"/>
          <w:szCs w:val="21"/>
        </w:rPr>
        <w:t>, la crescita congiunturale dell’export (+</w:t>
      </w:r>
      <w:r w:rsidR="00A27F34" w:rsidRPr="00DD6F80">
        <w:rPr>
          <w:rFonts w:ascii="Arial" w:hAnsi="Arial" w:cs="Arial"/>
          <w:b w:val="0"/>
          <w:color w:val="000000"/>
          <w:kern w:val="28"/>
          <w:sz w:val="21"/>
          <w:szCs w:val="21"/>
        </w:rPr>
        <w:t>1</w:t>
      </w:r>
      <w:r w:rsidRPr="00DD6F80">
        <w:rPr>
          <w:rFonts w:ascii="Arial" w:hAnsi="Arial" w:cs="Arial"/>
          <w:b w:val="0"/>
          <w:color w:val="000000"/>
          <w:kern w:val="28"/>
          <w:sz w:val="21"/>
          <w:szCs w:val="21"/>
        </w:rPr>
        <w:t>,</w:t>
      </w:r>
      <w:r w:rsidR="00A27F34" w:rsidRPr="00DD6F80">
        <w:rPr>
          <w:rFonts w:ascii="Arial" w:hAnsi="Arial" w:cs="Arial"/>
          <w:b w:val="0"/>
          <w:color w:val="000000"/>
          <w:kern w:val="28"/>
          <w:sz w:val="21"/>
          <w:szCs w:val="21"/>
        </w:rPr>
        <w:t xml:space="preserve">6%) è dovuta </w:t>
      </w:r>
      <w:r w:rsidRPr="00DD6F80">
        <w:rPr>
          <w:rFonts w:ascii="Arial" w:hAnsi="Arial" w:cs="Arial"/>
          <w:b w:val="0"/>
          <w:color w:val="000000"/>
          <w:kern w:val="28"/>
          <w:sz w:val="21"/>
          <w:szCs w:val="21"/>
        </w:rPr>
        <w:t xml:space="preserve">all’incremento delle vendite di </w:t>
      </w:r>
      <w:r w:rsidR="00A27F34" w:rsidRPr="00DD6F80">
        <w:rPr>
          <w:rFonts w:ascii="Arial" w:hAnsi="Arial" w:cs="Arial"/>
          <w:b w:val="0"/>
          <w:color w:val="000000"/>
          <w:kern w:val="28"/>
          <w:sz w:val="21"/>
          <w:szCs w:val="21"/>
        </w:rPr>
        <w:t>beni di consumo non durevoli (+4</w:t>
      </w:r>
      <w:r w:rsidRPr="00DD6F80">
        <w:rPr>
          <w:rFonts w:ascii="Arial" w:hAnsi="Arial" w:cs="Arial"/>
          <w:b w:val="0"/>
          <w:color w:val="000000"/>
          <w:kern w:val="28"/>
          <w:sz w:val="21"/>
          <w:szCs w:val="21"/>
        </w:rPr>
        <w:t>,</w:t>
      </w:r>
      <w:r w:rsidR="00A27F34" w:rsidRPr="00DD6F80">
        <w:rPr>
          <w:rFonts w:ascii="Arial" w:hAnsi="Arial" w:cs="Arial"/>
          <w:b w:val="0"/>
          <w:color w:val="000000"/>
          <w:kern w:val="28"/>
          <w:sz w:val="21"/>
          <w:szCs w:val="21"/>
        </w:rPr>
        <w:t>4</w:t>
      </w:r>
      <w:r w:rsidR="008F01D9">
        <w:rPr>
          <w:rFonts w:ascii="Arial" w:hAnsi="Arial" w:cs="Arial"/>
          <w:b w:val="0"/>
          <w:color w:val="000000"/>
          <w:kern w:val="28"/>
          <w:sz w:val="21"/>
          <w:szCs w:val="21"/>
        </w:rPr>
        <w:t>%</w:t>
      </w:r>
      <w:r w:rsidRPr="00DD6F80">
        <w:rPr>
          <w:rFonts w:ascii="Arial" w:hAnsi="Arial" w:cs="Arial"/>
          <w:b w:val="0"/>
          <w:color w:val="000000"/>
          <w:kern w:val="28"/>
          <w:sz w:val="21"/>
          <w:szCs w:val="21"/>
        </w:rPr>
        <w:t>)</w:t>
      </w:r>
      <w:r w:rsidR="00A27F34" w:rsidRPr="00DD6F80">
        <w:rPr>
          <w:rFonts w:ascii="Arial" w:hAnsi="Arial" w:cs="Arial"/>
          <w:b w:val="0"/>
          <w:color w:val="000000"/>
          <w:kern w:val="28"/>
          <w:sz w:val="21"/>
          <w:szCs w:val="21"/>
        </w:rPr>
        <w:t>, beni intermedi (+2</w:t>
      </w:r>
      <w:r w:rsidRPr="00DD6F80">
        <w:rPr>
          <w:rFonts w:ascii="Arial" w:hAnsi="Arial" w:cs="Arial"/>
          <w:b w:val="0"/>
          <w:color w:val="000000"/>
          <w:kern w:val="28"/>
          <w:sz w:val="21"/>
          <w:szCs w:val="21"/>
        </w:rPr>
        <w:t>,3%)</w:t>
      </w:r>
      <w:r w:rsidR="00BA5990">
        <w:rPr>
          <w:rFonts w:ascii="Arial" w:hAnsi="Arial" w:cs="Arial"/>
          <w:b w:val="0"/>
          <w:color w:val="000000"/>
          <w:kern w:val="28"/>
          <w:sz w:val="21"/>
          <w:szCs w:val="21"/>
        </w:rPr>
        <w:t xml:space="preserve"> ed energia (+9,4%); il calo delle </w:t>
      </w:r>
      <w:r w:rsidR="00BA5990" w:rsidRPr="00BA5990">
        <w:rPr>
          <w:rFonts w:ascii="Arial" w:hAnsi="Arial" w:cs="Arial"/>
          <w:b w:val="0"/>
          <w:color w:val="000000"/>
          <w:kern w:val="28"/>
          <w:sz w:val="21"/>
          <w:szCs w:val="21"/>
        </w:rPr>
        <w:t>esportazioni</w:t>
      </w:r>
      <w:r w:rsidR="00A27F34" w:rsidRPr="00BA5990">
        <w:rPr>
          <w:rFonts w:ascii="Arial" w:hAnsi="Arial" w:cs="Arial"/>
          <w:b w:val="0"/>
          <w:color w:val="000000"/>
          <w:kern w:val="28"/>
          <w:sz w:val="21"/>
          <w:szCs w:val="21"/>
        </w:rPr>
        <w:t xml:space="preserve"> di beni strumentali (-2,3%), </w:t>
      </w:r>
      <w:r w:rsidR="00BA5990" w:rsidRPr="00BA5990">
        <w:rPr>
          <w:rFonts w:ascii="Arial" w:hAnsi="Arial" w:cs="Arial"/>
          <w:b w:val="0"/>
          <w:color w:val="000000"/>
          <w:kern w:val="28"/>
          <w:sz w:val="21"/>
          <w:szCs w:val="21"/>
        </w:rPr>
        <w:t xml:space="preserve">è condizionato dalle vendite </w:t>
      </w:r>
      <w:r w:rsidR="00A27F34" w:rsidRPr="00BA5990">
        <w:rPr>
          <w:rFonts w:ascii="Arial" w:hAnsi="Arial" w:cs="Arial"/>
          <w:b w:val="0"/>
          <w:color w:val="000000"/>
          <w:kern w:val="28"/>
          <w:sz w:val="21"/>
          <w:szCs w:val="21"/>
        </w:rPr>
        <w:t xml:space="preserve">di beni di navigazione marittima verso i mercati extra Ue </w:t>
      </w:r>
      <w:r w:rsidR="00BA5990" w:rsidRPr="00BA5990">
        <w:rPr>
          <w:rFonts w:ascii="Arial" w:hAnsi="Arial" w:cs="Arial"/>
          <w:b w:val="0"/>
          <w:color w:val="000000"/>
          <w:kern w:val="28"/>
          <w:sz w:val="21"/>
          <w:szCs w:val="21"/>
        </w:rPr>
        <w:t>d</w:t>
      </w:r>
      <w:r w:rsidR="00A27F34" w:rsidRPr="00BA5990">
        <w:rPr>
          <w:rFonts w:ascii="Arial" w:hAnsi="Arial" w:cs="Arial"/>
          <w:b w:val="0"/>
          <w:color w:val="000000"/>
          <w:kern w:val="28"/>
          <w:sz w:val="21"/>
          <w:szCs w:val="21"/>
        </w:rPr>
        <w:t>el mese precedente.</w:t>
      </w:r>
      <w:r w:rsidR="00A34DC1" w:rsidRPr="00BA5990">
        <w:rPr>
          <w:rFonts w:ascii="Arial" w:hAnsi="Arial" w:cs="Arial"/>
          <w:b w:val="0"/>
          <w:color w:val="000000"/>
          <w:kern w:val="28"/>
          <w:sz w:val="21"/>
          <w:szCs w:val="21"/>
        </w:rPr>
        <w:t xml:space="preserve"> </w:t>
      </w:r>
      <w:r w:rsidR="004E7A1D" w:rsidRPr="00BA5990">
        <w:rPr>
          <w:rFonts w:ascii="Arial" w:hAnsi="Arial" w:cs="Arial"/>
          <w:b w:val="0"/>
          <w:color w:val="000000"/>
          <w:kern w:val="28"/>
          <w:sz w:val="21"/>
          <w:szCs w:val="21"/>
        </w:rPr>
        <w:t>L’</w:t>
      </w:r>
      <w:r w:rsidR="00A34DC1" w:rsidRPr="00BA5990">
        <w:rPr>
          <w:rFonts w:ascii="Arial" w:hAnsi="Arial" w:cs="Arial"/>
          <w:b w:val="0"/>
          <w:color w:val="000000"/>
          <w:kern w:val="28"/>
          <w:sz w:val="21"/>
          <w:szCs w:val="21"/>
        </w:rPr>
        <w:t>export di beni di consumo durevoli</w:t>
      </w:r>
      <w:r w:rsidR="004E7A1D" w:rsidRPr="00BA5990">
        <w:rPr>
          <w:rFonts w:ascii="Arial" w:hAnsi="Arial" w:cs="Arial"/>
          <w:b w:val="0"/>
          <w:color w:val="000000"/>
          <w:kern w:val="28"/>
          <w:sz w:val="21"/>
          <w:szCs w:val="21"/>
        </w:rPr>
        <w:t xml:space="preserve"> è stazionario</w:t>
      </w:r>
      <w:r w:rsidR="00A34DC1" w:rsidRPr="00BA5990">
        <w:rPr>
          <w:rFonts w:ascii="Arial" w:hAnsi="Arial" w:cs="Arial"/>
          <w:b w:val="0"/>
          <w:color w:val="000000"/>
          <w:kern w:val="28"/>
          <w:sz w:val="21"/>
          <w:szCs w:val="21"/>
        </w:rPr>
        <w:t>.</w:t>
      </w:r>
      <w:r w:rsidR="00A34DC1" w:rsidRPr="00DD6F80">
        <w:rPr>
          <w:rFonts w:ascii="Arial" w:hAnsi="Arial" w:cs="Arial"/>
          <w:b w:val="0"/>
          <w:color w:val="000000"/>
          <w:kern w:val="28"/>
          <w:sz w:val="21"/>
          <w:szCs w:val="21"/>
        </w:rPr>
        <w:t xml:space="preserve"> </w:t>
      </w:r>
    </w:p>
    <w:p w14:paraId="7A4E2C52" w14:textId="5F1C2D9C" w:rsidR="0075218A" w:rsidRDefault="0075218A" w:rsidP="0075218A">
      <w:pPr>
        <w:pStyle w:val="Corpodeltesto1"/>
        <w:rPr>
          <w:rFonts w:ascii="Arial" w:hAnsi="Arial" w:cs="Arial"/>
          <w:b w:val="0"/>
          <w:color w:val="000000"/>
          <w:kern w:val="28"/>
          <w:sz w:val="21"/>
          <w:szCs w:val="21"/>
        </w:rPr>
      </w:pPr>
      <w:r w:rsidRPr="00DD6F80">
        <w:rPr>
          <w:rFonts w:ascii="Arial" w:hAnsi="Arial" w:cs="Arial"/>
          <w:b w:val="0"/>
          <w:color w:val="000000"/>
          <w:kern w:val="28"/>
          <w:sz w:val="21"/>
          <w:szCs w:val="21"/>
        </w:rPr>
        <w:t>La crescita</w:t>
      </w:r>
      <w:r w:rsidR="00C15B87" w:rsidRPr="00DD6F80">
        <w:rPr>
          <w:rFonts w:ascii="Arial" w:hAnsi="Arial" w:cs="Arial"/>
          <w:b w:val="0"/>
          <w:color w:val="000000"/>
          <w:kern w:val="28"/>
          <w:sz w:val="21"/>
          <w:szCs w:val="21"/>
        </w:rPr>
        <w:t xml:space="preserve"> su base mensile dell’import (+5</w:t>
      </w:r>
      <w:r w:rsidRPr="00DD6F80">
        <w:rPr>
          <w:rFonts w:ascii="Arial" w:hAnsi="Arial" w:cs="Arial"/>
          <w:b w:val="0"/>
          <w:color w:val="000000"/>
          <w:kern w:val="28"/>
          <w:sz w:val="21"/>
          <w:szCs w:val="21"/>
        </w:rPr>
        <w:t>,</w:t>
      </w:r>
      <w:r w:rsidR="00C15B87" w:rsidRPr="00DD6F80">
        <w:rPr>
          <w:rFonts w:ascii="Arial" w:hAnsi="Arial" w:cs="Arial"/>
          <w:b w:val="0"/>
          <w:color w:val="000000"/>
          <w:kern w:val="28"/>
          <w:sz w:val="21"/>
          <w:szCs w:val="21"/>
        </w:rPr>
        <w:t>4</w:t>
      </w:r>
      <w:r w:rsidRPr="00DD6F80">
        <w:rPr>
          <w:rFonts w:ascii="Arial" w:hAnsi="Arial" w:cs="Arial"/>
          <w:b w:val="0"/>
          <w:color w:val="000000"/>
          <w:kern w:val="28"/>
          <w:sz w:val="21"/>
          <w:szCs w:val="21"/>
        </w:rPr>
        <w:t xml:space="preserve">%) </w:t>
      </w:r>
      <w:r w:rsidR="00C15B87" w:rsidRPr="00DD6F80">
        <w:rPr>
          <w:rFonts w:ascii="Arial" w:hAnsi="Arial" w:cs="Arial"/>
          <w:b w:val="0"/>
          <w:color w:val="000000"/>
          <w:kern w:val="28"/>
          <w:sz w:val="21"/>
          <w:szCs w:val="21"/>
        </w:rPr>
        <w:t xml:space="preserve">ha riguardato tutti i raggruppamenti principali di industrie ed </w:t>
      </w:r>
      <w:r w:rsidRPr="00DD6F80">
        <w:rPr>
          <w:rFonts w:ascii="Arial" w:hAnsi="Arial" w:cs="Arial"/>
          <w:b w:val="0"/>
          <w:color w:val="000000"/>
          <w:kern w:val="28"/>
          <w:sz w:val="21"/>
          <w:szCs w:val="21"/>
        </w:rPr>
        <w:t>è determinata principalmente dall’aumento degli a</w:t>
      </w:r>
      <w:r w:rsidR="00C15B87" w:rsidRPr="00DD6F80">
        <w:rPr>
          <w:rFonts w:ascii="Arial" w:hAnsi="Arial" w:cs="Arial"/>
          <w:b w:val="0"/>
          <w:color w:val="000000"/>
          <w:kern w:val="28"/>
          <w:sz w:val="21"/>
          <w:szCs w:val="21"/>
        </w:rPr>
        <w:t>cquisti di energia (+</w:t>
      </w:r>
      <w:r w:rsidR="00DD6F80">
        <w:rPr>
          <w:rFonts w:ascii="Arial" w:hAnsi="Arial" w:cs="Arial"/>
          <w:b w:val="0"/>
          <w:color w:val="000000"/>
          <w:kern w:val="28"/>
          <w:sz w:val="21"/>
          <w:szCs w:val="21"/>
        </w:rPr>
        <w:t>20</w:t>
      </w:r>
      <w:r w:rsidRPr="00DD6F80">
        <w:rPr>
          <w:rFonts w:ascii="Arial" w:hAnsi="Arial" w:cs="Arial"/>
          <w:b w:val="0"/>
          <w:color w:val="000000"/>
          <w:kern w:val="28"/>
          <w:sz w:val="21"/>
          <w:szCs w:val="21"/>
        </w:rPr>
        <w:t>,</w:t>
      </w:r>
      <w:r w:rsidR="00DD6F80">
        <w:rPr>
          <w:rFonts w:ascii="Arial" w:hAnsi="Arial" w:cs="Arial"/>
          <w:b w:val="0"/>
          <w:color w:val="000000"/>
          <w:kern w:val="28"/>
          <w:sz w:val="21"/>
          <w:szCs w:val="21"/>
        </w:rPr>
        <w:t>1</w:t>
      </w:r>
      <w:r w:rsidR="00C15B87" w:rsidRPr="00DD6F80">
        <w:rPr>
          <w:rFonts w:ascii="Arial" w:hAnsi="Arial" w:cs="Arial"/>
          <w:b w:val="0"/>
          <w:color w:val="000000"/>
          <w:kern w:val="28"/>
          <w:sz w:val="21"/>
          <w:szCs w:val="21"/>
        </w:rPr>
        <w:t>%)</w:t>
      </w:r>
      <w:r w:rsidRPr="00DD6F80">
        <w:rPr>
          <w:rFonts w:ascii="Arial" w:hAnsi="Arial" w:cs="Arial"/>
          <w:b w:val="0"/>
          <w:color w:val="000000"/>
          <w:kern w:val="28"/>
          <w:sz w:val="21"/>
          <w:szCs w:val="21"/>
        </w:rPr>
        <w:t>.</w:t>
      </w:r>
    </w:p>
    <w:p w14:paraId="0143F2ED" w14:textId="77777777" w:rsidR="002F4710" w:rsidRDefault="002F4710" w:rsidP="002900F6">
      <w:pPr>
        <w:pStyle w:val="Corpodeltesto1"/>
        <w:rPr>
          <w:rFonts w:ascii="Arial" w:hAnsi="Arial" w:cs="Arial"/>
          <w:b w:val="0"/>
          <w:color w:val="000000"/>
          <w:kern w:val="28"/>
          <w:sz w:val="21"/>
          <w:szCs w:val="21"/>
        </w:rPr>
      </w:pPr>
    </w:p>
    <w:p w14:paraId="7DF9A35B" w14:textId="62C9E281" w:rsidR="00116AB6" w:rsidRDefault="00116AB6" w:rsidP="006073FC">
      <w:pPr>
        <w:pStyle w:val="Corpodeltesto1"/>
        <w:rPr>
          <w:rFonts w:ascii="Arial" w:hAnsi="Arial" w:cs="Arial"/>
          <w:b w:val="0"/>
          <w:color w:val="000000"/>
          <w:kern w:val="28"/>
          <w:sz w:val="21"/>
          <w:szCs w:val="21"/>
        </w:rPr>
      </w:pPr>
    </w:p>
    <w:p w14:paraId="7603481A" w14:textId="77777777" w:rsidR="007F58F4" w:rsidRDefault="007F58F4" w:rsidP="006073FC">
      <w:pPr>
        <w:pStyle w:val="Corpodeltesto1"/>
        <w:rPr>
          <w:rFonts w:ascii="Arial" w:hAnsi="Arial" w:cs="Arial"/>
          <w:b w:val="0"/>
          <w:color w:val="000000"/>
          <w:kern w:val="28"/>
          <w:sz w:val="21"/>
          <w:szCs w:val="21"/>
        </w:rPr>
      </w:pPr>
    </w:p>
    <w:p w14:paraId="37EFB4E3" w14:textId="595F7A2C" w:rsidR="00116AB6" w:rsidRDefault="00116AB6" w:rsidP="006073FC">
      <w:pPr>
        <w:pStyle w:val="Corpodeltesto1"/>
        <w:rPr>
          <w:rFonts w:ascii="Arial" w:hAnsi="Arial" w:cs="Arial"/>
          <w:b w:val="0"/>
          <w:color w:val="000000"/>
          <w:kern w:val="28"/>
          <w:sz w:val="21"/>
          <w:szCs w:val="21"/>
        </w:rPr>
      </w:pPr>
    </w:p>
    <w:p w14:paraId="3EDEC972" w14:textId="77777777" w:rsidR="002865B7" w:rsidRDefault="002865B7" w:rsidP="006073FC">
      <w:pPr>
        <w:pStyle w:val="Corpodeltesto1"/>
        <w:rPr>
          <w:rFonts w:ascii="Arial" w:hAnsi="Arial" w:cs="Arial"/>
          <w:b w:val="0"/>
          <w:color w:val="000000"/>
          <w:kern w:val="28"/>
          <w:sz w:val="21"/>
          <w:szCs w:val="21"/>
        </w:rPr>
      </w:pPr>
    </w:p>
    <w:p w14:paraId="01FB2B3B" w14:textId="77777777" w:rsidR="006073FC" w:rsidRDefault="006073FC" w:rsidP="00636140">
      <w:pPr>
        <w:pStyle w:val="Corpodeltesto1"/>
        <w:jc w:val="left"/>
        <w:rPr>
          <w:rFonts w:ascii="Arial Narrow" w:hAnsi="Arial Narrow" w:cs="Arial"/>
          <w:bCs/>
          <w:color w:val="E42618"/>
          <w:kern w:val="28"/>
          <w:sz w:val="22"/>
          <w:szCs w:val="22"/>
        </w:rPr>
      </w:pPr>
    </w:p>
    <w:p w14:paraId="1BB623D8" w14:textId="77777777" w:rsidR="00A323E0" w:rsidRDefault="00A323E0" w:rsidP="00636140">
      <w:pPr>
        <w:pStyle w:val="Corpodeltesto1"/>
        <w:jc w:val="left"/>
        <w:rPr>
          <w:rFonts w:ascii="Arial Narrow" w:hAnsi="Arial Narrow" w:cs="Arial"/>
          <w:bCs/>
          <w:color w:val="E42618"/>
          <w:kern w:val="28"/>
          <w:sz w:val="22"/>
          <w:szCs w:val="22"/>
        </w:rPr>
      </w:pPr>
    </w:p>
    <w:p w14:paraId="3589CBCC" w14:textId="77777777" w:rsidR="00295FAD" w:rsidRDefault="00295FAD" w:rsidP="00636140">
      <w:pPr>
        <w:pStyle w:val="Corpodeltesto1"/>
        <w:jc w:val="left"/>
        <w:rPr>
          <w:rFonts w:ascii="Arial Narrow" w:hAnsi="Arial Narrow" w:cs="Arial"/>
          <w:bCs/>
          <w:color w:val="E42618"/>
          <w:kern w:val="28"/>
          <w:sz w:val="22"/>
          <w:szCs w:val="22"/>
        </w:rPr>
      </w:pPr>
    </w:p>
    <w:p w14:paraId="774137C1" w14:textId="77777777" w:rsidR="002865B7" w:rsidRDefault="002865B7" w:rsidP="00636140">
      <w:pPr>
        <w:pStyle w:val="Corpodeltesto1"/>
        <w:jc w:val="left"/>
        <w:rPr>
          <w:rFonts w:ascii="Arial Narrow" w:hAnsi="Arial Narrow" w:cs="Arial"/>
          <w:bCs/>
          <w:color w:val="E42618"/>
          <w:kern w:val="28"/>
          <w:sz w:val="22"/>
          <w:szCs w:val="22"/>
        </w:rPr>
      </w:pPr>
    </w:p>
    <w:p w14:paraId="20D22D07" w14:textId="695183FC" w:rsidR="006D02F3" w:rsidRDefault="00831F78" w:rsidP="00636140">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sidR="006D02F3">
        <w:rPr>
          <w:rFonts w:ascii="Arial Narrow" w:hAnsi="Arial Narrow" w:cs="Arial"/>
          <w:bCs/>
          <w:color w:val="E42618"/>
          <w:kern w:val="28"/>
          <w:sz w:val="22"/>
          <w:szCs w:val="22"/>
        </w:rPr>
        <w:t>6</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AB6CA8"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ALL’EXPORT</w:t>
      </w:r>
    </w:p>
    <w:p w14:paraId="3A161C78" w14:textId="3D8C0535" w:rsidR="00282F5A" w:rsidRDefault="0075218A" w:rsidP="00282F5A">
      <w:pPr>
        <w:pStyle w:val="Corpodeltesto1"/>
        <w:spacing w:after="120"/>
        <w:jc w:val="left"/>
        <w:rPr>
          <w:noProof/>
        </w:rPr>
      </w:pPr>
      <w:r>
        <w:rPr>
          <w:rFonts w:ascii="Arial Narrow" w:hAnsi="Arial Narrow" w:cs="Arial"/>
          <w:b w:val="0"/>
          <w:color w:val="5F5F5F"/>
          <w:kern w:val="28"/>
          <w:sz w:val="20"/>
          <w:szCs w:val="20"/>
        </w:rPr>
        <w:t>Febbraio</w:t>
      </w:r>
      <w:r w:rsidR="00C829DA"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5C343A"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5C343A" w:rsidRPr="005C343A">
        <w:rPr>
          <w:rFonts w:ascii="Arial Narrow" w:hAnsi="Arial Narrow" w:cs="Arial"/>
          <w:b w:val="0"/>
          <w:color w:val="5F5F5F"/>
          <w:kern w:val="28"/>
          <w:sz w:val="20"/>
          <w:szCs w:val="20"/>
        </w:rPr>
        <w:t xml:space="preserve"> percentuali tendenziali</w:t>
      </w:r>
      <w:r w:rsidR="00282F5A">
        <w:rPr>
          <w:rFonts w:ascii="Arial Narrow" w:hAnsi="Arial Narrow" w:cs="Arial"/>
          <w:b w:val="0"/>
          <w:color w:val="5F5F5F"/>
          <w:kern w:val="28"/>
          <w:sz w:val="20"/>
          <w:szCs w:val="20"/>
        </w:rPr>
        <w:t xml:space="preserve"> </w:t>
      </w:r>
      <w:r w:rsidR="00282F5A" w:rsidRPr="00E35121">
        <w:rPr>
          <w:rFonts w:ascii="Arial Narrow" w:hAnsi="Arial Narrow" w:cs="Arial"/>
          <w:b w:val="0"/>
          <w:bCs/>
          <w:color w:val="5F5F5F"/>
          <w:kern w:val="28"/>
          <w:sz w:val="20"/>
          <w:szCs w:val="22"/>
        </w:rPr>
        <w:t>(a)</w:t>
      </w:r>
    </w:p>
    <w:p w14:paraId="7D4EF78A" w14:textId="48CF5757" w:rsidR="004D2796" w:rsidRDefault="00AA59E1" w:rsidP="007F58F4">
      <w:pPr>
        <w:pStyle w:val="Corpodeltesto1"/>
        <w:spacing w:after="120"/>
        <w:jc w:val="left"/>
        <w:rPr>
          <w:rFonts w:ascii="Arial Narrow" w:hAnsi="Arial Narrow" w:cs="Arial"/>
          <w:b w:val="0"/>
          <w:color w:val="5F5F5F"/>
          <w:kern w:val="28"/>
          <w:sz w:val="20"/>
          <w:szCs w:val="20"/>
        </w:rPr>
      </w:pPr>
      <w:r>
        <w:rPr>
          <w:noProof/>
        </w:rPr>
        <w:drawing>
          <wp:inline distT="0" distB="0" distL="0" distR="0" wp14:anchorId="55568EC7" wp14:editId="5AB12C47">
            <wp:extent cx="6660000" cy="2160000"/>
            <wp:effectExtent l="0" t="0" r="762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7B6211" w14:textId="77777777" w:rsidR="0025622B" w:rsidRDefault="0025622B" w:rsidP="006D02F3">
      <w:pPr>
        <w:pStyle w:val="Corpodeltesto1"/>
        <w:jc w:val="left"/>
        <w:rPr>
          <w:rFonts w:ascii="Arial Narrow" w:hAnsi="Arial Narrow" w:cs="Arial"/>
          <w:bCs/>
          <w:color w:val="E42618"/>
          <w:kern w:val="28"/>
          <w:sz w:val="22"/>
          <w:szCs w:val="22"/>
        </w:rPr>
      </w:pPr>
    </w:p>
    <w:p w14:paraId="6D6E069B" w14:textId="77777777" w:rsidR="006D02F3" w:rsidRDefault="006D02F3" w:rsidP="006D02F3">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Pr>
          <w:rFonts w:ascii="Arial Narrow" w:hAnsi="Arial Narrow" w:cs="Arial"/>
          <w:bCs/>
          <w:color w:val="E42618"/>
          <w:kern w:val="28"/>
          <w:sz w:val="22"/>
          <w:szCs w:val="22"/>
        </w:rPr>
        <w:t>7</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C25C1A"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ALL’IMPORT</w:t>
      </w:r>
    </w:p>
    <w:p w14:paraId="31005FBF" w14:textId="242158CC" w:rsidR="00DD774B" w:rsidRDefault="0075218A" w:rsidP="00DD774B">
      <w:pPr>
        <w:pStyle w:val="Corpodeltesto1"/>
        <w:spacing w:after="120"/>
        <w:jc w:val="left"/>
        <w:rPr>
          <w:rFonts w:ascii="Arial Narrow" w:hAnsi="Arial Narrow" w:cs="Arial"/>
          <w:b w:val="0"/>
          <w:bCs/>
          <w:color w:val="5F5F5F"/>
          <w:kern w:val="28"/>
          <w:sz w:val="20"/>
          <w:szCs w:val="22"/>
        </w:rPr>
      </w:pPr>
      <w:r>
        <w:rPr>
          <w:rFonts w:ascii="Arial Narrow" w:hAnsi="Arial Narrow" w:cs="Arial"/>
          <w:b w:val="0"/>
          <w:color w:val="5F5F5F"/>
          <w:kern w:val="28"/>
          <w:sz w:val="20"/>
          <w:szCs w:val="20"/>
        </w:rPr>
        <w:t>Febbraio</w:t>
      </w:r>
      <w:r w:rsidR="00C829DA"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w:t>
      </w:r>
      <w:r w:rsidR="00592CBA" w:rsidRPr="005C343A">
        <w:rPr>
          <w:rFonts w:ascii="Arial Narrow" w:hAnsi="Arial Narrow" w:cs="Arial"/>
          <w:b w:val="0"/>
          <w:color w:val="5F5F5F"/>
          <w:kern w:val="28"/>
          <w:sz w:val="20"/>
          <w:szCs w:val="20"/>
        </w:rPr>
        <w:t>entuali e vari</w:t>
      </w:r>
      <w:r w:rsidR="00592CBA">
        <w:rPr>
          <w:rFonts w:ascii="Arial Narrow" w:hAnsi="Arial Narrow" w:cs="Arial"/>
          <w:b w:val="0"/>
          <w:color w:val="5F5F5F"/>
          <w:kern w:val="28"/>
          <w:sz w:val="20"/>
          <w:szCs w:val="20"/>
        </w:rPr>
        <w:t>azioni</w:t>
      </w:r>
      <w:r w:rsidR="00592CBA" w:rsidRPr="005C343A">
        <w:rPr>
          <w:rFonts w:ascii="Arial Narrow" w:hAnsi="Arial Narrow" w:cs="Arial"/>
          <w:b w:val="0"/>
          <w:color w:val="5F5F5F"/>
          <w:kern w:val="28"/>
          <w:sz w:val="20"/>
          <w:szCs w:val="20"/>
        </w:rPr>
        <w:t xml:space="preserve"> percentuali tendenziali</w:t>
      </w:r>
      <w:r w:rsidR="00592CBA">
        <w:rPr>
          <w:rFonts w:ascii="Arial Narrow" w:hAnsi="Arial Narrow" w:cs="Arial"/>
          <w:b w:val="0"/>
          <w:color w:val="5F5F5F"/>
          <w:kern w:val="28"/>
          <w:sz w:val="20"/>
          <w:szCs w:val="20"/>
        </w:rPr>
        <w:t xml:space="preserve"> </w:t>
      </w:r>
      <w:r w:rsidR="00DD774B">
        <w:rPr>
          <w:rFonts w:ascii="Arial Narrow" w:hAnsi="Arial Narrow" w:cs="Arial"/>
          <w:b w:val="0"/>
          <w:bCs/>
          <w:color w:val="5F5F5F"/>
          <w:kern w:val="28"/>
          <w:sz w:val="20"/>
          <w:szCs w:val="22"/>
        </w:rPr>
        <w:t>(a)</w:t>
      </w:r>
    </w:p>
    <w:p w14:paraId="62220090" w14:textId="6317A33A" w:rsidR="00BC59CE" w:rsidRDefault="00AA59E1" w:rsidP="00DD774B">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1CDDE61A" wp14:editId="426815AC">
            <wp:extent cx="6660000" cy="2160000"/>
            <wp:effectExtent l="0" t="0" r="762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E3AD43" w14:textId="478B2528" w:rsidR="00282F5A" w:rsidRDefault="00282F5A" w:rsidP="00282F5A">
      <w:pPr>
        <w:spacing w:after="120"/>
        <w:jc w:val="both"/>
        <w:rPr>
          <w:rFonts w:ascii="Arial Narrow" w:hAnsi="Arial Narrow" w:cs="Calibri"/>
          <w:sz w:val="15"/>
          <w:szCs w:val="15"/>
        </w:rPr>
      </w:pPr>
      <w:r w:rsidRPr="009F2C56">
        <w:rPr>
          <w:rFonts w:ascii="Arial Narrow" w:hAnsi="Arial Narrow" w:cs="Calibri"/>
          <w:sz w:val="15"/>
          <w:szCs w:val="15"/>
        </w:rPr>
        <w:t xml:space="preserve">(a) </w:t>
      </w:r>
      <w:r w:rsidRPr="00AC09DF">
        <w:rPr>
          <w:rFonts w:ascii="Arial Narrow" w:hAnsi="Arial Narrow" w:cs="Calibri"/>
          <w:sz w:val="15"/>
          <w:szCs w:val="15"/>
        </w:rPr>
        <w:t>Limitatamente ai settori la cui quota sull’export (import) per l’anno 20</w:t>
      </w:r>
      <w:r w:rsidR="001E77DD">
        <w:rPr>
          <w:rFonts w:ascii="Arial Narrow" w:hAnsi="Arial Narrow" w:cs="Calibri"/>
          <w:sz w:val="15"/>
          <w:szCs w:val="15"/>
        </w:rPr>
        <w:t>2</w:t>
      </w:r>
      <w:r w:rsidR="0075218A">
        <w:rPr>
          <w:rFonts w:ascii="Arial Narrow" w:hAnsi="Arial Narrow" w:cs="Calibri"/>
          <w:sz w:val="15"/>
          <w:szCs w:val="15"/>
        </w:rPr>
        <w:t>1</w:t>
      </w:r>
      <w:r w:rsidRPr="00AC09DF">
        <w:rPr>
          <w:rFonts w:ascii="Arial Narrow" w:hAnsi="Arial Narrow" w:cs="Calibri"/>
          <w:sz w:val="15"/>
          <w:szCs w:val="15"/>
        </w:rPr>
        <w:t xml:space="preserve"> è superiore all’1,5%.</w:t>
      </w:r>
    </w:p>
    <w:p w14:paraId="3F7ACA5E" w14:textId="534E6710" w:rsidR="00971A17" w:rsidRDefault="00971A17" w:rsidP="00E224CF">
      <w:pPr>
        <w:spacing w:after="120"/>
        <w:jc w:val="both"/>
        <w:rPr>
          <w:rFonts w:ascii="Arial" w:hAnsi="Arial"/>
          <w:sz w:val="21"/>
          <w:szCs w:val="21"/>
        </w:rPr>
      </w:pPr>
      <w:r w:rsidRPr="009F2C56">
        <w:rPr>
          <w:rFonts w:ascii="Arial Narrow" w:hAnsi="Arial Narrow" w:cs="Calibri"/>
          <w:sz w:val="15"/>
          <w:szCs w:val="15"/>
        </w:rPr>
        <w:t>Abbreviazioni</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Metalli</w:t>
      </w:r>
      <w:r w:rsidRPr="004D645B">
        <w:rPr>
          <w:rFonts w:ascii="Arial Narrow" w:hAnsi="Arial Narrow" w:cs="Calibri"/>
          <w:sz w:val="15"/>
          <w:szCs w:val="15"/>
        </w:rPr>
        <w:t>=</w:t>
      </w:r>
      <w:r w:rsidRPr="00456679">
        <w:rPr>
          <w:rFonts w:ascii="Arial Narrow" w:hAnsi="Arial Narrow" w:cs="Calibri"/>
          <w:sz w:val="15"/>
          <w:szCs w:val="15"/>
        </w:rPr>
        <w:t>Metalli di base e prodotti in metallo, esclusi macchine e impianti</w:t>
      </w:r>
      <w:r w:rsidRPr="004D645B">
        <w:rPr>
          <w:rFonts w:ascii="Arial Narrow" w:hAnsi="Arial Narrow" w:cs="Calibri"/>
          <w:sz w:val="15"/>
          <w:szCs w:val="15"/>
        </w:rPr>
        <w:t xml:space="preserve">; </w:t>
      </w:r>
      <w:r w:rsidRPr="00456679">
        <w:rPr>
          <w:rFonts w:ascii="Arial Narrow" w:hAnsi="Arial Narrow" w:cs="Calibri"/>
          <w:sz w:val="15"/>
          <w:szCs w:val="15"/>
        </w:rPr>
        <w:t>Altri m</w:t>
      </w:r>
      <w:r w:rsidR="00A61899">
        <w:rPr>
          <w:rFonts w:ascii="Arial Narrow" w:hAnsi="Arial Narrow" w:cs="Calibri"/>
          <w:sz w:val="15"/>
          <w:szCs w:val="15"/>
        </w:rPr>
        <w:t>ezzi</w:t>
      </w:r>
      <w:r w:rsidRPr="00456679">
        <w:rPr>
          <w:rFonts w:ascii="Arial Narrow" w:hAnsi="Arial Narrow" w:cs="Calibri"/>
          <w:sz w:val="15"/>
          <w:szCs w:val="15"/>
        </w:rPr>
        <w:t xml:space="preserve"> trasp</w:t>
      </w:r>
      <w:r w:rsidR="00A61899">
        <w:rPr>
          <w:rFonts w:ascii="Arial Narrow" w:hAnsi="Arial Narrow" w:cs="Calibri"/>
          <w:sz w:val="15"/>
          <w:szCs w:val="15"/>
        </w:rPr>
        <w:t>orto</w:t>
      </w:r>
      <w:r w:rsidRPr="004D645B">
        <w:rPr>
          <w:rFonts w:ascii="Arial Narrow" w:hAnsi="Arial Narrow" w:cs="Calibri"/>
          <w:sz w:val="15"/>
          <w:szCs w:val="15"/>
        </w:rPr>
        <w:t>=</w:t>
      </w:r>
      <w:r w:rsidRPr="00456679">
        <w:rPr>
          <w:rFonts w:ascii="Arial Narrow" w:hAnsi="Arial Narrow" w:cs="Calibri"/>
          <w:sz w:val="15"/>
          <w:szCs w:val="15"/>
        </w:rPr>
        <w:t>Mezzi di trasporto (escl. autoveicoli)</w:t>
      </w:r>
      <w:r w:rsidRPr="004D645B">
        <w:rPr>
          <w:rFonts w:ascii="Arial Narrow" w:hAnsi="Arial Narrow" w:cs="Calibri"/>
          <w:sz w:val="15"/>
          <w:szCs w:val="15"/>
        </w:rPr>
        <w:t xml:space="preserve">; </w:t>
      </w:r>
      <w:r w:rsidRPr="00456679">
        <w:rPr>
          <w:rFonts w:ascii="Arial Narrow" w:hAnsi="Arial Narrow" w:cs="Calibri"/>
          <w:sz w:val="15"/>
          <w:szCs w:val="15"/>
        </w:rPr>
        <w:t>Macchinari</w:t>
      </w:r>
      <w:r w:rsidRPr="004D645B">
        <w:rPr>
          <w:rFonts w:ascii="Arial Narrow" w:hAnsi="Arial Narrow" w:cs="Calibri"/>
          <w:sz w:val="15"/>
          <w:szCs w:val="15"/>
        </w:rPr>
        <w:t>=</w:t>
      </w:r>
      <w:r w:rsidR="008D0F0F">
        <w:rPr>
          <w:rFonts w:ascii="Arial Narrow" w:hAnsi="Arial Narrow" w:cs="Calibri"/>
          <w:sz w:val="15"/>
          <w:szCs w:val="15"/>
        </w:rPr>
        <w:t>Macchinari</w:t>
      </w:r>
      <w:r w:rsidRPr="00456679">
        <w:rPr>
          <w:rFonts w:ascii="Arial Narrow" w:hAnsi="Arial Narrow" w:cs="Calibri"/>
          <w:sz w:val="15"/>
          <w:szCs w:val="15"/>
        </w:rPr>
        <w:t xml:space="preserve"> e apparecchi n.c.a.</w:t>
      </w:r>
      <w:r w:rsidRPr="004D645B">
        <w:rPr>
          <w:rFonts w:ascii="Arial Narrow" w:hAnsi="Arial Narrow" w:cs="Calibri"/>
          <w:sz w:val="15"/>
          <w:szCs w:val="15"/>
        </w:rPr>
        <w:t xml:space="preserve">; </w:t>
      </w:r>
      <w:r w:rsidRPr="00456679">
        <w:rPr>
          <w:rFonts w:ascii="Arial Narrow" w:hAnsi="Arial Narrow" w:cs="Calibri"/>
          <w:sz w:val="15"/>
          <w:szCs w:val="15"/>
        </w:rPr>
        <w:t>Carta-stampa</w:t>
      </w:r>
      <w:r w:rsidRPr="004D645B">
        <w:rPr>
          <w:rFonts w:ascii="Arial Narrow" w:hAnsi="Arial Narrow" w:cs="Calibri"/>
          <w:sz w:val="15"/>
          <w:szCs w:val="15"/>
        </w:rPr>
        <w:t>=</w:t>
      </w:r>
      <w:r w:rsidRPr="00456679">
        <w:rPr>
          <w:rFonts w:ascii="Arial Narrow" w:hAnsi="Arial Narrow" w:cs="Calibri"/>
          <w:sz w:val="15"/>
          <w:szCs w:val="15"/>
        </w:rPr>
        <w:t>Carta e prodotti di carta; prodotti della stampa e della riproduzione di supporti registrati</w:t>
      </w:r>
      <w:r w:rsidRPr="004D645B">
        <w:rPr>
          <w:rFonts w:ascii="Arial Narrow" w:hAnsi="Arial Narrow" w:cs="Calibri"/>
          <w:sz w:val="15"/>
          <w:szCs w:val="15"/>
        </w:rPr>
        <w:t xml:space="preserve">; </w:t>
      </w:r>
      <w:r w:rsidRPr="00456679">
        <w:rPr>
          <w:rFonts w:ascii="Arial Narrow" w:hAnsi="Arial Narrow" w:cs="Calibri"/>
          <w:sz w:val="15"/>
          <w:szCs w:val="15"/>
        </w:rPr>
        <w:t>Chimica</w:t>
      </w:r>
      <w:r w:rsidRPr="004D645B">
        <w:rPr>
          <w:rFonts w:ascii="Arial Narrow" w:hAnsi="Arial Narrow" w:cs="Calibri"/>
          <w:sz w:val="15"/>
          <w:szCs w:val="15"/>
        </w:rPr>
        <w:t>=</w:t>
      </w:r>
      <w:r w:rsidRPr="00456679">
        <w:rPr>
          <w:rFonts w:ascii="Arial Narrow" w:hAnsi="Arial Narrow" w:cs="Calibri"/>
          <w:sz w:val="15"/>
          <w:szCs w:val="15"/>
        </w:rPr>
        <w:t>Sostanze e prodotti chimici</w:t>
      </w:r>
      <w:r w:rsidRPr="004D645B">
        <w:rPr>
          <w:rFonts w:ascii="Arial Narrow" w:hAnsi="Arial Narrow" w:cs="Calibri"/>
          <w:sz w:val="15"/>
          <w:szCs w:val="15"/>
        </w:rPr>
        <w:t xml:space="preserve">; </w:t>
      </w:r>
      <w:r w:rsidR="00A61899">
        <w:rPr>
          <w:rFonts w:ascii="Arial Narrow" w:hAnsi="Arial Narrow" w:cs="Calibri"/>
          <w:sz w:val="15"/>
          <w:szCs w:val="15"/>
        </w:rPr>
        <w:t>Minerali non metalliferi</w:t>
      </w:r>
      <w:r w:rsidRPr="004D645B">
        <w:rPr>
          <w:rFonts w:ascii="Arial Narrow" w:hAnsi="Arial Narrow" w:cs="Calibri"/>
          <w:sz w:val="15"/>
          <w:szCs w:val="15"/>
        </w:rPr>
        <w:t>=</w:t>
      </w:r>
      <w:r w:rsidRPr="00456679">
        <w:rPr>
          <w:rFonts w:ascii="Arial Narrow" w:hAnsi="Arial Narrow" w:cs="Calibri"/>
          <w:sz w:val="15"/>
          <w:szCs w:val="15"/>
        </w:rPr>
        <w:t>Altri prodotti della lavorazione di minerali non metalliferi</w:t>
      </w:r>
      <w:r w:rsidRPr="004D645B">
        <w:rPr>
          <w:rFonts w:ascii="Arial Narrow" w:hAnsi="Arial Narrow" w:cs="Calibri"/>
          <w:sz w:val="15"/>
          <w:szCs w:val="15"/>
        </w:rPr>
        <w:t xml:space="preserve">; </w:t>
      </w:r>
      <w:r w:rsidR="00A61899">
        <w:rPr>
          <w:rFonts w:ascii="Arial Narrow" w:hAnsi="Arial Narrow" w:cs="Calibri"/>
          <w:sz w:val="15"/>
          <w:szCs w:val="15"/>
        </w:rPr>
        <w:t>Altra</w:t>
      </w:r>
      <w:r w:rsidRPr="00456679">
        <w:rPr>
          <w:rFonts w:ascii="Arial Narrow" w:hAnsi="Arial Narrow" w:cs="Calibri"/>
          <w:sz w:val="15"/>
          <w:szCs w:val="15"/>
        </w:rPr>
        <w:t xml:space="preserve"> manif</w:t>
      </w:r>
      <w:r w:rsidR="00A61899">
        <w:rPr>
          <w:rFonts w:ascii="Arial Narrow" w:hAnsi="Arial Narrow" w:cs="Calibri"/>
          <w:sz w:val="15"/>
          <w:szCs w:val="15"/>
        </w:rPr>
        <w:t>attura</w:t>
      </w:r>
      <w:r w:rsidRPr="004D645B">
        <w:rPr>
          <w:rFonts w:ascii="Arial Narrow" w:hAnsi="Arial Narrow" w:cs="Calibri"/>
          <w:sz w:val="15"/>
          <w:szCs w:val="15"/>
        </w:rPr>
        <w:t>=</w:t>
      </w:r>
      <w:r w:rsidR="00A61899" w:rsidRPr="00A61899">
        <w:rPr>
          <w:rFonts w:ascii="Arial Narrow" w:hAnsi="Arial Narrow" w:cs="Calibri"/>
          <w:sz w:val="15"/>
          <w:szCs w:val="15"/>
        </w:rPr>
        <w:t>Articoli sportivi, giochi, strum. musicali, preziosi, strum. medici e altri prodotti n.c.a.</w:t>
      </w:r>
      <w:r w:rsidRPr="004D645B">
        <w:rPr>
          <w:rFonts w:ascii="Arial Narrow" w:hAnsi="Arial Narrow" w:cs="Calibri"/>
          <w:sz w:val="15"/>
          <w:szCs w:val="15"/>
        </w:rPr>
        <w:t xml:space="preserve">; </w:t>
      </w:r>
      <w:r w:rsidRPr="00456679">
        <w:rPr>
          <w:rFonts w:ascii="Arial Narrow" w:hAnsi="Arial Narrow" w:cs="Calibri"/>
          <w:sz w:val="15"/>
          <w:szCs w:val="15"/>
        </w:rPr>
        <w:t>Gomma-plastica</w:t>
      </w:r>
      <w:r w:rsidRPr="004D645B">
        <w:rPr>
          <w:rFonts w:ascii="Arial Narrow" w:hAnsi="Arial Narrow" w:cs="Calibri"/>
          <w:sz w:val="15"/>
          <w:szCs w:val="15"/>
        </w:rPr>
        <w:t>=</w:t>
      </w:r>
      <w:r w:rsidRPr="00456679">
        <w:rPr>
          <w:rFonts w:ascii="Arial Narrow" w:hAnsi="Arial Narrow" w:cs="Calibri"/>
          <w:sz w:val="15"/>
          <w:szCs w:val="15"/>
        </w:rPr>
        <w:t>Articoli in gomma e materie plastiche</w:t>
      </w:r>
      <w:r w:rsidRPr="004D645B">
        <w:rPr>
          <w:rFonts w:ascii="Arial Narrow" w:hAnsi="Arial Narrow" w:cs="Calibri"/>
          <w:sz w:val="15"/>
          <w:szCs w:val="15"/>
        </w:rPr>
        <w:t xml:space="preserve">; </w:t>
      </w:r>
      <w:r w:rsidRPr="00456679">
        <w:rPr>
          <w:rFonts w:ascii="Arial Narrow" w:hAnsi="Arial Narrow" w:cs="Calibri"/>
          <w:sz w:val="15"/>
          <w:szCs w:val="15"/>
        </w:rPr>
        <w:t>Pelletteria</w:t>
      </w:r>
      <w:r w:rsidRPr="004D645B">
        <w:rPr>
          <w:rFonts w:ascii="Arial Narrow" w:hAnsi="Arial Narrow" w:cs="Calibri"/>
          <w:sz w:val="15"/>
          <w:szCs w:val="15"/>
        </w:rPr>
        <w:t>=A</w:t>
      </w:r>
      <w:r w:rsidRPr="00456679">
        <w:rPr>
          <w:rFonts w:ascii="Arial Narrow" w:hAnsi="Arial Narrow" w:cs="Calibri"/>
          <w:sz w:val="15"/>
          <w:szCs w:val="15"/>
        </w:rPr>
        <w:t>rticoli in pelle (escluso abbigliamento) e simili</w:t>
      </w:r>
      <w:r w:rsidRPr="004D645B">
        <w:rPr>
          <w:rFonts w:ascii="Arial Narrow" w:hAnsi="Arial Narrow" w:cs="Calibri"/>
          <w:sz w:val="15"/>
          <w:szCs w:val="15"/>
        </w:rPr>
        <w:t xml:space="preserve">; </w:t>
      </w:r>
      <w:r w:rsidRPr="00456679">
        <w:rPr>
          <w:rFonts w:ascii="Arial Narrow" w:hAnsi="Arial Narrow" w:cs="Calibri"/>
          <w:sz w:val="15"/>
          <w:szCs w:val="15"/>
        </w:rPr>
        <w:t>Abbigliamento</w:t>
      </w:r>
      <w:r w:rsidRPr="004D645B">
        <w:rPr>
          <w:rFonts w:ascii="Arial Narrow" w:hAnsi="Arial Narrow" w:cs="Calibri"/>
          <w:sz w:val="15"/>
          <w:szCs w:val="15"/>
        </w:rPr>
        <w:t>=</w:t>
      </w:r>
      <w:r w:rsidRPr="00456679">
        <w:rPr>
          <w:rFonts w:ascii="Arial Narrow" w:hAnsi="Arial Narrow" w:cs="Calibri"/>
          <w:sz w:val="15"/>
          <w:szCs w:val="15"/>
        </w:rPr>
        <w:t>Articoli di abbigliamento (anche in pelle e in pelliccia)</w:t>
      </w:r>
      <w:r w:rsidRPr="004D645B">
        <w:rPr>
          <w:rFonts w:ascii="Arial Narrow" w:hAnsi="Arial Narrow" w:cs="Calibri"/>
          <w:sz w:val="15"/>
          <w:szCs w:val="15"/>
        </w:rPr>
        <w:t xml:space="preserve">; </w:t>
      </w:r>
      <w:r w:rsidRPr="00456679">
        <w:rPr>
          <w:rFonts w:ascii="Arial Narrow" w:hAnsi="Arial Narrow" w:cs="Calibri"/>
          <w:sz w:val="15"/>
          <w:szCs w:val="15"/>
        </w:rPr>
        <w:t>Tessili</w:t>
      </w:r>
      <w:r w:rsidRPr="004D645B">
        <w:rPr>
          <w:rFonts w:ascii="Arial Narrow" w:hAnsi="Arial Narrow" w:cs="Calibri"/>
          <w:sz w:val="15"/>
          <w:szCs w:val="15"/>
        </w:rPr>
        <w:t>=</w:t>
      </w:r>
      <w:r w:rsidRPr="00456679">
        <w:rPr>
          <w:rFonts w:ascii="Arial Narrow" w:hAnsi="Arial Narrow" w:cs="Calibri"/>
          <w:sz w:val="15"/>
          <w:szCs w:val="15"/>
        </w:rPr>
        <w:t>Prodotti tessili</w:t>
      </w:r>
      <w:r w:rsidRPr="004D645B">
        <w:rPr>
          <w:rFonts w:ascii="Arial Narrow" w:hAnsi="Arial Narrow" w:cs="Calibri"/>
          <w:sz w:val="15"/>
          <w:szCs w:val="15"/>
        </w:rPr>
        <w:t xml:space="preserve">; </w:t>
      </w:r>
      <w:r w:rsidRPr="00456679">
        <w:rPr>
          <w:rFonts w:ascii="Arial Narrow" w:hAnsi="Arial Narrow" w:cs="Calibri"/>
          <w:sz w:val="15"/>
          <w:szCs w:val="15"/>
        </w:rPr>
        <w:t>Agricoltura</w:t>
      </w:r>
      <w:r w:rsidRPr="004D645B">
        <w:rPr>
          <w:rFonts w:ascii="Arial Narrow" w:hAnsi="Arial Narrow" w:cs="Calibri"/>
          <w:sz w:val="15"/>
          <w:szCs w:val="15"/>
        </w:rPr>
        <w:t>=</w:t>
      </w:r>
      <w:r w:rsidRPr="00456679">
        <w:rPr>
          <w:rFonts w:ascii="Arial Narrow" w:hAnsi="Arial Narrow" w:cs="Calibri"/>
          <w:sz w:val="15"/>
          <w:szCs w:val="15"/>
        </w:rPr>
        <w:t>Prodotti dell'agricoltura, della silvicoltura e della pesca</w:t>
      </w:r>
      <w:r w:rsidRPr="004D645B">
        <w:rPr>
          <w:rFonts w:ascii="Arial Narrow" w:hAnsi="Arial Narrow" w:cs="Calibri"/>
          <w:sz w:val="15"/>
          <w:szCs w:val="15"/>
        </w:rPr>
        <w:t xml:space="preserve">; </w:t>
      </w:r>
      <w:r w:rsidRPr="00456679">
        <w:rPr>
          <w:rFonts w:ascii="Arial Narrow" w:hAnsi="Arial Narrow" w:cs="Calibri"/>
          <w:sz w:val="15"/>
          <w:szCs w:val="15"/>
        </w:rPr>
        <w:t>Elettronica</w:t>
      </w:r>
      <w:r w:rsidRPr="004D645B">
        <w:rPr>
          <w:rFonts w:ascii="Arial Narrow" w:hAnsi="Arial Narrow" w:cs="Calibri"/>
          <w:sz w:val="15"/>
          <w:szCs w:val="15"/>
        </w:rPr>
        <w:t>=</w:t>
      </w:r>
      <w:r w:rsidRPr="00456679">
        <w:rPr>
          <w:rFonts w:ascii="Arial Narrow" w:hAnsi="Arial Narrow" w:cs="Calibri"/>
          <w:sz w:val="15"/>
          <w:szCs w:val="15"/>
        </w:rPr>
        <w:t>Computer, apparecchi elettronici e ottici</w:t>
      </w:r>
      <w:r w:rsidRPr="004D645B">
        <w:rPr>
          <w:rFonts w:ascii="Arial Narrow" w:hAnsi="Arial Narrow" w:cs="Calibri"/>
          <w:sz w:val="15"/>
          <w:szCs w:val="15"/>
        </w:rPr>
        <w:t xml:space="preserve">; </w:t>
      </w:r>
      <w:r w:rsidRPr="00456679">
        <w:rPr>
          <w:rFonts w:ascii="Arial Narrow" w:hAnsi="Arial Narrow" w:cs="Calibri"/>
          <w:sz w:val="15"/>
          <w:szCs w:val="15"/>
        </w:rPr>
        <w:t>Raffinazione</w:t>
      </w:r>
      <w:r w:rsidRPr="004D645B">
        <w:rPr>
          <w:rFonts w:ascii="Arial Narrow" w:hAnsi="Arial Narrow" w:cs="Calibri"/>
          <w:sz w:val="15"/>
          <w:szCs w:val="15"/>
        </w:rPr>
        <w:t>=</w:t>
      </w:r>
      <w:r w:rsidRPr="00456679">
        <w:rPr>
          <w:rFonts w:ascii="Arial Narrow" w:hAnsi="Arial Narrow" w:cs="Calibri"/>
          <w:sz w:val="15"/>
          <w:szCs w:val="15"/>
        </w:rPr>
        <w:t>Coke e prodotti petroliferi raffinati</w:t>
      </w:r>
      <w:r w:rsidRPr="004D645B">
        <w:rPr>
          <w:rFonts w:ascii="Arial Narrow" w:hAnsi="Arial Narrow" w:cs="Calibri"/>
          <w:sz w:val="15"/>
          <w:szCs w:val="15"/>
        </w:rPr>
        <w:t xml:space="preserve">; </w:t>
      </w:r>
      <w:r w:rsidRPr="00456679">
        <w:rPr>
          <w:rFonts w:ascii="Arial Narrow" w:hAnsi="Arial Narrow" w:cs="Calibri"/>
          <w:sz w:val="15"/>
          <w:szCs w:val="15"/>
        </w:rPr>
        <w:t>Alimentari</w:t>
      </w:r>
      <w:r w:rsidRPr="004D645B">
        <w:rPr>
          <w:rFonts w:ascii="Arial Narrow" w:hAnsi="Arial Narrow" w:cs="Calibri"/>
          <w:sz w:val="15"/>
          <w:szCs w:val="15"/>
        </w:rPr>
        <w:t>=</w:t>
      </w:r>
      <w:r w:rsidRPr="00456679">
        <w:rPr>
          <w:rFonts w:ascii="Arial Narrow" w:hAnsi="Arial Narrow" w:cs="Calibri"/>
          <w:sz w:val="15"/>
          <w:szCs w:val="15"/>
        </w:rPr>
        <w:t>Prodotti alimentari, bevande e tabacco</w:t>
      </w:r>
      <w:r w:rsidRPr="004D645B">
        <w:rPr>
          <w:rFonts w:ascii="Arial Narrow" w:hAnsi="Arial Narrow" w:cs="Calibri"/>
          <w:sz w:val="15"/>
          <w:szCs w:val="15"/>
        </w:rPr>
        <w:t xml:space="preserve">; </w:t>
      </w:r>
      <w:r w:rsidRPr="00456679">
        <w:rPr>
          <w:rFonts w:ascii="Arial Narrow" w:hAnsi="Arial Narrow" w:cs="Calibri"/>
          <w:sz w:val="15"/>
          <w:szCs w:val="15"/>
        </w:rPr>
        <w:t>Farmaceutica</w:t>
      </w:r>
      <w:r w:rsidRPr="004D645B">
        <w:rPr>
          <w:rFonts w:ascii="Arial Narrow" w:hAnsi="Arial Narrow" w:cs="Calibri"/>
          <w:sz w:val="15"/>
          <w:szCs w:val="15"/>
        </w:rPr>
        <w:t>=</w:t>
      </w:r>
      <w:r w:rsidRPr="00456679">
        <w:rPr>
          <w:rFonts w:ascii="Arial Narrow" w:hAnsi="Arial Narrow" w:cs="Calibri"/>
          <w:sz w:val="15"/>
          <w:szCs w:val="15"/>
        </w:rPr>
        <w:t>Articoli farmaceutici, chimico-medicinali e botanici</w:t>
      </w:r>
      <w:r>
        <w:rPr>
          <w:rFonts w:ascii="Arial Narrow" w:hAnsi="Arial Narrow" w:cs="Calibri"/>
          <w:sz w:val="15"/>
          <w:szCs w:val="15"/>
        </w:rPr>
        <w:t>.</w:t>
      </w:r>
    </w:p>
    <w:p w14:paraId="64B2489F" w14:textId="77777777" w:rsidR="00C6666F" w:rsidRDefault="00C6666F" w:rsidP="00BC4705">
      <w:pPr>
        <w:spacing w:after="60"/>
        <w:jc w:val="both"/>
        <w:rPr>
          <w:rFonts w:ascii="Arial" w:hAnsi="Arial"/>
          <w:sz w:val="21"/>
          <w:szCs w:val="21"/>
        </w:rPr>
      </w:pPr>
    </w:p>
    <w:p w14:paraId="50C0012F" w14:textId="77777777" w:rsidR="00660BD3" w:rsidRDefault="00660BD3" w:rsidP="0020174D">
      <w:pPr>
        <w:spacing w:after="120"/>
        <w:jc w:val="both"/>
        <w:rPr>
          <w:rFonts w:ascii="Arial" w:hAnsi="Arial"/>
          <w:sz w:val="21"/>
          <w:szCs w:val="21"/>
        </w:rPr>
      </w:pPr>
    </w:p>
    <w:p w14:paraId="70FA5431" w14:textId="77777777" w:rsidR="00CC2949" w:rsidRPr="00067430" w:rsidRDefault="0025622B" w:rsidP="00CC2949">
      <w:pPr>
        <w:pStyle w:val="001TitoloBolocco"/>
        <w:spacing w:after="0" w:line="240" w:lineRule="auto"/>
        <w:rPr>
          <w:rFonts w:ascii="Arial Narrow" w:hAnsi="Arial Narrow"/>
          <w:bCs w:val="0"/>
          <w:caps w:val="0"/>
          <w:sz w:val="22"/>
        </w:rPr>
      </w:pPr>
      <w:r>
        <w:rPr>
          <w:bCs w:val="0"/>
          <w:caps w:val="0"/>
        </w:rPr>
        <w:br w:type="page"/>
      </w:r>
    </w:p>
    <w:p w14:paraId="4E7CE020" w14:textId="77777777" w:rsidR="00ED1109" w:rsidRPr="00ED1109" w:rsidRDefault="00ED1109" w:rsidP="00ED1109">
      <w:pPr>
        <w:pStyle w:val="Corpodeltesto1"/>
        <w:jc w:val="left"/>
        <w:rPr>
          <w:rFonts w:ascii="Arial Narrow" w:hAnsi="Arial Narrow"/>
          <w:bCs/>
          <w:caps/>
          <w:sz w:val="22"/>
        </w:rPr>
      </w:pPr>
    </w:p>
    <w:p w14:paraId="27AEFD13" w14:textId="77777777" w:rsidR="00BF702B" w:rsidRDefault="00BF702B" w:rsidP="00BF702B">
      <w:pPr>
        <w:pStyle w:val="001TitoloBolocco"/>
        <w:spacing w:after="120" w:line="240" w:lineRule="auto"/>
      </w:pPr>
      <w:r>
        <w:rPr>
          <w:bCs w:val="0"/>
          <w:caps w:val="0"/>
        </w:rPr>
        <w:t>P</w:t>
      </w:r>
      <w:r w:rsidR="002A153A">
        <w:rPr>
          <w:bCs w:val="0"/>
          <w:caps w:val="0"/>
        </w:rPr>
        <w:t>A</w:t>
      </w:r>
      <w:r>
        <w:rPr>
          <w:bCs w:val="0"/>
          <w:caps w:val="0"/>
        </w:rPr>
        <w:t>E</w:t>
      </w:r>
      <w:r w:rsidR="002A153A">
        <w:rPr>
          <w:bCs w:val="0"/>
          <w:caps w:val="0"/>
        </w:rPr>
        <w:t>SI PARTNER NEL COMMERCIO ESTERO</w:t>
      </w:r>
    </w:p>
    <w:p w14:paraId="7F2F8662" w14:textId="77777777" w:rsidR="00D40C17" w:rsidRPr="00D40C17" w:rsidRDefault="002A153A" w:rsidP="00D40C17">
      <w:pPr>
        <w:pStyle w:val="Corpodeltesto1"/>
        <w:jc w:val="left"/>
        <w:rPr>
          <w:rFonts w:ascii="Arial Narrow" w:hAnsi="Arial Narrow" w:cs="Arial"/>
          <w:bCs/>
          <w:color w:val="E42618"/>
          <w:kern w:val="28"/>
          <w:sz w:val="22"/>
          <w:szCs w:val="22"/>
        </w:rPr>
      </w:pPr>
      <w:r w:rsidRPr="00D40C17">
        <w:rPr>
          <w:rFonts w:ascii="Arial Narrow" w:hAnsi="Arial Narrow" w:cs="Arial"/>
          <w:bCs/>
          <w:color w:val="E42618"/>
          <w:kern w:val="28"/>
          <w:sz w:val="22"/>
          <w:szCs w:val="22"/>
        </w:rPr>
        <w:t xml:space="preserve">FIGURA </w:t>
      </w:r>
      <w:r w:rsidR="00864908" w:rsidRPr="00D40C17">
        <w:rPr>
          <w:rFonts w:ascii="Arial Narrow" w:hAnsi="Arial Narrow" w:cs="Arial"/>
          <w:bCs/>
          <w:color w:val="E42618"/>
          <w:kern w:val="28"/>
          <w:sz w:val="22"/>
          <w:szCs w:val="22"/>
        </w:rPr>
        <w:t>8</w:t>
      </w:r>
      <w:r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 xml:space="preserve">EXPORT  </w:t>
      </w:r>
      <w:r w:rsidR="00D40C17" w:rsidRPr="00D40C17">
        <w:rPr>
          <w:rFonts w:ascii="Arial Narrow" w:hAnsi="Arial Narrow" w:cs="Arial"/>
          <w:bCs/>
          <w:color w:val="E42618"/>
          <w:kern w:val="28"/>
          <w:sz w:val="22"/>
          <w:szCs w:val="22"/>
        </w:rPr>
        <w:t xml:space="preserve">  </w:t>
      </w:r>
    </w:p>
    <w:p w14:paraId="5D435E8D" w14:textId="458738B9" w:rsidR="00041D56" w:rsidRDefault="0075218A" w:rsidP="00041D56">
      <w:pPr>
        <w:pStyle w:val="Corpodeltesto1"/>
        <w:spacing w:after="120"/>
        <w:jc w:val="left"/>
        <w:rPr>
          <w:noProof/>
        </w:rPr>
      </w:pPr>
      <w:r>
        <w:rPr>
          <w:rFonts w:ascii="Arial Narrow" w:hAnsi="Arial Narrow" w:cs="Arial"/>
          <w:b w:val="0"/>
          <w:color w:val="5F5F5F"/>
          <w:kern w:val="28"/>
          <w:sz w:val="20"/>
          <w:szCs w:val="20"/>
        </w:rPr>
        <w:t>Febbraio</w:t>
      </w:r>
      <w:r w:rsidR="00C829DA" w:rsidRPr="00C829DA">
        <w:rPr>
          <w:rFonts w:ascii="Arial Narrow" w:hAnsi="Arial Narrow" w:cs="Arial"/>
          <w:b w:val="0"/>
          <w:color w:val="5F5F5F"/>
          <w:kern w:val="28"/>
          <w:sz w:val="20"/>
          <w:szCs w:val="20"/>
        </w:rPr>
        <w:t xml:space="preserve"> </w:t>
      </w:r>
      <w:r w:rsidR="00756458" w:rsidRPr="00756458">
        <w:rPr>
          <w:rFonts w:ascii="Arial Narrow" w:hAnsi="Arial Narrow" w:cs="Arial"/>
          <w:b w:val="0"/>
          <w:color w:val="5F5F5F"/>
          <w:kern w:val="28"/>
          <w:sz w:val="20"/>
          <w:szCs w:val="20"/>
        </w:rPr>
        <w:t>202</w:t>
      </w:r>
      <w:r w:rsidR="00470B67">
        <w:rPr>
          <w:rFonts w:ascii="Arial Narrow" w:hAnsi="Arial Narrow" w:cs="Arial"/>
          <w:b w:val="0"/>
          <w:color w:val="5F5F5F"/>
          <w:kern w:val="28"/>
          <w:sz w:val="20"/>
          <w:szCs w:val="20"/>
        </w:rPr>
        <w:t>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7C8F3849" w14:textId="5598112C" w:rsidR="00147CB5" w:rsidRDefault="00AA59E1"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45D79C93" wp14:editId="197F757F">
            <wp:extent cx="6660000" cy="2160000"/>
            <wp:effectExtent l="0" t="0" r="7620" b="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6F4C65" w14:textId="77777777" w:rsidR="009D29C9" w:rsidRDefault="009D29C9" w:rsidP="00763EB2">
      <w:pPr>
        <w:pStyle w:val="Corpodeltesto1"/>
        <w:rPr>
          <w:rFonts w:ascii="Arial Narrow" w:hAnsi="Arial Narrow" w:cs="Arial"/>
          <w:color w:val="E42618"/>
          <w:kern w:val="28"/>
          <w:sz w:val="22"/>
          <w:szCs w:val="22"/>
        </w:rPr>
      </w:pPr>
    </w:p>
    <w:p w14:paraId="51D28C8B" w14:textId="77777777" w:rsidR="00B145A1" w:rsidRDefault="00B145A1" w:rsidP="00763EB2">
      <w:pPr>
        <w:pStyle w:val="Corpodeltesto1"/>
        <w:rPr>
          <w:rFonts w:ascii="Arial Narrow" w:hAnsi="Arial Narrow" w:cs="Arial"/>
          <w:bCs/>
          <w:color w:val="5F5F5F"/>
          <w:kern w:val="28"/>
          <w:sz w:val="22"/>
          <w:szCs w:val="22"/>
        </w:rPr>
      </w:pPr>
      <w:r w:rsidRPr="002A153A">
        <w:rPr>
          <w:rFonts w:ascii="Arial Narrow" w:hAnsi="Arial Narrow" w:cs="Arial"/>
          <w:color w:val="E42618"/>
          <w:kern w:val="28"/>
          <w:sz w:val="22"/>
          <w:szCs w:val="22"/>
        </w:rPr>
        <w:t xml:space="preserve">FIGURA </w:t>
      </w:r>
      <w:r>
        <w:rPr>
          <w:rFonts w:ascii="Arial Narrow" w:hAnsi="Arial Narrow" w:cs="Arial"/>
          <w:color w:val="E42618"/>
          <w:kern w:val="28"/>
          <w:sz w:val="22"/>
          <w:szCs w:val="22"/>
        </w:rPr>
        <w:t>9</w:t>
      </w:r>
      <w:r w:rsidRPr="002A153A">
        <w:rPr>
          <w:rFonts w:ascii="Arial Narrow" w:hAnsi="Arial Narrow" w:cs="Arial"/>
          <w:color w:val="E42618"/>
          <w:kern w:val="28"/>
          <w:sz w:val="22"/>
          <w:szCs w:val="22"/>
        </w:rPr>
        <w:t>.</w:t>
      </w:r>
      <w:r w:rsidRPr="00B37F7D">
        <w:rPr>
          <w:rFonts w:ascii="Arial Narrow" w:hAnsi="Arial Narrow" w:cs="Arial"/>
          <w:color w:val="5F5F5F"/>
          <w:spacing w:val="-8"/>
          <w:sz w:val="20"/>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Pr>
          <w:rFonts w:ascii="Arial Narrow" w:hAnsi="Arial Narrow" w:cs="Arial"/>
          <w:bCs/>
          <w:color w:val="5F5F5F"/>
          <w:kern w:val="28"/>
          <w:sz w:val="22"/>
          <w:szCs w:val="22"/>
        </w:rPr>
        <w:t>IM</w:t>
      </w:r>
      <w:r w:rsidR="00D40C17" w:rsidRPr="00D40C17">
        <w:rPr>
          <w:rFonts w:ascii="Arial Narrow" w:hAnsi="Arial Narrow" w:cs="Arial"/>
          <w:bCs/>
          <w:color w:val="5F5F5F"/>
          <w:kern w:val="28"/>
          <w:sz w:val="22"/>
          <w:szCs w:val="22"/>
        </w:rPr>
        <w:t xml:space="preserve">PORT  </w:t>
      </w:r>
      <w:r w:rsidR="00D40C17" w:rsidRPr="00D40C17">
        <w:rPr>
          <w:rFonts w:ascii="Arial Narrow" w:hAnsi="Arial Narrow" w:cs="Arial"/>
          <w:bCs/>
          <w:color w:val="E42618"/>
          <w:kern w:val="28"/>
          <w:sz w:val="22"/>
          <w:szCs w:val="22"/>
        </w:rPr>
        <w:t xml:space="preserve">  </w:t>
      </w:r>
    </w:p>
    <w:p w14:paraId="15667FC6" w14:textId="64D204D0" w:rsidR="00041D56" w:rsidRDefault="0075218A" w:rsidP="00041D56">
      <w:pPr>
        <w:pStyle w:val="Corpodeltesto1"/>
        <w:spacing w:after="120"/>
        <w:jc w:val="left"/>
        <w:rPr>
          <w:noProof/>
        </w:rPr>
      </w:pPr>
      <w:r>
        <w:rPr>
          <w:rFonts w:ascii="Arial Narrow" w:hAnsi="Arial Narrow" w:cs="Arial"/>
          <w:b w:val="0"/>
          <w:color w:val="5F5F5F"/>
          <w:kern w:val="28"/>
          <w:sz w:val="20"/>
          <w:szCs w:val="20"/>
        </w:rPr>
        <w:t>Febbraio</w:t>
      </w:r>
      <w:r w:rsidR="00C829DA"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18408927" w14:textId="63A7FAA9" w:rsidR="00403189" w:rsidRDefault="00AA59E1"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3E480228" wp14:editId="7F858913">
            <wp:extent cx="6660000" cy="2160000"/>
            <wp:effectExtent l="0" t="0" r="7620" b="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DA55CF" w14:textId="4D3D29C9" w:rsidR="00C22E24" w:rsidRDefault="00C0323B" w:rsidP="00C22E24">
      <w:pPr>
        <w:spacing w:before="60"/>
        <w:jc w:val="both"/>
        <w:rPr>
          <w:rFonts w:ascii="Arial Narrow" w:hAnsi="Arial Narrow" w:cs="Calibri"/>
          <w:sz w:val="15"/>
          <w:szCs w:val="15"/>
        </w:rPr>
      </w:pPr>
      <w:r w:rsidRPr="009F2C56">
        <w:rPr>
          <w:rFonts w:ascii="Arial Narrow" w:hAnsi="Arial Narrow" w:cs="Calibri"/>
          <w:sz w:val="15"/>
          <w:szCs w:val="15"/>
        </w:rPr>
        <w:t xml:space="preserve">(a) </w:t>
      </w:r>
      <w:r w:rsidRPr="00C97A46">
        <w:rPr>
          <w:rFonts w:ascii="Arial Narrow" w:hAnsi="Arial Narrow" w:cs="Calibri"/>
          <w:sz w:val="15"/>
          <w:szCs w:val="15"/>
        </w:rPr>
        <w:t>Limitatamente ai paesi la cui quota sull</w:t>
      </w:r>
      <w:r w:rsidR="00B67619">
        <w:rPr>
          <w:rFonts w:ascii="Arial Narrow" w:hAnsi="Arial Narrow" w:cs="Calibri"/>
          <w:sz w:val="15"/>
          <w:szCs w:val="15"/>
        </w:rPr>
        <w:t>’export (import)</w:t>
      </w:r>
      <w:r w:rsidR="001E77DD">
        <w:rPr>
          <w:rFonts w:ascii="Arial Narrow" w:hAnsi="Arial Narrow" w:cs="Calibri"/>
          <w:sz w:val="15"/>
          <w:szCs w:val="15"/>
        </w:rPr>
        <w:t xml:space="preserve"> per l’anno 202</w:t>
      </w:r>
      <w:r w:rsidR="0075218A">
        <w:rPr>
          <w:rFonts w:ascii="Arial Narrow" w:hAnsi="Arial Narrow" w:cs="Calibri"/>
          <w:sz w:val="15"/>
          <w:szCs w:val="15"/>
        </w:rPr>
        <w:t>1</w:t>
      </w:r>
      <w:r w:rsidRPr="00C97A46">
        <w:rPr>
          <w:rFonts w:ascii="Arial Narrow" w:hAnsi="Arial Narrow" w:cs="Calibri"/>
          <w:sz w:val="15"/>
          <w:szCs w:val="15"/>
        </w:rPr>
        <w:t xml:space="preserve"> è superiore all’1%.</w:t>
      </w:r>
    </w:p>
    <w:p w14:paraId="191AF2B1" w14:textId="77777777" w:rsidR="00C0323B" w:rsidRDefault="00C0323B" w:rsidP="00E74CD4">
      <w:pPr>
        <w:spacing w:before="60"/>
        <w:jc w:val="both"/>
        <w:rPr>
          <w:rFonts w:ascii="Arial Narrow" w:hAnsi="Arial Narrow" w:cs="Calibri"/>
          <w:sz w:val="15"/>
          <w:szCs w:val="15"/>
        </w:rPr>
      </w:pPr>
    </w:p>
    <w:p w14:paraId="39DD39F5" w14:textId="77777777" w:rsidR="008D59B2" w:rsidRPr="008D59B2" w:rsidRDefault="008D59B2" w:rsidP="008D59B2">
      <w:pPr>
        <w:spacing w:after="120"/>
        <w:jc w:val="both"/>
        <w:rPr>
          <w:rFonts w:ascii="Arial" w:hAnsi="Arial"/>
          <w:sz w:val="21"/>
          <w:szCs w:val="21"/>
        </w:rPr>
      </w:pPr>
    </w:p>
    <w:p w14:paraId="770534AE" w14:textId="77777777" w:rsidR="00833A77" w:rsidRPr="00055CB6" w:rsidRDefault="00525F9A" w:rsidP="00E84E4F">
      <w:pPr>
        <w:pStyle w:val="001TitoloBolocco"/>
        <w:spacing w:after="120" w:line="240" w:lineRule="auto"/>
      </w:pPr>
      <w:r w:rsidRPr="00055CB6">
        <w:rPr>
          <w:bCs w:val="0"/>
          <w:caps w:val="0"/>
        </w:rPr>
        <w:t>A</w:t>
      </w:r>
      <w:r w:rsidR="00885870" w:rsidRPr="00055CB6">
        <w:rPr>
          <w:bCs w:val="0"/>
          <w:caps w:val="0"/>
        </w:rPr>
        <w:t>NALISI PER PRODOTTO E PAESE</w:t>
      </w:r>
    </w:p>
    <w:p w14:paraId="481C8A69" w14:textId="4CBB68F6" w:rsidR="0075218A" w:rsidRPr="00852CA3" w:rsidRDefault="0075218A" w:rsidP="0075218A">
      <w:pPr>
        <w:pStyle w:val="Corpotesto1"/>
        <w:spacing w:after="120"/>
        <w:rPr>
          <w:rFonts w:ascii="Arial" w:hAnsi="Arial"/>
          <w:b w:val="0"/>
          <w:sz w:val="21"/>
          <w:szCs w:val="21"/>
          <w:lang w:val="it-IT" w:eastAsia="it-IT"/>
        </w:rPr>
      </w:pPr>
      <w:r w:rsidRPr="00852CA3">
        <w:rPr>
          <w:rFonts w:ascii="Arial" w:hAnsi="Arial"/>
          <w:b w:val="0"/>
          <w:sz w:val="21"/>
          <w:szCs w:val="21"/>
          <w:lang w:val="it-IT" w:eastAsia="it-IT"/>
        </w:rPr>
        <w:t>Sulla base delle elaborazioni allegate al presente comunicato nel file “Grafici aggiuntivi commercio estero e prezzi all'import”, risulta che la crescita tendenzial</w:t>
      </w:r>
      <w:r w:rsidR="00F321F0" w:rsidRPr="00852CA3">
        <w:rPr>
          <w:rFonts w:ascii="Arial" w:hAnsi="Arial"/>
          <w:b w:val="0"/>
          <w:sz w:val="21"/>
          <w:szCs w:val="21"/>
          <w:lang w:val="it-IT" w:eastAsia="it-IT"/>
        </w:rPr>
        <w:t>e dell’export è spiegata per 2,1</w:t>
      </w:r>
      <w:r w:rsidRPr="00852CA3">
        <w:rPr>
          <w:rFonts w:ascii="Arial" w:hAnsi="Arial"/>
          <w:b w:val="0"/>
          <w:sz w:val="21"/>
          <w:szCs w:val="21"/>
          <w:lang w:val="it-IT" w:eastAsia="it-IT"/>
        </w:rPr>
        <w:t xml:space="preserve"> punti percentuali dall’incremento delle vendite di </w:t>
      </w:r>
      <w:r w:rsidR="00F321F0" w:rsidRPr="00852CA3">
        <w:rPr>
          <w:rFonts w:ascii="Arial" w:hAnsi="Arial"/>
          <w:b w:val="0"/>
          <w:sz w:val="21"/>
          <w:szCs w:val="21"/>
          <w:lang w:val="it-IT" w:eastAsia="it-IT"/>
        </w:rPr>
        <w:t xml:space="preserve">articoli farmaceutici, chimico-medicinali e botanici verso Germania e Regno Unito e di </w:t>
      </w:r>
      <w:r w:rsidRPr="00852CA3">
        <w:rPr>
          <w:rFonts w:ascii="Arial" w:hAnsi="Arial"/>
          <w:b w:val="0"/>
          <w:sz w:val="21"/>
          <w:szCs w:val="21"/>
          <w:lang w:val="it-IT" w:eastAsia="it-IT"/>
        </w:rPr>
        <w:t xml:space="preserve">metalli di base e prodotti in metallo verso Germania e </w:t>
      </w:r>
      <w:r w:rsidR="00F321F0" w:rsidRPr="00852CA3">
        <w:rPr>
          <w:rFonts w:ascii="Arial" w:hAnsi="Arial"/>
          <w:b w:val="0"/>
          <w:sz w:val="21"/>
          <w:szCs w:val="21"/>
          <w:lang w:val="it-IT" w:eastAsia="it-IT"/>
        </w:rPr>
        <w:t>Francia</w:t>
      </w:r>
      <w:r w:rsidRPr="00852CA3">
        <w:rPr>
          <w:rFonts w:ascii="Arial" w:hAnsi="Arial"/>
          <w:b w:val="0"/>
          <w:sz w:val="21"/>
          <w:szCs w:val="21"/>
          <w:lang w:val="it-IT" w:eastAsia="it-IT"/>
        </w:rPr>
        <w:t>. All’o</w:t>
      </w:r>
      <w:r w:rsidR="00852CA3">
        <w:rPr>
          <w:rFonts w:ascii="Arial" w:hAnsi="Arial"/>
          <w:b w:val="0"/>
          <w:sz w:val="21"/>
          <w:szCs w:val="21"/>
          <w:lang w:val="it-IT" w:eastAsia="it-IT"/>
        </w:rPr>
        <w:t>pposto, il calo delle vendite</w:t>
      </w:r>
      <w:r w:rsidRPr="00852CA3">
        <w:rPr>
          <w:rFonts w:ascii="Arial" w:hAnsi="Arial"/>
          <w:b w:val="0"/>
          <w:sz w:val="21"/>
          <w:szCs w:val="21"/>
          <w:lang w:val="it-IT" w:eastAsia="it-IT"/>
        </w:rPr>
        <w:t xml:space="preserve"> </w:t>
      </w:r>
      <w:r w:rsidR="00F321F0" w:rsidRPr="00852CA3">
        <w:rPr>
          <w:rFonts w:ascii="Arial" w:hAnsi="Arial"/>
          <w:b w:val="0"/>
          <w:sz w:val="21"/>
          <w:szCs w:val="21"/>
          <w:lang w:val="it-IT" w:eastAsia="it-IT"/>
        </w:rPr>
        <w:t xml:space="preserve">di articoli farmaceutici, chimico-medicinali e botanici </w:t>
      </w:r>
      <w:r w:rsidRPr="00852CA3">
        <w:rPr>
          <w:rFonts w:ascii="Arial" w:hAnsi="Arial"/>
          <w:b w:val="0"/>
          <w:sz w:val="21"/>
          <w:szCs w:val="21"/>
          <w:lang w:val="it-IT" w:eastAsia="it-IT"/>
        </w:rPr>
        <w:t xml:space="preserve">verso </w:t>
      </w:r>
      <w:r w:rsidR="00F321F0" w:rsidRPr="00852CA3">
        <w:rPr>
          <w:rFonts w:ascii="Arial" w:hAnsi="Arial"/>
          <w:b w:val="0"/>
          <w:sz w:val="21"/>
          <w:szCs w:val="21"/>
          <w:lang w:val="it-IT" w:eastAsia="it-IT"/>
        </w:rPr>
        <w:t>Stati Uniti e Svizzera e</w:t>
      </w:r>
      <w:r w:rsidRPr="00852CA3">
        <w:rPr>
          <w:rFonts w:ascii="Arial" w:hAnsi="Arial"/>
          <w:b w:val="0"/>
          <w:sz w:val="21"/>
          <w:szCs w:val="21"/>
          <w:lang w:val="it-IT" w:eastAsia="it-IT"/>
        </w:rPr>
        <w:t xml:space="preserve"> di macchinari e apparecchi n.c.a. verso Cina appo</w:t>
      </w:r>
      <w:r w:rsidR="00F321F0" w:rsidRPr="00852CA3">
        <w:rPr>
          <w:rFonts w:ascii="Arial" w:hAnsi="Arial"/>
          <w:b w:val="0"/>
          <w:sz w:val="21"/>
          <w:szCs w:val="21"/>
          <w:lang w:val="it-IT" w:eastAsia="it-IT"/>
        </w:rPr>
        <w:t>rta un contributo negativo di mezzo punto percentuale</w:t>
      </w:r>
      <w:r w:rsidRPr="00852CA3">
        <w:rPr>
          <w:rFonts w:ascii="Arial" w:hAnsi="Arial"/>
          <w:b w:val="0"/>
          <w:sz w:val="21"/>
          <w:szCs w:val="21"/>
          <w:lang w:val="it-IT" w:eastAsia="it-IT"/>
        </w:rPr>
        <w:t xml:space="preserve">. </w:t>
      </w:r>
    </w:p>
    <w:p w14:paraId="09F6B42A" w14:textId="5AEF38F0" w:rsidR="0075218A" w:rsidRDefault="0075218A" w:rsidP="0075218A">
      <w:pPr>
        <w:pStyle w:val="Corpotesto1"/>
        <w:spacing w:after="120"/>
        <w:rPr>
          <w:rFonts w:ascii="Arial" w:hAnsi="Arial"/>
          <w:b w:val="0"/>
          <w:sz w:val="21"/>
          <w:szCs w:val="21"/>
          <w:lang w:val="it-IT" w:eastAsia="it-IT"/>
        </w:rPr>
      </w:pPr>
      <w:r w:rsidRPr="00852CA3">
        <w:rPr>
          <w:rFonts w:ascii="Arial" w:hAnsi="Arial"/>
          <w:b w:val="0"/>
          <w:sz w:val="21"/>
          <w:szCs w:val="21"/>
          <w:lang w:val="it-IT" w:eastAsia="it-IT"/>
        </w:rPr>
        <w:t xml:space="preserve">L’incremento degli acquisti di </w:t>
      </w:r>
      <w:r w:rsidR="004F7063" w:rsidRPr="00852CA3">
        <w:rPr>
          <w:rFonts w:ascii="Arial" w:hAnsi="Arial"/>
          <w:b w:val="0"/>
          <w:sz w:val="21"/>
          <w:szCs w:val="21"/>
          <w:lang w:val="it-IT" w:eastAsia="it-IT"/>
        </w:rPr>
        <w:t>gas natu</w:t>
      </w:r>
      <w:r w:rsidR="00A04F30">
        <w:rPr>
          <w:rFonts w:ascii="Arial" w:hAnsi="Arial"/>
          <w:b w:val="0"/>
          <w:sz w:val="21"/>
          <w:szCs w:val="21"/>
          <w:lang w:val="it-IT" w:eastAsia="it-IT"/>
        </w:rPr>
        <w:t>r</w:t>
      </w:r>
      <w:r w:rsidR="004F7063" w:rsidRPr="00852CA3">
        <w:rPr>
          <w:rFonts w:ascii="Arial" w:hAnsi="Arial"/>
          <w:b w:val="0"/>
          <w:sz w:val="21"/>
          <w:szCs w:val="21"/>
          <w:lang w:val="it-IT" w:eastAsia="it-IT"/>
        </w:rPr>
        <w:t>ale</w:t>
      </w:r>
      <w:r w:rsidRPr="00852CA3">
        <w:rPr>
          <w:rFonts w:ascii="Arial" w:hAnsi="Arial"/>
          <w:b w:val="0"/>
          <w:sz w:val="21"/>
          <w:szCs w:val="21"/>
          <w:lang w:val="it-IT" w:eastAsia="it-IT"/>
        </w:rPr>
        <w:t xml:space="preserve"> </w:t>
      </w:r>
      <w:r w:rsidR="00A04F30">
        <w:rPr>
          <w:rFonts w:ascii="Arial" w:hAnsi="Arial"/>
          <w:b w:val="0"/>
          <w:sz w:val="21"/>
          <w:szCs w:val="21"/>
          <w:lang w:val="it-IT" w:eastAsia="it-IT"/>
        </w:rPr>
        <w:t xml:space="preserve">e di petrolio greggio dalla </w:t>
      </w:r>
      <w:r w:rsidR="004F7063" w:rsidRPr="00852CA3">
        <w:rPr>
          <w:rFonts w:ascii="Arial" w:hAnsi="Arial"/>
          <w:b w:val="0"/>
          <w:sz w:val="21"/>
          <w:szCs w:val="21"/>
          <w:lang w:val="it-IT" w:eastAsia="it-IT"/>
        </w:rPr>
        <w:t xml:space="preserve">Russia </w:t>
      </w:r>
      <w:r w:rsidRPr="00852CA3">
        <w:rPr>
          <w:rFonts w:ascii="Arial" w:hAnsi="Arial"/>
          <w:b w:val="0"/>
          <w:sz w:val="21"/>
          <w:szCs w:val="21"/>
          <w:lang w:val="it-IT" w:eastAsia="it-IT"/>
        </w:rPr>
        <w:t xml:space="preserve">spiega per </w:t>
      </w:r>
      <w:r w:rsidR="004F7063" w:rsidRPr="00852CA3">
        <w:rPr>
          <w:rFonts w:ascii="Arial" w:hAnsi="Arial"/>
          <w:b w:val="0"/>
          <w:sz w:val="21"/>
          <w:szCs w:val="21"/>
          <w:lang w:val="it-IT" w:eastAsia="it-IT"/>
        </w:rPr>
        <w:t>4</w:t>
      </w:r>
      <w:r w:rsidRPr="00852CA3">
        <w:rPr>
          <w:rFonts w:ascii="Arial" w:hAnsi="Arial"/>
          <w:b w:val="0"/>
          <w:sz w:val="21"/>
          <w:szCs w:val="21"/>
          <w:lang w:val="it-IT" w:eastAsia="it-IT"/>
        </w:rPr>
        <w:t>,</w:t>
      </w:r>
      <w:r w:rsidR="00A04F30">
        <w:rPr>
          <w:rFonts w:ascii="Arial" w:hAnsi="Arial"/>
          <w:b w:val="0"/>
          <w:sz w:val="21"/>
          <w:szCs w:val="21"/>
          <w:lang w:val="it-IT" w:eastAsia="it-IT"/>
        </w:rPr>
        <w:t>8</w:t>
      </w:r>
      <w:r w:rsidRPr="00852CA3">
        <w:rPr>
          <w:rFonts w:ascii="Arial" w:hAnsi="Arial"/>
          <w:b w:val="0"/>
          <w:sz w:val="21"/>
          <w:szCs w:val="21"/>
          <w:lang w:val="it-IT" w:eastAsia="it-IT"/>
        </w:rPr>
        <w:t xml:space="preserve"> punti percentuali la c</w:t>
      </w:r>
      <w:r w:rsidR="00A04F30">
        <w:rPr>
          <w:rFonts w:ascii="Arial" w:hAnsi="Arial"/>
          <w:b w:val="0"/>
          <w:sz w:val="21"/>
          <w:szCs w:val="21"/>
          <w:lang w:val="it-IT" w:eastAsia="it-IT"/>
        </w:rPr>
        <w:t>rescita tendenziale dell’import; un ulteriore contributo positivo di 0,9 punti deriva dall’aumento delle importazioni di gas naturale dai paesi OPEC.</w:t>
      </w:r>
      <w:r w:rsidRPr="00852CA3">
        <w:rPr>
          <w:rFonts w:ascii="Arial" w:hAnsi="Arial"/>
          <w:b w:val="0"/>
          <w:sz w:val="21"/>
          <w:szCs w:val="21"/>
          <w:lang w:val="it-IT" w:eastAsia="it-IT"/>
        </w:rPr>
        <w:t xml:space="preserve"> Il calo degli acquisti di autoveicoli da Francia e </w:t>
      </w:r>
      <w:r w:rsidR="004F7063" w:rsidRPr="00852CA3">
        <w:rPr>
          <w:rFonts w:ascii="Arial" w:hAnsi="Arial"/>
          <w:b w:val="0"/>
          <w:sz w:val="21"/>
          <w:szCs w:val="21"/>
          <w:lang w:val="it-IT" w:eastAsia="it-IT"/>
        </w:rPr>
        <w:t>Turchia</w:t>
      </w:r>
      <w:r w:rsidRPr="00852CA3">
        <w:rPr>
          <w:rFonts w:ascii="Arial" w:hAnsi="Arial"/>
          <w:b w:val="0"/>
          <w:sz w:val="21"/>
          <w:szCs w:val="21"/>
          <w:lang w:val="it-IT" w:eastAsia="it-IT"/>
        </w:rPr>
        <w:t xml:space="preserve"> forn</w:t>
      </w:r>
      <w:r w:rsidR="004F7063" w:rsidRPr="00852CA3">
        <w:rPr>
          <w:rFonts w:ascii="Arial" w:hAnsi="Arial"/>
          <w:b w:val="0"/>
          <w:sz w:val="21"/>
          <w:szCs w:val="21"/>
          <w:lang w:val="it-IT" w:eastAsia="it-IT"/>
        </w:rPr>
        <w:t>isce un contributo negativo di 0</w:t>
      </w:r>
      <w:r w:rsidRPr="00852CA3">
        <w:rPr>
          <w:rFonts w:ascii="Arial" w:hAnsi="Arial"/>
          <w:b w:val="0"/>
          <w:sz w:val="21"/>
          <w:szCs w:val="21"/>
          <w:lang w:val="it-IT" w:eastAsia="it-IT"/>
        </w:rPr>
        <w:t>,</w:t>
      </w:r>
      <w:r w:rsidR="004F7063" w:rsidRPr="00852CA3">
        <w:rPr>
          <w:rFonts w:ascii="Arial" w:hAnsi="Arial"/>
          <w:b w:val="0"/>
          <w:sz w:val="21"/>
          <w:szCs w:val="21"/>
          <w:lang w:val="it-IT" w:eastAsia="it-IT"/>
        </w:rPr>
        <w:t>6</w:t>
      </w:r>
      <w:r w:rsidRPr="00852CA3">
        <w:rPr>
          <w:rFonts w:ascii="Arial" w:hAnsi="Arial"/>
          <w:b w:val="0"/>
          <w:sz w:val="21"/>
          <w:szCs w:val="21"/>
          <w:lang w:val="it-IT" w:eastAsia="it-IT"/>
        </w:rPr>
        <w:t xml:space="preserve"> punti percentuali alla variazione delle importazioni.</w:t>
      </w:r>
    </w:p>
    <w:p w14:paraId="6509650D" w14:textId="0F19A6AA" w:rsidR="00B7102C" w:rsidRDefault="00B7102C" w:rsidP="00D02297">
      <w:pPr>
        <w:pStyle w:val="Corpotesto1"/>
        <w:spacing w:after="120"/>
        <w:rPr>
          <w:rFonts w:ascii="Arial" w:hAnsi="Arial"/>
          <w:b w:val="0"/>
          <w:sz w:val="21"/>
          <w:szCs w:val="21"/>
          <w:lang w:val="it-IT" w:eastAsia="it-IT"/>
        </w:rPr>
      </w:pPr>
    </w:p>
    <w:p w14:paraId="661B8BB7" w14:textId="59989733" w:rsidR="0075218A" w:rsidRDefault="0075218A" w:rsidP="00D02297">
      <w:pPr>
        <w:pStyle w:val="Corpotesto1"/>
        <w:spacing w:after="120"/>
        <w:rPr>
          <w:rFonts w:ascii="Arial" w:hAnsi="Arial"/>
          <w:b w:val="0"/>
          <w:sz w:val="21"/>
          <w:szCs w:val="21"/>
          <w:lang w:val="it-IT" w:eastAsia="it-IT"/>
        </w:rPr>
      </w:pPr>
    </w:p>
    <w:p w14:paraId="4DED66EE" w14:textId="3FC2C4CB" w:rsidR="0075218A" w:rsidRDefault="0075218A" w:rsidP="00D02297">
      <w:pPr>
        <w:pStyle w:val="Corpotesto1"/>
        <w:spacing w:after="120"/>
        <w:rPr>
          <w:rFonts w:ascii="Arial" w:hAnsi="Arial"/>
          <w:b w:val="0"/>
          <w:sz w:val="21"/>
          <w:szCs w:val="21"/>
          <w:lang w:val="it-IT" w:eastAsia="it-IT"/>
        </w:rPr>
      </w:pPr>
    </w:p>
    <w:p w14:paraId="2E046C2D" w14:textId="77777777" w:rsidR="0075218A" w:rsidRPr="008F0E70" w:rsidRDefault="0075218A" w:rsidP="00B83BC7">
      <w:pPr>
        <w:pStyle w:val="Corpotesto1"/>
        <w:rPr>
          <w:rFonts w:ascii="Arial" w:hAnsi="Arial"/>
          <w:b w:val="0"/>
          <w:sz w:val="21"/>
          <w:szCs w:val="21"/>
          <w:lang w:val="it-IT" w:eastAsia="it-IT"/>
        </w:rPr>
      </w:pPr>
    </w:p>
    <w:p w14:paraId="7D2AB499" w14:textId="52A00457" w:rsidR="00833A77" w:rsidRPr="00D078CE" w:rsidRDefault="002B3BA3" w:rsidP="00D422DA">
      <w:pPr>
        <w:pStyle w:val="001TitoloBolocco"/>
        <w:spacing w:after="100" w:line="240" w:lineRule="auto"/>
      </w:pPr>
      <w:r>
        <w:t>VALORI MEDI UNITA</w:t>
      </w:r>
      <w:r w:rsidR="006F2133">
        <w:t>RI E VOLUMI ALL’EXPORT E ALL’IMPORT</w:t>
      </w:r>
    </w:p>
    <w:p w14:paraId="6A5F4E56" w14:textId="6C59CF3D" w:rsidR="006F2133" w:rsidRDefault="006F2133" w:rsidP="006F2133">
      <w:pPr>
        <w:pStyle w:val="Corpodeltesto1"/>
        <w:spacing w:after="120"/>
        <w:jc w:val="left"/>
        <w:rPr>
          <w:rFonts w:ascii="Arial Narrow" w:hAnsi="Arial Narrow" w:cs="Arial"/>
          <w:b w:val="0"/>
          <w:color w:val="5F5F5F"/>
          <w:kern w:val="28"/>
          <w:sz w:val="20"/>
          <w:szCs w:val="20"/>
        </w:rPr>
      </w:pPr>
      <w:r w:rsidRPr="006F2133">
        <w:rPr>
          <w:rFonts w:ascii="Arial Narrow" w:hAnsi="Arial Narrow" w:cs="Arial"/>
          <w:color w:val="E42618"/>
          <w:kern w:val="28"/>
          <w:sz w:val="22"/>
          <w:szCs w:val="22"/>
        </w:rPr>
        <w:t xml:space="preserve">FIGURA </w:t>
      </w:r>
      <w:r w:rsidR="00B145A1">
        <w:rPr>
          <w:rFonts w:ascii="Arial Narrow" w:hAnsi="Arial Narrow" w:cs="Arial"/>
          <w:color w:val="E42618"/>
          <w:kern w:val="28"/>
          <w:sz w:val="22"/>
          <w:szCs w:val="22"/>
        </w:rPr>
        <w:t>10</w:t>
      </w:r>
      <w:r w:rsidRPr="006F2133">
        <w:rPr>
          <w:rFonts w:ascii="Arial Narrow" w:hAnsi="Arial Narrow" w:cs="Arial"/>
          <w:color w:val="E42618"/>
          <w:kern w:val="28"/>
          <w:sz w:val="22"/>
          <w:szCs w:val="22"/>
        </w:rPr>
        <w:t xml:space="preserve">. </w:t>
      </w:r>
      <w:r w:rsidRPr="006F2133">
        <w:rPr>
          <w:rFonts w:ascii="Arial Narrow" w:hAnsi="Arial Narrow" w:cs="Arial"/>
          <w:color w:val="5F5F5F"/>
          <w:kern w:val="28"/>
          <w:sz w:val="22"/>
          <w:szCs w:val="22"/>
        </w:rPr>
        <w:t>VALORI MEDI UNITARI E VOLUMI</w:t>
      </w:r>
      <w:r w:rsidR="00147CB5">
        <w:rPr>
          <w:rFonts w:ascii="Arial Narrow" w:hAnsi="Arial Narrow" w:cs="Arial"/>
          <w:color w:val="5F5F5F"/>
          <w:kern w:val="28"/>
          <w:sz w:val="22"/>
          <w:szCs w:val="22"/>
        </w:rPr>
        <w:t xml:space="preserve"> </w:t>
      </w:r>
      <w:r>
        <w:rPr>
          <w:rFonts w:ascii="Arial Narrow" w:hAnsi="Arial Narrow" w:cs="Arial"/>
          <w:b w:val="0"/>
          <w:bCs/>
          <w:sz w:val="19"/>
          <w:szCs w:val="19"/>
        </w:rPr>
        <w:br/>
      </w:r>
      <w:r w:rsidR="00403189" w:rsidRPr="00367843">
        <w:rPr>
          <w:rFonts w:ascii="Arial Narrow" w:hAnsi="Arial Narrow" w:cs="Arial"/>
          <w:b w:val="0"/>
          <w:color w:val="5F5F5F"/>
          <w:kern w:val="28"/>
          <w:sz w:val="20"/>
          <w:szCs w:val="20"/>
        </w:rPr>
        <w:t>Gennaio 201</w:t>
      </w:r>
      <w:r w:rsidR="00470B67">
        <w:rPr>
          <w:rFonts w:ascii="Arial Narrow" w:hAnsi="Arial Narrow" w:cs="Arial"/>
          <w:b w:val="0"/>
          <w:color w:val="5F5F5F"/>
          <w:kern w:val="28"/>
          <w:sz w:val="20"/>
          <w:szCs w:val="20"/>
        </w:rPr>
        <w:t>8</w:t>
      </w:r>
      <w:r w:rsidR="00784638">
        <w:rPr>
          <w:rFonts w:ascii="Arial Narrow" w:hAnsi="Arial Narrow" w:cs="Arial"/>
          <w:b w:val="0"/>
          <w:color w:val="5F5F5F"/>
          <w:kern w:val="28"/>
          <w:sz w:val="20"/>
          <w:szCs w:val="20"/>
        </w:rPr>
        <w:t xml:space="preserve"> </w:t>
      </w:r>
      <w:r w:rsidR="00403189" w:rsidRPr="00367843">
        <w:rPr>
          <w:rFonts w:ascii="Arial Narrow" w:hAnsi="Arial Narrow" w:cs="Arial"/>
          <w:b w:val="0"/>
          <w:color w:val="5F5F5F"/>
          <w:kern w:val="28"/>
          <w:sz w:val="20"/>
          <w:szCs w:val="20"/>
        </w:rPr>
        <w:t>-</w:t>
      </w:r>
      <w:r w:rsidR="00EA029A" w:rsidRPr="00EA029A">
        <w:t xml:space="preserve"> </w:t>
      </w:r>
      <w:r w:rsidR="0075218A">
        <w:rPr>
          <w:rFonts w:ascii="Arial Narrow" w:hAnsi="Arial Narrow" w:cs="Arial"/>
          <w:b w:val="0"/>
          <w:color w:val="5F5F5F"/>
          <w:kern w:val="28"/>
          <w:sz w:val="20"/>
          <w:szCs w:val="20"/>
        </w:rPr>
        <w:t>febbraio</w:t>
      </w:r>
      <w:r w:rsidR="00EA029A" w:rsidRPr="00EA029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403189" w:rsidRPr="00367843">
        <w:rPr>
          <w:rFonts w:ascii="Arial Narrow" w:hAnsi="Arial Narrow" w:cs="Arial"/>
          <w:b w:val="0"/>
          <w:color w:val="5F5F5F"/>
          <w:kern w:val="28"/>
          <w:sz w:val="20"/>
          <w:szCs w:val="20"/>
        </w:rPr>
        <w:t xml:space="preserve">, variazioni percentuali </w:t>
      </w:r>
      <w:r w:rsidR="00147CB5" w:rsidRPr="00367843">
        <w:rPr>
          <w:rFonts w:ascii="Arial Narrow" w:hAnsi="Arial Narrow" w:cs="Arial"/>
          <w:b w:val="0"/>
          <w:color w:val="5F5F5F"/>
          <w:kern w:val="28"/>
          <w:sz w:val="20"/>
          <w:szCs w:val="20"/>
        </w:rPr>
        <w:t xml:space="preserve">tendenziali </w:t>
      </w:r>
      <w:r w:rsidR="00403189" w:rsidRPr="00367843">
        <w:rPr>
          <w:rFonts w:ascii="Arial Narrow" w:hAnsi="Arial Narrow" w:cs="Arial"/>
          <w:b w:val="0"/>
          <w:color w:val="5F5F5F"/>
          <w:kern w:val="28"/>
          <w:sz w:val="20"/>
          <w:szCs w:val="20"/>
        </w:rPr>
        <w:t>(</w:t>
      </w:r>
      <w:r w:rsidR="00B145A1" w:rsidRPr="00367843">
        <w:rPr>
          <w:rFonts w:ascii="Arial Narrow" w:hAnsi="Arial Narrow" w:cs="Arial"/>
          <w:b w:val="0"/>
          <w:color w:val="5F5F5F"/>
          <w:kern w:val="28"/>
          <w:sz w:val="20"/>
          <w:szCs w:val="20"/>
        </w:rPr>
        <w:t>base 2015</w:t>
      </w:r>
      <w:r w:rsidRPr="00367843">
        <w:rPr>
          <w:rFonts w:ascii="Arial Narrow" w:hAnsi="Arial Narrow" w:cs="Arial"/>
          <w:b w:val="0"/>
          <w:color w:val="5F5F5F"/>
          <w:kern w:val="28"/>
          <w:sz w:val="20"/>
          <w:szCs w:val="20"/>
        </w:rPr>
        <w:t>=100</w:t>
      </w:r>
      <w:r w:rsidR="00403189" w:rsidRPr="00367843">
        <w:rPr>
          <w:rFonts w:ascii="Arial Narrow" w:hAnsi="Arial Narrow" w:cs="Arial"/>
          <w:b w:val="0"/>
          <w:color w:val="5F5F5F"/>
          <w:kern w:val="28"/>
          <w:sz w:val="20"/>
          <w:szCs w:val="20"/>
        </w:rPr>
        <w:t>)</w:t>
      </w:r>
    </w:p>
    <w:p w14:paraId="654D23B7" w14:textId="6203F60C" w:rsidR="00403189" w:rsidRDefault="00AA59E1" w:rsidP="00975B97">
      <w:pPr>
        <w:pStyle w:val="Corpodeltesto1"/>
        <w:spacing w:after="160"/>
        <w:jc w:val="left"/>
        <w:rPr>
          <w:rFonts w:ascii="Arial Narrow" w:hAnsi="Arial Narrow" w:cs="Arial"/>
          <w:b w:val="0"/>
          <w:color w:val="5F5F5F"/>
          <w:kern w:val="28"/>
          <w:sz w:val="20"/>
          <w:szCs w:val="20"/>
        </w:rPr>
      </w:pPr>
      <w:r>
        <w:rPr>
          <w:noProof/>
        </w:rPr>
        <w:drawing>
          <wp:inline distT="0" distB="0" distL="0" distR="0" wp14:anchorId="4D0315A8" wp14:editId="53EC744A">
            <wp:extent cx="3150000" cy="2160000"/>
            <wp:effectExtent l="0" t="0" r="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066FE072" wp14:editId="31361985">
            <wp:extent cx="3150000" cy="2160000"/>
            <wp:effectExtent l="0" t="0" r="0" b="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4CE579" w14:textId="54E5B24F" w:rsidR="00740689" w:rsidRPr="007C052D" w:rsidRDefault="00740689" w:rsidP="00740689">
      <w:pPr>
        <w:pStyle w:val="Corpotesto1"/>
        <w:spacing w:before="40" w:after="140"/>
        <w:rPr>
          <w:rFonts w:ascii="Arial" w:hAnsi="Arial"/>
          <w:b w:val="0"/>
          <w:kern w:val="28"/>
          <w:sz w:val="21"/>
          <w:szCs w:val="21"/>
          <w:lang w:val="it-IT" w:eastAsia="it-IT"/>
        </w:rPr>
      </w:pPr>
      <w:r w:rsidRPr="00307292">
        <w:rPr>
          <w:rFonts w:ascii="Arial" w:hAnsi="Arial"/>
          <w:b w:val="0"/>
          <w:kern w:val="28"/>
          <w:sz w:val="21"/>
          <w:szCs w:val="21"/>
          <w:lang w:val="it-IT" w:eastAsia="it-IT"/>
        </w:rPr>
        <w:t xml:space="preserve">A </w:t>
      </w:r>
      <w:r w:rsidR="00E52106" w:rsidRPr="00307292">
        <w:rPr>
          <w:rFonts w:ascii="Arial" w:hAnsi="Arial"/>
          <w:b w:val="0"/>
          <w:kern w:val="28"/>
          <w:sz w:val="21"/>
          <w:szCs w:val="21"/>
          <w:lang w:val="it-IT" w:eastAsia="it-IT"/>
        </w:rPr>
        <w:t>febbraio 2022</w:t>
      </w:r>
      <w:r w:rsidRPr="00307292">
        <w:rPr>
          <w:rFonts w:ascii="Arial" w:hAnsi="Arial"/>
          <w:b w:val="0"/>
          <w:kern w:val="28"/>
          <w:sz w:val="21"/>
          <w:szCs w:val="21"/>
          <w:lang w:val="it-IT" w:eastAsia="it-IT"/>
        </w:rPr>
        <w:t>, si registra un ampio aumento tendenziale dei valori medi unitar</w:t>
      </w:r>
      <w:r w:rsidR="00E52106" w:rsidRPr="00307292">
        <w:rPr>
          <w:rFonts w:ascii="Arial" w:hAnsi="Arial"/>
          <w:b w:val="0"/>
          <w:kern w:val="28"/>
          <w:sz w:val="21"/>
          <w:szCs w:val="21"/>
          <w:lang w:val="it-IT" w:eastAsia="it-IT"/>
        </w:rPr>
        <w:t>i sia all’export (+16</w:t>
      </w:r>
      <w:r w:rsidRPr="00307292">
        <w:rPr>
          <w:rFonts w:ascii="Arial" w:hAnsi="Arial"/>
          <w:b w:val="0"/>
          <w:kern w:val="28"/>
          <w:sz w:val="21"/>
          <w:szCs w:val="21"/>
          <w:lang w:val="it-IT" w:eastAsia="it-IT"/>
        </w:rPr>
        <w:t>,</w:t>
      </w:r>
      <w:r w:rsidR="00E52106" w:rsidRPr="00307292">
        <w:rPr>
          <w:rFonts w:ascii="Arial" w:hAnsi="Arial"/>
          <w:b w:val="0"/>
          <w:kern w:val="28"/>
          <w:sz w:val="21"/>
          <w:szCs w:val="21"/>
          <w:lang w:val="it-IT" w:eastAsia="it-IT"/>
        </w:rPr>
        <w:t>5%) sia</w:t>
      </w:r>
      <w:r w:rsidR="004C1E20">
        <w:rPr>
          <w:rFonts w:ascii="Arial" w:hAnsi="Arial"/>
          <w:b w:val="0"/>
          <w:kern w:val="28"/>
          <w:sz w:val="21"/>
          <w:szCs w:val="21"/>
          <w:lang w:val="it-IT" w:eastAsia="it-IT"/>
        </w:rPr>
        <w:t xml:space="preserve"> </w:t>
      </w:r>
      <w:r w:rsidR="00E52106" w:rsidRPr="00307292">
        <w:rPr>
          <w:rFonts w:ascii="Arial" w:hAnsi="Arial"/>
          <w:b w:val="0"/>
          <w:kern w:val="28"/>
          <w:sz w:val="21"/>
          <w:szCs w:val="21"/>
          <w:lang w:val="it-IT" w:eastAsia="it-IT"/>
        </w:rPr>
        <w:t>all’import (+37</w:t>
      </w:r>
      <w:r w:rsidRPr="00307292">
        <w:rPr>
          <w:rFonts w:ascii="Arial" w:hAnsi="Arial"/>
          <w:b w:val="0"/>
          <w:kern w:val="28"/>
          <w:sz w:val="21"/>
          <w:szCs w:val="21"/>
          <w:lang w:val="it-IT" w:eastAsia="it-IT"/>
        </w:rPr>
        <w:t>,</w:t>
      </w:r>
      <w:r w:rsidR="00E52106" w:rsidRPr="00307292">
        <w:rPr>
          <w:rFonts w:ascii="Arial" w:hAnsi="Arial"/>
          <w:b w:val="0"/>
          <w:kern w:val="28"/>
          <w:sz w:val="21"/>
          <w:szCs w:val="21"/>
          <w:lang w:val="it-IT" w:eastAsia="it-IT"/>
        </w:rPr>
        <w:t>3</w:t>
      </w:r>
      <w:r w:rsidRPr="00307292">
        <w:rPr>
          <w:rFonts w:ascii="Arial" w:hAnsi="Arial"/>
          <w:b w:val="0"/>
          <w:kern w:val="28"/>
          <w:sz w:val="21"/>
          <w:szCs w:val="21"/>
          <w:lang w:val="it-IT" w:eastAsia="it-IT"/>
        </w:rPr>
        <w:t xml:space="preserve">%). I volumi scambiati crescono del </w:t>
      </w:r>
      <w:r w:rsidR="00E52106" w:rsidRPr="00307292">
        <w:rPr>
          <w:rFonts w:ascii="Arial" w:hAnsi="Arial"/>
          <w:b w:val="0"/>
          <w:kern w:val="28"/>
          <w:sz w:val="21"/>
          <w:szCs w:val="21"/>
          <w:lang w:val="it-IT" w:eastAsia="it-IT"/>
        </w:rPr>
        <w:t>5</w:t>
      </w:r>
      <w:r w:rsidRPr="00307292">
        <w:rPr>
          <w:rFonts w:ascii="Arial" w:hAnsi="Arial"/>
          <w:b w:val="0"/>
          <w:kern w:val="28"/>
          <w:sz w:val="21"/>
          <w:szCs w:val="21"/>
          <w:lang w:val="it-IT" w:eastAsia="it-IT"/>
        </w:rPr>
        <w:t>,</w:t>
      </w:r>
      <w:r w:rsidR="00E52106" w:rsidRPr="00307292">
        <w:rPr>
          <w:rFonts w:ascii="Arial" w:hAnsi="Arial"/>
          <w:b w:val="0"/>
          <w:kern w:val="28"/>
          <w:sz w:val="21"/>
          <w:szCs w:val="21"/>
          <w:lang w:val="it-IT" w:eastAsia="it-IT"/>
        </w:rPr>
        <w:t>3</w:t>
      </w:r>
      <w:r w:rsidRPr="00307292">
        <w:rPr>
          <w:rFonts w:ascii="Arial" w:hAnsi="Arial"/>
          <w:b w:val="0"/>
          <w:kern w:val="28"/>
          <w:sz w:val="21"/>
          <w:szCs w:val="21"/>
          <w:lang w:val="it-IT" w:eastAsia="it-IT"/>
        </w:rPr>
        <w:t xml:space="preserve">% per le esportazioni e del </w:t>
      </w:r>
      <w:r w:rsidR="00E52106" w:rsidRPr="00307292">
        <w:rPr>
          <w:rFonts w:ascii="Arial" w:hAnsi="Arial"/>
          <w:b w:val="0"/>
          <w:kern w:val="28"/>
          <w:sz w:val="21"/>
          <w:szCs w:val="21"/>
          <w:lang w:val="it-IT" w:eastAsia="it-IT"/>
        </w:rPr>
        <w:t>5</w:t>
      </w:r>
      <w:r w:rsidRPr="00307292">
        <w:rPr>
          <w:rFonts w:ascii="Arial" w:hAnsi="Arial"/>
          <w:b w:val="0"/>
          <w:kern w:val="28"/>
          <w:sz w:val="21"/>
          <w:szCs w:val="21"/>
          <w:lang w:val="it-IT" w:eastAsia="it-IT"/>
        </w:rPr>
        <w:t>,</w:t>
      </w:r>
      <w:r w:rsidR="00E52106" w:rsidRPr="00307292">
        <w:rPr>
          <w:rFonts w:ascii="Arial" w:hAnsi="Arial"/>
          <w:b w:val="0"/>
          <w:kern w:val="28"/>
          <w:sz w:val="21"/>
          <w:szCs w:val="21"/>
          <w:lang w:val="it-IT" w:eastAsia="it-IT"/>
        </w:rPr>
        <w:t>5</w:t>
      </w:r>
      <w:r w:rsidRPr="00307292">
        <w:rPr>
          <w:rFonts w:ascii="Arial" w:hAnsi="Arial"/>
          <w:b w:val="0"/>
          <w:kern w:val="28"/>
          <w:sz w:val="21"/>
          <w:szCs w:val="21"/>
          <w:lang w:val="it-IT" w:eastAsia="it-IT"/>
        </w:rPr>
        <w:t>% per le importazioni.</w:t>
      </w:r>
    </w:p>
    <w:p w14:paraId="0D29DD18" w14:textId="0659F075" w:rsidR="00A03714" w:rsidRPr="006304A5" w:rsidRDefault="00A03714" w:rsidP="009308ED">
      <w:pPr>
        <w:pStyle w:val="Corpodeltesto1"/>
        <w:spacing w:after="100"/>
        <w:jc w:val="left"/>
        <w:rPr>
          <w:rFonts w:ascii="Arial Narrow" w:hAnsi="Arial Narrow" w:cs="Arial"/>
          <w:b w:val="0"/>
          <w:bCs/>
          <w:sz w:val="19"/>
          <w:szCs w:val="19"/>
        </w:rPr>
      </w:pPr>
      <w:r w:rsidRPr="007C052D">
        <w:rPr>
          <w:rFonts w:ascii="Arial Narrow" w:hAnsi="Arial Narrow" w:cs="Arial"/>
          <w:color w:val="E42618"/>
          <w:kern w:val="28"/>
          <w:sz w:val="22"/>
          <w:szCs w:val="22"/>
        </w:rPr>
        <w:t xml:space="preserve">PROSPETTO 3. </w:t>
      </w:r>
      <w:r w:rsidRPr="007C052D">
        <w:rPr>
          <w:rFonts w:ascii="Arial Narrow" w:hAnsi="Arial Narrow" w:cs="Arial"/>
          <w:color w:val="5F5F5F"/>
          <w:kern w:val="28"/>
          <w:sz w:val="22"/>
          <w:szCs w:val="22"/>
        </w:rPr>
        <w:t>VALORI MEDI UNITARI E VOLUMI PER AREA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EXTRA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xml:space="preserve"> E MONDO</w:t>
      </w:r>
      <w:r w:rsidRPr="007C052D">
        <w:rPr>
          <w:rFonts w:ascii="Arial Narrow" w:hAnsi="Arial Narrow" w:cs="Arial Narrow"/>
          <w:color w:val="5F5F5F"/>
          <w:sz w:val="20"/>
        </w:rPr>
        <w:br/>
      </w:r>
      <w:r w:rsidR="0075218A">
        <w:rPr>
          <w:rFonts w:ascii="Arial Narrow" w:hAnsi="Arial Narrow" w:cs="Arial"/>
          <w:b w:val="0"/>
          <w:color w:val="5F5F5F"/>
          <w:kern w:val="28"/>
          <w:sz w:val="20"/>
          <w:szCs w:val="20"/>
        </w:rPr>
        <w:t>Febbraio</w:t>
      </w:r>
      <w:r w:rsidR="00C829DA"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Pr="007C052D">
        <w:rPr>
          <w:rFonts w:ascii="Arial Narrow" w:hAnsi="Arial Narrow" w:cs="Arial"/>
          <w:b w:val="0"/>
          <w:color w:val="5F5F5F"/>
          <w:kern w:val="28"/>
          <w:sz w:val="20"/>
          <w:szCs w:val="20"/>
        </w:rPr>
        <w:t xml:space="preserve">, </w:t>
      </w:r>
      <w:r w:rsidR="00C03605" w:rsidRPr="007C052D">
        <w:rPr>
          <w:rFonts w:ascii="Arial Narrow" w:hAnsi="Arial Narrow" w:cs="Arial"/>
          <w:b w:val="0"/>
          <w:color w:val="5F5F5F"/>
          <w:kern w:val="28"/>
          <w:sz w:val="20"/>
          <w:szCs w:val="20"/>
        </w:rPr>
        <w:t xml:space="preserve">variazioni percentuali </w:t>
      </w:r>
      <w:r w:rsidR="00147CB5" w:rsidRPr="007C052D">
        <w:rPr>
          <w:rFonts w:ascii="Arial Narrow" w:hAnsi="Arial Narrow" w:cs="Arial"/>
          <w:b w:val="0"/>
          <w:color w:val="5F5F5F"/>
          <w:kern w:val="28"/>
          <w:sz w:val="20"/>
          <w:szCs w:val="20"/>
        </w:rPr>
        <w:t xml:space="preserve">tendenziali </w:t>
      </w:r>
      <w:r w:rsidR="00C03605" w:rsidRPr="007C052D">
        <w:rPr>
          <w:rFonts w:ascii="Arial Narrow" w:hAnsi="Arial Narrow" w:cs="Arial"/>
          <w:b w:val="0"/>
          <w:color w:val="5F5F5F"/>
          <w:kern w:val="28"/>
          <w:sz w:val="20"/>
          <w:szCs w:val="20"/>
        </w:rPr>
        <w:t>(</w:t>
      </w:r>
      <w:r w:rsidR="00B145A1" w:rsidRPr="007C052D">
        <w:rPr>
          <w:rFonts w:ascii="Arial Narrow" w:hAnsi="Arial Narrow" w:cs="Arial"/>
          <w:b w:val="0"/>
          <w:color w:val="5F5F5F"/>
          <w:kern w:val="28"/>
          <w:sz w:val="20"/>
          <w:szCs w:val="20"/>
        </w:rPr>
        <w:t>base 2015</w:t>
      </w:r>
      <w:r w:rsidRPr="007C052D">
        <w:rPr>
          <w:rFonts w:ascii="Arial Narrow" w:hAnsi="Arial Narrow" w:cs="Arial"/>
          <w:b w:val="0"/>
          <w:color w:val="5F5F5F"/>
          <w:kern w:val="28"/>
          <w:sz w:val="20"/>
          <w:szCs w:val="20"/>
        </w:rPr>
        <w:t>=</w:t>
      </w:r>
      <w:r w:rsidRPr="00273960">
        <w:rPr>
          <w:rFonts w:ascii="Arial Narrow" w:hAnsi="Arial Narrow" w:cs="Arial"/>
          <w:b w:val="0"/>
          <w:color w:val="5F5F5F"/>
          <w:kern w:val="28"/>
          <w:sz w:val="20"/>
          <w:szCs w:val="20"/>
        </w:rPr>
        <w:t>100</w:t>
      </w:r>
      <w:r w:rsidR="00C03605" w:rsidRPr="00273960">
        <w:rPr>
          <w:rFonts w:ascii="Arial Narrow" w:hAnsi="Arial Narrow" w:cs="Arial"/>
          <w:b w:val="0"/>
          <w:color w:val="5F5F5F"/>
          <w:kern w:val="28"/>
          <w:sz w:val="20"/>
          <w:szCs w:val="20"/>
        </w:rPr>
        <w:t>)</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6304A5" w14:paraId="168C3C36" w14:textId="77777777" w:rsidTr="0075218A">
        <w:trPr>
          <w:trHeight w:val="255"/>
        </w:trPr>
        <w:tc>
          <w:tcPr>
            <w:tcW w:w="1647" w:type="dxa"/>
            <w:vMerge w:val="restart"/>
            <w:tcBorders>
              <w:top w:val="single" w:sz="4" w:space="0" w:color="auto"/>
              <w:left w:val="nil"/>
              <w:right w:val="nil"/>
            </w:tcBorders>
            <w:noWrap/>
            <w:vAlign w:val="center"/>
          </w:tcPr>
          <w:p w14:paraId="771580B8" w14:textId="77777777" w:rsidR="0075218A"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 xml:space="preserve">PRINCIPALI AREE </w:t>
            </w:r>
          </w:p>
          <w:p w14:paraId="0EF80FE7" w14:textId="77777777" w:rsidR="0075218A" w:rsidRPr="006304A5"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DI INTERSCAMBIO</w:t>
            </w:r>
          </w:p>
        </w:tc>
        <w:tc>
          <w:tcPr>
            <w:tcW w:w="4279" w:type="dxa"/>
            <w:gridSpan w:val="4"/>
            <w:tcBorders>
              <w:top w:val="single" w:sz="4" w:space="0" w:color="auto"/>
              <w:left w:val="nil"/>
              <w:bottom w:val="single" w:sz="4" w:space="0" w:color="auto"/>
              <w:right w:val="nil"/>
            </w:tcBorders>
            <w:shd w:val="clear" w:color="auto" w:fill="D9D9D9"/>
            <w:noWrap/>
            <w:vAlign w:val="center"/>
          </w:tcPr>
          <w:p w14:paraId="5D86CA89"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VALORI MEDI UNITARI</w:t>
            </w:r>
          </w:p>
        </w:tc>
        <w:tc>
          <w:tcPr>
            <w:tcW w:w="4280" w:type="dxa"/>
            <w:gridSpan w:val="4"/>
            <w:tcBorders>
              <w:top w:val="single" w:sz="4" w:space="0" w:color="auto"/>
              <w:left w:val="nil"/>
              <w:bottom w:val="single" w:sz="4" w:space="0" w:color="auto"/>
              <w:right w:val="nil"/>
            </w:tcBorders>
            <w:shd w:val="clear" w:color="auto" w:fill="auto"/>
            <w:noWrap/>
            <w:vAlign w:val="center"/>
          </w:tcPr>
          <w:p w14:paraId="1714DDC3"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VOLUMI</w:t>
            </w:r>
          </w:p>
        </w:tc>
      </w:tr>
      <w:tr w:rsidR="0075218A" w:rsidRPr="006304A5" w14:paraId="45601B5E" w14:textId="77777777" w:rsidTr="0075218A">
        <w:trPr>
          <w:trHeight w:val="255"/>
        </w:trPr>
        <w:tc>
          <w:tcPr>
            <w:tcW w:w="1647" w:type="dxa"/>
            <w:vMerge/>
            <w:tcBorders>
              <w:left w:val="nil"/>
              <w:right w:val="nil"/>
            </w:tcBorders>
            <w:noWrap/>
            <w:vAlign w:val="bottom"/>
          </w:tcPr>
          <w:p w14:paraId="1CEEAA34"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right w:val="nil"/>
            </w:tcBorders>
            <w:shd w:val="clear" w:color="auto" w:fill="D9D9D9"/>
            <w:vAlign w:val="center"/>
          </w:tcPr>
          <w:p w14:paraId="0B04446B"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3DC160D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c>
          <w:tcPr>
            <w:tcW w:w="2140" w:type="dxa"/>
            <w:gridSpan w:val="2"/>
            <w:tcBorders>
              <w:top w:val="single" w:sz="4" w:space="0" w:color="auto"/>
              <w:left w:val="nil"/>
              <w:bottom w:val="single" w:sz="4" w:space="0" w:color="auto"/>
              <w:right w:val="nil"/>
            </w:tcBorders>
            <w:shd w:val="clear" w:color="auto" w:fill="D9D9D9"/>
            <w:vAlign w:val="center"/>
          </w:tcPr>
          <w:p w14:paraId="3EACD2C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071ED864"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r>
      <w:tr w:rsidR="0075218A" w:rsidRPr="006304A5" w14:paraId="1C922A06" w14:textId="77777777" w:rsidTr="0075218A">
        <w:trPr>
          <w:trHeight w:val="255"/>
        </w:trPr>
        <w:tc>
          <w:tcPr>
            <w:tcW w:w="1647" w:type="dxa"/>
            <w:vMerge/>
            <w:tcBorders>
              <w:left w:val="nil"/>
              <w:right w:val="nil"/>
            </w:tcBorders>
            <w:noWrap/>
            <w:vAlign w:val="bottom"/>
          </w:tcPr>
          <w:p w14:paraId="1306B0FB"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right w:val="nil"/>
            </w:tcBorders>
            <w:shd w:val="clear" w:color="auto" w:fill="auto"/>
            <w:vAlign w:val="center"/>
          </w:tcPr>
          <w:p w14:paraId="02C039C5" w14:textId="77777777" w:rsidR="0075218A" w:rsidRPr="00C03605" w:rsidRDefault="0075218A" w:rsidP="0075218A">
            <w:pPr>
              <w:spacing w:before="40" w:after="20"/>
              <w:jc w:val="center"/>
              <w:rPr>
                <w:rFonts w:ascii="Arial Narrow" w:hAnsi="Arial Narrow"/>
                <w:sz w:val="18"/>
                <w:szCs w:val="18"/>
                <w:lang w:val="en-US"/>
              </w:rPr>
            </w:pPr>
            <w:r w:rsidRPr="00C90F76">
              <w:rPr>
                <w:rFonts w:ascii="Arial Narrow" w:hAnsi="Arial Narrow"/>
                <w:sz w:val="18"/>
                <w:szCs w:val="18"/>
              </w:rPr>
              <w:t xml:space="preserve">Variazioni </w:t>
            </w:r>
            <w:r w:rsidRPr="00C03605">
              <w:rPr>
                <w:rFonts w:ascii="Arial Narrow" w:hAnsi="Arial Narrow"/>
                <w:sz w:val="18"/>
                <w:szCs w:val="18"/>
                <w:lang w:val="en-US"/>
              </w:rPr>
              <w:t>tendenziali</w:t>
            </w:r>
          </w:p>
        </w:tc>
        <w:tc>
          <w:tcPr>
            <w:tcW w:w="2140" w:type="dxa"/>
            <w:gridSpan w:val="2"/>
            <w:tcBorders>
              <w:top w:val="single" w:sz="4" w:space="0" w:color="auto"/>
              <w:left w:val="nil"/>
              <w:right w:val="nil"/>
            </w:tcBorders>
            <w:shd w:val="clear" w:color="auto" w:fill="auto"/>
            <w:vAlign w:val="center"/>
          </w:tcPr>
          <w:p w14:paraId="2374F0F7" w14:textId="77777777" w:rsidR="0075218A" w:rsidRPr="00C03605" w:rsidRDefault="0075218A" w:rsidP="0075218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right w:val="nil"/>
            </w:tcBorders>
            <w:shd w:val="clear" w:color="auto" w:fill="auto"/>
            <w:vAlign w:val="center"/>
          </w:tcPr>
          <w:p w14:paraId="584D08A0" w14:textId="77777777" w:rsidR="0075218A" w:rsidRPr="00C03605" w:rsidRDefault="0075218A" w:rsidP="0075218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right w:val="nil"/>
            </w:tcBorders>
            <w:shd w:val="clear" w:color="auto" w:fill="auto"/>
            <w:vAlign w:val="center"/>
          </w:tcPr>
          <w:p w14:paraId="1E50CB40" w14:textId="77777777" w:rsidR="0075218A" w:rsidRPr="00C03605" w:rsidRDefault="0075218A" w:rsidP="0075218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r>
      <w:tr w:rsidR="0075218A" w:rsidRPr="006304A5" w14:paraId="2B0880B8" w14:textId="77777777" w:rsidTr="0075218A">
        <w:trPr>
          <w:trHeight w:val="255"/>
        </w:trPr>
        <w:tc>
          <w:tcPr>
            <w:tcW w:w="1647" w:type="dxa"/>
            <w:vMerge/>
            <w:tcBorders>
              <w:left w:val="nil"/>
              <w:right w:val="nil"/>
            </w:tcBorders>
            <w:noWrap/>
            <w:vAlign w:val="bottom"/>
          </w:tcPr>
          <w:p w14:paraId="2E62DE81" w14:textId="77777777" w:rsidR="0075218A" w:rsidRPr="006304A5" w:rsidRDefault="0075218A" w:rsidP="0075218A">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21FEC8CA" w14:textId="6BEF740D"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4669C3A0" w14:textId="59332E8E"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6" w:type="dxa"/>
            <w:tcBorders>
              <w:top w:val="single" w:sz="4" w:space="0" w:color="auto"/>
              <w:left w:val="nil"/>
              <w:right w:val="nil"/>
            </w:tcBorders>
            <w:shd w:val="clear" w:color="auto" w:fill="auto"/>
            <w:vAlign w:val="center"/>
          </w:tcPr>
          <w:p w14:paraId="6282AD96" w14:textId="67DBB23D"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4A4A32E0" w14:textId="78CEB0B6"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823" w:type="dxa"/>
            <w:tcBorders>
              <w:top w:val="single" w:sz="4" w:space="0" w:color="auto"/>
              <w:left w:val="nil"/>
              <w:right w:val="nil"/>
            </w:tcBorders>
            <w:shd w:val="clear" w:color="auto" w:fill="auto"/>
            <w:vAlign w:val="center"/>
          </w:tcPr>
          <w:p w14:paraId="37E85DC6"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494F8185" w14:textId="686235E4"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7" w:type="dxa"/>
            <w:tcBorders>
              <w:top w:val="single" w:sz="4" w:space="0" w:color="auto"/>
              <w:left w:val="nil"/>
              <w:right w:val="nil"/>
            </w:tcBorders>
            <w:shd w:val="clear" w:color="auto" w:fill="auto"/>
            <w:vAlign w:val="center"/>
          </w:tcPr>
          <w:p w14:paraId="79D582D9"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56BEC566" w14:textId="0F09AA22"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823" w:type="dxa"/>
            <w:tcBorders>
              <w:top w:val="single" w:sz="4" w:space="0" w:color="auto"/>
              <w:left w:val="nil"/>
              <w:right w:val="nil"/>
            </w:tcBorders>
            <w:shd w:val="clear" w:color="auto" w:fill="auto"/>
            <w:vAlign w:val="center"/>
          </w:tcPr>
          <w:p w14:paraId="6B7F367C"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0F0F10FB" w14:textId="0A5A24A4"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7" w:type="dxa"/>
            <w:tcBorders>
              <w:top w:val="single" w:sz="4" w:space="0" w:color="auto"/>
              <w:left w:val="nil"/>
              <w:right w:val="nil"/>
            </w:tcBorders>
            <w:shd w:val="clear" w:color="auto" w:fill="auto"/>
            <w:vAlign w:val="center"/>
          </w:tcPr>
          <w:p w14:paraId="0B9A6173"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555B4BCA" w14:textId="3C992450"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823" w:type="dxa"/>
            <w:tcBorders>
              <w:top w:val="single" w:sz="4" w:space="0" w:color="auto"/>
              <w:left w:val="nil"/>
              <w:right w:val="nil"/>
            </w:tcBorders>
            <w:shd w:val="clear" w:color="auto" w:fill="auto"/>
            <w:vAlign w:val="center"/>
          </w:tcPr>
          <w:p w14:paraId="62963ACC"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43B39C5B" w14:textId="385A8EF5"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7" w:type="dxa"/>
            <w:tcBorders>
              <w:top w:val="single" w:sz="4" w:space="0" w:color="auto"/>
              <w:left w:val="nil"/>
              <w:right w:val="nil"/>
            </w:tcBorders>
            <w:shd w:val="clear" w:color="auto" w:fill="auto"/>
            <w:vAlign w:val="center"/>
          </w:tcPr>
          <w:p w14:paraId="639ABCD8"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0ABDB655" w14:textId="424BA760"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r>
      <w:tr w:rsidR="00AA59E1" w:rsidRPr="008C0651" w14:paraId="66852D06" w14:textId="77777777" w:rsidTr="00AA59E1">
        <w:trPr>
          <w:trHeight w:val="255"/>
        </w:trPr>
        <w:tc>
          <w:tcPr>
            <w:tcW w:w="1647" w:type="dxa"/>
            <w:tcBorders>
              <w:top w:val="single" w:sz="4" w:space="0" w:color="auto"/>
              <w:left w:val="nil"/>
              <w:bottom w:val="single" w:sz="4" w:space="0" w:color="auto"/>
            </w:tcBorders>
            <w:noWrap/>
            <w:vAlign w:val="bottom"/>
          </w:tcPr>
          <w:p w14:paraId="003EE246" w14:textId="77777777" w:rsidR="00AA59E1" w:rsidRPr="007C052D" w:rsidRDefault="00AA59E1" w:rsidP="00AA59E1">
            <w:pPr>
              <w:spacing w:before="40" w:after="20"/>
              <w:rPr>
                <w:rFonts w:ascii="Arial Narrow" w:hAnsi="Arial Narrow" w:cs="Arial"/>
                <w:sz w:val="18"/>
                <w:szCs w:val="18"/>
              </w:rPr>
            </w:pPr>
            <w:r w:rsidRPr="007C052D">
              <w:rPr>
                <w:rFonts w:ascii="Arial Narrow" w:hAnsi="Arial Narrow" w:cs="Arial"/>
                <w:sz w:val="18"/>
                <w:szCs w:val="18"/>
              </w:rPr>
              <w:t>Paesi Ue27</w:t>
            </w:r>
          </w:p>
        </w:tc>
        <w:tc>
          <w:tcPr>
            <w:tcW w:w="823" w:type="dxa"/>
            <w:tcBorders>
              <w:top w:val="single" w:sz="4" w:space="0" w:color="auto"/>
              <w:bottom w:val="single" w:sz="4" w:space="0" w:color="auto"/>
            </w:tcBorders>
            <w:shd w:val="clear" w:color="auto" w:fill="D9D9D9"/>
            <w:vAlign w:val="center"/>
          </w:tcPr>
          <w:p w14:paraId="077B393A" w14:textId="0577F0E1" w:rsidR="00AA59E1" w:rsidRDefault="00AA59E1" w:rsidP="00AA59E1">
            <w:pPr>
              <w:jc w:val="center"/>
              <w:rPr>
                <w:rFonts w:ascii="Arial Narrow" w:hAnsi="Arial Narrow"/>
                <w:sz w:val="18"/>
                <w:szCs w:val="18"/>
              </w:rPr>
            </w:pPr>
            <w:r>
              <w:rPr>
                <w:rFonts w:ascii="Arial Narrow" w:hAnsi="Arial Narrow"/>
                <w:sz w:val="18"/>
                <w:szCs w:val="18"/>
              </w:rPr>
              <w:t>+16,9</w:t>
            </w:r>
          </w:p>
        </w:tc>
        <w:tc>
          <w:tcPr>
            <w:tcW w:w="1316" w:type="dxa"/>
            <w:tcBorders>
              <w:top w:val="single" w:sz="4" w:space="0" w:color="auto"/>
              <w:bottom w:val="single" w:sz="4" w:space="0" w:color="auto"/>
            </w:tcBorders>
            <w:shd w:val="clear" w:color="auto" w:fill="D9D9D9"/>
            <w:vAlign w:val="center"/>
          </w:tcPr>
          <w:p w14:paraId="1D4F167A" w14:textId="45B6A415" w:rsidR="00AA59E1" w:rsidRDefault="00AA59E1" w:rsidP="00AA59E1">
            <w:pPr>
              <w:jc w:val="center"/>
              <w:rPr>
                <w:rFonts w:ascii="Arial Narrow" w:hAnsi="Arial Narrow"/>
                <w:sz w:val="18"/>
                <w:szCs w:val="18"/>
              </w:rPr>
            </w:pPr>
            <w:r>
              <w:rPr>
                <w:rFonts w:ascii="Arial Narrow" w:hAnsi="Arial Narrow"/>
                <w:sz w:val="18"/>
                <w:szCs w:val="18"/>
              </w:rPr>
              <w:t>+17,4</w:t>
            </w:r>
          </w:p>
        </w:tc>
        <w:tc>
          <w:tcPr>
            <w:tcW w:w="823" w:type="dxa"/>
            <w:tcBorders>
              <w:top w:val="single" w:sz="4" w:space="0" w:color="auto"/>
              <w:bottom w:val="single" w:sz="4" w:space="0" w:color="auto"/>
            </w:tcBorders>
            <w:vAlign w:val="center"/>
          </w:tcPr>
          <w:p w14:paraId="7E1E1535" w14:textId="42231329" w:rsidR="00AA59E1" w:rsidRDefault="00AA59E1" w:rsidP="00AA59E1">
            <w:pPr>
              <w:jc w:val="center"/>
              <w:rPr>
                <w:rFonts w:ascii="Arial Narrow" w:hAnsi="Arial Narrow"/>
                <w:sz w:val="18"/>
                <w:szCs w:val="18"/>
              </w:rPr>
            </w:pPr>
            <w:r>
              <w:rPr>
                <w:rFonts w:ascii="Arial Narrow" w:hAnsi="Arial Narrow"/>
                <w:sz w:val="18"/>
                <w:szCs w:val="18"/>
              </w:rPr>
              <w:t>+20,9</w:t>
            </w:r>
          </w:p>
        </w:tc>
        <w:tc>
          <w:tcPr>
            <w:tcW w:w="1317" w:type="dxa"/>
            <w:tcBorders>
              <w:top w:val="single" w:sz="4" w:space="0" w:color="auto"/>
              <w:bottom w:val="single" w:sz="4" w:space="0" w:color="auto"/>
            </w:tcBorders>
            <w:vAlign w:val="center"/>
          </w:tcPr>
          <w:p w14:paraId="63208D79" w14:textId="3F6310DA" w:rsidR="00AA59E1" w:rsidRDefault="00AA59E1" w:rsidP="00AA59E1">
            <w:pPr>
              <w:jc w:val="center"/>
              <w:rPr>
                <w:rFonts w:ascii="Arial Narrow" w:hAnsi="Arial Narrow"/>
                <w:sz w:val="18"/>
                <w:szCs w:val="18"/>
              </w:rPr>
            </w:pPr>
            <w:r>
              <w:rPr>
                <w:rFonts w:ascii="Arial Narrow" w:hAnsi="Arial Narrow"/>
                <w:sz w:val="18"/>
                <w:szCs w:val="18"/>
              </w:rPr>
              <w:t>+20,6</w:t>
            </w:r>
          </w:p>
        </w:tc>
        <w:tc>
          <w:tcPr>
            <w:tcW w:w="823" w:type="dxa"/>
            <w:tcBorders>
              <w:top w:val="single" w:sz="4" w:space="0" w:color="auto"/>
              <w:bottom w:val="single" w:sz="4" w:space="0" w:color="auto"/>
            </w:tcBorders>
            <w:shd w:val="clear" w:color="auto" w:fill="D9D9D9"/>
            <w:vAlign w:val="center"/>
          </w:tcPr>
          <w:p w14:paraId="72E03CE3" w14:textId="14B08326" w:rsidR="00AA59E1" w:rsidRDefault="00AA59E1" w:rsidP="00AA59E1">
            <w:pPr>
              <w:jc w:val="center"/>
              <w:rPr>
                <w:rFonts w:ascii="Arial Narrow" w:hAnsi="Arial Narrow"/>
                <w:sz w:val="18"/>
                <w:szCs w:val="18"/>
              </w:rPr>
            </w:pPr>
            <w:r>
              <w:rPr>
                <w:rFonts w:ascii="Arial Narrow" w:hAnsi="Arial Narrow"/>
                <w:sz w:val="18"/>
                <w:szCs w:val="18"/>
              </w:rPr>
              <w:t>+6,0</w:t>
            </w:r>
          </w:p>
        </w:tc>
        <w:tc>
          <w:tcPr>
            <w:tcW w:w="1317" w:type="dxa"/>
            <w:tcBorders>
              <w:top w:val="single" w:sz="4" w:space="0" w:color="auto"/>
              <w:bottom w:val="single" w:sz="4" w:space="0" w:color="auto"/>
            </w:tcBorders>
            <w:shd w:val="clear" w:color="auto" w:fill="D9D9D9"/>
            <w:vAlign w:val="center"/>
          </w:tcPr>
          <w:p w14:paraId="1F8CB9D1" w14:textId="7C003A90" w:rsidR="00AA59E1" w:rsidRDefault="00AA59E1" w:rsidP="00AA59E1">
            <w:pPr>
              <w:jc w:val="center"/>
              <w:rPr>
                <w:rFonts w:ascii="Arial Narrow" w:hAnsi="Arial Narrow"/>
                <w:sz w:val="18"/>
                <w:szCs w:val="18"/>
              </w:rPr>
            </w:pPr>
            <w:r>
              <w:rPr>
                <w:rFonts w:ascii="Arial Narrow" w:hAnsi="Arial Narrow"/>
                <w:sz w:val="18"/>
                <w:szCs w:val="18"/>
              </w:rPr>
              <w:t>+6,2</w:t>
            </w:r>
          </w:p>
        </w:tc>
        <w:tc>
          <w:tcPr>
            <w:tcW w:w="823" w:type="dxa"/>
            <w:tcBorders>
              <w:top w:val="single" w:sz="4" w:space="0" w:color="auto"/>
              <w:bottom w:val="single" w:sz="4" w:space="0" w:color="auto"/>
            </w:tcBorders>
            <w:vAlign w:val="center"/>
          </w:tcPr>
          <w:p w14:paraId="74C14962" w14:textId="6227100C" w:rsidR="00AA59E1" w:rsidRDefault="00AA59E1" w:rsidP="00AA59E1">
            <w:pPr>
              <w:jc w:val="center"/>
              <w:rPr>
                <w:rFonts w:ascii="Arial Narrow" w:hAnsi="Arial Narrow"/>
                <w:sz w:val="18"/>
                <w:szCs w:val="18"/>
              </w:rPr>
            </w:pPr>
            <w:r>
              <w:rPr>
                <w:rFonts w:ascii="Arial Narrow" w:hAnsi="Arial Narrow"/>
                <w:sz w:val="18"/>
                <w:szCs w:val="18"/>
              </w:rPr>
              <w:t>+6,1</w:t>
            </w:r>
          </w:p>
        </w:tc>
        <w:tc>
          <w:tcPr>
            <w:tcW w:w="1317" w:type="dxa"/>
            <w:tcBorders>
              <w:top w:val="single" w:sz="4" w:space="0" w:color="auto"/>
              <w:bottom w:val="single" w:sz="4" w:space="0" w:color="auto"/>
            </w:tcBorders>
            <w:vAlign w:val="center"/>
          </w:tcPr>
          <w:p w14:paraId="3629393A" w14:textId="777746CE" w:rsidR="00AA59E1" w:rsidRDefault="00AA59E1" w:rsidP="00AA59E1">
            <w:pPr>
              <w:jc w:val="center"/>
              <w:rPr>
                <w:rFonts w:ascii="Arial Narrow" w:hAnsi="Arial Narrow"/>
                <w:sz w:val="18"/>
                <w:szCs w:val="18"/>
              </w:rPr>
            </w:pPr>
            <w:r>
              <w:rPr>
                <w:rFonts w:ascii="Arial Narrow" w:hAnsi="Arial Narrow"/>
                <w:sz w:val="18"/>
                <w:szCs w:val="18"/>
              </w:rPr>
              <w:t>+6,9</w:t>
            </w:r>
          </w:p>
        </w:tc>
      </w:tr>
      <w:tr w:rsidR="00AA59E1" w:rsidRPr="008C0651" w14:paraId="530D5F0F" w14:textId="77777777" w:rsidTr="00AA59E1">
        <w:trPr>
          <w:trHeight w:val="255"/>
        </w:trPr>
        <w:tc>
          <w:tcPr>
            <w:tcW w:w="1647" w:type="dxa"/>
            <w:tcBorders>
              <w:top w:val="single" w:sz="4" w:space="0" w:color="auto"/>
              <w:left w:val="nil"/>
              <w:bottom w:val="single" w:sz="4" w:space="0" w:color="auto"/>
            </w:tcBorders>
            <w:noWrap/>
            <w:vAlign w:val="bottom"/>
          </w:tcPr>
          <w:p w14:paraId="1E1D3FE9" w14:textId="77777777" w:rsidR="00AA59E1" w:rsidRPr="007C052D" w:rsidRDefault="00AA59E1" w:rsidP="00AA59E1">
            <w:pPr>
              <w:spacing w:before="40" w:after="20"/>
              <w:rPr>
                <w:rFonts w:ascii="Arial Narrow" w:hAnsi="Arial Narrow" w:cs="Arial"/>
                <w:sz w:val="18"/>
                <w:szCs w:val="18"/>
              </w:rPr>
            </w:pPr>
            <w:r w:rsidRPr="007C052D">
              <w:rPr>
                <w:rFonts w:ascii="Arial Narrow" w:hAnsi="Arial Narrow" w:cs="Arial"/>
                <w:sz w:val="18"/>
                <w:szCs w:val="18"/>
              </w:rPr>
              <w:t>Paesi extra Ue27</w:t>
            </w:r>
          </w:p>
        </w:tc>
        <w:tc>
          <w:tcPr>
            <w:tcW w:w="823" w:type="dxa"/>
            <w:tcBorders>
              <w:top w:val="single" w:sz="4" w:space="0" w:color="auto"/>
              <w:bottom w:val="single" w:sz="4" w:space="0" w:color="auto"/>
            </w:tcBorders>
            <w:shd w:val="clear" w:color="auto" w:fill="D9D9D9"/>
            <w:vAlign w:val="center"/>
          </w:tcPr>
          <w:p w14:paraId="6329835E" w14:textId="0E4D59C5" w:rsidR="00AA59E1" w:rsidRDefault="00AA59E1" w:rsidP="00AA59E1">
            <w:pPr>
              <w:jc w:val="center"/>
              <w:rPr>
                <w:rFonts w:ascii="Arial Narrow" w:hAnsi="Arial Narrow"/>
                <w:sz w:val="18"/>
                <w:szCs w:val="18"/>
              </w:rPr>
            </w:pPr>
            <w:r>
              <w:rPr>
                <w:rFonts w:ascii="Arial Narrow" w:hAnsi="Arial Narrow"/>
                <w:sz w:val="18"/>
                <w:szCs w:val="18"/>
              </w:rPr>
              <w:t>+16,1</w:t>
            </w:r>
          </w:p>
        </w:tc>
        <w:tc>
          <w:tcPr>
            <w:tcW w:w="1316" w:type="dxa"/>
            <w:tcBorders>
              <w:top w:val="single" w:sz="4" w:space="0" w:color="auto"/>
              <w:bottom w:val="single" w:sz="4" w:space="0" w:color="auto"/>
            </w:tcBorders>
            <w:shd w:val="clear" w:color="auto" w:fill="D9D9D9"/>
            <w:vAlign w:val="center"/>
          </w:tcPr>
          <w:p w14:paraId="4AA1900E" w14:textId="7CA99260" w:rsidR="00AA59E1" w:rsidRDefault="00AA59E1" w:rsidP="00AA59E1">
            <w:pPr>
              <w:jc w:val="center"/>
              <w:rPr>
                <w:rFonts w:ascii="Arial Narrow" w:hAnsi="Arial Narrow"/>
                <w:sz w:val="18"/>
                <w:szCs w:val="18"/>
              </w:rPr>
            </w:pPr>
            <w:r>
              <w:rPr>
                <w:rFonts w:ascii="Arial Narrow" w:hAnsi="Arial Narrow"/>
                <w:sz w:val="18"/>
                <w:szCs w:val="18"/>
              </w:rPr>
              <w:t>+15,2</w:t>
            </w:r>
          </w:p>
        </w:tc>
        <w:tc>
          <w:tcPr>
            <w:tcW w:w="823" w:type="dxa"/>
            <w:tcBorders>
              <w:top w:val="single" w:sz="4" w:space="0" w:color="auto"/>
              <w:bottom w:val="single" w:sz="4" w:space="0" w:color="auto"/>
            </w:tcBorders>
            <w:vAlign w:val="center"/>
          </w:tcPr>
          <w:p w14:paraId="332039EF" w14:textId="067CB49A" w:rsidR="00AA59E1" w:rsidRDefault="00AA59E1" w:rsidP="00AA59E1">
            <w:pPr>
              <w:jc w:val="center"/>
              <w:rPr>
                <w:rFonts w:ascii="Arial Narrow" w:hAnsi="Arial Narrow"/>
                <w:sz w:val="18"/>
                <w:szCs w:val="18"/>
              </w:rPr>
            </w:pPr>
            <w:r>
              <w:rPr>
                <w:rFonts w:ascii="Arial Narrow" w:hAnsi="Arial Narrow"/>
                <w:sz w:val="18"/>
                <w:szCs w:val="18"/>
              </w:rPr>
              <w:t>+57,2</w:t>
            </w:r>
          </w:p>
        </w:tc>
        <w:tc>
          <w:tcPr>
            <w:tcW w:w="1317" w:type="dxa"/>
            <w:tcBorders>
              <w:top w:val="single" w:sz="4" w:space="0" w:color="auto"/>
              <w:bottom w:val="single" w:sz="4" w:space="0" w:color="auto"/>
            </w:tcBorders>
            <w:vAlign w:val="center"/>
          </w:tcPr>
          <w:p w14:paraId="765B5F49" w14:textId="3CF7AE73" w:rsidR="00AA59E1" w:rsidRDefault="00AA59E1" w:rsidP="00AA59E1">
            <w:pPr>
              <w:jc w:val="center"/>
              <w:rPr>
                <w:rFonts w:ascii="Arial Narrow" w:hAnsi="Arial Narrow"/>
                <w:sz w:val="18"/>
                <w:szCs w:val="18"/>
              </w:rPr>
            </w:pPr>
            <w:r>
              <w:rPr>
                <w:rFonts w:ascii="Arial Narrow" w:hAnsi="Arial Narrow"/>
                <w:sz w:val="18"/>
                <w:szCs w:val="18"/>
              </w:rPr>
              <w:t>+54,8</w:t>
            </w:r>
          </w:p>
        </w:tc>
        <w:tc>
          <w:tcPr>
            <w:tcW w:w="823" w:type="dxa"/>
            <w:tcBorders>
              <w:top w:val="single" w:sz="4" w:space="0" w:color="auto"/>
              <w:bottom w:val="single" w:sz="4" w:space="0" w:color="auto"/>
            </w:tcBorders>
            <w:shd w:val="clear" w:color="auto" w:fill="D9D9D9"/>
            <w:vAlign w:val="center"/>
          </w:tcPr>
          <w:p w14:paraId="2A636F14" w14:textId="752C9FF3" w:rsidR="00AA59E1" w:rsidRDefault="00AA59E1" w:rsidP="00AA59E1">
            <w:pPr>
              <w:jc w:val="center"/>
              <w:rPr>
                <w:rFonts w:ascii="Arial Narrow" w:hAnsi="Arial Narrow"/>
                <w:sz w:val="18"/>
                <w:szCs w:val="18"/>
              </w:rPr>
            </w:pPr>
            <w:r>
              <w:rPr>
                <w:rFonts w:ascii="Arial Narrow" w:hAnsi="Arial Narrow"/>
                <w:sz w:val="18"/>
                <w:szCs w:val="18"/>
              </w:rPr>
              <w:t>+4,4</w:t>
            </w:r>
          </w:p>
        </w:tc>
        <w:tc>
          <w:tcPr>
            <w:tcW w:w="1317" w:type="dxa"/>
            <w:tcBorders>
              <w:top w:val="single" w:sz="4" w:space="0" w:color="auto"/>
              <w:bottom w:val="single" w:sz="4" w:space="0" w:color="auto"/>
            </w:tcBorders>
            <w:shd w:val="clear" w:color="auto" w:fill="D9D9D9"/>
            <w:vAlign w:val="center"/>
          </w:tcPr>
          <w:p w14:paraId="43A919F9" w14:textId="64FE10A2" w:rsidR="00AA59E1" w:rsidRDefault="00AA59E1" w:rsidP="00AA59E1">
            <w:pPr>
              <w:jc w:val="center"/>
              <w:rPr>
                <w:rFonts w:ascii="Arial Narrow" w:hAnsi="Arial Narrow"/>
                <w:sz w:val="18"/>
                <w:szCs w:val="18"/>
              </w:rPr>
            </w:pPr>
            <w:r>
              <w:rPr>
                <w:rFonts w:ascii="Arial Narrow" w:hAnsi="Arial Narrow"/>
                <w:sz w:val="18"/>
                <w:szCs w:val="18"/>
              </w:rPr>
              <w:t>+4,3</w:t>
            </w:r>
          </w:p>
        </w:tc>
        <w:tc>
          <w:tcPr>
            <w:tcW w:w="823" w:type="dxa"/>
            <w:tcBorders>
              <w:top w:val="single" w:sz="4" w:space="0" w:color="auto"/>
              <w:bottom w:val="single" w:sz="4" w:space="0" w:color="auto"/>
            </w:tcBorders>
            <w:vAlign w:val="center"/>
          </w:tcPr>
          <w:p w14:paraId="495638C7" w14:textId="4CA7EEAE" w:rsidR="00AA59E1" w:rsidRDefault="00AA59E1" w:rsidP="00AA59E1">
            <w:pPr>
              <w:jc w:val="center"/>
              <w:rPr>
                <w:rFonts w:ascii="Arial Narrow" w:hAnsi="Arial Narrow"/>
                <w:sz w:val="18"/>
                <w:szCs w:val="18"/>
              </w:rPr>
            </w:pPr>
            <w:r>
              <w:rPr>
                <w:rFonts w:ascii="Arial Narrow" w:hAnsi="Arial Narrow"/>
                <w:sz w:val="18"/>
                <w:szCs w:val="18"/>
              </w:rPr>
              <w:t>+7,9</w:t>
            </w:r>
          </w:p>
        </w:tc>
        <w:tc>
          <w:tcPr>
            <w:tcW w:w="1317" w:type="dxa"/>
            <w:tcBorders>
              <w:top w:val="single" w:sz="4" w:space="0" w:color="auto"/>
              <w:bottom w:val="single" w:sz="4" w:space="0" w:color="auto"/>
            </w:tcBorders>
            <w:vAlign w:val="center"/>
          </w:tcPr>
          <w:p w14:paraId="0BCD0389" w14:textId="7E3E17E2" w:rsidR="00AA59E1" w:rsidRDefault="00AA59E1" w:rsidP="00AA59E1">
            <w:pPr>
              <w:jc w:val="center"/>
              <w:rPr>
                <w:rFonts w:ascii="Arial Narrow" w:hAnsi="Arial Narrow"/>
                <w:sz w:val="18"/>
                <w:szCs w:val="18"/>
              </w:rPr>
            </w:pPr>
            <w:r>
              <w:rPr>
                <w:rFonts w:ascii="Arial Narrow" w:hAnsi="Arial Narrow"/>
                <w:sz w:val="18"/>
                <w:szCs w:val="18"/>
              </w:rPr>
              <w:t>+8,3</w:t>
            </w:r>
          </w:p>
        </w:tc>
      </w:tr>
      <w:tr w:rsidR="00AA59E1" w:rsidRPr="00AA59E1" w14:paraId="1FE047BB" w14:textId="77777777" w:rsidTr="00AA59E1">
        <w:trPr>
          <w:trHeight w:val="255"/>
        </w:trPr>
        <w:tc>
          <w:tcPr>
            <w:tcW w:w="1647" w:type="dxa"/>
            <w:tcBorders>
              <w:top w:val="single" w:sz="4" w:space="0" w:color="auto"/>
              <w:left w:val="nil"/>
              <w:bottom w:val="single" w:sz="4" w:space="0" w:color="auto"/>
            </w:tcBorders>
            <w:shd w:val="clear" w:color="auto" w:fill="FF0000"/>
            <w:noWrap/>
            <w:vAlign w:val="bottom"/>
          </w:tcPr>
          <w:p w14:paraId="43049672" w14:textId="77777777" w:rsidR="00AA59E1" w:rsidRPr="00AA59E1" w:rsidRDefault="00AA59E1" w:rsidP="00AA59E1">
            <w:pPr>
              <w:spacing w:before="40" w:after="20"/>
              <w:rPr>
                <w:rFonts w:ascii="Arial Narrow" w:hAnsi="Arial Narrow" w:cs="Arial"/>
                <w:b/>
                <w:color w:val="FFFFFF" w:themeColor="background1"/>
                <w:sz w:val="18"/>
                <w:szCs w:val="18"/>
              </w:rPr>
            </w:pPr>
            <w:r w:rsidRPr="00AA59E1">
              <w:rPr>
                <w:rFonts w:ascii="Arial Narrow" w:hAnsi="Arial Narrow" w:cs="Arial"/>
                <w:b/>
                <w:color w:val="FFFFFF" w:themeColor="background1"/>
                <w:sz w:val="18"/>
                <w:szCs w:val="18"/>
              </w:rPr>
              <w:t>Mondo</w:t>
            </w:r>
          </w:p>
        </w:tc>
        <w:tc>
          <w:tcPr>
            <w:tcW w:w="823" w:type="dxa"/>
            <w:tcBorders>
              <w:top w:val="single" w:sz="4" w:space="0" w:color="auto"/>
              <w:bottom w:val="single" w:sz="4" w:space="0" w:color="auto"/>
            </w:tcBorders>
            <w:shd w:val="clear" w:color="auto" w:fill="FF0000"/>
            <w:vAlign w:val="center"/>
          </w:tcPr>
          <w:p w14:paraId="220C5EA5" w14:textId="0D4188EF"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+16,5</w:t>
            </w:r>
          </w:p>
        </w:tc>
        <w:tc>
          <w:tcPr>
            <w:tcW w:w="1316" w:type="dxa"/>
            <w:tcBorders>
              <w:top w:val="single" w:sz="4" w:space="0" w:color="auto"/>
              <w:bottom w:val="single" w:sz="4" w:space="0" w:color="auto"/>
            </w:tcBorders>
            <w:shd w:val="clear" w:color="auto" w:fill="FF0000"/>
            <w:vAlign w:val="center"/>
          </w:tcPr>
          <w:p w14:paraId="4F97A181" w14:textId="71237808"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+16,4</w:t>
            </w:r>
          </w:p>
        </w:tc>
        <w:tc>
          <w:tcPr>
            <w:tcW w:w="823" w:type="dxa"/>
            <w:tcBorders>
              <w:top w:val="single" w:sz="4" w:space="0" w:color="auto"/>
              <w:bottom w:val="single" w:sz="4" w:space="0" w:color="auto"/>
            </w:tcBorders>
            <w:shd w:val="clear" w:color="auto" w:fill="FF0000"/>
            <w:vAlign w:val="center"/>
          </w:tcPr>
          <w:p w14:paraId="071BA93C" w14:textId="134610A6"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+37,3</w:t>
            </w:r>
          </w:p>
        </w:tc>
        <w:tc>
          <w:tcPr>
            <w:tcW w:w="1317" w:type="dxa"/>
            <w:tcBorders>
              <w:top w:val="single" w:sz="4" w:space="0" w:color="auto"/>
              <w:bottom w:val="single" w:sz="4" w:space="0" w:color="auto"/>
            </w:tcBorders>
            <w:shd w:val="clear" w:color="auto" w:fill="FF0000"/>
            <w:vAlign w:val="center"/>
          </w:tcPr>
          <w:p w14:paraId="4B380E54" w14:textId="59082F39"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+35,8</w:t>
            </w:r>
          </w:p>
        </w:tc>
        <w:tc>
          <w:tcPr>
            <w:tcW w:w="823" w:type="dxa"/>
            <w:tcBorders>
              <w:top w:val="single" w:sz="4" w:space="0" w:color="auto"/>
              <w:bottom w:val="single" w:sz="4" w:space="0" w:color="auto"/>
            </w:tcBorders>
            <w:shd w:val="clear" w:color="auto" w:fill="FF0000"/>
            <w:vAlign w:val="center"/>
          </w:tcPr>
          <w:p w14:paraId="408A9ACF" w14:textId="219461E6"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+5,3</w:t>
            </w:r>
          </w:p>
        </w:tc>
        <w:tc>
          <w:tcPr>
            <w:tcW w:w="1317" w:type="dxa"/>
            <w:tcBorders>
              <w:top w:val="single" w:sz="4" w:space="0" w:color="auto"/>
              <w:bottom w:val="single" w:sz="4" w:space="0" w:color="auto"/>
            </w:tcBorders>
            <w:shd w:val="clear" w:color="auto" w:fill="FF0000"/>
            <w:vAlign w:val="center"/>
          </w:tcPr>
          <w:p w14:paraId="2061DF6D" w14:textId="46D1C87F"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+5,4</w:t>
            </w:r>
          </w:p>
        </w:tc>
        <w:tc>
          <w:tcPr>
            <w:tcW w:w="823" w:type="dxa"/>
            <w:tcBorders>
              <w:top w:val="single" w:sz="4" w:space="0" w:color="auto"/>
              <w:bottom w:val="single" w:sz="4" w:space="0" w:color="auto"/>
            </w:tcBorders>
            <w:shd w:val="clear" w:color="auto" w:fill="FF0000"/>
            <w:vAlign w:val="center"/>
          </w:tcPr>
          <w:p w14:paraId="65C52579" w14:textId="64A4EC54"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+5,5</w:t>
            </w:r>
          </w:p>
        </w:tc>
        <w:tc>
          <w:tcPr>
            <w:tcW w:w="1317" w:type="dxa"/>
            <w:tcBorders>
              <w:top w:val="single" w:sz="4" w:space="0" w:color="auto"/>
              <w:bottom w:val="single" w:sz="4" w:space="0" w:color="auto"/>
            </w:tcBorders>
            <w:shd w:val="clear" w:color="auto" w:fill="FF0000"/>
            <w:vAlign w:val="center"/>
          </w:tcPr>
          <w:p w14:paraId="573B7ABB" w14:textId="15D3EF2E"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+6,7</w:t>
            </w:r>
          </w:p>
        </w:tc>
      </w:tr>
    </w:tbl>
    <w:p w14:paraId="7B232AB5" w14:textId="77777777" w:rsidR="00A03714" w:rsidRPr="002F2CD0" w:rsidRDefault="00A03714" w:rsidP="00A03714">
      <w:pPr>
        <w:pStyle w:val="Corpodeltesto1"/>
        <w:spacing w:after="60"/>
        <w:jc w:val="left"/>
        <w:rPr>
          <w:rFonts w:ascii="Arial Narrow" w:hAnsi="Arial Narrow" w:cs="Arial Narrow"/>
          <w:color w:val="5F5F5F"/>
          <w:sz w:val="10"/>
          <w:szCs w:val="10"/>
        </w:rPr>
      </w:pPr>
    </w:p>
    <w:p w14:paraId="0F2A66E8" w14:textId="77777777" w:rsidR="00147CB5" w:rsidRDefault="00A03714" w:rsidP="00A127A9">
      <w:pPr>
        <w:pStyle w:val="Corpodeltesto1"/>
        <w:spacing w:before="120"/>
        <w:rPr>
          <w:rFonts w:ascii="Arial Narrow" w:hAnsi="Arial Narrow" w:cs="Arial"/>
          <w:b w:val="0"/>
          <w:bCs/>
          <w:sz w:val="19"/>
          <w:szCs w:val="19"/>
        </w:rPr>
      </w:pPr>
      <w:r w:rsidRPr="00A03714">
        <w:rPr>
          <w:rFonts w:ascii="Arial Narrow" w:hAnsi="Arial Narrow" w:cs="Arial"/>
          <w:color w:val="E42618"/>
          <w:kern w:val="28"/>
          <w:sz w:val="22"/>
          <w:szCs w:val="22"/>
        </w:rPr>
        <w:t xml:space="preserve">PROSPETTO </w:t>
      </w:r>
      <w:r>
        <w:rPr>
          <w:rFonts w:ascii="Arial Narrow" w:hAnsi="Arial Narrow" w:cs="Arial"/>
          <w:color w:val="E42618"/>
          <w:kern w:val="28"/>
          <w:sz w:val="22"/>
          <w:szCs w:val="22"/>
        </w:rPr>
        <w:t>4</w:t>
      </w:r>
      <w:r w:rsidRPr="00A03714">
        <w:rPr>
          <w:rFonts w:ascii="Arial Narrow" w:hAnsi="Arial Narrow" w:cs="Arial"/>
          <w:color w:val="E42618"/>
          <w:kern w:val="28"/>
          <w:sz w:val="22"/>
          <w:szCs w:val="22"/>
        </w:rPr>
        <w:t>.</w:t>
      </w:r>
      <w:r w:rsidRPr="006304A5">
        <w:rPr>
          <w:rFonts w:ascii="Arial Narrow" w:hAnsi="Arial Narrow" w:cs="Arial Narrow"/>
          <w:color w:val="5F5F5F"/>
          <w:sz w:val="20"/>
        </w:rPr>
        <w:t xml:space="preserve"> </w:t>
      </w:r>
      <w:r w:rsidRPr="00147CB5">
        <w:rPr>
          <w:rFonts w:ascii="Arial Narrow" w:hAnsi="Arial Narrow" w:cs="Arial"/>
          <w:color w:val="5F5F5F"/>
          <w:kern w:val="28"/>
          <w:sz w:val="22"/>
          <w:szCs w:val="22"/>
        </w:rPr>
        <w:t>VALORI MEDI UNITARI E VOLUMI SECONDO I RAGGRUPPAMENTI PRINCIPALI</w:t>
      </w:r>
      <w:r w:rsidR="00C03605" w:rsidRPr="00147CB5">
        <w:rPr>
          <w:rFonts w:ascii="Arial Narrow" w:hAnsi="Arial Narrow" w:cs="Arial"/>
          <w:color w:val="5F5F5F"/>
          <w:kern w:val="28"/>
          <w:sz w:val="22"/>
          <w:szCs w:val="22"/>
        </w:rPr>
        <w:t xml:space="preserve"> </w:t>
      </w:r>
      <w:r w:rsidRPr="00147CB5">
        <w:rPr>
          <w:rFonts w:ascii="Arial Narrow" w:hAnsi="Arial Narrow" w:cs="Arial"/>
          <w:color w:val="5F5F5F"/>
          <w:kern w:val="28"/>
          <w:sz w:val="22"/>
          <w:szCs w:val="22"/>
        </w:rPr>
        <w:t>DI INDUSTRIE</w:t>
      </w:r>
    </w:p>
    <w:p w14:paraId="68BA7D37" w14:textId="7FBA1C54" w:rsidR="00537BEB" w:rsidRPr="006304A5" w:rsidRDefault="0075218A" w:rsidP="009308ED">
      <w:pPr>
        <w:pStyle w:val="Corpodeltesto1"/>
        <w:spacing w:after="100"/>
        <w:jc w:val="left"/>
        <w:rPr>
          <w:rFonts w:ascii="Arial Narrow" w:hAnsi="Arial Narrow" w:cs="Arial"/>
          <w:b w:val="0"/>
          <w:bCs/>
          <w:sz w:val="19"/>
          <w:szCs w:val="19"/>
        </w:rPr>
      </w:pPr>
      <w:r>
        <w:rPr>
          <w:rFonts w:ascii="Arial Narrow" w:hAnsi="Arial Narrow" w:cs="Arial"/>
          <w:b w:val="0"/>
          <w:color w:val="5F5F5F"/>
          <w:kern w:val="28"/>
          <w:sz w:val="20"/>
          <w:szCs w:val="20"/>
        </w:rPr>
        <w:t>Febbraio</w:t>
      </w:r>
      <w:r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537BEB" w:rsidRPr="003705A2">
        <w:rPr>
          <w:rFonts w:ascii="Arial Narrow" w:hAnsi="Arial Narrow" w:cs="Arial"/>
          <w:b w:val="0"/>
          <w:color w:val="5F5F5F"/>
          <w:kern w:val="28"/>
          <w:sz w:val="20"/>
          <w:szCs w:val="20"/>
        </w:rPr>
        <w:t>, variazioni percentuali tendenziali (base 2015=100)</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B076CD" w14:paraId="0C3E0E5F" w14:textId="77777777" w:rsidTr="0075218A">
        <w:trPr>
          <w:trHeight w:val="255"/>
        </w:trPr>
        <w:tc>
          <w:tcPr>
            <w:tcW w:w="1647" w:type="dxa"/>
            <w:vMerge w:val="restart"/>
            <w:tcBorders>
              <w:top w:val="single" w:sz="4" w:space="0" w:color="auto"/>
              <w:left w:val="nil"/>
              <w:right w:val="nil"/>
            </w:tcBorders>
            <w:shd w:val="clear" w:color="auto" w:fill="FFFFFF"/>
            <w:vAlign w:val="center"/>
          </w:tcPr>
          <w:p w14:paraId="56852810" w14:textId="77777777" w:rsidR="0075218A" w:rsidRPr="00B076CD" w:rsidRDefault="0075218A" w:rsidP="0075218A">
            <w:pPr>
              <w:spacing w:before="40" w:after="20"/>
              <w:rPr>
                <w:rFonts w:ascii="Arial Narrow" w:hAnsi="Arial Narrow" w:cs="Arial"/>
                <w:sz w:val="18"/>
                <w:szCs w:val="18"/>
              </w:rPr>
            </w:pPr>
            <w:r w:rsidRPr="00B076CD">
              <w:rPr>
                <w:rFonts w:ascii="Arial Narrow" w:hAnsi="Arial Narrow" w:cs="Arial"/>
                <w:b/>
                <w:sz w:val="18"/>
                <w:szCs w:val="18"/>
              </w:rPr>
              <w:t>RAGGRUPPAMENTI PRINCIPALI DI INDUSTRIE</w:t>
            </w:r>
          </w:p>
        </w:tc>
        <w:tc>
          <w:tcPr>
            <w:tcW w:w="4279" w:type="dxa"/>
            <w:gridSpan w:val="4"/>
            <w:tcBorders>
              <w:top w:val="single" w:sz="4" w:space="0" w:color="auto"/>
              <w:left w:val="nil"/>
              <w:right w:val="nil"/>
            </w:tcBorders>
            <w:shd w:val="clear" w:color="auto" w:fill="D9D9D9"/>
            <w:vAlign w:val="center"/>
          </w:tcPr>
          <w:p w14:paraId="4D5EC4A7"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VALORI MEDI UNITARI</w:t>
            </w:r>
          </w:p>
        </w:tc>
        <w:tc>
          <w:tcPr>
            <w:tcW w:w="4280" w:type="dxa"/>
            <w:gridSpan w:val="4"/>
            <w:tcBorders>
              <w:top w:val="single" w:sz="4" w:space="0" w:color="auto"/>
              <w:left w:val="nil"/>
              <w:right w:val="nil"/>
            </w:tcBorders>
            <w:shd w:val="clear" w:color="auto" w:fill="auto"/>
            <w:vAlign w:val="center"/>
          </w:tcPr>
          <w:p w14:paraId="47AB2883"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VOLUMI</w:t>
            </w:r>
          </w:p>
        </w:tc>
      </w:tr>
      <w:tr w:rsidR="0075218A" w:rsidRPr="00B076CD" w14:paraId="62A65489" w14:textId="77777777" w:rsidTr="0075218A">
        <w:trPr>
          <w:trHeight w:val="255"/>
        </w:trPr>
        <w:tc>
          <w:tcPr>
            <w:tcW w:w="1647" w:type="dxa"/>
            <w:vMerge/>
            <w:tcBorders>
              <w:left w:val="nil"/>
              <w:right w:val="nil"/>
            </w:tcBorders>
            <w:shd w:val="clear" w:color="auto" w:fill="FFFFFF"/>
            <w:vAlign w:val="center"/>
          </w:tcPr>
          <w:p w14:paraId="43BA11C0"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447D847"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bottom w:val="single" w:sz="4" w:space="0" w:color="auto"/>
            </w:tcBorders>
            <w:vAlign w:val="center"/>
          </w:tcPr>
          <w:p w14:paraId="6340FA5A"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c>
          <w:tcPr>
            <w:tcW w:w="2140" w:type="dxa"/>
            <w:gridSpan w:val="2"/>
            <w:tcBorders>
              <w:top w:val="single" w:sz="4" w:space="0" w:color="auto"/>
              <w:bottom w:val="single" w:sz="4" w:space="0" w:color="auto"/>
            </w:tcBorders>
            <w:shd w:val="clear" w:color="auto" w:fill="D9D9D9"/>
            <w:vAlign w:val="center"/>
          </w:tcPr>
          <w:p w14:paraId="4ED13160"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left w:val="nil"/>
              <w:bottom w:val="single" w:sz="4" w:space="0" w:color="auto"/>
              <w:right w:val="nil"/>
            </w:tcBorders>
            <w:vAlign w:val="center"/>
          </w:tcPr>
          <w:p w14:paraId="4A60122E"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r>
      <w:tr w:rsidR="0075218A" w:rsidRPr="00B076CD" w14:paraId="633BC6BA" w14:textId="77777777" w:rsidTr="0075218A">
        <w:trPr>
          <w:trHeight w:val="255"/>
        </w:trPr>
        <w:tc>
          <w:tcPr>
            <w:tcW w:w="1647" w:type="dxa"/>
            <w:vMerge/>
            <w:tcBorders>
              <w:left w:val="nil"/>
              <w:right w:val="nil"/>
            </w:tcBorders>
            <w:shd w:val="clear" w:color="auto" w:fill="FFFFFF"/>
            <w:vAlign w:val="center"/>
          </w:tcPr>
          <w:p w14:paraId="22060634"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C28CB16" w14:textId="77777777" w:rsidR="0075218A" w:rsidRPr="00C03605" w:rsidRDefault="0075218A" w:rsidP="0075218A">
            <w:pPr>
              <w:spacing w:before="40" w:after="20"/>
              <w:jc w:val="center"/>
              <w:rPr>
                <w:rFonts w:ascii="Arial Narrow" w:hAnsi="Arial Narrow" w:cs="Arial"/>
                <w:b/>
                <w:color w:val="000000"/>
                <w:sz w:val="18"/>
                <w:szCs w:val="18"/>
              </w:rPr>
            </w:pPr>
            <w:r w:rsidRPr="00C03605">
              <w:rPr>
                <w:rFonts w:ascii="Arial Narrow" w:hAnsi="Arial Narrow"/>
                <w:sz w:val="18"/>
                <w:szCs w:val="18"/>
                <w:lang w:val="en-US"/>
              </w:rPr>
              <w:t>Variazioni tendenziali</w:t>
            </w:r>
          </w:p>
        </w:tc>
        <w:tc>
          <w:tcPr>
            <w:tcW w:w="2140" w:type="dxa"/>
            <w:gridSpan w:val="2"/>
            <w:tcBorders>
              <w:top w:val="single" w:sz="4" w:space="0" w:color="auto"/>
              <w:bottom w:val="single" w:sz="4" w:space="0" w:color="auto"/>
            </w:tcBorders>
            <w:vAlign w:val="center"/>
          </w:tcPr>
          <w:p w14:paraId="2403EECC" w14:textId="77777777" w:rsidR="0075218A" w:rsidRPr="00C03605" w:rsidRDefault="0075218A" w:rsidP="0075218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c>
          <w:tcPr>
            <w:tcW w:w="2140" w:type="dxa"/>
            <w:gridSpan w:val="2"/>
            <w:tcBorders>
              <w:top w:val="single" w:sz="4" w:space="0" w:color="auto"/>
              <w:bottom w:val="single" w:sz="4" w:space="0" w:color="auto"/>
            </w:tcBorders>
            <w:shd w:val="clear" w:color="auto" w:fill="D9D9D9"/>
            <w:vAlign w:val="center"/>
          </w:tcPr>
          <w:p w14:paraId="45ECDFDA" w14:textId="77777777" w:rsidR="0075218A" w:rsidRPr="00C03605" w:rsidRDefault="0075218A" w:rsidP="0075218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bottom w:val="single" w:sz="4" w:space="0" w:color="auto"/>
              <w:right w:val="nil"/>
            </w:tcBorders>
            <w:vAlign w:val="center"/>
          </w:tcPr>
          <w:p w14:paraId="2B547C92" w14:textId="77777777" w:rsidR="0075218A" w:rsidRPr="00C03605" w:rsidRDefault="0075218A" w:rsidP="0075218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r>
      <w:tr w:rsidR="0075218A" w:rsidRPr="00B076CD" w14:paraId="57CB1BBB" w14:textId="77777777" w:rsidTr="0075218A">
        <w:trPr>
          <w:trHeight w:val="255"/>
        </w:trPr>
        <w:tc>
          <w:tcPr>
            <w:tcW w:w="1647" w:type="dxa"/>
            <w:vMerge/>
            <w:tcBorders>
              <w:left w:val="nil"/>
              <w:right w:val="nil"/>
            </w:tcBorders>
            <w:shd w:val="clear" w:color="auto" w:fill="FFFFFF"/>
            <w:vAlign w:val="center"/>
          </w:tcPr>
          <w:p w14:paraId="0743B7AC" w14:textId="77777777" w:rsidR="0075218A" w:rsidRPr="00B076CD" w:rsidRDefault="0075218A" w:rsidP="0075218A">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4678F535"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6A924596" w14:textId="2963C1D4"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6" w:type="dxa"/>
            <w:tcBorders>
              <w:top w:val="single" w:sz="4" w:space="0" w:color="auto"/>
              <w:left w:val="nil"/>
              <w:right w:val="nil"/>
            </w:tcBorders>
            <w:shd w:val="clear" w:color="auto" w:fill="auto"/>
            <w:vAlign w:val="center"/>
          </w:tcPr>
          <w:p w14:paraId="3D16D8B2"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5EE1C97E" w14:textId="30840C4B"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823" w:type="dxa"/>
            <w:tcBorders>
              <w:top w:val="single" w:sz="4" w:space="0" w:color="auto"/>
              <w:left w:val="nil"/>
              <w:right w:val="nil"/>
            </w:tcBorders>
            <w:shd w:val="clear" w:color="auto" w:fill="auto"/>
            <w:vAlign w:val="center"/>
          </w:tcPr>
          <w:p w14:paraId="0A37B90B"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53979304" w14:textId="16C2A16E"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7" w:type="dxa"/>
            <w:tcBorders>
              <w:top w:val="single" w:sz="4" w:space="0" w:color="auto"/>
              <w:left w:val="nil"/>
              <w:right w:val="nil"/>
            </w:tcBorders>
            <w:shd w:val="clear" w:color="auto" w:fill="auto"/>
            <w:vAlign w:val="center"/>
          </w:tcPr>
          <w:p w14:paraId="7CA36536"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26176F97" w14:textId="236ECF44"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823" w:type="dxa"/>
            <w:tcBorders>
              <w:top w:val="single" w:sz="4" w:space="0" w:color="auto"/>
              <w:left w:val="nil"/>
              <w:right w:val="nil"/>
            </w:tcBorders>
            <w:shd w:val="clear" w:color="auto" w:fill="auto"/>
            <w:vAlign w:val="center"/>
          </w:tcPr>
          <w:p w14:paraId="6C6BB639"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3F2A123C" w14:textId="7B3A9307"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7" w:type="dxa"/>
            <w:tcBorders>
              <w:top w:val="single" w:sz="4" w:space="0" w:color="auto"/>
              <w:left w:val="nil"/>
              <w:right w:val="nil"/>
            </w:tcBorders>
            <w:shd w:val="clear" w:color="auto" w:fill="auto"/>
            <w:vAlign w:val="center"/>
          </w:tcPr>
          <w:p w14:paraId="302048B0"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473EE5A4" w14:textId="61915EB4"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c>
          <w:tcPr>
            <w:tcW w:w="823" w:type="dxa"/>
            <w:tcBorders>
              <w:top w:val="single" w:sz="4" w:space="0" w:color="auto"/>
              <w:left w:val="nil"/>
              <w:right w:val="nil"/>
            </w:tcBorders>
            <w:shd w:val="clear" w:color="auto" w:fill="auto"/>
            <w:vAlign w:val="center"/>
          </w:tcPr>
          <w:p w14:paraId="735C479A"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43475EA9" w14:textId="3633C42D"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feb 21</w:t>
            </w:r>
          </w:p>
        </w:tc>
        <w:tc>
          <w:tcPr>
            <w:tcW w:w="1317" w:type="dxa"/>
            <w:tcBorders>
              <w:top w:val="single" w:sz="4" w:space="0" w:color="auto"/>
              <w:left w:val="nil"/>
              <w:right w:val="nil"/>
            </w:tcBorders>
            <w:shd w:val="clear" w:color="auto" w:fill="auto"/>
            <w:vAlign w:val="center"/>
          </w:tcPr>
          <w:p w14:paraId="58A5C6F1" w14:textId="77777777" w:rsidR="0075218A" w:rsidRPr="0069402A" w:rsidRDefault="0075218A" w:rsidP="0075218A">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gen-feb 22</w:t>
            </w:r>
          </w:p>
          <w:p w14:paraId="472B00D1" w14:textId="6ACDE862" w:rsidR="0075218A" w:rsidRPr="003C7722" w:rsidRDefault="0075218A" w:rsidP="0075218A">
            <w:pPr>
              <w:spacing w:before="40" w:after="20"/>
              <w:jc w:val="center"/>
              <w:rPr>
                <w:rFonts w:ascii="Arial Narrow" w:hAnsi="Arial Narrow"/>
                <w:sz w:val="18"/>
                <w:szCs w:val="18"/>
                <w:lang w:val="en-US"/>
              </w:rPr>
            </w:pPr>
            <w:r>
              <w:rPr>
                <w:rFonts w:ascii="Arial Narrow" w:hAnsi="Arial Narrow"/>
                <w:sz w:val="18"/>
                <w:szCs w:val="18"/>
                <w:lang w:val="en-US"/>
              </w:rPr>
              <w:t>gen-feb 21</w:t>
            </w:r>
          </w:p>
        </w:tc>
      </w:tr>
      <w:tr w:rsidR="00AA59E1" w:rsidRPr="008C0651" w14:paraId="0CF6E2EB" w14:textId="77777777" w:rsidTr="00AA59E1">
        <w:trPr>
          <w:trHeight w:val="255"/>
        </w:trPr>
        <w:tc>
          <w:tcPr>
            <w:tcW w:w="1647" w:type="dxa"/>
            <w:tcBorders>
              <w:top w:val="single" w:sz="4" w:space="0" w:color="auto"/>
              <w:left w:val="nil"/>
              <w:bottom w:val="single" w:sz="4" w:space="0" w:color="auto"/>
            </w:tcBorders>
            <w:vAlign w:val="center"/>
          </w:tcPr>
          <w:p w14:paraId="25F3AB8D" w14:textId="77777777" w:rsidR="00AA59E1" w:rsidRPr="00B076CD" w:rsidRDefault="00AA59E1" w:rsidP="00AA59E1">
            <w:pPr>
              <w:spacing w:before="40" w:after="20"/>
              <w:rPr>
                <w:rFonts w:ascii="Arial Narrow" w:hAnsi="Arial Narrow" w:cs="Arial"/>
                <w:sz w:val="18"/>
                <w:szCs w:val="18"/>
              </w:rPr>
            </w:pPr>
            <w:r w:rsidRPr="00B076CD">
              <w:rPr>
                <w:rFonts w:ascii="Arial Narrow" w:hAnsi="Arial Narrow" w:cs="Arial"/>
                <w:sz w:val="18"/>
                <w:szCs w:val="18"/>
              </w:rPr>
              <w:t>Beni di consumo</w:t>
            </w:r>
          </w:p>
        </w:tc>
        <w:tc>
          <w:tcPr>
            <w:tcW w:w="823" w:type="dxa"/>
            <w:tcBorders>
              <w:top w:val="single" w:sz="4" w:space="0" w:color="auto"/>
              <w:bottom w:val="single" w:sz="4" w:space="0" w:color="auto"/>
            </w:tcBorders>
            <w:shd w:val="clear" w:color="auto" w:fill="D9D9D9"/>
            <w:vAlign w:val="center"/>
          </w:tcPr>
          <w:p w14:paraId="1009192A" w14:textId="6FF07FF3" w:rsidR="00AA59E1" w:rsidRDefault="00AA59E1" w:rsidP="00AA59E1">
            <w:pPr>
              <w:jc w:val="center"/>
              <w:rPr>
                <w:rFonts w:ascii="Arial Narrow" w:hAnsi="Arial Narrow"/>
                <w:sz w:val="18"/>
                <w:szCs w:val="18"/>
              </w:rPr>
            </w:pPr>
            <w:r>
              <w:rPr>
                <w:rFonts w:ascii="Arial Narrow" w:hAnsi="Arial Narrow"/>
                <w:sz w:val="18"/>
                <w:szCs w:val="18"/>
              </w:rPr>
              <w:t>+9,7</w:t>
            </w:r>
          </w:p>
        </w:tc>
        <w:tc>
          <w:tcPr>
            <w:tcW w:w="1316" w:type="dxa"/>
            <w:tcBorders>
              <w:top w:val="single" w:sz="4" w:space="0" w:color="auto"/>
              <w:bottom w:val="single" w:sz="4" w:space="0" w:color="auto"/>
            </w:tcBorders>
            <w:shd w:val="clear" w:color="auto" w:fill="D9D9D9"/>
            <w:vAlign w:val="center"/>
          </w:tcPr>
          <w:p w14:paraId="48172B09" w14:textId="0473D8B6" w:rsidR="00AA59E1" w:rsidRDefault="00AA59E1" w:rsidP="00AA59E1">
            <w:pPr>
              <w:jc w:val="center"/>
              <w:rPr>
                <w:rFonts w:ascii="Arial Narrow" w:hAnsi="Arial Narrow"/>
                <w:sz w:val="18"/>
                <w:szCs w:val="18"/>
              </w:rPr>
            </w:pPr>
            <w:r>
              <w:rPr>
                <w:rFonts w:ascii="Arial Narrow" w:hAnsi="Arial Narrow"/>
                <w:sz w:val="18"/>
                <w:szCs w:val="18"/>
              </w:rPr>
              <w:t>+10,1</w:t>
            </w:r>
          </w:p>
        </w:tc>
        <w:tc>
          <w:tcPr>
            <w:tcW w:w="823" w:type="dxa"/>
            <w:tcBorders>
              <w:top w:val="single" w:sz="4" w:space="0" w:color="auto"/>
              <w:bottom w:val="single" w:sz="4" w:space="0" w:color="auto"/>
            </w:tcBorders>
            <w:vAlign w:val="center"/>
          </w:tcPr>
          <w:p w14:paraId="3BDADCC0" w14:textId="17A687E4" w:rsidR="00AA59E1" w:rsidRDefault="00AA59E1" w:rsidP="00AA59E1">
            <w:pPr>
              <w:jc w:val="center"/>
              <w:rPr>
                <w:rFonts w:ascii="Arial Narrow" w:hAnsi="Arial Narrow"/>
                <w:sz w:val="18"/>
                <w:szCs w:val="18"/>
              </w:rPr>
            </w:pPr>
            <w:r>
              <w:rPr>
                <w:rFonts w:ascii="Arial Narrow" w:hAnsi="Arial Narrow"/>
                <w:sz w:val="18"/>
                <w:szCs w:val="18"/>
              </w:rPr>
              <w:t>+15,2</w:t>
            </w:r>
          </w:p>
        </w:tc>
        <w:tc>
          <w:tcPr>
            <w:tcW w:w="1317" w:type="dxa"/>
            <w:tcBorders>
              <w:top w:val="single" w:sz="4" w:space="0" w:color="auto"/>
              <w:bottom w:val="single" w:sz="4" w:space="0" w:color="auto"/>
            </w:tcBorders>
            <w:vAlign w:val="center"/>
          </w:tcPr>
          <w:p w14:paraId="56537B7A" w14:textId="2CE5A25B" w:rsidR="00AA59E1" w:rsidRDefault="00AA59E1" w:rsidP="00AA59E1">
            <w:pPr>
              <w:jc w:val="center"/>
              <w:rPr>
                <w:rFonts w:ascii="Arial Narrow" w:hAnsi="Arial Narrow"/>
                <w:sz w:val="18"/>
                <w:szCs w:val="18"/>
              </w:rPr>
            </w:pPr>
            <w:r>
              <w:rPr>
                <w:rFonts w:ascii="Arial Narrow" w:hAnsi="Arial Narrow"/>
                <w:sz w:val="18"/>
                <w:szCs w:val="18"/>
              </w:rPr>
              <w:t>+16,2</w:t>
            </w:r>
          </w:p>
        </w:tc>
        <w:tc>
          <w:tcPr>
            <w:tcW w:w="823" w:type="dxa"/>
            <w:tcBorders>
              <w:top w:val="single" w:sz="4" w:space="0" w:color="auto"/>
              <w:bottom w:val="single" w:sz="4" w:space="0" w:color="auto"/>
            </w:tcBorders>
            <w:shd w:val="clear" w:color="auto" w:fill="D9D9D9"/>
            <w:vAlign w:val="center"/>
          </w:tcPr>
          <w:p w14:paraId="5BB4ED55" w14:textId="040F016D" w:rsidR="00AA59E1" w:rsidRDefault="00AA59E1" w:rsidP="00AA59E1">
            <w:pPr>
              <w:jc w:val="center"/>
              <w:rPr>
                <w:rFonts w:ascii="Arial Narrow" w:hAnsi="Arial Narrow"/>
                <w:sz w:val="18"/>
                <w:szCs w:val="18"/>
              </w:rPr>
            </w:pPr>
            <w:r>
              <w:rPr>
                <w:rFonts w:ascii="Arial Narrow" w:hAnsi="Arial Narrow"/>
                <w:sz w:val="18"/>
                <w:szCs w:val="18"/>
              </w:rPr>
              <w:t>+10,6</w:t>
            </w:r>
          </w:p>
        </w:tc>
        <w:tc>
          <w:tcPr>
            <w:tcW w:w="1317" w:type="dxa"/>
            <w:tcBorders>
              <w:top w:val="single" w:sz="4" w:space="0" w:color="auto"/>
              <w:bottom w:val="single" w:sz="4" w:space="0" w:color="auto"/>
            </w:tcBorders>
            <w:shd w:val="clear" w:color="auto" w:fill="D9D9D9"/>
            <w:vAlign w:val="center"/>
          </w:tcPr>
          <w:p w14:paraId="4701B2F1" w14:textId="4859AE58" w:rsidR="00AA59E1" w:rsidRDefault="00AA59E1" w:rsidP="00AA59E1">
            <w:pPr>
              <w:jc w:val="center"/>
              <w:rPr>
                <w:rFonts w:ascii="Arial Narrow" w:hAnsi="Arial Narrow"/>
                <w:sz w:val="18"/>
                <w:szCs w:val="18"/>
              </w:rPr>
            </w:pPr>
            <w:r>
              <w:rPr>
                <w:rFonts w:ascii="Arial Narrow" w:hAnsi="Arial Narrow"/>
                <w:sz w:val="18"/>
                <w:szCs w:val="18"/>
              </w:rPr>
              <w:t>+9,0</w:t>
            </w:r>
          </w:p>
        </w:tc>
        <w:tc>
          <w:tcPr>
            <w:tcW w:w="823" w:type="dxa"/>
            <w:tcBorders>
              <w:top w:val="single" w:sz="4" w:space="0" w:color="auto"/>
              <w:bottom w:val="single" w:sz="4" w:space="0" w:color="auto"/>
            </w:tcBorders>
            <w:vAlign w:val="center"/>
          </w:tcPr>
          <w:p w14:paraId="273A91F5" w14:textId="278EB199" w:rsidR="00AA59E1" w:rsidRDefault="00AA59E1" w:rsidP="00AA59E1">
            <w:pPr>
              <w:jc w:val="center"/>
              <w:rPr>
                <w:rFonts w:ascii="Arial Narrow" w:hAnsi="Arial Narrow"/>
                <w:sz w:val="18"/>
                <w:szCs w:val="18"/>
              </w:rPr>
            </w:pPr>
            <w:r>
              <w:rPr>
                <w:rFonts w:ascii="Arial Narrow" w:hAnsi="Arial Narrow"/>
                <w:sz w:val="18"/>
                <w:szCs w:val="18"/>
              </w:rPr>
              <w:t>+10,5</w:t>
            </w:r>
          </w:p>
        </w:tc>
        <w:tc>
          <w:tcPr>
            <w:tcW w:w="1317" w:type="dxa"/>
            <w:tcBorders>
              <w:top w:val="single" w:sz="4" w:space="0" w:color="auto"/>
              <w:bottom w:val="single" w:sz="4" w:space="0" w:color="auto"/>
            </w:tcBorders>
            <w:vAlign w:val="center"/>
          </w:tcPr>
          <w:p w14:paraId="0CFE25A5" w14:textId="38433F9F" w:rsidR="00AA59E1" w:rsidRDefault="00AA59E1" w:rsidP="00AA59E1">
            <w:pPr>
              <w:jc w:val="center"/>
              <w:rPr>
                <w:rFonts w:ascii="Arial Narrow" w:hAnsi="Arial Narrow"/>
                <w:sz w:val="18"/>
                <w:szCs w:val="18"/>
              </w:rPr>
            </w:pPr>
            <w:r>
              <w:rPr>
                <w:rFonts w:ascii="Arial Narrow" w:hAnsi="Arial Narrow"/>
                <w:sz w:val="18"/>
                <w:szCs w:val="18"/>
              </w:rPr>
              <w:t>+9,9</w:t>
            </w:r>
          </w:p>
        </w:tc>
      </w:tr>
      <w:tr w:rsidR="00AA59E1" w:rsidRPr="008C0651" w14:paraId="0AA49F05" w14:textId="77777777" w:rsidTr="00AA59E1">
        <w:trPr>
          <w:trHeight w:val="255"/>
        </w:trPr>
        <w:tc>
          <w:tcPr>
            <w:tcW w:w="1647" w:type="dxa"/>
            <w:tcBorders>
              <w:top w:val="single" w:sz="4" w:space="0" w:color="auto"/>
              <w:left w:val="nil"/>
              <w:bottom w:val="single" w:sz="4" w:space="0" w:color="auto"/>
            </w:tcBorders>
            <w:vAlign w:val="center"/>
          </w:tcPr>
          <w:p w14:paraId="766BF8C8" w14:textId="77777777" w:rsidR="00AA59E1" w:rsidRPr="00353F86" w:rsidRDefault="00AA59E1" w:rsidP="00AA59E1">
            <w:pPr>
              <w:spacing w:before="40" w:after="20"/>
              <w:rPr>
                <w:rFonts w:ascii="Arial Narrow" w:hAnsi="Arial Narrow" w:cs="Arial"/>
                <w:sz w:val="18"/>
                <w:szCs w:val="18"/>
              </w:rPr>
            </w:pPr>
            <w:r w:rsidRPr="00353F86">
              <w:rPr>
                <w:rFonts w:ascii="Arial Narrow" w:hAnsi="Arial Narrow" w:cs="Arial"/>
                <w:sz w:val="18"/>
                <w:szCs w:val="18"/>
              </w:rPr>
              <w:t>durevoli</w:t>
            </w:r>
          </w:p>
        </w:tc>
        <w:tc>
          <w:tcPr>
            <w:tcW w:w="823" w:type="dxa"/>
            <w:tcBorders>
              <w:top w:val="single" w:sz="4" w:space="0" w:color="auto"/>
              <w:bottom w:val="single" w:sz="4" w:space="0" w:color="auto"/>
            </w:tcBorders>
            <w:shd w:val="clear" w:color="auto" w:fill="D9D9D9"/>
            <w:vAlign w:val="center"/>
          </w:tcPr>
          <w:p w14:paraId="2733FF54" w14:textId="3B0FC5A7" w:rsidR="00AA59E1" w:rsidRDefault="00AA59E1" w:rsidP="00AA59E1">
            <w:pPr>
              <w:jc w:val="center"/>
              <w:rPr>
                <w:rFonts w:ascii="Arial Narrow" w:hAnsi="Arial Narrow"/>
                <w:sz w:val="18"/>
                <w:szCs w:val="18"/>
              </w:rPr>
            </w:pPr>
            <w:r>
              <w:rPr>
                <w:rFonts w:ascii="Arial Narrow" w:hAnsi="Arial Narrow"/>
                <w:sz w:val="18"/>
                <w:szCs w:val="18"/>
              </w:rPr>
              <w:t>+10,2</w:t>
            </w:r>
          </w:p>
        </w:tc>
        <w:tc>
          <w:tcPr>
            <w:tcW w:w="1316" w:type="dxa"/>
            <w:tcBorders>
              <w:top w:val="single" w:sz="4" w:space="0" w:color="auto"/>
              <w:bottom w:val="single" w:sz="4" w:space="0" w:color="auto"/>
            </w:tcBorders>
            <w:shd w:val="clear" w:color="auto" w:fill="D9D9D9"/>
            <w:vAlign w:val="center"/>
          </w:tcPr>
          <w:p w14:paraId="10D6F7EF" w14:textId="17BB8578" w:rsidR="00AA59E1" w:rsidRDefault="00AA59E1" w:rsidP="00AA59E1">
            <w:pPr>
              <w:jc w:val="center"/>
              <w:rPr>
                <w:rFonts w:ascii="Arial Narrow" w:hAnsi="Arial Narrow"/>
                <w:sz w:val="18"/>
                <w:szCs w:val="18"/>
              </w:rPr>
            </w:pPr>
            <w:r>
              <w:rPr>
                <w:rFonts w:ascii="Arial Narrow" w:hAnsi="Arial Narrow"/>
                <w:sz w:val="18"/>
                <w:szCs w:val="18"/>
              </w:rPr>
              <w:t>+9,6</w:t>
            </w:r>
          </w:p>
        </w:tc>
        <w:tc>
          <w:tcPr>
            <w:tcW w:w="823" w:type="dxa"/>
            <w:tcBorders>
              <w:top w:val="single" w:sz="4" w:space="0" w:color="auto"/>
              <w:bottom w:val="single" w:sz="4" w:space="0" w:color="auto"/>
            </w:tcBorders>
            <w:vAlign w:val="center"/>
          </w:tcPr>
          <w:p w14:paraId="21F24B11" w14:textId="51B2832D" w:rsidR="00AA59E1" w:rsidRDefault="00AA59E1" w:rsidP="00AA59E1">
            <w:pPr>
              <w:jc w:val="center"/>
              <w:rPr>
                <w:rFonts w:ascii="Arial Narrow" w:hAnsi="Arial Narrow"/>
                <w:sz w:val="18"/>
                <w:szCs w:val="18"/>
              </w:rPr>
            </w:pPr>
            <w:r>
              <w:rPr>
                <w:rFonts w:ascii="Arial Narrow" w:hAnsi="Arial Narrow"/>
                <w:sz w:val="18"/>
                <w:szCs w:val="18"/>
              </w:rPr>
              <w:t>+11,4</w:t>
            </w:r>
          </w:p>
        </w:tc>
        <w:tc>
          <w:tcPr>
            <w:tcW w:w="1317" w:type="dxa"/>
            <w:tcBorders>
              <w:top w:val="single" w:sz="4" w:space="0" w:color="auto"/>
              <w:bottom w:val="single" w:sz="4" w:space="0" w:color="auto"/>
            </w:tcBorders>
            <w:vAlign w:val="center"/>
          </w:tcPr>
          <w:p w14:paraId="67368A57" w14:textId="075FCD94" w:rsidR="00AA59E1" w:rsidRDefault="00AA59E1" w:rsidP="00AA59E1">
            <w:pPr>
              <w:jc w:val="center"/>
              <w:rPr>
                <w:rFonts w:ascii="Arial Narrow" w:hAnsi="Arial Narrow"/>
                <w:sz w:val="18"/>
                <w:szCs w:val="18"/>
              </w:rPr>
            </w:pPr>
            <w:r>
              <w:rPr>
                <w:rFonts w:ascii="Arial Narrow" w:hAnsi="Arial Narrow"/>
                <w:sz w:val="18"/>
                <w:szCs w:val="18"/>
              </w:rPr>
              <w:t>+13,0</w:t>
            </w:r>
          </w:p>
        </w:tc>
        <w:tc>
          <w:tcPr>
            <w:tcW w:w="823" w:type="dxa"/>
            <w:tcBorders>
              <w:top w:val="single" w:sz="4" w:space="0" w:color="auto"/>
              <w:bottom w:val="single" w:sz="4" w:space="0" w:color="auto"/>
            </w:tcBorders>
            <w:shd w:val="clear" w:color="auto" w:fill="D9D9D9"/>
            <w:vAlign w:val="center"/>
          </w:tcPr>
          <w:p w14:paraId="32660A2B" w14:textId="1B2354EC" w:rsidR="00AA59E1" w:rsidRDefault="00AA59E1" w:rsidP="00AA59E1">
            <w:pPr>
              <w:jc w:val="center"/>
              <w:rPr>
                <w:rFonts w:ascii="Arial Narrow" w:hAnsi="Arial Narrow"/>
                <w:sz w:val="18"/>
                <w:szCs w:val="18"/>
              </w:rPr>
            </w:pPr>
            <w:r>
              <w:rPr>
                <w:rFonts w:ascii="Arial Narrow" w:hAnsi="Arial Narrow"/>
                <w:sz w:val="18"/>
                <w:szCs w:val="18"/>
              </w:rPr>
              <w:t>+7,3</w:t>
            </w:r>
          </w:p>
        </w:tc>
        <w:tc>
          <w:tcPr>
            <w:tcW w:w="1317" w:type="dxa"/>
            <w:tcBorders>
              <w:top w:val="single" w:sz="4" w:space="0" w:color="auto"/>
              <w:bottom w:val="single" w:sz="4" w:space="0" w:color="auto"/>
            </w:tcBorders>
            <w:shd w:val="clear" w:color="auto" w:fill="D9D9D9"/>
            <w:vAlign w:val="center"/>
          </w:tcPr>
          <w:p w14:paraId="0FA0CFF1" w14:textId="311F2FC5" w:rsidR="00AA59E1" w:rsidRDefault="00AA59E1" w:rsidP="00AA59E1">
            <w:pPr>
              <w:jc w:val="center"/>
              <w:rPr>
                <w:rFonts w:ascii="Arial Narrow" w:hAnsi="Arial Narrow"/>
                <w:sz w:val="18"/>
                <w:szCs w:val="18"/>
              </w:rPr>
            </w:pPr>
            <w:r>
              <w:rPr>
                <w:rFonts w:ascii="Arial Narrow" w:hAnsi="Arial Narrow"/>
                <w:sz w:val="18"/>
                <w:szCs w:val="18"/>
              </w:rPr>
              <w:t>+7,8</w:t>
            </w:r>
          </w:p>
        </w:tc>
        <w:tc>
          <w:tcPr>
            <w:tcW w:w="823" w:type="dxa"/>
            <w:tcBorders>
              <w:top w:val="single" w:sz="4" w:space="0" w:color="auto"/>
              <w:bottom w:val="single" w:sz="4" w:space="0" w:color="auto"/>
            </w:tcBorders>
            <w:vAlign w:val="center"/>
          </w:tcPr>
          <w:p w14:paraId="27560C7F" w14:textId="6A907F8C" w:rsidR="00AA59E1" w:rsidRDefault="00AA59E1" w:rsidP="00AA59E1">
            <w:pPr>
              <w:jc w:val="center"/>
              <w:rPr>
                <w:rFonts w:ascii="Arial Narrow" w:hAnsi="Arial Narrow"/>
                <w:sz w:val="18"/>
                <w:szCs w:val="18"/>
              </w:rPr>
            </w:pPr>
            <w:r>
              <w:rPr>
                <w:rFonts w:ascii="Arial Narrow" w:hAnsi="Arial Narrow"/>
                <w:sz w:val="18"/>
                <w:szCs w:val="18"/>
              </w:rPr>
              <w:t>+19,8</w:t>
            </w:r>
          </w:p>
        </w:tc>
        <w:tc>
          <w:tcPr>
            <w:tcW w:w="1317" w:type="dxa"/>
            <w:tcBorders>
              <w:top w:val="single" w:sz="4" w:space="0" w:color="auto"/>
              <w:bottom w:val="single" w:sz="4" w:space="0" w:color="auto"/>
            </w:tcBorders>
            <w:vAlign w:val="center"/>
          </w:tcPr>
          <w:p w14:paraId="2B2A239A" w14:textId="1A229188" w:rsidR="00AA59E1" w:rsidRDefault="00AA59E1" w:rsidP="00AA59E1">
            <w:pPr>
              <w:jc w:val="center"/>
              <w:rPr>
                <w:rFonts w:ascii="Arial Narrow" w:hAnsi="Arial Narrow"/>
                <w:sz w:val="18"/>
                <w:szCs w:val="18"/>
              </w:rPr>
            </w:pPr>
            <w:r>
              <w:rPr>
                <w:rFonts w:ascii="Arial Narrow" w:hAnsi="Arial Narrow"/>
                <w:sz w:val="18"/>
                <w:szCs w:val="18"/>
              </w:rPr>
              <w:t>+15,7</w:t>
            </w:r>
          </w:p>
        </w:tc>
      </w:tr>
      <w:tr w:rsidR="00AA59E1" w:rsidRPr="008C0651" w14:paraId="01F6E9DF" w14:textId="77777777" w:rsidTr="00AA59E1">
        <w:trPr>
          <w:trHeight w:val="255"/>
        </w:trPr>
        <w:tc>
          <w:tcPr>
            <w:tcW w:w="1647" w:type="dxa"/>
            <w:tcBorders>
              <w:top w:val="single" w:sz="4" w:space="0" w:color="auto"/>
              <w:left w:val="nil"/>
              <w:bottom w:val="single" w:sz="4" w:space="0" w:color="auto"/>
            </w:tcBorders>
            <w:vAlign w:val="center"/>
          </w:tcPr>
          <w:p w14:paraId="68752EA6" w14:textId="77777777" w:rsidR="00AA59E1" w:rsidRPr="00353F86" w:rsidRDefault="00AA59E1" w:rsidP="00AA59E1">
            <w:pPr>
              <w:spacing w:before="40" w:after="20"/>
              <w:rPr>
                <w:rFonts w:ascii="Arial Narrow" w:hAnsi="Arial Narrow" w:cs="Arial"/>
                <w:sz w:val="18"/>
                <w:szCs w:val="18"/>
              </w:rPr>
            </w:pPr>
            <w:r w:rsidRPr="00353F86">
              <w:rPr>
                <w:rFonts w:ascii="Arial Narrow" w:hAnsi="Arial Narrow" w:cs="Arial"/>
                <w:sz w:val="18"/>
                <w:szCs w:val="18"/>
              </w:rPr>
              <w:t>non durevoli</w:t>
            </w:r>
          </w:p>
        </w:tc>
        <w:tc>
          <w:tcPr>
            <w:tcW w:w="823" w:type="dxa"/>
            <w:tcBorders>
              <w:top w:val="single" w:sz="4" w:space="0" w:color="auto"/>
              <w:bottom w:val="single" w:sz="4" w:space="0" w:color="auto"/>
            </w:tcBorders>
            <w:shd w:val="clear" w:color="auto" w:fill="D9D9D9"/>
            <w:vAlign w:val="center"/>
          </w:tcPr>
          <w:p w14:paraId="728B7A1B" w14:textId="1C07C27D" w:rsidR="00AA59E1" w:rsidRDefault="00AA59E1" w:rsidP="00AA59E1">
            <w:pPr>
              <w:jc w:val="center"/>
              <w:rPr>
                <w:rFonts w:ascii="Arial Narrow" w:hAnsi="Arial Narrow"/>
                <w:sz w:val="18"/>
                <w:szCs w:val="18"/>
              </w:rPr>
            </w:pPr>
            <w:r>
              <w:rPr>
                <w:rFonts w:ascii="Arial Narrow" w:hAnsi="Arial Narrow"/>
                <w:sz w:val="18"/>
                <w:szCs w:val="18"/>
              </w:rPr>
              <w:t>+9,6</w:t>
            </w:r>
          </w:p>
        </w:tc>
        <w:tc>
          <w:tcPr>
            <w:tcW w:w="1316" w:type="dxa"/>
            <w:tcBorders>
              <w:top w:val="single" w:sz="4" w:space="0" w:color="auto"/>
              <w:bottom w:val="single" w:sz="4" w:space="0" w:color="auto"/>
            </w:tcBorders>
            <w:shd w:val="clear" w:color="auto" w:fill="D9D9D9"/>
            <w:vAlign w:val="center"/>
          </w:tcPr>
          <w:p w14:paraId="6BD85BE9" w14:textId="19730752" w:rsidR="00AA59E1" w:rsidRDefault="00AA59E1" w:rsidP="00AA59E1">
            <w:pPr>
              <w:jc w:val="center"/>
              <w:rPr>
                <w:rFonts w:ascii="Arial Narrow" w:hAnsi="Arial Narrow"/>
                <w:sz w:val="18"/>
                <w:szCs w:val="18"/>
              </w:rPr>
            </w:pPr>
            <w:r>
              <w:rPr>
                <w:rFonts w:ascii="Arial Narrow" w:hAnsi="Arial Narrow"/>
                <w:sz w:val="18"/>
                <w:szCs w:val="18"/>
              </w:rPr>
              <w:t>+10,3</w:t>
            </w:r>
          </w:p>
        </w:tc>
        <w:tc>
          <w:tcPr>
            <w:tcW w:w="823" w:type="dxa"/>
            <w:tcBorders>
              <w:top w:val="single" w:sz="4" w:space="0" w:color="auto"/>
              <w:bottom w:val="single" w:sz="4" w:space="0" w:color="auto"/>
            </w:tcBorders>
            <w:vAlign w:val="center"/>
          </w:tcPr>
          <w:p w14:paraId="664AEE75" w14:textId="4CC0C182" w:rsidR="00AA59E1" w:rsidRDefault="00AA59E1" w:rsidP="00AA59E1">
            <w:pPr>
              <w:jc w:val="center"/>
              <w:rPr>
                <w:rFonts w:ascii="Arial Narrow" w:hAnsi="Arial Narrow"/>
                <w:sz w:val="18"/>
                <w:szCs w:val="18"/>
              </w:rPr>
            </w:pPr>
            <w:r>
              <w:rPr>
                <w:rFonts w:ascii="Arial Narrow" w:hAnsi="Arial Narrow"/>
                <w:sz w:val="18"/>
                <w:szCs w:val="18"/>
              </w:rPr>
              <w:t>+15,9</w:t>
            </w:r>
          </w:p>
        </w:tc>
        <w:tc>
          <w:tcPr>
            <w:tcW w:w="1317" w:type="dxa"/>
            <w:tcBorders>
              <w:top w:val="single" w:sz="4" w:space="0" w:color="auto"/>
              <w:bottom w:val="single" w:sz="4" w:space="0" w:color="auto"/>
            </w:tcBorders>
            <w:vAlign w:val="center"/>
          </w:tcPr>
          <w:p w14:paraId="63AADF3C" w14:textId="5385C4BE" w:rsidR="00AA59E1" w:rsidRDefault="00AA59E1" w:rsidP="00AA59E1">
            <w:pPr>
              <w:jc w:val="center"/>
              <w:rPr>
                <w:rFonts w:ascii="Arial Narrow" w:hAnsi="Arial Narrow"/>
                <w:sz w:val="18"/>
                <w:szCs w:val="18"/>
              </w:rPr>
            </w:pPr>
            <w:r>
              <w:rPr>
                <w:rFonts w:ascii="Arial Narrow" w:hAnsi="Arial Narrow"/>
                <w:sz w:val="18"/>
                <w:szCs w:val="18"/>
              </w:rPr>
              <w:t>+16,6</w:t>
            </w:r>
          </w:p>
        </w:tc>
        <w:tc>
          <w:tcPr>
            <w:tcW w:w="823" w:type="dxa"/>
            <w:tcBorders>
              <w:top w:val="single" w:sz="4" w:space="0" w:color="auto"/>
              <w:bottom w:val="single" w:sz="4" w:space="0" w:color="auto"/>
            </w:tcBorders>
            <w:shd w:val="clear" w:color="auto" w:fill="D9D9D9"/>
            <w:vAlign w:val="center"/>
          </w:tcPr>
          <w:p w14:paraId="2D42EDBE" w14:textId="2F7342CD" w:rsidR="00AA59E1" w:rsidRDefault="00AA59E1" w:rsidP="00AA59E1">
            <w:pPr>
              <w:jc w:val="center"/>
              <w:rPr>
                <w:rFonts w:ascii="Arial Narrow" w:hAnsi="Arial Narrow"/>
                <w:sz w:val="18"/>
                <w:szCs w:val="18"/>
              </w:rPr>
            </w:pPr>
            <w:r>
              <w:rPr>
                <w:rFonts w:ascii="Arial Narrow" w:hAnsi="Arial Narrow"/>
                <w:sz w:val="18"/>
                <w:szCs w:val="18"/>
              </w:rPr>
              <w:t>+11,2</w:t>
            </w:r>
          </w:p>
        </w:tc>
        <w:tc>
          <w:tcPr>
            <w:tcW w:w="1317" w:type="dxa"/>
            <w:tcBorders>
              <w:top w:val="single" w:sz="4" w:space="0" w:color="auto"/>
              <w:bottom w:val="single" w:sz="4" w:space="0" w:color="auto"/>
            </w:tcBorders>
            <w:shd w:val="clear" w:color="auto" w:fill="D9D9D9"/>
            <w:vAlign w:val="center"/>
          </w:tcPr>
          <w:p w14:paraId="7BA76FE8" w14:textId="058A5080" w:rsidR="00AA59E1" w:rsidRDefault="00AA59E1" w:rsidP="00AA59E1">
            <w:pPr>
              <w:jc w:val="center"/>
              <w:rPr>
                <w:rFonts w:ascii="Arial Narrow" w:hAnsi="Arial Narrow"/>
                <w:sz w:val="18"/>
                <w:szCs w:val="18"/>
              </w:rPr>
            </w:pPr>
            <w:r>
              <w:rPr>
                <w:rFonts w:ascii="Arial Narrow" w:hAnsi="Arial Narrow"/>
                <w:sz w:val="18"/>
                <w:szCs w:val="18"/>
              </w:rPr>
              <w:t>+9,2</w:t>
            </w:r>
          </w:p>
        </w:tc>
        <w:tc>
          <w:tcPr>
            <w:tcW w:w="823" w:type="dxa"/>
            <w:tcBorders>
              <w:top w:val="single" w:sz="4" w:space="0" w:color="auto"/>
              <w:bottom w:val="single" w:sz="4" w:space="0" w:color="auto"/>
            </w:tcBorders>
            <w:vAlign w:val="center"/>
          </w:tcPr>
          <w:p w14:paraId="617D07F9" w14:textId="59E6BDB2" w:rsidR="00AA59E1" w:rsidRDefault="00AA59E1" w:rsidP="00AA59E1">
            <w:pPr>
              <w:jc w:val="center"/>
              <w:rPr>
                <w:rFonts w:ascii="Arial Narrow" w:hAnsi="Arial Narrow"/>
                <w:sz w:val="18"/>
                <w:szCs w:val="18"/>
              </w:rPr>
            </w:pPr>
            <w:r>
              <w:rPr>
                <w:rFonts w:ascii="Arial Narrow" w:hAnsi="Arial Narrow"/>
                <w:sz w:val="18"/>
                <w:szCs w:val="18"/>
              </w:rPr>
              <w:t>+8,9</w:t>
            </w:r>
          </w:p>
        </w:tc>
        <w:tc>
          <w:tcPr>
            <w:tcW w:w="1317" w:type="dxa"/>
            <w:tcBorders>
              <w:top w:val="single" w:sz="4" w:space="0" w:color="auto"/>
              <w:bottom w:val="single" w:sz="4" w:space="0" w:color="auto"/>
            </w:tcBorders>
            <w:vAlign w:val="center"/>
          </w:tcPr>
          <w:p w14:paraId="14A7BC7E" w14:textId="4A5AEACB" w:rsidR="00AA59E1" w:rsidRDefault="00AA59E1" w:rsidP="00AA59E1">
            <w:pPr>
              <w:jc w:val="center"/>
              <w:rPr>
                <w:rFonts w:ascii="Arial Narrow" w:hAnsi="Arial Narrow"/>
                <w:sz w:val="18"/>
                <w:szCs w:val="18"/>
              </w:rPr>
            </w:pPr>
            <w:r>
              <w:rPr>
                <w:rFonts w:ascii="Arial Narrow" w:hAnsi="Arial Narrow"/>
                <w:sz w:val="18"/>
                <w:szCs w:val="18"/>
              </w:rPr>
              <w:t>+9,1</w:t>
            </w:r>
          </w:p>
        </w:tc>
      </w:tr>
      <w:tr w:rsidR="00AA59E1" w:rsidRPr="008C0651" w14:paraId="66B73643" w14:textId="77777777" w:rsidTr="00AA59E1">
        <w:trPr>
          <w:trHeight w:val="255"/>
        </w:trPr>
        <w:tc>
          <w:tcPr>
            <w:tcW w:w="1647" w:type="dxa"/>
            <w:tcBorders>
              <w:top w:val="single" w:sz="4" w:space="0" w:color="auto"/>
              <w:left w:val="nil"/>
              <w:bottom w:val="single" w:sz="4" w:space="0" w:color="auto"/>
            </w:tcBorders>
            <w:vAlign w:val="center"/>
          </w:tcPr>
          <w:p w14:paraId="7876B70C" w14:textId="77777777" w:rsidR="00AA59E1" w:rsidRPr="00B076CD" w:rsidRDefault="00AA59E1" w:rsidP="00AA59E1">
            <w:pPr>
              <w:spacing w:before="40" w:after="20"/>
              <w:rPr>
                <w:rFonts w:ascii="Arial Narrow" w:hAnsi="Arial Narrow" w:cs="Arial"/>
                <w:sz w:val="18"/>
                <w:szCs w:val="18"/>
              </w:rPr>
            </w:pPr>
            <w:r w:rsidRPr="00B076CD">
              <w:rPr>
                <w:rFonts w:ascii="Arial Narrow" w:hAnsi="Arial Narrow" w:cs="Arial"/>
                <w:sz w:val="18"/>
                <w:szCs w:val="18"/>
              </w:rPr>
              <w:t>Beni strumentali</w:t>
            </w:r>
          </w:p>
        </w:tc>
        <w:tc>
          <w:tcPr>
            <w:tcW w:w="823" w:type="dxa"/>
            <w:tcBorders>
              <w:top w:val="single" w:sz="4" w:space="0" w:color="auto"/>
              <w:bottom w:val="single" w:sz="4" w:space="0" w:color="auto"/>
            </w:tcBorders>
            <w:shd w:val="clear" w:color="auto" w:fill="D9D9D9"/>
            <w:vAlign w:val="center"/>
          </w:tcPr>
          <w:p w14:paraId="7D59398D" w14:textId="7AC1A83B" w:rsidR="00AA59E1" w:rsidRDefault="00AA59E1" w:rsidP="00AA59E1">
            <w:pPr>
              <w:jc w:val="center"/>
              <w:rPr>
                <w:rFonts w:ascii="Arial Narrow" w:hAnsi="Arial Narrow"/>
                <w:sz w:val="18"/>
                <w:szCs w:val="18"/>
              </w:rPr>
            </w:pPr>
            <w:r>
              <w:rPr>
                <w:rFonts w:ascii="Arial Narrow" w:hAnsi="Arial Narrow"/>
                <w:sz w:val="18"/>
                <w:szCs w:val="18"/>
              </w:rPr>
              <w:t>+11,3</w:t>
            </w:r>
          </w:p>
        </w:tc>
        <w:tc>
          <w:tcPr>
            <w:tcW w:w="1316" w:type="dxa"/>
            <w:tcBorders>
              <w:top w:val="single" w:sz="4" w:space="0" w:color="auto"/>
              <w:bottom w:val="single" w:sz="4" w:space="0" w:color="auto"/>
            </w:tcBorders>
            <w:shd w:val="clear" w:color="auto" w:fill="D9D9D9"/>
            <w:vAlign w:val="center"/>
          </w:tcPr>
          <w:p w14:paraId="6301C03F" w14:textId="640A76D6" w:rsidR="00AA59E1" w:rsidRDefault="00AA59E1" w:rsidP="00AA59E1">
            <w:pPr>
              <w:jc w:val="center"/>
              <w:rPr>
                <w:rFonts w:ascii="Arial Narrow" w:hAnsi="Arial Narrow"/>
                <w:sz w:val="18"/>
                <w:szCs w:val="18"/>
              </w:rPr>
            </w:pPr>
            <w:r>
              <w:rPr>
                <w:rFonts w:ascii="Arial Narrow" w:hAnsi="Arial Narrow"/>
                <w:sz w:val="18"/>
                <w:szCs w:val="18"/>
              </w:rPr>
              <w:t>+11,0</w:t>
            </w:r>
          </w:p>
        </w:tc>
        <w:tc>
          <w:tcPr>
            <w:tcW w:w="823" w:type="dxa"/>
            <w:tcBorders>
              <w:top w:val="single" w:sz="4" w:space="0" w:color="auto"/>
              <w:bottom w:val="single" w:sz="4" w:space="0" w:color="auto"/>
            </w:tcBorders>
            <w:vAlign w:val="center"/>
          </w:tcPr>
          <w:p w14:paraId="55390BA0" w14:textId="7A092CFB" w:rsidR="00AA59E1" w:rsidRDefault="00AA59E1" w:rsidP="00AA59E1">
            <w:pPr>
              <w:jc w:val="center"/>
              <w:rPr>
                <w:rFonts w:ascii="Arial Narrow" w:hAnsi="Arial Narrow"/>
                <w:sz w:val="18"/>
                <w:szCs w:val="18"/>
              </w:rPr>
            </w:pPr>
            <w:r>
              <w:rPr>
                <w:rFonts w:ascii="Arial Narrow" w:hAnsi="Arial Narrow"/>
                <w:sz w:val="18"/>
                <w:szCs w:val="18"/>
              </w:rPr>
              <w:t>+11,9</w:t>
            </w:r>
          </w:p>
        </w:tc>
        <w:tc>
          <w:tcPr>
            <w:tcW w:w="1317" w:type="dxa"/>
            <w:tcBorders>
              <w:top w:val="single" w:sz="4" w:space="0" w:color="auto"/>
              <w:bottom w:val="single" w:sz="4" w:space="0" w:color="auto"/>
            </w:tcBorders>
            <w:vAlign w:val="center"/>
          </w:tcPr>
          <w:p w14:paraId="087FD1B2" w14:textId="686B600B" w:rsidR="00AA59E1" w:rsidRDefault="00AA59E1" w:rsidP="00AA59E1">
            <w:pPr>
              <w:jc w:val="center"/>
              <w:rPr>
                <w:rFonts w:ascii="Arial Narrow" w:hAnsi="Arial Narrow"/>
                <w:sz w:val="18"/>
                <w:szCs w:val="18"/>
              </w:rPr>
            </w:pPr>
            <w:r>
              <w:rPr>
                <w:rFonts w:ascii="Arial Narrow" w:hAnsi="Arial Narrow"/>
                <w:sz w:val="18"/>
                <w:szCs w:val="18"/>
              </w:rPr>
              <w:t>+11,7</w:t>
            </w:r>
          </w:p>
        </w:tc>
        <w:tc>
          <w:tcPr>
            <w:tcW w:w="823" w:type="dxa"/>
            <w:tcBorders>
              <w:top w:val="single" w:sz="4" w:space="0" w:color="auto"/>
              <w:bottom w:val="single" w:sz="4" w:space="0" w:color="auto"/>
            </w:tcBorders>
            <w:shd w:val="clear" w:color="auto" w:fill="D9D9D9"/>
            <w:vAlign w:val="center"/>
          </w:tcPr>
          <w:p w14:paraId="2A9C419A" w14:textId="7DB20A46" w:rsidR="00AA59E1" w:rsidRDefault="00AA59E1" w:rsidP="00AA59E1">
            <w:pPr>
              <w:jc w:val="center"/>
              <w:rPr>
                <w:rFonts w:ascii="Arial Narrow" w:hAnsi="Arial Narrow"/>
                <w:sz w:val="18"/>
                <w:szCs w:val="18"/>
              </w:rPr>
            </w:pPr>
            <w:r>
              <w:rPr>
                <w:rFonts w:ascii="Arial Narrow" w:hAnsi="Arial Narrow"/>
                <w:sz w:val="18"/>
                <w:szCs w:val="18"/>
              </w:rPr>
              <w:t>+1,8</w:t>
            </w:r>
          </w:p>
        </w:tc>
        <w:tc>
          <w:tcPr>
            <w:tcW w:w="1317" w:type="dxa"/>
            <w:tcBorders>
              <w:top w:val="single" w:sz="4" w:space="0" w:color="auto"/>
              <w:bottom w:val="single" w:sz="4" w:space="0" w:color="auto"/>
            </w:tcBorders>
            <w:shd w:val="clear" w:color="auto" w:fill="D9D9D9"/>
            <w:vAlign w:val="center"/>
          </w:tcPr>
          <w:p w14:paraId="478D83AA" w14:textId="07A0D904" w:rsidR="00AA59E1" w:rsidRDefault="00AA59E1" w:rsidP="00AA59E1">
            <w:pPr>
              <w:jc w:val="center"/>
              <w:rPr>
                <w:rFonts w:ascii="Arial Narrow" w:hAnsi="Arial Narrow"/>
                <w:sz w:val="18"/>
                <w:szCs w:val="18"/>
              </w:rPr>
            </w:pPr>
            <w:r>
              <w:rPr>
                <w:rFonts w:ascii="Arial Narrow" w:hAnsi="Arial Narrow"/>
                <w:sz w:val="18"/>
                <w:szCs w:val="18"/>
              </w:rPr>
              <w:t>+3,2</w:t>
            </w:r>
          </w:p>
        </w:tc>
        <w:tc>
          <w:tcPr>
            <w:tcW w:w="823" w:type="dxa"/>
            <w:tcBorders>
              <w:top w:val="single" w:sz="4" w:space="0" w:color="auto"/>
              <w:bottom w:val="single" w:sz="4" w:space="0" w:color="auto"/>
            </w:tcBorders>
            <w:vAlign w:val="center"/>
          </w:tcPr>
          <w:p w14:paraId="1B00FEFB" w14:textId="0CEC17B7" w:rsidR="00AA59E1" w:rsidRDefault="00AA59E1" w:rsidP="00AA59E1">
            <w:pPr>
              <w:jc w:val="center"/>
              <w:rPr>
                <w:rFonts w:ascii="Arial Narrow" w:hAnsi="Arial Narrow"/>
                <w:sz w:val="18"/>
                <w:szCs w:val="18"/>
              </w:rPr>
            </w:pPr>
            <w:r>
              <w:rPr>
                <w:rFonts w:ascii="Arial Narrow" w:hAnsi="Arial Narrow"/>
                <w:sz w:val="18"/>
                <w:szCs w:val="18"/>
              </w:rPr>
              <w:t>+0,8</w:t>
            </w:r>
          </w:p>
        </w:tc>
        <w:tc>
          <w:tcPr>
            <w:tcW w:w="1317" w:type="dxa"/>
            <w:tcBorders>
              <w:top w:val="single" w:sz="4" w:space="0" w:color="auto"/>
              <w:bottom w:val="single" w:sz="4" w:space="0" w:color="auto"/>
            </w:tcBorders>
            <w:vAlign w:val="center"/>
          </w:tcPr>
          <w:p w14:paraId="10429E15" w14:textId="079B477C" w:rsidR="00AA59E1" w:rsidRDefault="00AA59E1" w:rsidP="00AA59E1">
            <w:pPr>
              <w:jc w:val="center"/>
              <w:rPr>
                <w:rFonts w:ascii="Arial Narrow" w:hAnsi="Arial Narrow"/>
                <w:sz w:val="18"/>
                <w:szCs w:val="18"/>
              </w:rPr>
            </w:pPr>
            <w:r>
              <w:rPr>
                <w:rFonts w:ascii="Arial Narrow" w:hAnsi="Arial Narrow"/>
                <w:sz w:val="18"/>
                <w:szCs w:val="18"/>
              </w:rPr>
              <w:t>+0,7</w:t>
            </w:r>
          </w:p>
        </w:tc>
      </w:tr>
      <w:tr w:rsidR="00AA59E1" w:rsidRPr="008C0651" w14:paraId="220FC730" w14:textId="77777777" w:rsidTr="00AA59E1">
        <w:trPr>
          <w:trHeight w:val="255"/>
        </w:trPr>
        <w:tc>
          <w:tcPr>
            <w:tcW w:w="1647" w:type="dxa"/>
            <w:tcBorders>
              <w:top w:val="single" w:sz="4" w:space="0" w:color="auto"/>
              <w:left w:val="nil"/>
              <w:bottom w:val="single" w:sz="4" w:space="0" w:color="auto"/>
            </w:tcBorders>
            <w:vAlign w:val="center"/>
          </w:tcPr>
          <w:p w14:paraId="1DA98FBE" w14:textId="77777777" w:rsidR="00AA59E1" w:rsidRPr="00B076CD" w:rsidRDefault="00AA59E1" w:rsidP="00AA59E1">
            <w:pPr>
              <w:spacing w:before="40" w:after="20"/>
              <w:rPr>
                <w:rFonts w:ascii="Arial Narrow" w:hAnsi="Arial Narrow" w:cs="Arial"/>
                <w:sz w:val="18"/>
                <w:szCs w:val="18"/>
              </w:rPr>
            </w:pPr>
            <w:r w:rsidRPr="00B076CD">
              <w:rPr>
                <w:rFonts w:ascii="Arial Narrow" w:hAnsi="Arial Narrow" w:cs="Arial"/>
                <w:sz w:val="18"/>
                <w:szCs w:val="18"/>
              </w:rPr>
              <w:t>Beni intermedi</w:t>
            </w:r>
          </w:p>
        </w:tc>
        <w:tc>
          <w:tcPr>
            <w:tcW w:w="823" w:type="dxa"/>
            <w:tcBorders>
              <w:top w:val="single" w:sz="4" w:space="0" w:color="auto"/>
              <w:bottom w:val="single" w:sz="4" w:space="0" w:color="auto"/>
            </w:tcBorders>
            <w:shd w:val="clear" w:color="auto" w:fill="D9D9D9"/>
            <w:vAlign w:val="center"/>
          </w:tcPr>
          <w:p w14:paraId="0CFC38FA" w14:textId="2D590650" w:rsidR="00AA59E1" w:rsidRDefault="00AA59E1" w:rsidP="00AA59E1">
            <w:pPr>
              <w:jc w:val="center"/>
              <w:rPr>
                <w:rFonts w:ascii="Arial Narrow" w:hAnsi="Arial Narrow"/>
                <w:sz w:val="18"/>
                <w:szCs w:val="18"/>
              </w:rPr>
            </w:pPr>
            <w:r>
              <w:rPr>
                <w:rFonts w:ascii="Arial Narrow" w:hAnsi="Arial Narrow"/>
                <w:sz w:val="18"/>
                <w:szCs w:val="18"/>
              </w:rPr>
              <w:t>+24,4</w:t>
            </w:r>
          </w:p>
        </w:tc>
        <w:tc>
          <w:tcPr>
            <w:tcW w:w="1316" w:type="dxa"/>
            <w:tcBorders>
              <w:top w:val="single" w:sz="4" w:space="0" w:color="auto"/>
              <w:bottom w:val="single" w:sz="4" w:space="0" w:color="auto"/>
            </w:tcBorders>
            <w:shd w:val="clear" w:color="auto" w:fill="D9D9D9"/>
            <w:vAlign w:val="center"/>
          </w:tcPr>
          <w:p w14:paraId="43229734" w14:textId="6FB4B5F4" w:rsidR="00AA59E1" w:rsidRDefault="00AA59E1" w:rsidP="00AA59E1">
            <w:pPr>
              <w:jc w:val="center"/>
              <w:rPr>
                <w:rFonts w:ascii="Arial Narrow" w:hAnsi="Arial Narrow"/>
                <w:sz w:val="18"/>
                <w:szCs w:val="18"/>
              </w:rPr>
            </w:pPr>
            <w:r>
              <w:rPr>
                <w:rFonts w:ascii="Arial Narrow" w:hAnsi="Arial Narrow"/>
                <w:sz w:val="18"/>
                <w:szCs w:val="18"/>
              </w:rPr>
              <w:t>+24,0</w:t>
            </w:r>
          </w:p>
        </w:tc>
        <w:tc>
          <w:tcPr>
            <w:tcW w:w="823" w:type="dxa"/>
            <w:tcBorders>
              <w:top w:val="single" w:sz="4" w:space="0" w:color="auto"/>
              <w:bottom w:val="single" w:sz="4" w:space="0" w:color="auto"/>
            </w:tcBorders>
            <w:vAlign w:val="center"/>
          </w:tcPr>
          <w:p w14:paraId="210F6B34" w14:textId="7CB64F64" w:rsidR="00AA59E1" w:rsidRDefault="00AA59E1" w:rsidP="00AA59E1">
            <w:pPr>
              <w:jc w:val="center"/>
              <w:rPr>
                <w:rFonts w:ascii="Arial Narrow" w:hAnsi="Arial Narrow"/>
                <w:sz w:val="18"/>
                <w:szCs w:val="18"/>
              </w:rPr>
            </w:pPr>
            <w:r>
              <w:rPr>
                <w:rFonts w:ascii="Arial Narrow" w:hAnsi="Arial Narrow"/>
                <w:sz w:val="18"/>
                <w:szCs w:val="18"/>
              </w:rPr>
              <w:t>+29,6</w:t>
            </w:r>
          </w:p>
        </w:tc>
        <w:tc>
          <w:tcPr>
            <w:tcW w:w="1317" w:type="dxa"/>
            <w:tcBorders>
              <w:top w:val="single" w:sz="4" w:space="0" w:color="auto"/>
              <w:bottom w:val="single" w:sz="4" w:space="0" w:color="auto"/>
            </w:tcBorders>
            <w:vAlign w:val="center"/>
          </w:tcPr>
          <w:p w14:paraId="67905E0A" w14:textId="0F4D871E" w:rsidR="00AA59E1" w:rsidRDefault="00AA59E1" w:rsidP="00AA59E1">
            <w:pPr>
              <w:jc w:val="center"/>
              <w:rPr>
                <w:rFonts w:ascii="Arial Narrow" w:hAnsi="Arial Narrow"/>
                <w:sz w:val="18"/>
                <w:szCs w:val="18"/>
              </w:rPr>
            </w:pPr>
            <w:r>
              <w:rPr>
                <w:rFonts w:ascii="Arial Narrow" w:hAnsi="Arial Narrow"/>
                <w:sz w:val="18"/>
                <w:szCs w:val="18"/>
              </w:rPr>
              <w:t>+30,6</w:t>
            </w:r>
          </w:p>
        </w:tc>
        <w:tc>
          <w:tcPr>
            <w:tcW w:w="823" w:type="dxa"/>
            <w:tcBorders>
              <w:top w:val="single" w:sz="4" w:space="0" w:color="auto"/>
              <w:bottom w:val="single" w:sz="4" w:space="0" w:color="auto"/>
            </w:tcBorders>
            <w:shd w:val="clear" w:color="auto" w:fill="D9D9D9"/>
            <w:vAlign w:val="center"/>
          </w:tcPr>
          <w:p w14:paraId="28748FA8" w14:textId="78810FD6" w:rsidR="00AA59E1" w:rsidRDefault="00AA59E1" w:rsidP="00AA59E1">
            <w:pPr>
              <w:jc w:val="center"/>
              <w:rPr>
                <w:rFonts w:ascii="Arial Narrow" w:hAnsi="Arial Narrow"/>
                <w:sz w:val="18"/>
                <w:szCs w:val="18"/>
              </w:rPr>
            </w:pPr>
            <w:r>
              <w:rPr>
                <w:rFonts w:ascii="Arial Narrow" w:hAnsi="Arial Narrow"/>
                <w:sz w:val="18"/>
                <w:szCs w:val="18"/>
              </w:rPr>
              <w:t>+2,3</w:t>
            </w:r>
          </w:p>
        </w:tc>
        <w:tc>
          <w:tcPr>
            <w:tcW w:w="1317" w:type="dxa"/>
            <w:tcBorders>
              <w:top w:val="single" w:sz="4" w:space="0" w:color="auto"/>
              <w:bottom w:val="single" w:sz="4" w:space="0" w:color="auto"/>
            </w:tcBorders>
            <w:shd w:val="clear" w:color="auto" w:fill="D9D9D9"/>
            <w:vAlign w:val="center"/>
          </w:tcPr>
          <w:p w14:paraId="1AB7FAB2" w14:textId="3F33A40B" w:rsidR="00AA59E1" w:rsidRDefault="00AA59E1" w:rsidP="00AA59E1">
            <w:pPr>
              <w:jc w:val="center"/>
              <w:rPr>
                <w:rFonts w:ascii="Arial Narrow" w:hAnsi="Arial Narrow"/>
                <w:sz w:val="18"/>
                <w:szCs w:val="18"/>
              </w:rPr>
            </w:pPr>
            <w:r>
              <w:rPr>
                <w:rFonts w:ascii="Arial Narrow" w:hAnsi="Arial Narrow"/>
                <w:sz w:val="18"/>
                <w:szCs w:val="18"/>
              </w:rPr>
              <w:t>+2,5</w:t>
            </w:r>
          </w:p>
        </w:tc>
        <w:tc>
          <w:tcPr>
            <w:tcW w:w="823" w:type="dxa"/>
            <w:tcBorders>
              <w:top w:val="single" w:sz="4" w:space="0" w:color="auto"/>
              <w:bottom w:val="single" w:sz="4" w:space="0" w:color="auto"/>
            </w:tcBorders>
            <w:vAlign w:val="center"/>
          </w:tcPr>
          <w:p w14:paraId="1F195043" w14:textId="326664DB" w:rsidR="00AA59E1" w:rsidRDefault="00AA59E1" w:rsidP="00AA59E1">
            <w:pPr>
              <w:jc w:val="center"/>
              <w:rPr>
                <w:rFonts w:ascii="Arial Narrow" w:hAnsi="Arial Narrow"/>
                <w:sz w:val="18"/>
                <w:szCs w:val="18"/>
              </w:rPr>
            </w:pPr>
            <w:r>
              <w:rPr>
                <w:rFonts w:ascii="Arial Narrow" w:hAnsi="Arial Narrow"/>
                <w:sz w:val="18"/>
                <w:szCs w:val="18"/>
              </w:rPr>
              <w:t>+11,4</w:t>
            </w:r>
          </w:p>
        </w:tc>
        <w:tc>
          <w:tcPr>
            <w:tcW w:w="1317" w:type="dxa"/>
            <w:tcBorders>
              <w:top w:val="single" w:sz="4" w:space="0" w:color="auto"/>
              <w:bottom w:val="single" w:sz="4" w:space="0" w:color="auto"/>
            </w:tcBorders>
            <w:vAlign w:val="center"/>
          </w:tcPr>
          <w:p w14:paraId="2928ECC3" w14:textId="04AD4781" w:rsidR="00AA59E1" w:rsidRDefault="00AA59E1" w:rsidP="00AA59E1">
            <w:pPr>
              <w:jc w:val="center"/>
              <w:rPr>
                <w:rFonts w:ascii="Arial Narrow" w:hAnsi="Arial Narrow"/>
                <w:sz w:val="18"/>
                <w:szCs w:val="18"/>
              </w:rPr>
            </w:pPr>
            <w:r>
              <w:rPr>
                <w:rFonts w:ascii="Arial Narrow" w:hAnsi="Arial Narrow"/>
                <w:sz w:val="18"/>
                <w:szCs w:val="18"/>
              </w:rPr>
              <w:t>+12,4</w:t>
            </w:r>
          </w:p>
        </w:tc>
      </w:tr>
      <w:tr w:rsidR="00AA59E1" w:rsidRPr="008C0651" w14:paraId="1F8F7598" w14:textId="77777777" w:rsidTr="00AA59E1">
        <w:trPr>
          <w:trHeight w:val="255"/>
        </w:trPr>
        <w:tc>
          <w:tcPr>
            <w:tcW w:w="1647" w:type="dxa"/>
            <w:tcBorders>
              <w:top w:val="single" w:sz="4" w:space="0" w:color="auto"/>
              <w:left w:val="nil"/>
              <w:bottom w:val="single" w:sz="4" w:space="0" w:color="auto"/>
            </w:tcBorders>
            <w:vAlign w:val="center"/>
          </w:tcPr>
          <w:p w14:paraId="525947D1" w14:textId="77777777" w:rsidR="00AA59E1" w:rsidRPr="00B076CD" w:rsidRDefault="00AA59E1" w:rsidP="00AA59E1">
            <w:pPr>
              <w:spacing w:before="40" w:after="20"/>
              <w:rPr>
                <w:rFonts w:ascii="Arial Narrow" w:hAnsi="Arial Narrow" w:cs="Arial"/>
                <w:sz w:val="18"/>
                <w:szCs w:val="18"/>
              </w:rPr>
            </w:pPr>
            <w:r w:rsidRPr="00B076CD">
              <w:rPr>
                <w:rFonts w:ascii="Arial Narrow" w:hAnsi="Arial Narrow" w:cs="Arial"/>
                <w:sz w:val="18"/>
                <w:szCs w:val="18"/>
              </w:rPr>
              <w:t>Energia</w:t>
            </w:r>
          </w:p>
        </w:tc>
        <w:tc>
          <w:tcPr>
            <w:tcW w:w="823" w:type="dxa"/>
            <w:tcBorders>
              <w:top w:val="single" w:sz="4" w:space="0" w:color="auto"/>
              <w:bottom w:val="single" w:sz="4" w:space="0" w:color="auto"/>
            </w:tcBorders>
            <w:shd w:val="clear" w:color="auto" w:fill="D9D9D9"/>
            <w:vAlign w:val="center"/>
          </w:tcPr>
          <w:p w14:paraId="4624EC6D" w14:textId="4795B719" w:rsidR="00AA59E1" w:rsidRDefault="00AA59E1" w:rsidP="00AA59E1">
            <w:pPr>
              <w:jc w:val="center"/>
              <w:rPr>
                <w:rFonts w:ascii="Arial Narrow" w:hAnsi="Arial Narrow"/>
                <w:sz w:val="18"/>
                <w:szCs w:val="18"/>
              </w:rPr>
            </w:pPr>
            <w:r>
              <w:rPr>
                <w:rFonts w:ascii="Arial Narrow" w:hAnsi="Arial Narrow"/>
                <w:sz w:val="18"/>
                <w:szCs w:val="18"/>
              </w:rPr>
              <w:t>+65,4</w:t>
            </w:r>
          </w:p>
        </w:tc>
        <w:tc>
          <w:tcPr>
            <w:tcW w:w="1316" w:type="dxa"/>
            <w:tcBorders>
              <w:top w:val="single" w:sz="4" w:space="0" w:color="auto"/>
              <w:bottom w:val="single" w:sz="4" w:space="0" w:color="auto"/>
            </w:tcBorders>
            <w:shd w:val="clear" w:color="auto" w:fill="D9D9D9"/>
            <w:vAlign w:val="center"/>
          </w:tcPr>
          <w:p w14:paraId="118EE0BA" w14:textId="2E0FE3A8" w:rsidR="00AA59E1" w:rsidRDefault="00AA59E1" w:rsidP="00AA59E1">
            <w:pPr>
              <w:jc w:val="center"/>
              <w:rPr>
                <w:rFonts w:ascii="Arial Narrow" w:hAnsi="Arial Narrow"/>
                <w:sz w:val="18"/>
                <w:szCs w:val="18"/>
              </w:rPr>
            </w:pPr>
            <w:r>
              <w:rPr>
                <w:rFonts w:ascii="Arial Narrow" w:hAnsi="Arial Narrow"/>
                <w:sz w:val="18"/>
                <w:szCs w:val="18"/>
              </w:rPr>
              <w:t>+62,4</w:t>
            </w:r>
          </w:p>
        </w:tc>
        <w:tc>
          <w:tcPr>
            <w:tcW w:w="823" w:type="dxa"/>
            <w:tcBorders>
              <w:top w:val="single" w:sz="4" w:space="0" w:color="auto"/>
              <w:bottom w:val="single" w:sz="4" w:space="0" w:color="auto"/>
            </w:tcBorders>
            <w:vAlign w:val="center"/>
          </w:tcPr>
          <w:p w14:paraId="314FEBDB" w14:textId="5B916C9C" w:rsidR="00AA59E1" w:rsidRDefault="00AA59E1" w:rsidP="00AA59E1">
            <w:pPr>
              <w:jc w:val="center"/>
              <w:rPr>
                <w:rFonts w:ascii="Arial Narrow" w:hAnsi="Arial Narrow"/>
                <w:sz w:val="18"/>
                <w:szCs w:val="18"/>
              </w:rPr>
            </w:pPr>
            <w:r>
              <w:rPr>
                <w:rFonts w:ascii="Arial Narrow" w:hAnsi="Arial Narrow"/>
                <w:sz w:val="18"/>
                <w:szCs w:val="18"/>
              </w:rPr>
              <w:t>+152,2</w:t>
            </w:r>
          </w:p>
        </w:tc>
        <w:tc>
          <w:tcPr>
            <w:tcW w:w="1317" w:type="dxa"/>
            <w:tcBorders>
              <w:top w:val="single" w:sz="4" w:space="0" w:color="auto"/>
              <w:bottom w:val="single" w:sz="4" w:space="0" w:color="auto"/>
            </w:tcBorders>
            <w:vAlign w:val="center"/>
          </w:tcPr>
          <w:p w14:paraId="6217F172" w14:textId="2FA99BED" w:rsidR="00AA59E1" w:rsidRDefault="00AA59E1" w:rsidP="00AA59E1">
            <w:pPr>
              <w:jc w:val="center"/>
              <w:rPr>
                <w:rFonts w:ascii="Arial Narrow" w:hAnsi="Arial Narrow"/>
                <w:sz w:val="18"/>
                <w:szCs w:val="18"/>
              </w:rPr>
            </w:pPr>
            <w:r>
              <w:rPr>
                <w:rFonts w:ascii="Arial Narrow" w:hAnsi="Arial Narrow"/>
                <w:sz w:val="18"/>
                <w:szCs w:val="18"/>
              </w:rPr>
              <w:t>+138,8</w:t>
            </w:r>
          </w:p>
        </w:tc>
        <w:tc>
          <w:tcPr>
            <w:tcW w:w="823" w:type="dxa"/>
            <w:tcBorders>
              <w:top w:val="single" w:sz="4" w:space="0" w:color="auto"/>
              <w:bottom w:val="single" w:sz="4" w:space="0" w:color="auto"/>
            </w:tcBorders>
            <w:shd w:val="clear" w:color="auto" w:fill="D9D9D9"/>
            <w:vAlign w:val="center"/>
          </w:tcPr>
          <w:p w14:paraId="4B9687CB" w14:textId="6DF1757C" w:rsidR="00AA59E1" w:rsidRDefault="00AA59E1" w:rsidP="00AA59E1">
            <w:pPr>
              <w:jc w:val="center"/>
              <w:rPr>
                <w:rFonts w:ascii="Arial Narrow" w:hAnsi="Arial Narrow"/>
                <w:sz w:val="18"/>
                <w:szCs w:val="18"/>
              </w:rPr>
            </w:pPr>
            <w:r>
              <w:rPr>
                <w:rFonts w:ascii="Arial Narrow" w:hAnsi="Arial Narrow"/>
                <w:sz w:val="18"/>
                <w:szCs w:val="18"/>
              </w:rPr>
              <w:t>+36,0</w:t>
            </w:r>
          </w:p>
        </w:tc>
        <w:tc>
          <w:tcPr>
            <w:tcW w:w="1317" w:type="dxa"/>
            <w:tcBorders>
              <w:top w:val="single" w:sz="4" w:space="0" w:color="auto"/>
              <w:bottom w:val="single" w:sz="4" w:space="0" w:color="auto"/>
            </w:tcBorders>
            <w:shd w:val="clear" w:color="auto" w:fill="D9D9D9"/>
            <w:vAlign w:val="center"/>
          </w:tcPr>
          <w:p w14:paraId="68E4475E" w14:textId="03115020" w:rsidR="00AA59E1" w:rsidRDefault="00AA59E1" w:rsidP="00AA59E1">
            <w:pPr>
              <w:jc w:val="center"/>
              <w:rPr>
                <w:rFonts w:ascii="Arial Narrow" w:hAnsi="Arial Narrow"/>
                <w:sz w:val="18"/>
                <w:szCs w:val="18"/>
              </w:rPr>
            </w:pPr>
            <w:r>
              <w:rPr>
                <w:rFonts w:ascii="Arial Narrow" w:hAnsi="Arial Narrow"/>
                <w:sz w:val="18"/>
                <w:szCs w:val="18"/>
              </w:rPr>
              <w:t>+31,8</w:t>
            </w:r>
          </w:p>
        </w:tc>
        <w:tc>
          <w:tcPr>
            <w:tcW w:w="823" w:type="dxa"/>
            <w:tcBorders>
              <w:top w:val="single" w:sz="4" w:space="0" w:color="auto"/>
              <w:bottom w:val="single" w:sz="4" w:space="0" w:color="auto"/>
            </w:tcBorders>
            <w:vAlign w:val="center"/>
          </w:tcPr>
          <w:p w14:paraId="1892CC13" w14:textId="6BD37443" w:rsidR="00AA59E1" w:rsidRDefault="00AA59E1" w:rsidP="00AA59E1">
            <w:pPr>
              <w:jc w:val="center"/>
              <w:rPr>
                <w:rFonts w:ascii="Arial Narrow" w:hAnsi="Arial Narrow"/>
                <w:sz w:val="18"/>
                <w:szCs w:val="18"/>
              </w:rPr>
            </w:pPr>
            <w:r>
              <w:rPr>
                <w:rFonts w:ascii="Arial Narrow" w:hAnsi="Arial Narrow"/>
                <w:sz w:val="18"/>
                <w:szCs w:val="18"/>
              </w:rPr>
              <w:t>+20,1</w:t>
            </w:r>
          </w:p>
        </w:tc>
        <w:tc>
          <w:tcPr>
            <w:tcW w:w="1317" w:type="dxa"/>
            <w:tcBorders>
              <w:top w:val="single" w:sz="4" w:space="0" w:color="auto"/>
              <w:bottom w:val="single" w:sz="4" w:space="0" w:color="auto"/>
            </w:tcBorders>
            <w:vAlign w:val="center"/>
          </w:tcPr>
          <w:p w14:paraId="52ABB018" w14:textId="2C64C1C0" w:rsidR="00AA59E1" w:rsidRDefault="00AA59E1" w:rsidP="00AA59E1">
            <w:pPr>
              <w:jc w:val="center"/>
              <w:rPr>
                <w:rFonts w:ascii="Arial Narrow" w:hAnsi="Arial Narrow"/>
                <w:sz w:val="18"/>
                <w:szCs w:val="18"/>
              </w:rPr>
            </w:pPr>
            <w:r>
              <w:rPr>
                <w:rFonts w:ascii="Arial Narrow" w:hAnsi="Arial Narrow"/>
                <w:sz w:val="18"/>
                <w:szCs w:val="18"/>
              </w:rPr>
              <w:t>+17,9</w:t>
            </w:r>
          </w:p>
        </w:tc>
      </w:tr>
      <w:tr w:rsidR="00AA59E1" w:rsidRPr="008C0651" w14:paraId="3C81DF4C" w14:textId="77777777" w:rsidTr="00AA59E1">
        <w:trPr>
          <w:trHeight w:val="255"/>
        </w:trPr>
        <w:tc>
          <w:tcPr>
            <w:tcW w:w="1647" w:type="dxa"/>
            <w:tcBorders>
              <w:top w:val="single" w:sz="4" w:space="0" w:color="auto"/>
              <w:left w:val="nil"/>
              <w:bottom w:val="single" w:sz="4" w:space="0" w:color="auto"/>
            </w:tcBorders>
            <w:vAlign w:val="center"/>
          </w:tcPr>
          <w:p w14:paraId="5D9EF8C5" w14:textId="77777777" w:rsidR="00AA59E1" w:rsidRPr="00B076CD" w:rsidRDefault="00AA59E1" w:rsidP="00AA59E1">
            <w:pPr>
              <w:spacing w:before="40" w:after="20"/>
              <w:rPr>
                <w:rFonts w:ascii="Arial Narrow" w:hAnsi="Arial Narrow" w:cs="Arial"/>
                <w:sz w:val="18"/>
                <w:szCs w:val="18"/>
              </w:rPr>
            </w:pPr>
            <w:r w:rsidRPr="00B076CD">
              <w:rPr>
                <w:rFonts w:ascii="Arial Narrow" w:hAnsi="Arial Narrow" w:cs="Arial"/>
                <w:sz w:val="18"/>
                <w:szCs w:val="18"/>
              </w:rPr>
              <w:t>Totale al netto dell’energia</w:t>
            </w:r>
          </w:p>
        </w:tc>
        <w:tc>
          <w:tcPr>
            <w:tcW w:w="823" w:type="dxa"/>
            <w:tcBorders>
              <w:top w:val="single" w:sz="4" w:space="0" w:color="auto"/>
              <w:bottom w:val="single" w:sz="4" w:space="0" w:color="auto"/>
            </w:tcBorders>
            <w:shd w:val="clear" w:color="auto" w:fill="D9D9D9"/>
            <w:vAlign w:val="center"/>
          </w:tcPr>
          <w:p w14:paraId="36BA9261" w14:textId="5F8F4B67" w:rsidR="00AA59E1" w:rsidRDefault="00AA59E1" w:rsidP="00AA59E1">
            <w:pPr>
              <w:jc w:val="center"/>
              <w:rPr>
                <w:rFonts w:ascii="Arial Narrow" w:hAnsi="Arial Narrow"/>
                <w:sz w:val="18"/>
                <w:szCs w:val="18"/>
              </w:rPr>
            </w:pPr>
            <w:r>
              <w:rPr>
                <w:rFonts w:ascii="Arial Narrow" w:hAnsi="Arial Narrow"/>
                <w:sz w:val="18"/>
                <w:szCs w:val="18"/>
              </w:rPr>
              <w:t>+14,9</w:t>
            </w:r>
          </w:p>
        </w:tc>
        <w:tc>
          <w:tcPr>
            <w:tcW w:w="1316" w:type="dxa"/>
            <w:tcBorders>
              <w:top w:val="single" w:sz="4" w:space="0" w:color="auto"/>
              <w:bottom w:val="single" w:sz="4" w:space="0" w:color="auto"/>
            </w:tcBorders>
            <w:shd w:val="clear" w:color="auto" w:fill="D9D9D9"/>
            <w:vAlign w:val="center"/>
          </w:tcPr>
          <w:p w14:paraId="2E8E73E6" w14:textId="6F982C30" w:rsidR="00AA59E1" w:rsidRDefault="00AA59E1" w:rsidP="00AA59E1">
            <w:pPr>
              <w:jc w:val="center"/>
              <w:rPr>
                <w:rFonts w:ascii="Arial Narrow" w:hAnsi="Arial Narrow"/>
                <w:sz w:val="18"/>
                <w:szCs w:val="18"/>
              </w:rPr>
            </w:pPr>
            <w:r>
              <w:rPr>
                <w:rFonts w:ascii="Arial Narrow" w:hAnsi="Arial Narrow"/>
                <w:sz w:val="18"/>
                <w:szCs w:val="18"/>
              </w:rPr>
              <w:t>+14,9</w:t>
            </w:r>
          </w:p>
        </w:tc>
        <w:tc>
          <w:tcPr>
            <w:tcW w:w="823" w:type="dxa"/>
            <w:tcBorders>
              <w:top w:val="single" w:sz="4" w:space="0" w:color="auto"/>
              <w:bottom w:val="single" w:sz="4" w:space="0" w:color="auto"/>
            </w:tcBorders>
            <w:vAlign w:val="center"/>
          </w:tcPr>
          <w:p w14:paraId="2A00FE2C" w14:textId="38C3C043" w:rsidR="00AA59E1" w:rsidRDefault="00AA59E1" w:rsidP="00AA59E1">
            <w:pPr>
              <w:jc w:val="center"/>
              <w:rPr>
                <w:rFonts w:ascii="Arial Narrow" w:hAnsi="Arial Narrow"/>
                <w:sz w:val="18"/>
                <w:szCs w:val="18"/>
              </w:rPr>
            </w:pPr>
            <w:r>
              <w:rPr>
                <w:rFonts w:ascii="Arial Narrow" w:hAnsi="Arial Narrow"/>
                <w:sz w:val="18"/>
                <w:szCs w:val="18"/>
              </w:rPr>
              <w:t>+20,0</w:t>
            </w:r>
          </w:p>
        </w:tc>
        <w:tc>
          <w:tcPr>
            <w:tcW w:w="1317" w:type="dxa"/>
            <w:tcBorders>
              <w:top w:val="single" w:sz="4" w:space="0" w:color="auto"/>
              <w:bottom w:val="single" w:sz="4" w:space="0" w:color="auto"/>
            </w:tcBorders>
            <w:vAlign w:val="center"/>
          </w:tcPr>
          <w:p w14:paraId="032399A2" w14:textId="300FDA7A" w:rsidR="00AA59E1" w:rsidRDefault="00AA59E1" w:rsidP="00AA59E1">
            <w:pPr>
              <w:jc w:val="center"/>
              <w:rPr>
                <w:rFonts w:ascii="Arial Narrow" w:hAnsi="Arial Narrow"/>
                <w:sz w:val="18"/>
                <w:szCs w:val="18"/>
              </w:rPr>
            </w:pPr>
            <w:r>
              <w:rPr>
                <w:rFonts w:ascii="Arial Narrow" w:hAnsi="Arial Narrow"/>
                <w:sz w:val="18"/>
                <w:szCs w:val="18"/>
              </w:rPr>
              <w:t>+20,6</w:t>
            </w:r>
          </w:p>
        </w:tc>
        <w:tc>
          <w:tcPr>
            <w:tcW w:w="823" w:type="dxa"/>
            <w:tcBorders>
              <w:top w:val="single" w:sz="4" w:space="0" w:color="auto"/>
              <w:bottom w:val="single" w:sz="4" w:space="0" w:color="auto"/>
            </w:tcBorders>
            <w:shd w:val="clear" w:color="auto" w:fill="D9D9D9"/>
            <w:vAlign w:val="center"/>
          </w:tcPr>
          <w:p w14:paraId="07C97F72" w14:textId="2987E971" w:rsidR="00AA59E1" w:rsidRDefault="00AA59E1" w:rsidP="00AA59E1">
            <w:pPr>
              <w:jc w:val="center"/>
              <w:rPr>
                <w:rFonts w:ascii="Arial Narrow" w:hAnsi="Arial Narrow"/>
                <w:sz w:val="18"/>
                <w:szCs w:val="18"/>
              </w:rPr>
            </w:pPr>
            <w:r>
              <w:rPr>
                <w:rFonts w:ascii="Arial Narrow" w:hAnsi="Arial Narrow"/>
                <w:sz w:val="18"/>
                <w:szCs w:val="18"/>
              </w:rPr>
              <w:t>+5,2</w:t>
            </w:r>
          </w:p>
        </w:tc>
        <w:tc>
          <w:tcPr>
            <w:tcW w:w="1317" w:type="dxa"/>
            <w:tcBorders>
              <w:top w:val="single" w:sz="4" w:space="0" w:color="auto"/>
              <w:bottom w:val="single" w:sz="4" w:space="0" w:color="auto"/>
            </w:tcBorders>
            <w:shd w:val="clear" w:color="auto" w:fill="D9D9D9"/>
            <w:vAlign w:val="center"/>
          </w:tcPr>
          <w:p w14:paraId="582AF69B" w14:textId="26A5C0F5" w:rsidR="00AA59E1" w:rsidRDefault="00AA59E1" w:rsidP="00AA59E1">
            <w:pPr>
              <w:jc w:val="center"/>
              <w:rPr>
                <w:rFonts w:ascii="Arial Narrow" w:hAnsi="Arial Narrow"/>
                <w:sz w:val="18"/>
                <w:szCs w:val="18"/>
              </w:rPr>
            </w:pPr>
            <w:r>
              <w:rPr>
                <w:rFonts w:ascii="Arial Narrow" w:hAnsi="Arial Narrow"/>
                <w:sz w:val="18"/>
                <w:szCs w:val="18"/>
              </w:rPr>
              <w:t>+5,1</w:t>
            </w:r>
          </w:p>
        </w:tc>
        <w:tc>
          <w:tcPr>
            <w:tcW w:w="823" w:type="dxa"/>
            <w:tcBorders>
              <w:top w:val="single" w:sz="4" w:space="0" w:color="auto"/>
              <w:bottom w:val="single" w:sz="4" w:space="0" w:color="auto"/>
            </w:tcBorders>
            <w:vAlign w:val="center"/>
          </w:tcPr>
          <w:p w14:paraId="03438001" w14:textId="492B3CEC" w:rsidR="00AA59E1" w:rsidRDefault="00AA59E1" w:rsidP="00AA59E1">
            <w:pPr>
              <w:jc w:val="center"/>
              <w:rPr>
                <w:rFonts w:ascii="Arial Narrow" w:hAnsi="Arial Narrow"/>
                <w:sz w:val="18"/>
                <w:szCs w:val="18"/>
              </w:rPr>
            </w:pPr>
            <w:r>
              <w:rPr>
                <w:rFonts w:ascii="Arial Narrow" w:hAnsi="Arial Narrow"/>
                <w:sz w:val="18"/>
                <w:szCs w:val="18"/>
              </w:rPr>
              <w:t>+8,3</w:t>
            </w:r>
          </w:p>
        </w:tc>
        <w:tc>
          <w:tcPr>
            <w:tcW w:w="1317" w:type="dxa"/>
            <w:tcBorders>
              <w:top w:val="single" w:sz="4" w:space="0" w:color="auto"/>
              <w:bottom w:val="single" w:sz="4" w:space="0" w:color="auto"/>
            </w:tcBorders>
            <w:vAlign w:val="center"/>
          </w:tcPr>
          <w:p w14:paraId="4F92598A" w14:textId="48CC5085" w:rsidR="00AA59E1" w:rsidRDefault="00AA59E1" w:rsidP="00AA59E1">
            <w:pPr>
              <w:jc w:val="center"/>
              <w:rPr>
                <w:rFonts w:ascii="Arial Narrow" w:hAnsi="Arial Narrow"/>
                <w:sz w:val="18"/>
                <w:szCs w:val="18"/>
              </w:rPr>
            </w:pPr>
            <w:r>
              <w:rPr>
                <w:rFonts w:ascii="Arial Narrow" w:hAnsi="Arial Narrow"/>
                <w:sz w:val="18"/>
                <w:szCs w:val="18"/>
              </w:rPr>
              <w:t>+8,7</w:t>
            </w:r>
          </w:p>
        </w:tc>
      </w:tr>
      <w:tr w:rsidR="00AA59E1" w:rsidRPr="00AA59E1" w14:paraId="34545F88" w14:textId="77777777" w:rsidTr="00AA59E1">
        <w:trPr>
          <w:trHeight w:val="255"/>
        </w:trPr>
        <w:tc>
          <w:tcPr>
            <w:tcW w:w="1647" w:type="dxa"/>
            <w:tcBorders>
              <w:top w:val="single" w:sz="4" w:space="0" w:color="auto"/>
              <w:left w:val="nil"/>
              <w:bottom w:val="single" w:sz="4" w:space="0" w:color="auto"/>
            </w:tcBorders>
            <w:shd w:val="clear" w:color="auto" w:fill="FF0000"/>
            <w:vAlign w:val="center"/>
          </w:tcPr>
          <w:p w14:paraId="5D60411F" w14:textId="77777777" w:rsidR="00AA59E1" w:rsidRPr="00AA59E1" w:rsidRDefault="00AA59E1" w:rsidP="00AA59E1">
            <w:pPr>
              <w:spacing w:before="40" w:after="20"/>
              <w:rPr>
                <w:rFonts w:ascii="Arial Narrow" w:hAnsi="Arial Narrow" w:cs="Arial"/>
                <w:b/>
                <w:color w:val="FFFFFF" w:themeColor="background1"/>
                <w:sz w:val="18"/>
                <w:szCs w:val="18"/>
              </w:rPr>
            </w:pPr>
            <w:r w:rsidRPr="00AA59E1">
              <w:rPr>
                <w:rFonts w:ascii="Arial Narrow" w:hAnsi="Arial Narrow" w:cs="Arial"/>
                <w:b/>
                <w:color w:val="FFFFFF" w:themeColor="background1"/>
                <w:sz w:val="18"/>
                <w:szCs w:val="18"/>
              </w:rPr>
              <w:t>Totale</w:t>
            </w:r>
          </w:p>
        </w:tc>
        <w:tc>
          <w:tcPr>
            <w:tcW w:w="823" w:type="dxa"/>
            <w:tcBorders>
              <w:top w:val="single" w:sz="4" w:space="0" w:color="auto"/>
              <w:bottom w:val="single" w:sz="4" w:space="0" w:color="auto"/>
            </w:tcBorders>
            <w:shd w:val="clear" w:color="auto" w:fill="FF0000"/>
            <w:vAlign w:val="center"/>
          </w:tcPr>
          <w:p w14:paraId="50AF2C49" w14:textId="01DE96F3"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+16,5</w:t>
            </w:r>
          </w:p>
        </w:tc>
        <w:tc>
          <w:tcPr>
            <w:tcW w:w="1316" w:type="dxa"/>
            <w:tcBorders>
              <w:top w:val="single" w:sz="4" w:space="0" w:color="auto"/>
              <w:bottom w:val="single" w:sz="4" w:space="0" w:color="auto"/>
            </w:tcBorders>
            <w:shd w:val="clear" w:color="auto" w:fill="FF0000"/>
            <w:vAlign w:val="center"/>
          </w:tcPr>
          <w:p w14:paraId="6B42C72E" w14:textId="7E29FD44"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+16,4</w:t>
            </w:r>
          </w:p>
        </w:tc>
        <w:tc>
          <w:tcPr>
            <w:tcW w:w="823" w:type="dxa"/>
            <w:tcBorders>
              <w:top w:val="single" w:sz="4" w:space="0" w:color="auto"/>
              <w:bottom w:val="single" w:sz="4" w:space="0" w:color="auto"/>
            </w:tcBorders>
            <w:shd w:val="clear" w:color="auto" w:fill="FF0000"/>
            <w:vAlign w:val="center"/>
          </w:tcPr>
          <w:p w14:paraId="7BE027AB" w14:textId="33BF1F00"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+37,3</w:t>
            </w:r>
          </w:p>
        </w:tc>
        <w:tc>
          <w:tcPr>
            <w:tcW w:w="1317" w:type="dxa"/>
            <w:tcBorders>
              <w:top w:val="single" w:sz="4" w:space="0" w:color="auto"/>
              <w:bottom w:val="single" w:sz="4" w:space="0" w:color="auto"/>
            </w:tcBorders>
            <w:shd w:val="clear" w:color="auto" w:fill="FF0000"/>
            <w:vAlign w:val="center"/>
          </w:tcPr>
          <w:p w14:paraId="615EC3FB" w14:textId="30EC6DB4"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+35,8</w:t>
            </w:r>
          </w:p>
        </w:tc>
        <w:tc>
          <w:tcPr>
            <w:tcW w:w="823" w:type="dxa"/>
            <w:tcBorders>
              <w:top w:val="single" w:sz="4" w:space="0" w:color="auto"/>
              <w:bottom w:val="single" w:sz="4" w:space="0" w:color="auto"/>
            </w:tcBorders>
            <w:shd w:val="clear" w:color="auto" w:fill="FF0000"/>
            <w:vAlign w:val="center"/>
          </w:tcPr>
          <w:p w14:paraId="0B914D94" w14:textId="2A2DCE4A"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+5,3</w:t>
            </w:r>
          </w:p>
        </w:tc>
        <w:tc>
          <w:tcPr>
            <w:tcW w:w="1317" w:type="dxa"/>
            <w:tcBorders>
              <w:top w:val="single" w:sz="4" w:space="0" w:color="auto"/>
              <w:bottom w:val="single" w:sz="4" w:space="0" w:color="auto"/>
            </w:tcBorders>
            <w:shd w:val="clear" w:color="auto" w:fill="FF0000"/>
            <w:vAlign w:val="center"/>
          </w:tcPr>
          <w:p w14:paraId="6059CEA0" w14:textId="1F54123B"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+5,4</w:t>
            </w:r>
          </w:p>
        </w:tc>
        <w:tc>
          <w:tcPr>
            <w:tcW w:w="823" w:type="dxa"/>
            <w:tcBorders>
              <w:top w:val="single" w:sz="4" w:space="0" w:color="auto"/>
              <w:bottom w:val="single" w:sz="4" w:space="0" w:color="auto"/>
            </w:tcBorders>
            <w:shd w:val="clear" w:color="auto" w:fill="FF0000"/>
            <w:vAlign w:val="center"/>
          </w:tcPr>
          <w:p w14:paraId="7058C23D" w14:textId="3D0A3D79"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+5,5</w:t>
            </w:r>
          </w:p>
        </w:tc>
        <w:tc>
          <w:tcPr>
            <w:tcW w:w="1317" w:type="dxa"/>
            <w:tcBorders>
              <w:top w:val="single" w:sz="4" w:space="0" w:color="auto"/>
              <w:bottom w:val="single" w:sz="4" w:space="0" w:color="auto"/>
            </w:tcBorders>
            <w:shd w:val="clear" w:color="auto" w:fill="FF0000"/>
            <w:vAlign w:val="center"/>
          </w:tcPr>
          <w:p w14:paraId="18209081" w14:textId="0B99909E" w:rsidR="00AA59E1" w:rsidRPr="00AA59E1" w:rsidRDefault="00AA59E1" w:rsidP="00AA59E1">
            <w:pPr>
              <w:jc w:val="center"/>
              <w:rPr>
                <w:rFonts w:ascii="Arial Narrow" w:hAnsi="Arial Narrow"/>
                <w:b/>
                <w:color w:val="FFFFFF" w:themeColor="background1"/>
                <w:sz w:val="18"/>
                <w:szCs w:val="18"/>
              </w:rPr>
            </w:pPr>
            <w:r w:rsidRPr="00AA59E1">
              <w:rPr>
                <w:rFonts w:ascii="Arial Narrow" w:hAnsi="Arial Narrow"/>
                <w:b/>
                <w:color w:val="FFFFFF" w:themeColor="background1"/>
                <w:sz w:val="18"/>
                <w:szCs w:val="18"/>
              </w:rPr>
              <w:t>+6,7</w:t>
            </w:r>
          </w:p>
        </w:tc>
      </w:tr>
    </w:tbl>
    <w:p w14:paraId="0C715BF7" w14:textId="2B624657" w:rsidR="00740689" w:rsidRPr="009960AB" w:rsidRDefault="00740689" w:rsidP="00740689">
      <w:pPr>
        <w:pStyle w:val="Corpotesto1"/>
        <w:spacing w:before="120"/>
        <w:rPr>
          <w:rFonts w:ascii="Arial" w:hAnsi="Arial"/>
          <w:b w:val="0"/>
          <w:kern w:val="28"/>
          <w:sz w:val="21"/>
          <w:szCs w:val="21"/>
          <w:lang w:val="it-IT" w:eastAsia="it-IT"/>
        </w:rPr>
      </w:pPr>
      <w:r w:rsidRPr="00307292">
        <w:rPr>
          <w:rFonts w:ascii="Arial" w:hAnsi="Arial"/>
          <w:b w:val="0"/>
          <w:kern w:val="28"/>
          <w:sz w:val="21"/>
          <w:szCs w:val="21"/>
          <w:lang w:val="it-IT" w:eastAsia="it-IT"/>
        </w:rPr>
        <w:t xml:space="preserve">L’aumento su base annua dei valori medi unitari dell’export è dovuto alla crescita rilevata per i paesi </w:t>
      </w:r>
      <w:r w:rsidR="00B83BC7">
        <w:rPr>
          <w:rFonts w:ascii="Arial" w:hAnsi="Arial"/>
          <w:b w:val="0"/>
          <w:kern w:val="28"/>
          <w:sz w:val="21"/>
          <w:szCs w:val="21"/>
          <w:lang w:val="it-IT" w:eastAsia="it-IT"/>
        </w:rPr>
        <w:t xml:space="preserve">sia </w:t>
      </w:r>
      <w:r w:rsidRPr="00307292">
        <w:rPr>
          <w:rFonts w:ascii="Arial" w:hAnsi="Arial"/>
          <w:b w:val="0"/>
          <w:kern w:val="28"/>
          <w:sz w:val="21"/>
          <w:szCs w:val="21"/>
          <w:lang w:val="it-IT" w:eastAsia="it-IT"/>
        </w:rPr>
        <w:t>dell’area Ue (+1</w:t>
      </w:r>
      <w:r w:rsidR="00501E02" w:rsidRPr="00307292">
        <w:rPr>
          <w:rFonts w:ascii="Arial" w:hAnsi="Arial"/>
          <w:b w:val="0"/>
          <w:kern w:val="28"/>
          <w:sz w:val="21"/>
          <w:szCs w:val="21"/>
          <w:lang w:val="it-IT" w:eastAsia="it-IT"/>
        </w:rPr>
        <w:t>6</w:t>
      </w:r>
      <w:r w:rsidRPr="00307292">
        <w:rPr>
          <w:rFonts w:ascii="Arial" w:hAnsi="Arial"/>
          <w:b w:val="0"/>
          <w:kern w:val="28"/>
          <w:sz w:val="21"/>
          <w:szCs w:val="21"/>
          <w:lang w:val="it-IT" w:eastAsia="it-IT"/>
        </w:rPr>
        <w:t>,</w:t>
      </w:r>
      <w:r w:rsidR="00501E02" w:rsidRPr="00307292">
        <w:rPr>
          <w:rFonts w:ascii="Arial" w:hAnsi="Arial"/>
          <w:b w:val="0"/>
          <w:kern w:val="28"/>
          <w:sz w:val="21"/>
          <w:szCs w:val="21"/>
          <w:lang w:val="it-IT" w:eastAsia="it-IT"/>
        </w:rPr>
        <w:t>9</w:t>
      </w:r>
      <w:r w:rsidRPr="00307292">
        <w:rPr>
          <w:rFonts w:ascii="Arial" w:hAnsi="Arial"/>
          <w:b w:val="0"/>
          <w:kern w:val="28"/>
          <w:sz w:val="21"/>
          <w:szCs w:val="21"/>
          <w:lang w:val="it-IT" w:eastAsia="it-IT"/>
        </w:rPr>
        <w:t xml:space="preserve">%) sia </w:t>
      </w:r>
      <w:r w:rsidR="00501E02" w:rsidRPr="00307292">
        <w:rPr>
          <w:rFonts w:ascii="Arial" w:hAnsi="Arial"/>
          <w:b w:val="0"/>
          <w:kern w:val="28"/>
          <w:sz w:val="21"/>
          <w:szCs w:val="21"/>
          <w:lang w:val="it-IT" w:eastAsia="it-IT"/>
        </w:rPr>
        <w:t>dell’area extra Ue (+1</w:t>
      </w:r>
      <w:r w:rsidRPr="00307292">
        <w:rPr>
          <w:rFonts w:ascii="Arial" w:hAnsi="Arial"/>
          <w:b w:val="0"/>
          <w:kern w:val="28"/>
          <w:sz w:val="21"/>
          <w:szCs w:val="21"/>
          <w:lang w:val="it-IT" w:eastAsia="it-IT"/>
        </w:rPr>
        <w:t>6</w:t>
      </w:r>
      <w:r w:rsidR="00501E02" w:rsidRPr="00307292">
        <w:rPr>
          <w:rFonts w:ascii="Arial" w:hAnsi="Arial"/>
          <w:b w:val="0"/>
          <w:kern w:val="28"/>
          <w:sz w:val="21"/>
          <w:szCs w:val="21"/>
          <w:lang w:val="it-IT" w:eastAsia="it-IT"/>
        </w:rPr>
        <w:t>,1</w:t>
      </w:r>
      <w:r w:rsidRPr="00307292">
        <w:rPr>
          <w:rFonts w:ascii="Arial" w:hAnsi="Arial"/>
          <w:b w:val="0"/>
          <w:kern w:val="28"/>
          <w:sz w:val="21"/>
          <w:szCs w:val="21"/>
          <w:lang w:val="it-IT" w:eastAsia="it-IT"/>
        </w:rPr>
        <w:t xml:space="preserve">%); </w:t>
      </w:r>
      <w:r w:rsidR="00B83BC7">
        <w:rPr>
          <w:rFonts w:ascii="Arial" w:hAnsi="Arial"/>
          <w:b w:val="0"/>
          <w:kern w:val="28"/>
          <w:sz w:val="21"/>
          <w:szCs w:val="21"/>
          <w:lang w:val="it-IT" w:eastAsia="it-IT"/>
        </w:rPr>
        <w:t xml:space="preserve">anche </w:t>
      </w:r>
      <w:r w:rsidRPr="00307292">
        <w:rPr>
          <w:rFonts w:ascii="Arial" w:hAnsi="Arial"/>
          <w:b w:val="0"/>
          <w:kern w:val="28"/>
          <w:sz w:val="21"/>
          <w:szCs w:val="21"/>
          <w:lang w:val="it-IT" w:eastAsia="it-IT"/>
        </w:rPr>
        <w:t xml:space="preserve">per l’import, l’aumento riguarda entrambi i mercati ma è </w:t>
      </w:r>
      <w:r w:rsidR="005206AD">
        <w:rPr>
          <w:rFonts w:ascii="Arial" w:hAnsi="Arial"/>
          <w:b w:val="0"/>
          <w:kern w:val="28"/>
          <w:sz w:val="21"/>
          <w:szCs w:val="21"/>
          <w:lang w:val="it-IT" w:eastAsia="it-IT"/>
        </w:rPr>
        <w:t xml:space="preserve">molto </w:t>
      </w:r>
      <w:r w:rsidRPr="00307292">
        <w:rPr>
          <w:rFonts w:ascii="Arial" w:hAnsi="Arial"/>
          <w:b w:val="0"/>
          <w:kern w:val="28"/>
          <w:sz w:val="21"/>
          <w:szCs w:val="21"/>
          <w:lang w:val="it-IT" w:eastAsia="it-IT"/>
        </w:rPr>
        <w:t>più accentuato per gli</w:t>
      </w:r>
      <w:r w:rsidR="00501E02" w:rsidRPr="00307292">
        <w:rPr>
          <w:rFonts w:ascii="Arial" w:hAnsi="Arial"/>
          <w:b w:val="0"/>
          <w:kern w:val="28"/>
          <w:sz w:val="21"/>
          <w:szCs w:val="21"/>
          <w:lang w:val="it-IT" w:eastAsia="it-IT"/>
        </w:rPr>
        <w:t xml:space="preserve"> acquisti dai paesi extra Ue (+57</w:t>
      </w:r>
      <w:r w:rsidRPr="00307292">
        <w:rPr>
          <w:rFonts w:ascii="Arial" w:hAnsi="Arial"/>
          <w:b w:val="0"/>
          <w:kern w:val="28"/>
          <w:sz w:val="21"/>
          <w:szCs w:val="21"/>
          <w:lang w:val="it-IT" w:eastAsia="it-IT"/>
        </w:rPr>
        <w:t>,</w:t>
      </w:r>
      <w:r w:rsidR="00501E02" w:rsidRPr="00307292">
        <w:rPr>
          <w:rFonts w:ascii="Arial" w:hAnsi="Arial"/>
          <w:b w:val="0"/>
          <w:kern w:val="28"/>
          <w:sz w:val="21"/>
          <w:szCs w:val="21"/>
          <w:lang w:val="it-IT" w:eastAsia="it-IT"/>
        </w:rPr>
        <w:t>2</w:t>
      </w:r>
      <w:r w:rsidRPr="00307292">
        <w:rPr>
          <w:rFonts w:ascii="Arial" w:hAnsi="Arial"/>
          <w:b w:val="0"/>
          <w:kern w:val="28"/>
          <w:sz w:val="21"/>
          <w:szCs w:val="21"/>
          <w:lang w:val="it-IT" w:eastAsia="it-IT"/>
        </w:rPr>
        <w:t xml:space="preserve">%). </w:t>
      </w:r>
      <w:r w:rsidR="005206AD">
        <w:rPr>
          <w:rFonts w:ascii="Arial" w:hAnsi="Arial"/>
          <w:b w:val="0"/>
          <w:kern w:val="28"/>
          <w:sz w:val="21"/>
          <w:szCs w:val="21"/>
          <w:lang w:val="it-IT" w:eastAsia="it-IT"/>
        </w:rPr>
        <w:t>M</w:t>
      </w:r>
      <w:r w:rsidRPr="00307292">
        <w:rPr>
          <w:rFonts w:ascii="Arial" w:hAnsi="Arial"/>
          <w:b w:val="0"/>
          <w:kern w:val="28"/>
          <w:sz w:val="21"/>
          <w:szCs w:val="21"/>
          <w:lang w:val="it-IT" w:eastAsia="it-IT"/>
        </w:rPr>
        <w:t xml:space="preserve">olto marcato </w:t>
      </w:r>
      <w:r w:rsidR="005206AD">
        <w:rPr>
          <w:rFonts w:ascii="Arial" w:hAnsi="Arial"/>
          <w:b w:val="0"/>
          <w:kern w:val="28"/>
          <w:sz w:val="21"/>
          <w:szCs w:val="21"/>
          <w:lang w:val="it-IT" w:eastAsia="it-IT"/>
        </w:rPr>
        <w:t xml:space="preserve">è </w:t>
      </w:r>
      <w:r w:rsidRPr="00307292">
        <w:rPr>
          <w:rFonts w:ascii="Arial" w:hAnsi="Arial"/>
          <w:b w:val="0"/>
          <w:kern w:val="28"/>
          <w:sz w:val="21"/>
          <w:szCs w:val="21"/>
          <w:lang w:val="it-IT" w:eastAsia="it-IT"/>
        </w:rPr>
        <w:t xml:space="preserve">l’aumento tendenziale dei valori medi unitari dei prodotti </w:t>
      </w:r>
      <w:r w:rsidR="00501E02" w:rsidRPr="00307292">
        <w:rPr>
          <w:rFonts w:ascii="Arial" w:hAnsi="Arial"/>
          <w:b w:val="0"/>
          <w:kern w:val="28"/>
          <w:sz w:val="21"/>
          <w:szCs w:val="21"/>
          <w:lang w:val="it-IT" w:eastAsia="it-IT"/>
        </w:rPr>
        <w:t>energetici, sia all’export (+6</w:t>
      </w:r>
      <w:r w:rsidRPr="00307292">
        <w:rPr>
          <w:rFonts w:ascii="Arial" w:hAnsi="Arial"/>
          <w:b w:val="0"/>
          <w:kern w:val="28"/>
          <w:sz w:val="21"/>
          <w:szCs w:val="21"/>
          <w:lang w:val="it-IT" w:eastAsia="it-IT"/>
        </w:rPr>
        <w:t>5</w:t>
      </w:r>
      <w:r w:rsidR="00501E02" w:rsidRPr="00307292">
        <w:rPr>
          <w:rFonts w:ascii="Arial" w:hAnsi="Arial"/>
          <w:b w:val="0"/>
          <w:kern w:val="28"/>
          <w:sz w:val="21"/>
          <w:szCs w:val="21"/>
          <w:lang w:val="it-IT" w:eastAsia="it-IT"/>
        </w:rPr>
        <w:t xml:space="preserve">,4%), sia </w:t>
      </w:r>
      <w:r w:rsidR="005206AD">
        <w:rPr>
          <w:rFonts w:ascii="Arial" w:hAnsi="Arial"/>
          <w:b w:val="0"/>
          <w:kern w:val="28"/>
          <w:sz w:val="21"/>
          <w:szCs w:val="21"/>
          <w:lang w:val="it-IT" w:eastAsia="it-IT"/>
        </w:rPr>
        <w:t xml:space="preserve">soprattutto </w:t>
      </w:r>
      <w:r w:rsidR="00501E02" w:rsidRPr="00307292">
        <w:rPr>
          <w:rFonts w:ascii="Arial" w:hAnsi="Arial"/>
          <w:b w:val="0"/>
          <w:kern w:val="28"/>
          <w:sz w:val="21"/>
          <w:szCs w:val="21"/>
          <w:lang w:val="it-IT" w:eastAsia="it-IT"/>
        </w:rPr>
        <w:t>all’import (+15</w:t>
      </w:r>
      <w:r w:rsidRPr="00307292">
        <w:rPr>
          <w:rFonts w:ascii="Arial" w:hAnsi="Arial"/>
          <w:b w:val="0"/>
          <w:kern w:val="28"/>
          <w:sz w:val="21"/>
          <w:szCs w:val="21"/>
          <w:lang w:val="it-IT" w:eastAsia="it-IT"/>
        </w:rPr>
        <w:t>2</w:t>
      </w:r>
      <w:r w:rsidR="00501E02" w:rsidRPr="00307292">
        <w:rPr>
          <w:rFonts w:ascii="Arial" w:hAnsi="Arial"/>
          <w:b w:val="0"/>
          <w:kern w:val="28"/>
          <w:sz w:val="21"/>
          <w:szCs w:val="21"/>
          <w:lang w:val="it-IT" w:eastAsia="it-IT"/>
        </w:rPr>
        <w:t>,2</w:t>
      </w:r>
      <w:r w:rsidRPr="00307292">
        <w:rPr>
          <w:rFonts w:ascii="Arial" w:hAnsi="Arial"/>
          <w:b w:val="0"/>
          <w:kern w:val="28"/>
          <w:sz w:val="21"/>
          <w:szCs w:val="21"/>
          <w:lang w:val="it-IT" w:eastAsia="it-IT"/>
        </w:rPr>
        <w:t>%)</w:t>
      </w:r>
      <w:r w:rsidR="004C1E20">
        <w:rPr>
          <w:rFonts w:ascii="Arial" w:hAnsi="Arial"/>
          <w:b w:val="0"/>
          <w:kern w:val="28"/>
          <w:sz w:val="21"/>
          <w:szCs w:val="21"/>
          <w:lang w:val="it-IT" w:eastAsia="it-IT"/>
        </w:rPr>
        <w:t>; i</w:t>
      </w:r>
      <w:r w:rsidRPr="00307292">
        <w:rPr>
          <w:rFonts w:ascii="Arial" w:hAnsi="Arial"/>
          <w:b w:val="0"/>
          <w:kern w:val="28"/>
          <w:sz w:val="21"/>
          <w:szCs w:val="21"/>
          <w:lang w:val="it-IT" w:eastAsia="it-IT"/>
        </w:rPr>
        <w:t xml:space="preserve">n forte rialzo su base annua anche i valori medi </w:t>
      </w:r>
      <w:r w:rsidR="00501E02" w:rsidRPr="00307292">
        <w:rPr>
          <w:rFonts w:ascii="Arial" w:hAnsi="Arial"/>
          <w:b w:val="0"/>
          <w:kern w:val="28"/>
          <w:sz w:val="21"/>
          <w:szCs w:val="21"/>
          <w:lang w:val="it-IT" w:eastAsia="it-IT"/>
        </w:rPr>
        <w:t>unitari dei beni intermedi (+24</w:t>
      </w:r>
      <w:r w:rsidRPr="00307292">
        <w:rPr>
          <w:rFonts w:ascii="Arial" w:hAnsi="Arial"/>
          <w:b w:val="0"/>
          <w:kern w:val="28"/>
          <w:sz w:val="21"/>
          <w:szCs w:val="21"/>
          <w:lang w:val="it-IT" w:eastAsia="it-IT"/>
        </w:rPr>
        <w:t>,4% all’export, +2</w:t>
      </w:r>
      <w:r w:rsidR="00501E02" w:rsidRPr="00307292">
        <w:rPr>
          <w:rFonts w:ascii="Arial" w:hAnsi="Arial"/>
          <w:b w:val="0"/>
          <w:kern w:val="28"/>
          <w:sz w:val="21"/>
          <w:szCs w:val="21"/>
          <w:lang w:val="it-IT" w:eastAsia="it-IT"/>
        </w:rPr>
        <w:t>9</w:t>
      </w:r>
      <w:r w:rsidRPr="00307292">
        <w:rPr>
          <w:rFonts w:ascii="Arial" w:hAnsi="Arial"/>
          <w:b w:val="0"/>
          <w:kern w:val="28"/>
          <w:sz w:val="21"/>
          <w:szCs w:val="21"/>
          <w:lang w:val="it-IT" w:eastAsia="it-IT"/>
        </w:rPr>
        <w:t>,</w:t>
      </w:r>
      <w:r w:rsidR="00501E02" w:rsidRPr="00307292">
        <w:rPr>
          <w:rFonts w:ascii="Arial" w:hAnsi="Arial"/>
          <w:b w:val="0"/>
          <w:kern w:val="28"/>
          <w:sz w:val="21"/>
          <w:szCs w:val="21"/>
          <w:lang w:val="it-IT" w:eastAsia="it-IT"/>
        </w:rPr>
        <w:t>6</w:t>
      </w:r>
      <w:r w:rsidRPr="00307292">
        <w:rPr>
          <w:rFonts w:ascii="Arial" w:hAnsi="Arial"/>
          <w:b w:val="0"/>
          <w:kern w:val="28"/>
          <w:sz w:val="21"/>
          <w:szCs w:val="21"/>
          <w:lang w:val="it-IT" w:eastAsia="it-IT"/>
        </w:rPr>
        <w:t>% all’import).</w:t>
      </w:r>
    </w:p>
    <w:p w14:paraId="09A486A4" w14:textId="49965B6A" w:rsidR="002B3BA3" w:rsidRPr="00A84F05" w:rsidRDefault="00B13FB7" w:rsidP="001A424B">
      <w:pPr>
        <w:pStyle w:val="Rientrocorpodeltesto"/>
        <w:spacing w:before="240"/>
        <w:ind w:left="0" w:right="84"/>
        <w:rPr>
          <w:rFonts w:ascii="Calibri" w:hAnsi="Calibri" w:cs="Calibri"/>
          <w:color w:val="E42618"/>
          <w:sz w:val="36"/>
          <w:szCs w:val="36"/>
        </w:rPr>
      </w:pPr>
      <w:r w:rsidRPr="00A84F05">
        <w:rPr>
          <w:rFonts w:ascii="Calibri" w:hAnsi="Calibri" w:cs="Calibri"/>
          <w:color w:val="E42618"/>
          <w:sz w:val="36"/>
          <w:szCs w:val="36"/>
        </w:rPr>
        <w:t>Prezzi all’importazione</w:t>
      </w:r>
    </w:p>
    <w:p w14:paraId="07CDF0DD" w14:textId="77777777" w:rsidR="00147CB5" w:rsidRPr="00A84F05" w:rsidRDefault="002B3BA3" w:rsidP="00147CB5">
      <w:pPr>
        <w:jc w:val="both"/>
        <w:rPr>
          <w:rFonts w:ascii="Arial Narrow" w:hAnsi="Arial Narrow" w:cs="Arial"/>
          <w:b/>
          <w:color w:val="5F5F5F"/>
          <w:sz w:val="22"/>
          <w:szCs w:val="22"/>
        </w:rPr>
      </w:pPr>
      <w:r w:rsidRPr="00A84F05">
        <w:rPr>
          <w:rFonts w:ascii="Arial Narrow" w:hAnsi="Arial Narrow" w:cs="Arial"/>
          <w:b/>
          <w:color w:val="E42618"/>
          <w:sz w:val="22"/>
          <w:szCs w:val="22"/>
        </w:rPr>
        <w:t xml:space="preserve">PROSPETTO </w:t>
      </w:r>
      <w:r w:rsidR="00B076CD" w:rsidRPr="00A84F05">
        <w:rPr>
          <w:rFonts w:ascii="Arial Narrow" w:hAnsi="Arial Narrow" w:cs="Arial"/>
          <w:b/>
          <w:color w:val="E42618"/>
          <w:sz w:val="22"/>
          <w:szCs w:val="22"/>
        </w:rPr>
        <w:t>5</w:t>
      </w:r>
      <w:r w:rsidRPr="00A84F05">
        <w:rPr>
          <w:rFonts w:ascii="Arial Narrow" w:hAnsi="Arial Narrow" w:cs="Arial"/>
          <w:b/>
          <w:color w:val="E42618"/>
          <w:sz w:val="22"/>
          <w:szCs w:val="22"/>
        </w:rPr>
        <w:t>.</w:t>
      </w:r>
      <w:r w:rsidRPr="00A84F05">
        <w:rPr>
          <w:rFonts w:ascii="Arial Narrow" w:hAnsi="Arial Narrow" w:cs="Arial"/>
          <w:b/>
          <w:color w:val="5F5F5F"/>
        </w:rPr>
        <w:t xml:space="preserve"> </w:t>
      </w:r>
      <w:r w:rsidRPr="00A84F05">
        <w:rPr>
          <w:rFonts w:ascii="Arial Narrow" w:hAnsi="Arial Narrow" w:cs="Arial"/>
          <w:b/>
          <w:color w:val="5F5F5F"/>
          <w:sz w:val="22"/>
          <w:szCs w:val="22"/>
        </w:rPr>
        <w:t>INDICI DEI PREZZI ALL’IMPORTAZIONE PER RAGGRUPPAMENTO PRINCIPALE DI INDUSTRIE</w:t>
      </w:r>
    </w:p>
    <w:p w14:paraId="029DF301" w14:textId="5C417A2E" w:rsidR="00537BEB" w:rsidRDefault="00CB06AD" w:rsidP="00537BEB">
      <w:pPr>
        <w:pStyle w:val="Corpodeltesto1"/>
        <w:spacing w:after="120"/>
        <w:jc w:val="left"/>
        <w:rPr>
          <w:rFonts w:ascii="Arial Narrow" w:hAnsi="Arial Narrow" w:cs="Arial"/>
          <w:b w:val="0"/>
          <w:color w:val="5F5F5F"/>
          <w:kern w:val="28"/>
          <w:sz w:val="20"/>
          <w:szCs w:val="20"/>
        </w:rPr>
      </w:pPr>
      <w:r w:rsidRPr="00A84F05">
        <w:rPr>
          <w:rFonts w:ascii="Arial Narrow" w:hAnsi="Arial Narrow" w:cs="Arial"/>
          <w:b w:val="0"/>
          <w:color w:val="5F5F5F"/>
          <w:kern w:val="28"/>
          <w:sz w:val="20"/>
          <w:szCs w:val="20"/>
        </w:rPr>
        <w:t>Febbraio</w:t>
      </w:r>
      <w:r w:rsidR="00127273" w:rsidRPr="00A84F05">
        <w:rPr>
          <w:rFonts w:ascii="Arial Narrow" w:hAnsi="Arial Narrow" w:cs="Arial"/>
          <w:b w:val="0"/>
          <w:color w:val="5F5F5F"/>
          <w:kern w:val="28"/>
          <w:sz w:val="20"/>
          <w:szCs w:val="20"/>
        </w:rPr>
        <w:t xml:space="preserve"> 2022</w:t>
      </w:r>
      <w:r w:rsidR="00537BEB" w:rsidRPr="00A84F05">
        <w:rPr>
          <w:rFonts w:ascii="Arial Narrow" w:hAnsi="Arial Narrow" w:cs="Arial"/>
          <w:b w:val="0"/>
          <w:color w:val="5F5F5F"/>
          <w:kern w:val="28"/>
          <w:sz w:val="20"/>
          <w:szCs w:val="20"/>
        </w:rPr>
        <w:t>, variazioni percentuali congiunturali e tendenziali (base 2015=100)</w:t>
      </w:r>
    </w:p>
    <w:tbl>
      <w:tblPr>
        <w:tblW w:w="10206" w:type="dxa"/>
        <w:tblBorders>
          <w:top w:val="single" w:sz="4" w:space="0" w:color="333333"/>
          <w:bottom w:val="single" w:sz="4" w:space="0" w:color="333333"/>
          <w:insideH w:val="single" w:sz="4" w:space="0" w:color="333333"/>
        </w:tblBorders>
        <w:tblLayout w:type="fixed"/>
        <w:tblCellMar>
          <w:left w:w="68" w:type="dxa"/>
          <w:right w:w="68" w:type="dxa"/>
        </w:tblCellMar>
        <w:tblLook w:val="0000" w:firstRow="0" w:lastRow="0" w:firstColumn="0" w:lastColumn="0" w:noHBand="0" w:noVBand="0"/>
      </w:tblPr>
      <w:tblGrid>
        <w:gridCol w:w="2317"/>
        <w:gridCol w:w="1157"/>
        <w:gridCol w:w="1334"/>
        <w:gridCol w:w="1346"/>
        <w:gridCol w:w="1349"/>
        <w:gridCol w:w="1345"/>
        <w:gridCol w:w="1346"/>
        <w:gridCol w:w="12"/>
      </w:tblGrid>
      <w:tr w:rsidR="00A84F05" w:rsidRPr="005E4472" w14:paraId="7414EFA2" w14:textId="77777777" w:rsidTr="007815EF">
        <w:trPr>
          <w:cantSplit/>
          <w:trHeight w:val="255"/>
        </w:trPr>
        <w:tc>
          <w:tcPr>
            <w:tcW w:w="2317" w:type="dxa"/>
            <w:vMerge w:val="restart"/>
            <w:shd w:val="clear" w:color="auto" w:fill="auto"/>
            <w:tcMar>
              <w:left w:w="0" w:type="dxa"/>
              <w:right w:w="0" w:type="dxa"/>
            </w:tcMar>
            <w:vAlign w:val="center"/>
          </w:tcPr>
          <w:p w14:paraId="0901ECAC" w14:textId="77777777" w:rsidR="00A84F05" w:rsidRPr="005E4472" w:rsidRDefault="00A84F05" w:rsidP="007815EF">
            <w:pPr>
              <w:tabs>
                <w:tab w:val="left" w:pos="-4253"/>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rPr>
                <w:rFonts w:ascii="Arial Narrow" w:hAnsi="Arial Narrow" w:cs="Arial"/>
                <w:b/>
                <w:sz w:val="18"/>
                <w:szCs w:val="18"/>
              </w:rPr>
            </w:pPr>
            <w:r w:rsidRPr="005E4472">
              <w:rPr>
                <w:rFonts w:ascii="Arial Narrow" w:hAnsi="Arial Narrow" w:cs="Arial"/>
                <w:b/>
                <w:sz w:val="18"/>
                <w:szCs w:val="18"/>
              </w:rPr>
              <w:t xml:space="preserve">RAGGRUPPAMENTI </w:t>
            </w:r>
            <w:r>
              <w:rPr>
                <w:rFonts w:ascii="Arial Narrow" w:hAnsi="Arial Narrow" w:cs="Arial"/>
                <w:b/>
                <w:sz w:val="18"/>
                <w:szCs w:val="18"/>
              </w:rPr>
              <w:br/>
            </w:r>
            <w:r w:rsidRPr="005E4472">
              <w:rPr>
                <w:rFonts w:ascii="Arial Narrow" w:hAnsi="Arial Narrow" w:cs="Arial"/>
                <w:b/>
                <w:sz w:val="18"/>
                <w:szCs w:val="18"/>
              </w:rPr>
              <w:t>PRINCIPALI DI INDUSTRIE</w:t>
            </w:r>
          </w:p>
        </w:tc>
        <w:tc>
          <w:tcPr>
            <w:tcW w:w="2491" w:type="dxa"/>
            <w:gridSpan w:val="2"/>
            <w:shd w:val="clear" w:color="auto" w:fill="D9D9D9"/>
            <w:tcMar>
              <w:left w:w="0" w:type="dxa"/>
              <w:right w:w="0" w:type="dxa"/>
            </w:tcMar>
            <w:vAlign w:val="center"/>
          </w:tcPr>
          <w:p w14:paraId="29E12687"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sidRPr="005E4472">
              <w:rPr>
                <w:rFonts w:ascii="Arial Narrow" w:hAnsi="Arial Narrow" w:cs="Arial"/>
                <w:b/>
                <w:sz w:val="18"/>
                <w:szCs w:val="18"/>
              </w:rPr>
              <w:t>Totale</w:t>
            </w:r>
          </w:p>
        </w:tc>
        <w:tc>
          <w:tcPr>
            <w:tcW w:w="2695" w:type="dxa"/>
            <w:gridSpan w:val="2"/>
            <w:shd w:val="clear" w:color="auto" w:fill="auto"/>
            <w:vAlign w:val="center"/>
          </w:tcPr>
          <w:p w14:paraId="3D8FCAAE"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euro</w:t>
            </w:r>
          </w:p>
        </w:tc>
        <w:tc>
          <w:tcPr>
            <w:tcW w:w="2703" w:type="dxa"/>
            <w:gridSpan w:val="3"/>
            <w:shd w:val="clear" w:color="auto" w:fill="D9D9D9"/>
            <w:tcMar>
              <w:left w:w="0" w:type="dxa"/>
              <w:right w:w="0" w:type="dxa"/>
            </w:tcMar>
            <w:vAlign w:val="center"/>
          </w:tcPr>
          <w:p w14:paraId="505F538C"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non euro</w:t>
            </w:r>
          </w:p>
        </w:tc>
      </w:tr>
      <w:tr w:rsidR="00A84F05" w:rsidRPr="005E4472" w14:paraId="40DD1C61" w14:textId="77777777" w:rsidTr="007815EF">
        <w:trPr>
          <w:gridAfter w:val="1"/>
          <w:wAfter w:w="12" w:type="dxa"/>
          <w:cantSplit/>
          <w:trHeight w:val="255"/>
        </w:trPr>
        <w:tc>
          <w:tcPr>
            <w:tcW w:w="2317" w:type="dxa"/>
            <w:vMerge/>
            <w:shd w:val="clear" w:color="auto" w:fill="auto"/>
            <w:vAlign w:val="center"/>
          </w:tcPr>
          <w:p w14:paraId="623A0885" w14:textId="77777777" w:rsidR="00A84F05" w:rsidRPr="005E4472" w:rsidRDefault="00A84F05" w:rsidP="007815EF">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FFFFFF"/>
            <w:vAlign w:val="center"/>
          </w:tcPr>
          <w:p w14:paraId="6765BB18"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44C76D5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34" w:type="dxa"/>
            <w:shd w:val="clear" w:color="auto" w:fill="FFFFFF"/>
            <w:vAlign w:val="center"/>
          </w:tcPr>
          <w:p w14:paraId="31B9C851"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3F46A9FC"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6" w:type="dxa"/>
            <w:shd w:val="clear" w:color="auto" w:fill="FFFFFF"/>
            <w:vAlign w:val="center"/>
          </w:tcPr>
          <w:p w14:paraId="14F40B3B"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715F9260"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9" w:type="dxa"/>
            <w:shd w:val="clear" w:color="auto" w:fill="FFFFFF"/>
            <w:vAlign w:val="center"/>
          </w:tcPr>
          <w:p w14:paraId="7A7F52B3"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194978A"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5" w:type="dxa"/>
            <w:shd w:val="clear" w:color="auto" w:fill="FFFFFF"/>
            <w:vAlign w:val="center"/>
          </w:tcPr>
          <w:p w14:paraId="3C863C0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4B8FF6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6" w:type="dxa"/>
            <w:shd w:val="clear" w:color="auto" w:fill="FFFFFF"/>
            <w:vAlign w:val="center"/>
          </w:tcPr>
          <w:p w14:paraId="482A0BB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100F953E"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r>
      <w:tr w:rsidR="00A84F05" w:rsidRPr="005E4472" w14:paraId="644A4192" w14:textId="77777777" w:rsidTr="007815EF">
        <w:trPr>
          <w:gridAfter w:val="1"/>
          <w:wAfter w:w="12" w:type="dxa"/>
          <w:cantSplit/>
          <w:trHeight w:val="255"/>
        </w:trPr>
        <w:tc>
          <w:tcPr>
            <w:tcW w:w="2317" w:type="dxa"/>
            <w:vMerge/>
            <w:shd w:val="clear" w:color="auto" w:fill="auto"/>
            <w:vAlign w:val="center"/>
          </w:tcPr>
          <w:p w14:paraId="7D967932" w14:textId="77777777" w:rsidR="00A84F05" w:rsidRPr="005E4472" w:rsidRDefault="00A84F05" w:rsidP="007815EF">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D9D9D9"/>
            <w:vAlign w:val="center"/>
          </w:tcPr>
          <w:p w14:paraId="10B469B4" w14:textId="77777777" w:rsidR="00A84F05" w:rsidRPr="0069402A" w:rsidRDefault="00A84F05" w:rsidP="007815EF">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7447DFA6"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lang w:val="en-US"/>
              </w:rPr>
              <w:t>gen 22</w:t>
            </w:r>
          </w:p>
        </w:tc>
        <w:tc>
          <w:tcPr>
            <w:tcW w:w="1334" w:type="dxa"/>
            <w:shd w:val="clear" w:color="auto" w:fill="FFFFFF"/>
            <w:vAlign w:val="center"/>
          </w:tcPr>
          <w:p w14:paraId="045BEB87" w14:textId="77777777" w:rsidR="00A84F05" w:rsidRPr="0069402A" w:rsidRDefault="00A84F05" w:rsidP="007815EF">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55675636" w14:textId="77777777" w:rsidR="00A84F05" w:rsidRPr="00BA36DD"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feb 21</w:t>
            </w:r>
          </w:p>
        </w:tc>
        <w:tc>
          <w:tcPr>
            <w:tcW w:w="1346" w:type="dxa"/>
            <w:shd w:val="clear" w:color="auto" w:fill="D9D9D9"/>
            <w:vAlign w:val="center"/>
          </w:tcPr>
          <w:p w14:paraId="786329FC" w14:textId="77777777" w:rsidR="00A84F05" w:rsidRPr="0069402A" w:rsidRDefault="00A84F05" w:rsidP="007815EF">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0F4E969F"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lang w:val="en-US"/>
              </w:rPr>
              <w:t>gen 22</w:t>
            </w:r>
          </w:p>
        </w:tc>
        <w:tc>
          <w:tcPr>
            <w:tcW w:w="1349" w:type="dxa"/>
            <w:shd w:val="clear" w:color="auto" w:fill="FFFFFF"/>
            <w:vAlign w:val="center"/>
          </w:tcPr>
          <w:p w14:paraId="54F4FECB" w14:textId="77777777" w:rsidR="00A84F05" w:rsidRPr="0069402A" w:rsidRDefault="00A84F05" w:rsidP="007815EF">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55DF91F4" w14:textId="77777777" w:rsidR="00A84F05" w:rsidRPr="00BA36DD"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feb 21</w:t>
            </w:r>
          </w:p>
        </w:tc>
        <w:tc>
          <w:tcPr>
            <w:tcW w:w="1345" w:type="dxa"/>
            <w:shd w:val="clear" w:color="auto" w:fill="D9D9D9"/>
            <w:vAlign w:val="center"/>
          </w:tcPr>
          <w:p w14:paraId="7CEF202B" w14:textId="77777777" w:rsidR="00A84F05" w:rsidRPr="0069402A" w:rsidRDefault="00A84F05" w:rsidP="007815EF">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7CB20C5A"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lang w:val="en-US"/>
              </w:rPr>
              <w:t>gen 22</w:t>
            </w:r>
          </w:p>
        </w:tc>
        <w:tc>
          <w:tcPr>
            <w:tcW w:w="1346" w:type="dxa"/>
            <w:shd w:val="clear" w:color="auto" w:fill="FFFFFF"/>
            <w:vAlign w:val="center"/>
          </w:tcPr>
          <w:p w14:paraId="5590C6EA" w14:textId="77777777" w:rsidR="00A84F05" w:rsidRPr="0069402A" w:rsidRDefault="00A84F05" w:rsidP="007815EF">
            <w:pPr>
              <w:spacing w:before="40" w:after="20"/>
              <w:jc w:val="center"/>
              <w:rPr>
                <w:rFonts w:ascii="Arial Narrow" w:hAnsi="Arial Narrow"/>
                <w:sz w:val="18"/>
                <w:szCs w:val="18"/>
                <w:u w:val="single"/>
                <w:lang w:val="en-US"/>
              </w:rPr>
            </w:pPr>
            <w:r>
              <w:rPr>
                <w:rFonts w:ascii="Arial Narrow" w:hAnsi="Arial Narrow"/>
                <w:sz w:val="18"/>
                <w:szCs w:val="18"/>
                <w:u w:val="single"/>
                <w:lang w:val="en-US"/>
              </w:rPr>
              <w:t>feb 22</w:t>
            </w:r>
          </w:p>
          <w:p w14:paraId="2E2BE057" w14:textId="77777777" w:rsidR="00A84F05" w:rsidRPr="00BA36DD"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feb 21</w:t>
            </w:r>
          </w:p>
        </w:tc>
      </w:tr>
      <w:tr w:rsidR="00A84F05" w:rsidRPr="00452E5E" w14:paraId="0FD54E53" w14:textId="77777777" w:rsidTr="007815EF">
        <w:trPr>
          <w:gridAfter w:val="1"/>
          <w:wAfter w:w="12" w:type="dxa"/>
          <w:cantSplit/>
          <w:trHeight w:val="255"/>
        </w:trPr>
        <w:tc>
          <w:tcPr>
            <w:tcW w:w="2317" w:type="dxa"/>
            <w:vAlign w:val="center"/>
          </w:tcPr>
          <w:p w14:paraId="0FC26153" w14:textId="77777777" w:rsidR="00A84F05" w:rsidRPr="005E4472" w:rsidRDefault="00A84F05" w:rsidP="007815EF">
            <w:pPr>
              <w:spacing w:before="40" w:after="20"/>
              <w:rPr>
                <w:rFonts w:ascii="Arial Narrow" w:hAnsi="Arial Narrow" w:cs="Arial"/>
                <w:sz w:val="18"/>
                <w:szCs w:val="18"/>
              </w:rPr>
            </w:pPr>
            <w:r w:rsidRPr="005E4472">
              <w:rPr>
                <w:rFonts w:ascii="Arial Narrow" w:hAnsi="Arial Narrow" w:cs="Arial"/>
                <w:sz w:val="18"/>
                <w:szCs w:val="18"/>
              </w:rPr>
              <w:t>Beni di consumo</w:t>
            </w:r>
          </w:p>
        </w:tc>
        <w:tc>
          <w:tcPr>
            <w:tcW w:w="1157" w:type="dxa"/>
            <w:shd w:val="clear" w:color="auto" w:fill="D9D9D9"/>
            <w:vAlign w:val="center"/>
          </w:tcPr>
          <w:p w14:paraId="2F1C541E"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+0,6</w:t>
            </w:r>
          </w:p>
        </w:tc>
        <w:tc>
          <w:tcPr>
            <w:tcW w:w="1334" w:type="dxa"/>
            <w:tcMar>
              <w:left w:w="0" w:type="dxa"/>
            </w:tcMar>
            <w:vAlign w:val="center"/>
          </w:tcPr>
          <w:p w14:paraId="6CD3C7C1"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+5,9</w:t>
            </w:r>
          </w:p>
        </w:tc>
        <w:tc>
          <w:tcPr>
            <w:tcW w:w="1346" w:type="dxa"/>
            <w:shd w:val="clear" w:color="auto" w:fill="D9D9D9"/>
            <w:vAlign w:val="center"/>
          </w:tcPr>
          <w:p w14:paraId="13A3348C"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+0,7</w:t>
            </w:r>
          </w:p>
        </w:tc>
        <w:tc>
          <w:tcPr>
            <w:tcW w:w="1349" w:type="dxa"/>
            <w:vAlign w:val="center"/>
          </w:tcPr>
          <w:p w14:paraId="77239508"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+5,1</w:t>
            </w:r>
          </w:p>
        </w:tc>
        <w:tc>
          <w:tcPr>
            <w:tcW w:w="1345" w:type="dxa"/>
            <w:shd w:val="clear" w:color="auto" w:fill="D9D9D9"/>
            <w:vAlign w:val="center"/>
          </w:tcPr>
          <w:p w14:paraId="2B193A43"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+0,5</w:t>
            </w:r>
          </w:p>
        </w:tc>
        <w:tc>
          <w:tcPr>
            <w:tcW w:w="1346" w:type="dxa"/>
            <w:vAlign w:val="center"/>
          </w:tcPr>
          <w:p w14:paraId="01DCD49D"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+6,8</w:t>
            </w:r>
          </w:p>
        </w:tc>
      </w:tr>
      <w:tr w:rsidR="00A84F05" w:rsidRPr="00452E5E" w14:paraId="16E47F0A" w14:textId="77777777" w:rsidTr="007815EF">
        <w:trPr>
          <w:gridAfter w:val="1"/>
          <w:wAfter w:w="12" w:type="dxa"/>
          <w:cantSplit/>
          <w:trHeight w:val="255"/>
        </w:trPr>
        <w:tc>
          <w:tcPr>
            <w:tcW w:w="2317" w:type="dxa"/>
            <w:vAlign w:val="center"/>
          </w:tcPr>
          <w:p w14:paraId="052A7DFB" w14:textId="77777777" w:rsidR="00A84F05" w:rsidRPr="007F2CF0" w:rsidRDefault="00A84F05" w:rsidP="007815EF">
            <w:pPr>
              <w:spacing w:before="40" w:after="20"/>
              <w:rPr>
                <w:rFonts w:ascii="Arial Narrow" w:hAnsi="Arial Narrow" w:cs="Arial"/>
                <w:sz w:val="18"/>
                <w:szCs w:val="18"/>
              </w:rPr>
            </w:pPr>
            <w:r w:rsidRPr="007F2CF0">
              <w:rPr>
                <w:rFonts w:ascii="Arial Narrow" w:hAnsi="Arial Narrow" w:cs="Arial"/>
                <w:sz w:val="18"/>
                <w:szCs w:val="18"/>
              </w:rPr>
              <w:t xml:space="preserve">  </w:t>
            </w:r>
            <w:r>
              <w:rPr>
                <w:rFonts w:ascii="Arial Narrow" w:hAnsi="Arial Narrow" w:cs="Arial"/>
                <w:sz w:val="18"/>
                <w:szCs w:val="18"/>
              </w:rPr>
              <w:t>d</w:t>
            </w:r>
            <w:r w:rsidRPr="007F2CF0">
              <w:rPr>
                <w:rFonts w:ascii="Arial Narrow" w:hAnsi="Arial Narrow" w:cs="Arial"/>
                <w:sz w:val="18"/>
                <w:szCs w:val="18"/>
              </w:rPr>
              <w:t>urevoli</w:t>
            </w:r>
          </w:p>
        </w:tc>
        <w:tc>
          <w:tcPr>
            <w:tcW w:w="1157" w:type="dxa"/>
            <w:shd w:val="clear" w:color="auto" w:fill="D9D9D9"/>
            <w:vAlign w:val="center"/>
          </w:tcPr>
          <w:p w14:paraId="4A2FB6A9"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+0,7</w:t>
            </w:r>
          </w:p>
        </w:tc>
        <w:tc>
          <w:tcPr>
            <w:tcW w:w="1334" w:type="dxa"/>
            <w:tcMar>
              <w:left w:w="0" w:type="dxa"/>
            </w:tcMar>
            <w:vAlign w:val="center"/>
          </w:tcPr>
          <w:p w14:paraId="237F5F3E"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+4,7</w:t>
            </w:r>
          </w:p>
        </w:tc>
        <w:tc>
          <w:tcPr>
            <w:tcW w:w="1346" w:type="dxa"/>
            <w:shd w:val="clear" w:color="auto" w:fill="D9D9D9"/>
            <w:vAlign w:val="center"/>
          </w:tcPr>
          <w:p w14:paraId="68758BF0"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+0,2</w:t>
            </w:r>
          </w:p>
        </w:tc>
        <w:tc>
          <w:tcPr>
            <w:tcW w:w="1349" w:type="dxa"/>
            <w:vAlign w:val="center"/>
          </w:tcPr>
          <w:p w14:paraId="00865BCB"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+1,8</w:t>
            </w:r>
          </w:p>
        </w:tc>
        <w:tc>
          <w:tcPr>
            <w:tcW w:w="1345" w:type="dxa"/>
            <w:shd w:val="clear" w:color="auto" w:fill="D9D9D9"/>
            <w:vAlign w:val="center"/>
          </w:tcPr>
          <w:p w14:paraId="3D7C39E9"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+0,8</w:t>
            </w:r>
          </w:p>
        </w:tc>
        <w:tc>
          <w:tcPr>
            <w:tcW w:w="1346" w:type="dxa"/>
            <w:vAlign w:val="center"/>
          </w:tcPr>
          <w:p w14:paraId="61C67E34"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+6,2</w:t>
            </w:r>
          </w:p>
        </w:tc>
      </w:tr>
      <w:tr w:rsidR="00A84F05" w:rsidRPr="00452E5E" w14:paraId="10506094" w14:textId="77777777" w:rsidTr="007815EF">
        <w:trPr>
          <w:gridAfter w:val="1"/>
          <w:wAfter w:w="12" w:type="dxa"/>
          <w:cantSplit/>
          <w:trHeight w:val="255"/>
        </w:trPr>
        <w:tc>
          <w:tcPr>
            <w:tcW w:w="2317" w:type="dxa"/>
            <w:vAlign w:val="center"/>
          </w:tcPr>
          <w:p w14:paraId="56EA568F" w14:textId="77777777" w:rsidR="00A84F05" w:rsidRPr="007F2CF0" w:rsidRDefault="00A84F05" w:rsidP="007815EF">
            <w:pPr>
              <w:spacing w:before="40" w:after="20"/>
              <w:rPr>
                <w:rFonts w:ascii="Arial Narrow" w:hAnsi="Arial Narrow" w:cs="Arial"/>
                <w:sz w:val="18"/>
                <w:szCs w:val="18"/>
              </w:rPr>
            </w:pPr>
            <w:r w:rsidRPr="007F2CF0">
              <w:rPr>
                <w:rFonts w:ascii="Arial Narrow" w:hAnsi="Arial Narrow" w:cs="Arial"/>
                <w:sz w:val="18"/>
                <w:szCs w:val="18"/>
              </w:rPr>
              <w:t xml:space="preserve">  non durevoli</w:t>
            </w:r>
          </w:p>
        </w:tc>
        <w:tc>
          <w:tcPr>
            <w:tcW w:w="1157" w:type="dxa"/>
            <w:shd w:val="clear" w:color="auto" w:fill="D9D9D9"/>
            <w:vAlign w:val="center"/>
          </w:tcPr>
          <w:p w14:paraId="77078111"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+0,6</w:t>
            </w:r>
          </w:p>
        </w:tc>
        <w:tc>
          <w:tcPr>
            <w:tcW w:w="1334" w:type="dxa"/>
            <w:tcMar>
              <w:left w:w="0" w:type="dxa"/>
            </w:tcMar>
            <w:vAlign w:val="center"/>
          </w:tcPr>
          <w:p w14:paraId="75EF5033"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+6,1</w:t>
            </w:r>
          </w:p>
        </w:tc>
        <w:tc>
          <w:tcPr>
            <w:tcW w:w="1346" w:type="dxa"/>
            <w:shd w:val="clear" w:color="auto" w:fill="D9D9D9"/>
            <w:vAlign w:val="center"/>
          </w:tcPr>
          <w:p w14:paraId="78E4AB6F"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+0,8</w:t>
            </w:r>
          </w:p>
        </w:tc>
        <w:tc>
          <w:tcPr>
            <w:tcW w:w="1349" w:type="dxa"/>
            <w:vAlign w:val="center"/>
          </w:tcPr>
          <w:p w14:paraId="7791CBB7"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+5,6</w:t>
            </w:r>
          </w:p>
        </w:tc>
        <w:tc>
          <w:tcPr>
            <w:tcW w:w="1345" w:type="dxa"/>
            <w:shd w:val="clear" w:color="auto" w:fill="D9D9D9"/>
            <w:vAlign w:val="center"/>
          </w:tcPr>
          <w:p w14:paraId="2F411834"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+0,4</w:t>
            </w:r>
          </w:p>
        </w:tc>
        <w:tc>
          <w:tcPr>
            <w:tcW w:w="1346" w:type="dxa"/>
            <w:vAlign w:val="center"/>
          </w:tcPr>
          <w:p w14:paraId="6F4A4BF1"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+7,1</w:t>
            </w:r>
          </w:p>
        </w:tc>
      </w:tr>
      <w:tr w:rsidR="00A84F05" w:rsidRPr="00452E5E" w14:paraId="24F7398F" w14:textId="77777777" w:rsidTr="007815EF">
        <w:trPr>
          <w:gridAfter w:val="1"/>
          <w:wAfter w:w="12" w:type="dxa"/>
          <w:cantSplit/>
          <w:trHeight w:val="255"/>
        </w:trPr>
        <w:tc>
          <w:tcPr>
            <w:tcW w:w="2317" w:type="dxa"/>
            <w:vAlign w:val="center"/>
          </w:tcPr>
          <w:p w14:paraId="7695C356" w14:textId="77777777" w:rsidR="00A84F05" w:rsidRPr="001C01EA" w:rsidRDefault="00A84F05" w:rsidP="007815EF">
            <w:pPr>
              <w:spacing w:before="40" w:after="20"/>
              <w:rPr>
                <w:rFonts w:ascii="Arial Narrow" w:hAnsi="Arial Narrow" w:cs="Arial"/>
                <w:sz w:val="18"/>
                <w:szCs w:val="18"/>
              </w:rPr>
            </w:pPr>
            <w:r w:rsidRPr="001C01EA">
              <w:rPr>
                <w:rFonts w:ascii="Arial Narrow" w:hAnsi="Arial Narrow" w:cs="Arial"/>
                <w:sz w:val="18"/>
                <w:szCs w:val="18"/>
              </w:rPr>
              <w:t>Beni strumentali</w:t>
            </w:r>
          </w:p>
        </w:tc>
        <w:tc>
          <w:tcPr>
            <w:tcW w:w="1157" w:type="dxa"/>
            <w:shd w:val="clear" w:color="auto" w:fill="D9D9D9"/>
            <w:vAlign w:val="center"/>
          </w:tcPr>
          <w:p w14:paraId="6A73B592"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+0,2</w:t>
            </w:r>
          </w:p>
        </w:tc>
        <w:tc>
          <w:tcPr>
            <w:tcW w:w="1334" w:type="dxa"/>
            <w:tcMar>
              <w:left w:w="0" w:type="dxa"/>
            </w:tcMar>
            <w:vAlign w:val="center"/>
          </w:tcPr>
          <w:p w14:paraId="7409A1A4"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+3,6</w:t>
            </w:r>
          </w:p>
        </w:tc>
        <w:tc>
          <w:tcPr>
            <w:tcW w:w="1346" w:type="dxa"/>
            <w:shd w:val="clear" w:color="auto" w:fill="D9D9D9"/>
            <w:vAlign w:val="center"/>
          </w:tcPr>
          <w:p w14:paraId="308AF73B"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0,0</w:t>
            </w:r>
          </w:p>
        </w:tc>
        <w:tc>
          <w:tcPr>
            <w:tcW w:w="1349" w:type="dxa"/>
            <w:vAlign w:val="center"/>
          </w:tcPr>
          <w:p w14:paraId="5E3B6694"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+4,2</w:t>
            </w:r>
          </w:p>
        </w:tc>
        <w:tc>
          <w:tcPr>
            <w:tcW w:w="1345" w:type="dxa"/>
            <w:shd w:val="clear" w:color="auto" w:fill="D9D9D9"/>
            <w:vAlign w:val="center"/>
          </w:tcPr>
          <w:p w14:paraId="27DB14EF"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+0,6</w:t>
            </w:r>
          </w:p>
        </w:tc>
        <w:tc>
          <w:tcPr>
            <w:tcW w:w="1346" w:type="dxa"/>
            <w:vAlign w:val="center"/>
          </w:tcPr>
          <w:p w14:paraId="1ABECE26"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+2,8</w:t>
            </w:r>
          </w:p>
        </w:tc>
      </w:tr>
      <w:tr w:rsidR="00A84F05" w:rsidRPr="00452E5E" w14:paraId="5981913F" w14:textId="77777777" w:rsidTr="007815EF">
        <w:trPr>
          <w:gridAfter w:val="1"/>
          <w:wAfter w:w="12" w:type="dxa"/>
          <w:cantSplit/>
          <w:trHeight w:val="255"/>
        </w:trPr>
        <w:tc>
          <w:tcPr>
            <w:tcW w:w="2317" w:type="dxa"/>
            <w:vAlign w:val="center"/>
          </w:tcPr>
          <w:p w14:paraId="3B67EDCE" w14:textId="77777777" w:rsidR="00A84F05" w:rsidRPr="001C01EA" w:rsidRDefault="00A84F05" w:rsidP="007815EF">
            <w:pPr>
              <w:spacing w:before="40" w:after="20"/>
              <w:rPr>
                <w:rFonts w:ascii="Arial Narrow" w:hAnsi="Arial Narrow" w:cs="Arial"/>
                <w:sz w:val="18"/>
                <w:szCs w:val="18"/>
              </w:rPr>
            </w:pPr>
            <w:r w:rsidRPr="001C01EA">
              <w:rPr>
                <w:rFonts w:ascii="Arial Narrow" w:hAnsi="Arial Narrow" w:cs="Arial"/>
                <w:sz w:val="18"/>
                <w:szCs w:val="18"/>
              </w:rPr>
              <w:t>Beni intermedi</w:t>
            </w:r>
          </w:p>
        </w:tc>
        <w:tc>
          <w:tcPr>
            <w:tcW w:w="1157" w:type="dxa"/>
            <w:tcBorders>
              <w:bottom w:val="single" w:sz="4" w:space="0" w:color="333333"/>
            </w:tcBorders>
            <w:shd w:val="clear" w:color="auto" w:fill="D9D9D9"/>
            <w:vAlign w:val="center"/>
          </w:tcPr>
          <w:p w14:paraId="1D1ABCEC"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+1,5</w:t>
            </w:r>
          </w:p>
        </w:tc>
        <w:tc>
          <w:tcPr>
            <w:tcW w:w="1334" w:type="dxa"/>
            <w:tcMar>
              <w:left w:w="0" w:type="dxa"/>
            </w:tcMar>
            <w:vAlign w:val="center"/>
          </w:tcPr>
          <w:p w14:paraId="25CE6F58"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+19,4</w:t>
            </w:r>
          </w:p>
        </w:tc>
        <w:tc>
          <w:tcPr>
            <w:tcW w:w="1346" w:type="dxa"/>
            <w:tcBorders>
              <w:bottom w:val="single" w:sz="4" w:space="0" w:color="333333"/>
            </w:tcBorders>
            <w:shd w:val="clear" w:color="auto" w:fill="D9D9D9"/>
            <w:vAlign w:val="center"/>
          </w:tcPr>
          <w:p w14:paraId="7B9252FD"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+1,5</w:t>
            </w:r>
          </w:p>
        </w:tc>
        <w:tc>
          <w:tcPr>
            <w:tcW w:w="1349" w:type="dxa"/>
            <w:vAlign w:val="center"/>
          </w:tcPr>
          <w:p w14:paraId="3786B3D0"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+20,3</w:t>
            </w:r>
          </w:p>
        </w:tc>
        <w:tc>
          <w:tcPr>
            <w:tcW w:w="1345" w:type="dxa"/>
            <w:tcBorders>
              <w:bottom w:val="single" w:sz="4" w:space="0" w:color="333333"/>
            </w:tcBorders>
            <w:shd w:val="clear" w:color="auto" w:fill="D9D9D9"/>
            <w:vAlign w:val="center"/>
          </w:tcPr>
          <w:p w14:paraId="45AD0ECD"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+1,7</w:t>
            </w:r>
          </w:p>
        </w:tc>
        <w:tc>
          <w:tcPr>
            <w:tcW w:w="1346" w:type="dxa"/>
            <w:vAlign w:val="center"/>
          </w:tcPr>
          <w:p w14:paraId="1B1D98F4"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+18,3</w:t>
            </w:r>
          </w:p>
        </w:tc>
      </w:tr>
      <w:tr w:rsidR="00A84F05" w:rsidRPr="00452E5E" w14:paraId="17F64648" w14:textId="77777777" w:rsidTr="007815EF">
        <w:trPr>
          <w:gridAfter w:val="1"/>
          <w:wAfter w:w="12" w:type="dxa"/>
          <w:cantSplit/>
          <w:trHeight w:val="255"/>
        </w:trPr>
        <w:tc>
          <w:tcPr>
            <w:tcW w:w="2317" w:type="dxa"/>
            <w:tcBorders>
              <w:bottom w:val="single" w:sz="4" w:space="0" w:color="333333"/>
            </w:tcBorders>
            <w:vAlign w:val="center"/>
          </w:tcPr>
          <w:p w14:paraId="5AADF819" w14:textId="77777777" w:rsidR="00A84F05" w:rsidRPr="001C01EA" w:rsidRDefault="00A84F05" w:rsidP="007815EF">
            <w:pPr>
              <w:spacing w:before="40" w:after="20"/>
              <w:rPr>
                <w:rFonts w:ascii="Arial Narrow" w:hAnsi="Arial Narrow" w:cs="Arial"/>
                <w:sz w:val="18"/>
                <w:szCs w:val="18"/>
              </w:rPr>
            </w:pPr>
            <w:r w:rsidRPr="001C01EA">
              <w:rPr>
                <w:rFonts w:ascii="Arial Narrow" w:hAnsi="Arial Narrow" w:cs="Arial"/>
                <w:sz w:val="18"/>
                <w:szCs w:val="18"/>
              </w:rPr>
              <w:t>Energia</w:t>
            </w:r>
          </w:p>
        </w:tc>
        <w:tc>
          <w:tcPr>
            <w:tcW w:w="1157" w:type="dxa"/>
            <w:tcBorders>
              <w:bottom w:val="single" w:sz="4" w:space="0" w:color="333333"/>
            </w:tcBorders>
            <w:shd w:val="clear" w:color="auto" w:fill="D9D9D9"/>
            <w:vAlign w:val="center"/>
          </w:tcPr>
          <w:p w14:paraId="5F13CB98"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+5,7</w:t>
            </w:r>
          </w:p>
        </w:tc>
        <w:tc>
          <w:tcPr>
            <w:tcW w:w="1334" w:type="dxa"/>
            <w:tcBorders>
              <w:bottom w:val="single" w:sz="4" w:space="0" w:color="333333"/>
            </w:tcBorders>
            <w:tcMar>
              <w:left w:w="0" w:type="dxa"/>
            </w:tcMar>
            <w:vAlign w:val="center"/>
          </w:tcPr>
          <w:p w14:paraId="1576715E"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+77,9</w:t>
            </w:r>
          </w:p>
        </w:tc>
        <w:tc>
          <w:tcPr>
            <w:tcW w:w="1346" w:type="dxa"/>
            <w:tcBorders>
              <w:bottom w:val="single" w:sz="4" w:space="0" w:color="333333"/>
            </w:tcBorders>
            <w:shd w:val="clear" w:color="auto" w:fill="D9D9D9"/>
            <w:vAlign w:val="center"/>
          </w:tcPr>
          <w:p w14:paraId="7BE7F33E"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-2,6</w:t>
            </w:r>
          </w:p>
        </w:tc>
        <w:tc>
          <w:tcPr>
            <w:tcW w:w="1349" w:type="dxa"/>
            <w:tcBorders>
              <w:bottom w:val="single" w:sz="4" w:space="0" w:color="333333"/>
            </w:tcBorders>
            <w:vAlign w:val="center"/>
          </w:tcPr>
          <w:p w14:paraId="0C6B9866"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+8,0</w:t>
            </w:r>
          </w:p>
        </w:tc>
        <w:tc>
          <w:tcPr>
            <w:tcW w:w="1345" w:type="dxa"/>
            <w:tcBorders>
              <w:bottom w:val="single" w:sz="4" w:space="0" w:color="333333"/>
            </w:tcBorders>
            <w:shd w:val="clear" w:color="auto" w:fill="D9D9D9"/>
            <w:vAlign w:val="center"/>
          </w:tcPr>
          <w:p w14:paraId="16C232BC"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+6,4</w:t>
            </w:r>
          </w:p>
        </w:tc>
        <w:tc>
          <w:tcPr>
            <w:tcW w:w="1346" w:type="dxa"/>
            <w:tcBorders>
              <w:bottom w:val="single" w:sz="4" w:space="0" w:color="333333"/>
            </w:tcBorders>
            <w:vAlign w:val="center"/>
          </w:tcPr>
          <w:p w14:paraId="33211A2F"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+86,5</w:t>
            </w:r>
          </w:p>
        </w:tc>
      </w:tr>
      <w:tr w:rsidR="00A84F05" w:rsidRPr="00452E5E" w14:paraId="2E2CDFBE" w14:textId="77777777" w:rsidTr="007815EF">
        <w:trPr>
          <w:gridAfter w:val="1"/>
          <w:wAfter w:w="12" w:type="dxa"/>
          <w:cantSplit/>
          <w:trHeight w:val="255"/>
        </w:trPr>
        <w:tc>
          <w:tcPr>
            <w:tcW w:w="2317" w:type="dxa"/>
            <w:shd w:val="clear" w:color="auto" w:fill="auto"/>
            <w:vAlign w:val="center"/>
          </w:tcPr>
          <w:p w14:paraId="5DF2FD63" w14:textId="77777777" w:rsidR="00A84F05" w:rsidRPr="007F2CF0" w:rsidRDefault="00A84F05" w:rsidP="007815EF">
            <w:pPr>
              <w:spacing w:before="40" w:after="20"/>
              <w:rPr>
                <w:rFonts w:ascii="Arial Narrow" w:hAnsi="Arial Narrow" w:cs="Arial"/>
                <w:sz w:val="18"/>
                <w:szCs w:val="18"/>
              </w:rPr>
            </w:pPr>
            <w:r w:rsidRPr="001C01EA">
              <w:rPr>
                <w:rFonts w:ascii="Arial Narrow" w:hAnsi="Arial Narrow" w:cs="Arial"/>
                <w:sz w:val="18"/>
                <w:szCs w:val="18"/>
              </w:rPr>
              <w:t>Totale al netto dell’energia</w:t>
            </w:r>
          </w:p>
        </w:tc>
        <w:tc>
          <w:tcPr>
            <w:tcW w:w="1157" w:type="dxa"/>
            <w:shd w:val="clear" w:color="auto" w:fill="D9D9D9"/>
            <w:vAlign w:val="center"/>
          </w:tcPr>
          <w:p w14:paraId="4DEFB8DF"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+0,9</w:t>
            </w:r>
          </w:p>
        </w:tc>
        <w:tc>
          <w:tcPr>
            <w:tcW w:w="1334" w:type="dxa"/>
            <w:shd w:val="clear" w:color="auto" w:fill="auto"/>
            <w:tcMar>
              <w:left w:w="0" w:type="dxa"/>
            </w:tcMar>
            <w:vAlign w:val="center"/>
          </w:tcPr>
          <w:p w14:paraId="00943129"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+10,5</w:t>
            </w:r>
          </w:p>
        </w:tc>
        <w:tc>
          <w:tcPr>
            <w:tcW w:w="1346" w:type="dxa"/>
            <w:shd w:val="clear" w:color="auto" w:fill="D9D9D9"/>
            <w:vAlign w:val="center"/>
          </w:tcPr>
          <w:p w14:paraId="502EA5D2"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+0,7</w:t>
            </w:r>
          </w:p>
        </w:tc>
        <w:tc>
          <w:tcPr>
            <w:tcW w:w="1349" w:type="dxa"/>
            <w:shd w:val="clear" w:color="auto" w:fill="auto"/>
            <w:vAlign w:val="center"/>
          </w:tcPr>
          <w:p w14:paraId="289C3E69"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+10,6</w:t>
            </w:r>
          </w:p>
        </w:tc>
        <w:tc>
          <w:tcPr>
            <w:tcW w:w="1345" w:type="dxa"/>
            <w:shd w:val="clear" w:color="auto" w:fill="D9D9D9"/>
            <w:vAlign w:val="center"/>
          </w:tcPr>
          <w:p w14:paraId="0D130E46"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+1,0</w:t>
            </w:r>
          </w:p>
        </w:tc>
        <w:tc>
          <w:tcPr>
            <w:tcW w:w="1346" w:type="dxa"/>
            <w:shd w:val="clear" w:color="auto" w:fill="auto"/>
            <w:vAlign w:val="center"/>
          </w:tcPr>
          <w:p w14:paraId="2F175BE3" w14:textId="77777777" w:rsidR="00A84F05" w:rsidRPr="00A764B0" w:rsidRDefault="00A84F05" w:rsidP="007815EF">
            <w:pPr>
              <w:jc w:val="center"/>
              <w:rPr>
                <w:rFonts w:ascii="Arial Narrow" w:hAnsi="Arial Narrow" w:cs="Arial Narrow"/>
                <w:color w:val="000000"/>
                <w:sz w:val="18"/>
                <w:szCs w:val="18"/>
              </w:rPr>
            </w:pPr>
            <w:r w:rsidRPr="00A764B0">
              <w:rPr>
                <w:rFonts w:ascii="Arial Narrow" w:hAnsi="Arial Narrow" w:cs="Arial"/>
                <w:color w:val="000000"/>
                <w:sz w:val="18"/>
                <w:szCs w:val="18"/>
              </w:rPr>
              <w:t>+10,1</w:t>
            </w:r>
          </w:p>
        </w:tc>
      </w:tr>
      <w:tr w:rsidR="00A84F05" w:rsidRPr="00824ACE" w14:paraId="18F55913" w14:textId="77777777" w:rsidTr="007815EF">
        <w:trPr>
          <w:gridAfter w:val="1"/>
          <w:wAfter w:w="12" w:type="dxa"/>
          <w:cantSplit/>
          <w:trHeight w:val="255"/>
        </w:trPr>
        <w:tc>
          <w:tcPr>
            <w:tcW w:w="2317" w:type="dxa"/>
            <w:shd w:val="clear" w:color="auto" w:fill="FF0000"/>
            <w:vAlign w:val="center"/>
          </w:tcPr>
          <w:p w14:paraId="0A90526B" w14:textId="77777777" w:rsidR="00A84F05" w:rsidRPr="00824ACE" w:rsidRDefault="00A84F05" w:rsidP="007815EF">
            <w:pPr>
              <w:spacing w:before="40" w:after="20"/>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Totale</w:t>
            </w:r>
          </w:p>
        </w:tc>
        <w:tc>
          <w:tcPr>
            <w:tcW w:w="1157" w:type="dxa"/>
            <w:shd w:val="clear" w:color="auto" w:fill="FF0000"/>
            <w:vAlign w:val="center"/>
          </w:tcPr>
          <w:p w14:paraId="5DB696E8" w14:textId="77777777" w:rsidR="00A84F05" w:rsidRPr="00824ACE" w:rsidRDefault="00A84F05" w:rsidP="007815EF">
            <w:pPr>
              <w:spacing w:before="40" w:after="20"/>
              <w:jc w:val="center"/>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+1,6</w:t>
            </w:r>
          </w:p>
        </w:tc>
        <w:tc>
          <w:tcPr>
            <w:tcW w:w="1334" w:type="dxa"/>
            <w:shd w:val="clear" w:color="auto" w:fill="FF0000"/>
            <w:tcMar>
              <w:left w:w="0" w:type="dxa"/>
            </w:tcMar>
            <w:vAlign w:val="center"/>
          </w:tcPr>
          <w:p w14:paraId="40C8196C" w14:textId="77777777" w:rsidR="00A84F05" w:rsidRPr="00824ACE" w:rsidRDefault="00A84F05" w:rsidP="007815EF">
            <w:pPr>
              <w:spacing w:before="40" w:after="20"/>
              <w:jc w:val="center"/>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+18,5</w:t>
            </w:r>
          </w:p>
        </w:tc>
        <w:tc>
          <w:tcPr>
            <w:tcW w:w="1346" w:type="dxa"/>
            <w:shd w:val="clear" w:color="auto" w:fill="FF0000"/>
            <w:vAlign w:val="center"/>
          </w:tcPr>
          <w:p w14:paraId="57842797" w14:textId="77777777" w:rsidR="00A84F05" w:rsidRPr="00824ACE" w:rsidRDefault="00A84F05" w:rsidP="007815EF">
            <w:pPr>
              <w:spacing w:before="40" w:after="20"/>
              <w:jc w:val="center"/>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+0,7</w:t>
            </w:r>
          </w:p>
        </w:tc>
        <w:tc>
          <w:tcPr>
            <w:tcW w:w="1349" w:type="dxa"/>
            <w:shd w:val="clear" w:color="auto" w:fill="FF0000"/>
            <w:vAlign w:val="center"/>
          </w:tcPr>
          <w:p w14:paraId="03EFA027" w14:textId="77777777" w:rsidR="00A84F05" w:rsidRPr="00824ACE" w:rsidRDefault="00A84F05" w:rsidP="007815EF">
            <w:pPr>
              <w:spacing w:before="40" w:after="20"/>
              <w:jc w:val="center"/>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+10,6</w:t>
            </w:r>
          </w:p>
        </w:tc>
        <w:tc>
          <w:tcPr>
            <w:tcW w:w="1345" w:type="dxa"/>
            <w:shd w:val="clear" w:color="auto" w:fill="FF0000"/>
            <w:vAlign w:val="center"/>
          </w:tcPr>
          <w:p w14:paraId="1ADFB8E9" w14:textId="77777777" w:rsidR="00A84F05" w:rsidRPr="00824ACE" w:rsidRDefault="00A84F05" w:rsidP="007815EF">
            <w:pPr>
              <w:spacing w:before="40" w:after="20"/>
              <w:jc w:val="center"/>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+2,5</w:t>
            </w:r>
          </w:p>
        </w:tc>
        <w:tc>
          <w:tcPr>
            <w:tcW w:w="1346" w:type="dxa"/>
            <w:shd w:val="clear" w:color="auto" w:fill="FF0000"/>
            <w:vAlign w:val="center"/>
          </w:tcPr>
          <w:p w14:paraId="13C573BA" w14:textId="77777777" w:rsidR="00A84F05" w:rsidRPr="00824ACE" w:rsidRDefault="00A84F05" w:rsidP="007815EF">
            <w:pPr>
              <w:spacing w:before="40" w:after="20"/>
              <w:jc w:val="center"/>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+26,4</w:t>
            </w:r>
          </w:p>
        </w:tc>
      </w:tr>
    </w:tbl>
    <w:p w14:paraId="56F929F3" w14:textId="2DEA85A1" w:rsidR="00A84F05" w:rsidRDefault="00A84F05" w:rsidP="00537BEB">
      <w:pPr>
        <w:pStyle w:val="Corpodeltesto1"/>
        <w:spacing w:after="120"/>
        <w:jc w:val="left"/>
        <w:rPr>
          <w:rFonts w:ascii="Arial Narrow" w:hAnsi="Arial Narrow" w:cs="Arial"/>
          <w:b w:val="0"/>
          <w:color w:val="5F5F5F"/>
          <w:kern w:val="28"/>
          <w:sz w:val="20"/>
          <w:szCs w:val="20"/>
        </w:rPr>
      </w:pPr>
    </w:p>
    <w:p w14:paraId="7D88ECE7" w14:textId="77777777" w:rsidR="00A84F05" w:rsidRPr="004B371A" w:rsidRDefault="00A84F05" w:rsidP="00A84F05">
      <w:pPr>
        <w:pStyle w:val="001TitoloBolocco"/>
        <w:pBdr>
          <w:bottom w:val="none" w:sz="0" w:space="0" w:color="auto"/>
        </w:pBdr>
        <w:spacing w:after="10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 xml:space="preserve">A febbraio 2022 </w:t>
      </w:r>
      <w:r w:rsidRPr="004B371A">
        <w:rPr>
          <w:rFonts w:ascii="Arial" w:hAnsi="Arial" w:cs="Times New Roman"/>
          <w:b w:val="0"/>
          <w:bCs w:val="0"/>
          <w:caps w:val="0"/>
          <w:color w:val="auto"/>
          <w:kern w:val="28"/>
          <w:sz w:val="21"/>
          <w:szCs w:val="21"/>
        </w:rPr>
        <w:t xml:space="preserve">i prezzi all’importazione dei beni di </w:t>
      </w:r>
      <w:r>
        <w:rPr>
          <w:rFonts w:ascii="Arial" w:hAnsi="Arial" w:cs="Times New Roman"/>
          <w:b w:val="0"/>
          <w:bCs w:val="0"/>
          <w:caps w:val="0"/>
          <w:color w:val="auto"/>
          <w:kern w:val="28"/>
          <w:sz w:val="21"/>
          <w:szCs w:val="21"/>
        </w:rPr>
        <w:t>consumo</w:t>
      </w:r>
      <w:r w:rsidRPr="004B371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aumentano, rispetto al mese precedente, dello 0,6% nel complesso, sintesi di incrementi dello 0,7% per l’Area euro e dello 0,5% per l’Area non euro; su base annua,</w:t>
      </w:r>
      <w:r w:rsidRPr="004B371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crescono del 5,9% per il mercato totale (+5,1% Area euro, +6,8% Area non euro).</w:t>
      </w:r>
    </w:p>
    <w:p w14:paraId="08F54DFC" w14:textId="6CFF8A74" w:rsidR="00A84F05" w:rsidRDefault="00A84F05" w:rsidP="00A84F05">
      <w:pPr>
        <w:pStyle w:val="001TitoloBolocco"/>
        <w:pBdr>
          <w:bottom w:val="none" w:sz="0" w:space="0" w:color="auto"/>
        </w:pBdr>
        <w:spacing w:after="100"/>
        <w:rPr>
          <w:rFonts w:ascii="Arial" w:hAnsi="Arial" w:cs="Times New Roman"/>
          <w:b w:val="0"/>
          <w:bCs w:val="0"/>
          <w:caps w:val="0"/>
          <w:color w:val="auto"/>
          <w:kern w:val="28"/>
          <w:sz w:val="21"/>
          <w:szCs w:val="21"/>
        </w:rPr>
      </w:pPr>
      <w:r w:rsidRPr="00822617">
        <w:rPr>
          <w:rFonts w:ascii="Arial" w:hAnsi="Arial" w:cs="Times New Roman"/>
          <w:b w:val="0"/>
          <w:bCs w:val="0"/>
          <w:caps w:val="0"/>
          <w:color w:val="auto"/>
          <w:kern w:val="28"/>
          <w:sz w:val="21"/>
          <w:szCs w:val="21"/>
        </w:rPr>
        <w:t>I prezzi all’importazione dei beni strumentali</w:t>
      </w:r>
      <w:r>
        <w:rPr>
          <w:rFonts w:ascii="Arial" w:hAnsi="Arial" w:cs="Times New Roman"/>
          <w:b w:val="0"/>
          <w:bCs w:val="0"/>
          <w:caps w:val="0"/>
          <w:color w:val="auto"/>
          <w:kern w:val="28"/>
          <w:sz w:val="21"/>
          <w:szCs w:val="21"/>
        </w:rPr>
        <w:t xml:space="preserve"> </w:t>
      </w:r>
      <w:r w:rsidR="00BA5990">
        <w:rPr>
          <w:rFonts w:ascii="Arial" w:hAnsi="Arial" w:cs="Times New Roman"/>
          <w:b w:val="0"/>
          <w:bCs w:val="0"/>
          <w:caps w:val="0"/>
          <w:color w:val="auto"/>
          <w:kern w:val="28"/>
          <w:sz w:val="21"/>
          <w:szCs w:val="21"/>
        </w:rPr>
        <w:t xml:space="preserve">registrano un </w:t>
      </w:r>
      <w:r>
        <w:rPr>
          <w:rFonts w:ascii="Arial" w:hAnsi="Arial" w:cs="Times New Roman"/>
          <w:b w:val="0"/>
          <w:bCs w:val="0"/>
          <w:caps w:val="0"/>
          <w:color w:val="auto"/>
          <w:kern w:val="28"/>
          <w:sz w:val="21"/>
          <w:szCs w:val="21"/>
        </w:rPr>
        <w:t>aument</w:t>
      </w:r>
      <w:r w:rsidR="00BA5990">
        <w:rPr>
          <w:rFonts w:ascii="Arial" w:hAnsi="Arial" w:cs="Times New Roman"/>
          <w:b w:val="0"/>
          <w:bCs w:val="0"/>
          <w:caps w:val="0"/>
          <w:color w:val="auto"/>
          <w:kern w:val="28"/>
          <w:sz w:val="21"/>
          <w:szCs w:val="21"/>
        </w:rPr>
        <w:t>o</w:t>
      </w:r>
      <w:r>
        <w:rPr>
          <w:rFonts w:ascii="Arial" w:hAnsi="Arial" w:cs="Times New Roman"/>
          <w:b w:val="0"/>
          <w:bCs w:val="0"/>
          <w:caps w:val="0"/>
          <w:color w:val="auto"/>
          <w:kern w:val="28"/>
          <w:sz w:val="21"/>
          <w:szCs w:val="21"/>
        </w:rPr>
        <w:t xml:space="preserve"> su base mensile dello 0,2%</w:t>
      </w:r>
      <w:r w:rsidRPr="00822617">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per il mercato totale</w:t>
      </w:r>
      <w:r w:rsidR="004C1E20">
        <w:rPr>
          <w:rFonts w:ascii="Arial" w:hAnsi="Arial" w:cs="Times New Roman"/>
          <w:b w:val="0"/>
          <w:bCs w:val="0"/>
          <w:caps w:val="0"/>
          <w:color w:val="auto"/>
          <w:kern w:val="28"/>
          <w:sz w:val="21"/>
          <w:szCs w:val="21"/>
        </w:rPr>
        <w:t xml:space="preserve">, </w:t>
      </w:r>
      <w:r w:rsidR="00BA5990">
        <w:rPr>
          <w:rFonts w:ascii="Arial" w:hAnsi="Arial" w:cs="Times New Roman"/>
          <w:b w:val="0"/>
          <w:bCs w:val="0"/>
          <w:caps w:val="0"/>
          <w:color w:val="auto"/>
          <w:kern w:val="28"/>
          <w:sz w:val="21"/>
          <w:szCs w:val="21"/>
        </w:rPr>
        <w:t>cui contribuisce la sola Area non euro (+</w:t>
      </w:r>
      <w:r w:rsidRPr="00D267DD">
        <w:rPr>
          <w:rFonts w:ascii="Arial" w:hAnsi="Arial" w:cs="Times New Roman"/>
          <w:b w:val="0"/>
          <w:bCs w:val="0"/>
          <w:caps w:val="0"/>
          <w:color w:val="auto"/>
          <w:kern w:val="28"/>
          <w:sz w:val="21"/>
          <w:szCs w:val="21"/>
        </w:rPr>
        <w:t>0,6%</w:t>
      </w:r>
      <w:r w:rsidR="00BA5990">
        <w:rPr>
          <w:rFonts w:ascii="Arial" w:hAnsi="Arial" w:cs="Times New Roman"/>
          <w:b w:val="0"/>
          <w:bCs w:val="0"/>
          <w:caps w:val="0"/>
          <w:color w:val="auto"/>
          <w:kern w:val="28"/>
          <w:sz w:val="21"/>
          <w:szCs w:val="21"/>
        </w:rPr>
        <w:t>)</w:t>
      </w:r>
      <w:r w:rsidR="004C1E20">
        <w:rPr>
          <w:rFonts w:ascii="Arial" w:hAnsi="Arial" w:cs="Times New Roman"/>
          <w:b w:val="0"/>
          <w:bCs w:val="0"/>
          <w:caps w:val="0"/>
          <w:color w:val="auto"/>
          <w:kern w:val="28"/>
          <w:sz w:val="21"/>
          <w:szCs w:val="21"/>
        </w:rPr>
        <w:t>,</w:t>
      </w:r>
      <w:r w:rsidRPr="00D267DD">
        <w:rPr>
          <w:rFonts w:ascii="Arial" w:hAnsi="Arial" w:cs="Times New Roman"/>
          <w:b w:val="0"/>
          <w:bCs w:val="0"/>
          <w:caps w:val="0"/>
          <w:color w:val="auto"/>
          <w:kern w:val="28"/>
          <w:sz w:val="21"/>
          <w:szCs w:val="21"/>
        </w:rPr>
        <w:t xml:space="preserve"> mentre in termini tendenziali crescono del 3,6%</w:t>
      </w:r>
      <w:r w:rsidRPr="00822617">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 xml:space="preserve">(+4,2% </w:t>
      </w:r>
      <w:r w:rsidRPr="00822617">
        <w:rPr>
          <w:rFonts w:ascii="Arial" w:hAnsi="Arial" w:cs="Times New Roman"/>
          <w:b w:val="0"/>
          <w:bCs w:val="0"/>
          <w:caps w:val="0"/>
          <w:color w:val="auto"/>
          <w:kern w:val="28"/>
          <w:sz w:val="21"/>
          <w:szCs w:val="21"/>
        </w:rPr>
        <w:t>Area euro,</w:t>
      </w:r>
      <w:r>
        <w:rPr>
          <w:rFonts w:ascii="Arial" w:hAnsi="Arial" w:cs="Times New Roman"/>
          <w:b w:val="0"/>
          <w:bCs w:val="0"/>
          <w:caps w:val="0"/>
          <w:color w:val="auto"/>
          <w:kern w:val="28"/>
          <w:sz w:val="21"/>
          <w:szCs w:val="21"/>
        </w:rPr>
        <w:t xml:space="preserve"> +2,8% Area non euro). </w:t>
      </w:r>
    </w:p>
    <w:p w14:paraId="45BD7DF6" w14:textId="77777777" w:rsidR="00A84F05" w:rsidRDefault="00A84F05" w:rsidP="00A84F05">
      <w:pPr>
        <w:pStyle w:val="001TitoloBolocco"/>
        <w:pBdr>
          <w:bottom w:val="none" w:sz="0" w:space="0" w:color="auto"/>
        </w:pBdr>
        <w:spacing w:after="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 xml:space="preserve">Per quanto riguarda i beni intermedi, i prezzi all’importazione aumentano su base congiunturale dell’1,5% (+1,5% Area euro, +1,7% </w:t>
      </w:r>
      <w:r w:rsidRPr="004A689A">
        <w:rPr>
          <w:rFonts w:ascii="Arial" w:hAnsi="Arial" w:cs="Times New Roman"/>
          <w:b w:val="0"/>
          <w:bCs w:val="0"/>
          <w:caps w:val="0"/>
          <w:color w:val="auto"/>
          <w:kern w:val="28"/>
          <w:sz w:val="21"/>
          <w:szCs w:val="21"/>
        </w:rPr>
        <w:t>Area non euro)</w:t>
      </w:r>
      <w:r>
        <w:rPr>
          <w:rFonts w:ascii="Arial" w:hAnsi="Arial" w:cs="Times New Roman"/>
          <w:b w:val="0"/>
          <w:bCs w:val="0"/>
          <w:caps w:val="0"/>
          <w:color w:val="auto"/>
          <w:kern w:val="28"/>
          <w:sz w:val="21"/>
          <w:szCs w:val="21"/>
        </w:rPr>
        <w:t>; su base annua, crescono del 19,4% per il mercato totale, del 20,3% per l’Area euro e del 18,3%</w:t>
      </w:r>
      <w:r w:rsidRPr="004A689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per l’Area non euro</w:t>
      </w:r>
      <w:r w:rsidRPr="004A689A">
        <w:rPr>
          <w:rFonts w:ascii="Arial" w:hAnsi="Arial" w:cs="Times New Roman"/>
          <w:b w:val="0"/>
          <w:bCs w:val="0"/>
          <w:caps w:val="0"/>
          <w:color w:val="auto"/>
          <w:kern w:val="28"/>
          <w:sz w:val="21"/>
          <w:szCs w:val="21"/>
        </w:rPr>
        <w:t>.</w:t>
      </w:r>
    </w:p>
    <w:p w14:paraId="30DF58E9" w14:textId="77777777" w:rsidR="00740689" w:rsidRDefault="00740689" w:rsidP="00740689">
      <w:pPr>
        <w:pStyle w:val="001TitoloBolocco"/>
        <w:pBdr>
          <w:bottom w:val="none" w:sz="0" w:space="0" w:color="auto"/>
        </w:pBdr>
        <w:spacing w:after="0"/>
        <w:rPr>
          <w:rFonts w:ascii="Arial" w:hAnsi="Arial" w:cs="Times New Roman"/>
          <w:b w:val="0"/>
          <w:bCs w:val="0"/>
          <w:caps w:val="0"/>
          <w:color w:val="auto"/>
          <w:kern w:val="28"/>
          <w:sz w:val="21"/>
          <w:szCs w:val="21"/>
        </w:rPr>
      </w:pPr>
    </w:p>
    <w:p w14:paraId="69D3DA61" w14:textId="3C58F250" w:rsidR="00B076CD" w:rsidRPr="00E71B50" w:rsidRDefault="00B076CD" w:rsidP="00B076CD">
      <w:pPr>
        <w:pStyle w:val="001TitoloBolocco"/>
        <w:spacing w:after="120" w:line="240" w:lineRule="auto"/>
      </w:pPr>
      <w:r w:rsidRPr="00E71B50">
        <w:t>settori di attività economica</w:t>
      </w:r>
    </w:p>
    <w:p w14:paraId="4E7158C2" w14:textId="6F777729" w:rsidR="00E2552F" w:rsidRPr="00E2552F" w:rsidRDefault="00E2552F" w:rsidP="00E2552F">
      <w:pPr>
        <w:jc w:val="both"/>
        <w:rPr>
          <w:rFonts w:ascii="Arial Narrow" w:hAnsi="Arial Narrow" w:cs="Arial"/>
          <w:b/>
          <w:color w:val="E42618"/>
          <w:kern w:val="28"/>
          <w:sz w:val="22"/>
          <w:szCs w:val="22"/>
        </w:rPr>
      </w:pPr>
      <w:r w:rsidRPr="00E2552F">
        <w:rPr>
          <w:rFonts w:ascii="Arial Narrow" w:hAnsi="Arial Narrow" w:cs="Arial"/>
          <w:b/>
          <w:color w:val="E42618"/>
          <w:kern w:val="28"/>
          <w:sz w:val="22"/>
          <w:szCs w:val="22"/>
        </w:rPr>
        <w:t>FIGURA 1</w:t>
      </w:r>
      <w:r w:rsidR="006218A7">
        <w:rPr>
          <w:rFonts w:ascii="Arial Narrow" w:hAnsi="Arial Narrow" w:cs="Arial"/>
          <w:b/>
          <w:color w:val="E42618"/>
          <w:kern w:val="28"/>
          <w:sz w:val="22"/>
          <w:szCs w:val="22"/>
        </w:rPr>
        <w:t>1</w:t>
      </w:r>
      <w:r w:rsidRPr="00E2552F">
        <w:rPr>
          <w:rFonts w:ascii="Arial Narrow" w:hAnsi="Arial Narrow" w:cs="Arial"/>
          <w:b/>
          <w:color w:val="E42618"/>
          <w:kern w:val="28"/>
          <w:sz w:val="22"/>
          <w:szCs w:val="22"/>
        </w:rPr>
        <w:t xml:space="preserve">. </w:t>
      </w:r>
      <w:r w:rsidR="006218A7" w:rsidRPr="006218A7">
        <w:rPr>
          <w:rFonts w:ascii="Arial Narrow" w:hAnsi="Arial Narrow" w:cs="Arial"/>
          <w:b/>
          <w:color w:val="5F5F5F"/>
          <w:sz w:val="22"/>
          <w:szCs w:val="22"/>
        </w:rPr>
        <w:t>PREZZI ALL’IMPORTAZIONE PER SETTORE DI ATTIVITÀ ECONOMICA</w:t>
      </w:r>
    </w:p>
    <w:p w14:paraId="4750FFDA" w14:textId="6C150692" w:rsidR="00E2552F" w:rsidRDefault="00CB06AD" w:rsidP="002D3666">
      <w:pPr>
        <w:pStyle w:val="Corpodeltesto1"/>
        <w:spacing w:after="6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Febbraio</w:t>
      </w:r>
      <w:r w:rsidR="00127273">
        <w:rPr>
          <w:rFonts w:ascii="Arial Narrow" w:hAnsi="Arial Narrow" w:cs="Arial"/>
          <w:b w:val="0"/>
          <w:color w:val="5F5F5F"/>
          <w:kern w:val="28"/>
          <w:sz w:val="20"/>
          <w:szCs w:val="20"/>
        </w:rPr>
        <w:t xml:space="preserve"> 2022</w:t>
      </w:r>
      <w:r w:rsidR="00E2552F" w:rsidRPr="00E2552F">
        <w:rPr>
          <w:rFonts w:ascii="Arial Narrow" w:hAnsi="Arial Narrow" w:cs="Arial"/>
          <w:b w:val="0"/>
          <w:color w:val="5F5F5F"/>
          <w:kern w:val="28"/>
          <w:sz w:val="20"/>
          <w:szCs w:val="20"/>
        </w:rPr>
        <w:t>, variazioni percentuali tendenziali (base 2015=100)</w:t>
      </w:r>
    </w:p>
    <w:p w14:paraId="16163FCE" w14:textId="6CEAFD72" w:rsidR="00A84F05" w:rsidRDefault="00A84F05" w:rsidP="002D3666">
      <w:pPr>
        <w:pStyle w:val="Corpodeltesto1"/>
        <w:spacing w:after="60"/>
        <w:jc w:val="left"/>
        <w:rPr>
          <w:rFonts w:ascii="Arial Narrow" w:hAnsi="Arial Narrow" w:cs="Arial"/>
          <w:b w:val="0"/>
          <w:color w:val="5F5F5F"/>
          <w:kern w:val="28"/>
          <w:sz w:val="20"/>
          <w:szCs w:val="20"/>
        </w:rPr>
      </w:pPr>
      <w:r>
        <w:rPr>
          <w:rFonts w:ascii="Arial Narrow" w:hAnsi="Arial Narrow" w:cs="Arial"/>
          <w:b w:val="0"/>
          <w:noProof/>
          <w:color w:val="5F5F5F"/>
          <w:kern w:val="28"/>
          <w:sz w:val="20"/>
          <w:szCs w:val="20"/>
        </w:rPr>
        <w:drawing>
          <wp:inline distT="0" distB="0" distL="0" distR="0" wp14:anchorId="0E09FDDF" wp14:editId="08C442D0">
            <wp:extent cx="6496215" cy="2565882"/>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7261" cy="2570245"/>
                    </a:xfrm>
                    <a:prstGeom prst="rect">
                      <a:avLst/>
                    </a:prstGeom>
                    <a:noFill/>
                  </pic:spPr>
                </pic:pic>
              </a:graphicData>
            </a:graphic>
          </wp:inline>
        </w:drawing>
      </w:r>
    </w:p>
    <w:p w14:paraId="037388FD" w14:textId="68AB4B88" w:rsidR="00E05DFF" w:rsidRPr="00E05DFF" w:rsidRDefault="00E05DFF" w:rsidP="00E05DFF">
      <w:pPr>
        <w:jc w:val="both"/>
        <w:rPr>
          <w:rFonts w:ascii="Arial Narrow" w:hAnsi="Arial Narrow" w:cs="Arial"/>
          <w:color w:val="000000"/>
          <w:sz w:val="15"/>
          <w:szCs w:val="15"/>
        </w:rPr>
      </w:pPr>
      <w:r>
        <w:rPr>
          <w:rFonts w:ascii="Arial Narrow" w:hAnsi="Arial Narrow" w:cs="Calibri"/>
          <w:sz w:val="15"/>
          <w:szCs w:val="15"/>
        </w:rPr>
        <w:t>Codifiche</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Pr>
          <w:rFonts w:ascii="Arial Narrow" w:hAnsi="Arial Narrow" w:cs="Calibri"/>
          <w:sz w:val="15"/>
          <w:szCs w:val="15"/>
        </w:rPr>
        <w:t xml:space="preserve"> </w:t>
      </w:r>
      <w:r w:rsidRPr="00E05DFF">
        <w:rPr>
          <w:rFonts w:ascii="Arial Narrow" w:hAnsi="Arial Narrow" w:cs="Arial"/>
          <w:color w:val="000000"/>
          <w:sz w:val="15"/>
          <w:szCs w:val="15"/>
        </w:rPr>
        <w:t>CA - Industrie alimentari, bevande e tabacco; CB - Industrie tessili, abbigliamento, pelli e accessori; CC - Industria del legno, della carta e stampa; CD - Fabbricazione di coke e prodotti petroliferi raffinati; CE - Fabbricazione di prodotti chimici; CF - Produzione di prodotti farmaceutici di base e preparati farmaceutici; CG - Fabbricazione di articoli in gomma e materie plastiche, altri prodotti della lavorazione di minerali non metalliferi; CH - Metallurgia e fabbricazione di prodotti in metallo (esclusi macchine e impianti); CI - Fabbricazione di computer, prodotti di elettronica e ottica, apparecchi elettromedicali, apparecchi di misurazione e orologi; CJ - Fabbricazione di apparecchiature elettriche e apparecchiature per uso domestico non elettriche; CK - Fabbricazione di macchinari e attrezzature n.c.a.; CL - Fabbricazione di mezzi di trasporto; CM - Altre industrie manifatturiere, riparazione e installazione di macchine e apparecchiature.</w:t>
      </w:r>
    </w:p>
    <w:p w14:paraId="6B72D06C" w14:textId="77777777" w:rsidR="00123742" w:rsidRPr="00505B4F" w:rsidRDefault="00123742" w:rsidP="00391ADB">
      <w:pPr>
        <w:jc w:val="both"/>
        <w:rPr>
          <w:rFonts w:ascii="Arial" w:hAnsi="Arial" w:cs="Arial"/>
          <w:color w:val="000000"/>
          <w:sz w:val="6"/>
          <w:szCs w:val="16"/>
        </w:rPr>
      </w:pPr>
    </w:p>
    <w:p w14:paraId="7492DEA3" w14:textId="77F4AF63" w:rsidR="00DF597A" w:rsidRDefault="00DF597A" w:rsidP="00A84F05">
      <w:pPr>
        <w:jc w:val="both"/>
        <w:rPr>
          <w:rFonts w:ascii="Arial" w:hAnsi="Arial" w:cs="Arial"/>
          <w:color w:val="000000"/>
          <w:sz w:val="21"/>
          <w:szCs w:val="21"/>
        </w:rPr>
      </w:pPr>
    </w:p>
    <w:p w14:paraId="00F95876" w14:textId="77777777" w:rsidR="00DF597A" w:rsidRDefault="00DF597A" w:rsidP="00A84F05">
      <w:pPr>
        <w:jc w:val="both"/>
        <w:rPr>
          <w:rFonts w:ascii="Arial" w:hAnsi="Arial" w:cs="Arial"/>
          <w:color w:val="000000"/>
          <w:sz w:val="21"/>
          <w:szCs w:val="21"/>
        </w:rPr>
      </w:pPr>
    </w:p>
    <w:p w14:paraId="4D2674BF" w14:textId="77777777" w:rsidR="00DF597A" w:rsidRDefault="00DF597A" w:rsidP="00A84F05">
      <w:pPr>
        <w:jc w:val="both"/>
        <w:rPr>
          <w:rFonts w:ascii="Arial" w:hAnsi="Arial" w:cs="Arial"/>
          <w:color w:val="000000"/>
          <w:sz w:val="21"/>
          <w:szCs w:val="21"/>
        </w:rPr>
      </w:pPr>
    </w:p>
    <w:p w14:paraId="368BD06F" w14:textId="56C6EB2D" w:rsidR="00CC414A" w:rsidRDefault="00A84F05" w:rsidP="00F807AD">
      <w:pPr>
        <w:jc w:val="both"/>
        <w:rPr>
          <w:rFonts w:ascii="Arial" w:hAnsi="Arial" w:cs="Arial"/>
          <w:b/>
          <w:spacing w:val="-3"/>
        </w:rPr>
      </w:pPr>
      <w:r>
        <w:rPr>
          <w:rFonts w:ascii="Arial" w:hAnsi="Arial" w:cs="Arial"/>
          <w:color w:val="000000"/>
          <w:sz w:val="21"/>
          <w:szCs w:val="21"/>
        </w:rPr>
        <w:t>I</w:t>
      </w:r>
      <w:r w:rsidRPr="005355BE">
        <w:rPr>
          <w:rFonts w:ascii="Arial" w:hAnsi="Arial" w:cs="Arial"/>
          <w:color w:val="000000"/>
          <w:sz w:val="21"/>
          <w:szCs w:val="21"/>
        </w:rPr>
        <w:t xml:space="preserve"> prezzi all’importazione segnano</w:t>
      </w:r>
      <w:r>
        <w:rPr>
          <w:rFonts w:ascii="Arial" w:hAnsi="Arial" w:cs="Arial"/>
          <w:color w:val="000000"/>
          <w:sz w:val="21"/>
          <w:szCs w:val="21"/>
        </w:rPr>
        <w:t xml:space="preserve"> incrementi</w:t>
      </w:r>
      <w:r w:rsidRPr="005355BE">
        <w:rPr>
          <w:rFonts w:ascii="Arial" w:hAnsi="Arial" w:cs="Arial"/>
          <w:color w:val="000000"/>
          <w:sz w:val="21"/>
          <w:szCs w:val="21"/>
        </w:rPr>
        <w:t xml:space="preserve"> tendenziali </w:t>
      </w:r>
      <w:r>
        <w:rPr>
          <w:rFonts w:ascii="Arial" w:hAnsi="Arial" w:cs="Arial"/>
          <w:color w:val="000000"/>
          <w:sz w:val="21"/>
          <w:szCs w:val="21"/>
        </w:rPr>
        <w:t>in</w:t>
      </w:r>
      <w:r w:rsidR="00F807AD">
        <w:rPr>
          <w:rFonts w:ascii="Arial" w:hAnsi="Arial" w:cs="Arial"/>
          <w:color w:val="000000"/>
          <w:sz w:val="21"/>
          <w:szCs w:val="21"/>
        </w:rPr>
        <w:t xml:space="preserve"> quasi </w:t>
      </w:r>
      <w:r>
        <w:rPr>
          <w:rFonts w:ascii="Arial" w:hAnsi="Arial" w:cs="Arial"/>
          <w:color w:val="000000"/>
          <w:sz w:val="21"/>
          <w:szCs w:val="21"/>
        </w:rPr>
        <w:t>tutti i settori manifatturieri</w:t>
      </w:r>
      <w:r w:rsidR="00F807AD">
        <w:rPr>
          <w:rFonts w:ascii="Arial" w:hAnsi="Arial" w:cs="Arial"/>
          <w:color w:val="000000"/>
          <w:sz w:val="21"/>
          <w:szCs w:val="21"/>
        </w:rPr>
        <w:t>; i più elevati</w:t>
      </w:r>
      <w:r w:rsidRPr="005355BE">
        <w:rPr>
          <w:rFonts w:ascii="Arial" w:hAnsi="Arial" w:cs="Arial"/>
          <w:color w:val="000000"/>
          <w:sz w:val="21"/>
          <w:szCs w:val="21"/>
        </w:rPr>
        <w:t xml:space="preserve"> </w:t>
      </w:r>
      <w:r w:rsidR="007753F3">
        <w:rPr>
          <w:rFonts w:ascii="Arial" w:hAnsi="Arial" w:cs="Arial"/>
          <w:color w:val="000000"/>
          <w:sz w:val="21"/>
          <w:szCs w:val="21"/>
        </w:rPr>
        <w:t xml:space="preserve">interessano </w:t>
      </w:r>
      <w:r>
        <w:rPr>
          <w:rFonts w:ascii="Arial" w:hAnsi="Arial" w:cs="Arial"/>
          <w:color w:val="000000"/>
          <w:sz w:val="21"/>
          <w:szCs w:val="21"/>
        </w:rPr>
        <w:t xml:space="preserve">fabbricazione di </w:t>
      </w:r>
      <w:r w:rsidRPr="005355BE">
        <w:rPr>
          <w:rFonts w:ascii="Arial" w:hAnsi="Arial" w:cs="Arial"/>
          <w:color w:val="000000"/>
          <w:sz w:val="21"/>
          <w:szCs w:val="21"/>
        </w:rPr>
        <w:t>coke e pr</w:t>
      </w:r>
      <w:r>
        <w:rPr>
          <w:rFonts w:ascii="Arial" w:hAnsi="Arial" w:cs="Arial"/>
          <w:color w:val="000000"/>
          <w:sz w:val="21"/>
          <w:szCs w:val="21"/>
        </w:rPr>
        <w:t>odotti petroliferi raffinati (+39,6% Area euro, +26,5% Area non euro), m</w:t>
      </w:r>
      <w:r w:rsidRPr="00DA01C4">
        <w:rPr>
          <w:rFonts w:ascii="Arial" w:hAnsi="Arial" w:cs="Arial"/>
          <w:color w:val="000000"/>
          <w:sz w:val="21"/>
          <w:szCs w:val="21"/>
        </w:rPr>
        <w:t>etallurgia e fabbricazione di prodotti in metallo</w:t>
      </w:r>
      <w:r>
        <w:rPr>
          <w:rFonts w:ascii="Arial" w:hAnsi="Arial" w:cs="Arial"/>
          <w:color w:val="000000"/>
          <w:sz w:val="21"/>
          <w:szCs w:val="21"/>
        </w:rPr>
        <w:t xml:space="preserve">, </w:t>
      </w:r>
      <w:r w:rsidRPr="00DA01C4">
        <w:rPr>
          <w:rFonts w:ascii="Arial" w:hAnsi="Arial" w:cs="Arial"/>
          <w:color w:val="000000"/>
          <w:sz w:val="21"/>
          <w:szCs w:val="21"/>
        </w:rPr>
        <w:t>esclusi macchine e impianti</w:t>
      </w:r>
      <w:r>
        <w:rPr>
          <w:rFonts w:ascii="Arial" w:hAnsi="Arial" w:cs="Arial"/>
          <w:color w:val="000000"/>
          <w:sz w:val="21"/>
          <w:szCs w:val="21"/>
        </w:rPr>
        <w:t xml:space="preserve"> (+24,7% Area euro, +26,7% Area non euro), industria del legno, della carta e stampa (+25,3% Area euro, +26,1% Area non euro), fabbricazione di prodotti chimici (+23,7% Area euro, +16,4% Area non euro) e industrie alimentari, bevande e tabacco (+10,0% Area euro, +14,2% Area non euro).</w:t>
      </w:r>
      <w:r w:rsidR="00F807AD">
        <w:rPr>
          <w:rFonts w:ascii="Arial" w:hAnsi="Arial" w:cs="Arial"/>
          <w:color w:val="000000"/>
          <w:sz w:val="21"/>
          <w:szCs w:val="21"/>
        </w:rPr>
        <w:t xml:space="preserve"> L’unica flessione tendenziale riguarda il settore della produzione di prodotti farmaceutici di base e preparati farmaceutici (-1,9% Area non euro).</w:t>
      </w:r>
    </w:p>
    <w:p w14:paraId="1B375034" w14:textId="3E2AC73A" w:rsidR="00F807AD" w:rsidRDefault="00F807A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0A29DEAE" w14:textId="77777777" w:rsidR="00F807AD" w:rsidRDefault="00F807A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F807AD" w:rsidSect="009B2E91">
          <w:headerReference w:type="default" r:id="rId34"/>
          <w:pgSz w:w="11907" w:h="16840" w:code="9"/>
          <w:pgMar w:top="1534" w:right="851" w:bottom="680" w:left="851" w:header="567" w:footer="567" w:gutter="0"/>
          <w:cols w:space="720"/>
          <w:noEndnote/>
          <w:docGrid w:linePitch="272"/>
        </w:sectPr>
      </w:pPr>
    </w:p>
    <w:p w14:paraId="2CC81382" w14:textId="77777777" w:rsidR="00FE069A" w:rsidRDefault="00FE069A" w:rsidP="00010C7B">
      <w:pPr>
        <w:ind w:right="57"/>
        <w:jc w:val="both"/>
        <w:rPr>
          <w:rFonts w:ascii="Arial Narrow" w:hAnsi="Arial Narrow" w:cs="Arial"/>
          <w:b/>
          <w:color w:val="E42618"/>
          <w:sz w:val="22"/>
          <w:szCs w:val="22"/>
        </w:rPr>
      </w:pPr>
    </w:p>
    <w:p w14:paraId="12A12C42" w14:textId="738912B3" w:rsidR="00010C7B" w:rsidRPr="00AD4483" w:rsidRDefault="00010C7B" w:rsidP="00010C7B">
      <w:pPr>
        <w:ind w:right="57"/>
        <w:jc w:val="both"/>
        <w:rPr>
          <w:rFonts w:ascii="Arial Narrow" w:hAnsi="Arial Narrow" w:cs="Arial"/>
          <w:b/>
          <w:color w:val="5F5F5F"/>
          <w:sz w:val="22"/>
          <w:szCs w:val="22"/>
        </w:rPr>
      </w:pPr>
      <w:r w:rsidRPr="00AD4483">
        <w:rPr>
          <w:rFonts w:ascii="Arial Narrow" w:hAnsi="Arial Narrow" w:cs="Arial"/>
          <w:b/>
          <w:color w:val="E42618"/>
          <w:sz w:val="22"/>
          <w:szCs w:val="22"/>
        </w:rPr>
        <w:t xml:space="preserve">PROSPETTO </w:t>
      </w:r>
      <w:r w:rsidR="007D643E" w:rsidRPr="00AD4483">
        <w:rPr>
          <w:rFonts w:ascii="Arial Narrow" w:hAnsi="Arial Narrow" w:cs="Arial"/>
          <w:b/>
          <w:color w:val="E42618"/>
          <w:sz w:val="22"/>
          <w:szCs w:val="22"/>
        </w:rPr>
        <w:t>6</w:t>
      </w:r>
      <w:r w:rsidR="00E2032D">
        <w:rPr>
          <w:rFonts w:ascii="Arial Narrow" w:hAnsi="Arial Narrow" w:cs="Arial"/>
          <w:b/>
          <w:color w:val="E42618"/>
          <w:sz w:val="22"/>
          <w:szCs w:val="22"/>
        </w:rPr>
        <w:t>.</w:t>
      </w:r>
      <w:r w:rsidRPr="00AD4483">
        <w:rPr>
          <w:rFonts w:ascii="Arial Narrow" w:hAnsi="Arial Narrow" w:cs="Arial"/>
          <w:b/>
          <w:color w:val="5F5F5F"/>
        </w:rPr>
        <w:t xml:space="preserve"> </w:t>
      </w:r>
      <w:r w:rsidRPr="00AD4483">
        <w:rPr>
          <w:rFonts w:ascii="Arial Narrow" w:hAnsi="Arial Narrow" w:cs="Arial"/>
          <w:b/>
          <w:color w:val="5F5F5F"/>
          <w:sz w:val="22"/>
          <w:szCs w:val="22"/>
        </w:rPr>
        <w:t>ESPORTAZIONI E IMPORTAZIONI DI MERCI IN VALORE</w:t>
      </w:r>
    </w:p>
    <w:p w14:paraId="4C2BA523" w14:textId="2A8BB125" w:rsidR="00010C7B" w:rsidRPr="00FF4F6A" w:rsidRDefault="00CB06AD" w:rsidP="00FF4F6A">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Febbraio</w:t>
      </w:r>
      <w:r w:rsidR="00376CE6">
        <w:rPr>
          <w:rFonts w:ascii="Arial Narrow" w:hAnsi="Arial Narrow" w:cs="Arial"/>
          <w:b w:val="0"/>
          <w:color w:val="5F5F5F"/>
          <w:kern w:val="28"/>
          <w:sz w:val="20"/>
          <w:szCs w:val="20"/>
        </w:rPr>
        <w:t xml:space="preserve"> 2022</w:t>
      </w:r>
      <w:r w:rsidR="00010C7B" w:rsidRPr="00AD4483">
        <w:rPr>
          <w:rFonts w:ascii="Arial Narrow" w:hAnsi="Arial Narrow" w:cs="Arial"/>
          <w:b w:val="0"/>
          <w:color w:val="5F5F5F"/>
          <w:kern w:val="28"/>
          <w:sz w:val="20"/>
          <w:szCs w:val="20"/>
        </w:rPr>
        <w:t>, revisioni delle variazioni percentuali, differenze in punti percentuali</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10"/>
        <w:gridCol w:w="1531"/>
        <w:gridCol w:w="1426"/>
        <w:gridCol w:w="1469"/>
      </w:tblGrid>
      <w:tr w:rsidR="0090230D" w:rsidRPr="001C01EA" w14:paraId="4D1A5551" w14:textId="77777777" w:rsidTr="00D6552B">
        <w:trPr>
          <w:trHeight w:val="255"/>
        </w:trPr>
        <w:tc>
          <w:tcPr>
            <w:tcW w:w="1458" w:type="dxa"/>
            <w:tcBorders>
              <w:bottom w:val="nil"/>
            </w:tcBorders>
            <w:shd w:val="clear" w:color="auto" w:fill="auto"/>
            <w:vAlign w:val="center"/>
          </w:tcPr>
          <w:p w14:paraId="416AFC4B" w14:textId="77777777" w:rsidR="0090230D" w:rsidRPr="001C01EA" w:rsidRDefault="0090230D" w:rsidP="00C8610A">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E6E6E6"/>
            <w:vAlign w:val="center"/>
          </w:tcPr>
          <w:p w14:paraId="405D9526" w14:textId="77777777" w:rsidR="0090230D" w:rsidRPr="001C01EA" w:rsidRDefault="0090230D" w:rsidP="00C8610A">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41" w:type="dxa"/>
            <w:gridSpan w:val="2"/>
            <w:tcBorders>
              <w:bottom w:val="single" w:sz="4" w:space="0" w:color="333333"/>
            </w:tcBorders>
            <w:vAlign w:val="center"/>
          </w:tcPr>
          <w:p w14:paraId="612FACB8" w14:textId="77777777" w:rsidR="0090230D" w:rsidRPr="001C01EA" w:rsidRDefault="0090230D" w:rsidP="00C8610A">
            <w:pPr>
              <w:spacing w:before="40" w:after="20"/>
              <w:jc w:val="center"/>
              <w:rPr>
                <w:rFonts w:ascii="Arial Narrow" w:hAnsi="Arial Narrow" w:cs="Arial"/>
                <w:b/>
                <w:bCs/>
                <w:sz w:val="18"/>
                <w:szCs w:val="18"/>
              </w:rPr>
            </w:pPr>
            <w:r w:rsidRPr="001C01EA">
              <w:rPr>
                <w:rFonts w:ascii="Arial Narrow" w:hAnsi="Arial Narrow" w:cs="Arial"/>
                <w:b/>
                <w:bCs/>
                <w:sz w:val="18"/>
                <w:szCs w:val="18"/>
              </w:rPr>
              <w:t>Paesi Ue</w:t>
            </w:r>
            <w:r>
              <w:rPr>
                <w:rFonts w:ascii="Arial Narrow" w:hAnsi="Arial Narrow" w:cs="Arial"/>
                <w:b/>
                <w:bCs/>
                <w:sz w:val="18"/>
                <w:szCs w:val="18"/>
              </w:rPr>
              <w:t>27</w:t>
            </w:r>
          </w:p>
        </w:tc>
        <w:tc>
          <w:tcPr>
            <w:tcW w:w="2895" w:type="dxa"/>
            <w:gridSpan w:val="2"/>
            <w:tcBorders>
              <w:bottom w:val="single" w:sz="4" w:space="0" w:color="333333"/>
            </w:tcBorders>
            <w:shd w:val="clear" w:color="auto" w:fill="E6E6E6"/>
            <w:vAlign w:val="center"/>
          </w:tcPr>
          <w:p w14:paraId="7D01E77B" w14:textId="77777777" w:rsidR="0090230D" w:rsidRPr="001C01EA" w:rsidRDefault="0090230D" w:rsidP="006629BE">
            <w:pPr>
              <w:spacing w:before="40" w:after="20"/>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90230D" w:rsidRPr="001C01EA" w14:paraId="2C5C6C71" w14:textId="77777777" w:rsidTr="00D6552B">
        <w:trPr>
          <w:trHeight w:val="255"/>
        </w:trPr>
        <w:tc>
          <w:tcPr>
            <w:tcW w:w="1458" w:type="dxa"/>
            <w:tcBorders>
              <w:top w:val="nil"/>
              <w:bottom w:val="nil"/>
            </w:tcBorders>
            <w:shd w:val="clear" w:color="auto" w:fill="auto"/>
            <w:vAlign w:val="center"/>
          </w:tcPr>
          <w:p w14:paraId="0647D32E" w14:textId="77777777" w:rsidR="0090230D" w:rsidRPr="001C01EA" w:rsidRDefault="0090230D" w:rsidP="00C8610A">
            <w:pPr>
              <w:spacing w:before="40" w:after="20"/>
              <w:jc w:val="center"/>
              <w:rPr>
                <w:rFonts w:ascii="Arial Narrow" w:hAnsi="Arial Narrow" w:cs="Arial"/>
                <w:bCs/>
                <w:sz w:val="18"/>
                <w:szCs w:val="18"/>
              </w:rPr>
            </w:pPr>
          </w:p>
        </w:tc>
        <w:tc>
          <w:tcPr>
            <w:tcW w:w="1456" w:type="dxa"/>
            <w:shd w:val="clear" w:color="auto" w:fill="E6E6E6"/>
            <w:vAlign w:val="center"/>
          </w:tcPr>
          <w:p w14:paraId="0C7D3B85"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56" w:type="dxa"/>
            <w:vAlign w:val="center"/>
          </w:tcPr>
          <w:p w14:paraId="3B610C72"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10" w:type="dxa"/>
            <w:shd w:val="clear" w:color="auto" w:fill="E6E6E6"/>
            <w:vAlign w:val="center"/>
          </w:tcPr>
          <w:p w14:paraId="152754EC"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531" w:type="dxa"/>
            <w:vAlign w:val="center"/>
          </w:tcPr>
          <w:p w14:paraId="20F19D9B"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26" w:type="dxa"/>
            <w:shd w:val="clear" w:color="auto" w:fill="E6E6E6"/>
            <w:vAlign w:val="center"/>
          </w:tcPr>
          <w:p w14:paraId="7037FBCD"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69" w:type="dxa"/>
            <w:vAlign w:val="center"/>
          </w:tcPr>
          <w:p w14:paraId="2EC3E607"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90230D" w:rsidRPr="001C01EA" w14:paraId="024E6F6A" w14:textId="77777777" w:rsidTr="00D6552B">
        <w:trPr>
          <w:trHeight w:val="255"/>
        </w:trPr>
        <w:tc>
          <w:tcPr>
            <w:tcW w:w="10206" w:type="dxa"/>
            <w:gridSpan w:val="7"/>
            <w:shd w:val="clear" w:color="auto" w:fill="FFFFFF"/>
            <w:vAlign w:val="center"/>
          </w:tcPr>
          <w:p w14:paraId="70B8F2FB" w14:textId="164664F9" w:rsidR="0090230D" w:rsidRPr="00010C7B" w:rsidRDefault="00CB06AD" w:rsidP="00C8610A">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Febbraio</w:t>
            </w:r>
            <w:r w:rsidR="00760BF5">
              <w:rPr>
                <w:rFonts w:ascii="Arial Narrow" w:hAnsi="Arial Narrow" w:cs="Arial Narrow"/>
                <w:b/>
                <w:color w:val="000000"/>
                <w:sz w:val="18"/>
                <w:szCs w:val="18"/>
              </w:rPr>
              <w:t xml:space="preserve"> </w:t>
            </w:r>
            <w:r w:rsidR="0090230D">
              <w:rPr>
                <w:rFonts w:ascii="Arial Narrow" w:hAnsi="Arial Narrow" w:cs="Arial Narrow"/>
                <w:b/>
                <w:color w:val="000000"/>
                <w:sz w:val="18"/>
                <w:szCs w:val="18"/>
              </w:rPr>
              <w:t>202</w:t>
            </w:r>
            <w:r w:rsidR="00376CE6">
              <w:rPr>
                <w:rFonts w:ascii="Arial Narrow" w:hAnsi="Arial Narrow" w:cs="Arial Narrow"/>
                <w:b/>
                <w:color w:val="000000"/>
                <w:sz w:val="18"/>
                <w:szCs w:val="18"/>
              </w:rPr>
              <w:t>2</w:t>
            </w:r>
          </w:p>
        </w:tc>
      </w:tr>
      <w:tr w:rsidR="00AA59E1" w:rsidRPr="008C0651" w14:paraId="5BA71B94" w14:textId="77777777" w:rsidTr="00D6552B">
        <w:trPr>
          <w:trHeight w:val="255"/>
        </w:trPr>
        <w:tc>
          <w:tcPr>
            <w:tcW w:w="1458" w:type="dxa"/>
            <w:shd w:val="clear" w:color="auto" w:fill="E6E6E6"/>
            <w:vAlign w:val="center"/>
          </w:tcPr>
          <w:p w14:paraId="1614DC19"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394C7377"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44F6788B"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3E7B3DF2"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19043167"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50E7F0A4" w14:textId="58E4DA84"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+0,1</w:t>
            </w:r>
          </w:p>
        </w:tc>
        <w:tc>
          <w:tcPr>
            <w:tcW w:w="1469" w:type="dxa"/>
            <w:vAlign w:val="center"/>
          </w:tcPr>
          <w:p w14:paraId="6D07B491" w14:textId="374764FE"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+0,1</w:t>
            </w:r>
          </w:p>
        </w:tc>
      </w:tr>
      <w:tr w:rsidR="00AA59E1" w:rsidRPr="008C0651" w14:paraId="18CA9FA4" w14:textId="77777777" w:rsidTr="00D6552B">
        <w:trPr>
          <w:trHeight w:val="255"/>
        </w:trPr>
        <w:tc>
          <w:tcPr>
            <w:tcW w:w="1458" w:type="dxa"/>
            <w:shd w:val="clear" w:color="auto" w:fill="E6E6E6"/>
            <w:vAlign w:val="center"/>
          </w:tcPr>
          <w:p w14:paraId="34D9F52D"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289F9538"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0D2C3EF8"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7578575A"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24BC1ECB"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5FF61867" w14:textId="428417D6"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+0,1</w:t>
            </w:r>
          </w:p>
        </w:tc>
        <w:tc>
          <w:tcPr>
            <w:tcW w:w="1469" w:type="dxa"/>
            <w:vAlign w:val="center"/>
          </w:tcPr>
          <w:p w14:paraId="7F130C45" w14:textId="0EE79E35"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+0,1</w:t>
            </w:r>
          </w:p>
        </w:tc>
      </w:tr>
      <w:tr w:rsidR="0090230D" w:rsidRPr="001C01EA" w14:paraId="30C2BF91" w14:textId="77777777" w:rsidTr="00D6552B">
        <w:trPr>
          <w:trHeight w:val="255"/>
        </w:trPr>
        <w:tc>
          <w:tcPr>
            <w:tcW w:w="10206" w:type="dxa"/>
            <w:gridSpan w:val="7"/>
            <w:shd w:val="clear" w:color="auto" w:fill="FFFFFF"/>
            <w:vAlign w:val="center"/>
          </w:tcPr>
          <w:p w14:paraId="305B11B3" w14:textId="48FCD17C" w:rsidR="0090230D" w:rsidRPr="00010C7B" w:rsidRDefault="00CB06AD" w:rsidP="00CB06AD">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Gennaio</w:t>
            </w:r>
            <w:r w:rsidR="0090230D">
              <w:rPr>
                <w:rFonts w:ascii="Arial Narrow" w:hAnsi="Arial Narrow" w:cs="Arial Narrow"/>
                <w:b/>
                <w:color w:val="000000"/>
                <w:sz w:val="18"/>
                <w:szCs w:val="18"/>
              </w:rPr>
              <w:t xml:space="preserve"> 202</w:t>
            </w:r>
            <w:r>
              <w:rPr>
                <w:rFonts w:ascii="Arial Narrow" w:hAnsi="Arial Narrow" w:cs="Arial Narrow"/>
                <w:b/>
                <w:color w:val="000000"/>
                <w:sz w:val="18"/>
                <w:szCs w:val="18"/>
              </w:rPr>
              <w:t>2</w:t>
            </w:r>
          </w:p>
        </w:tc>
      </w:tr>
      <w:tr w:rsidR="00AA59E1" w:rsidRPr="008C0651" w14:paraId="39380601" w14:textId="77777777" w:rsidTr="00D6552B">
        <w:trPr>
          <w:trHeight w:val="255"/>
        </w:trPr>
        <w:tc>
          <w:tcPr>
            <w:tcW w:w="1458" w:type="dxa"/>
            <w:shd w:val="clear" w:color="auto" w:fill="E6E6E6"/>
            <w:vAlign w:val="center"/>
          </w:tcPr>
          <w:p w14:paraId="3A3BF8B7"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29C1528F" w14:textId="106A16F4"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+0,0</w:t>
            </w:r>
          </w:p>
        </w:tc>
        <w:tc>
          <w:tcPr>
            <w:tcW w:w="1456" w:type="dxa"/>
            <w:vAlign w:val="center"/>
          </w:tcPr>
          <w:p w14:paraId="7888F5C3" w14:textId="6F33010E"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+0,1</w:t>
            </w:r>
          </w:p>
        </w:tc>
        <w:tc>
          <w:tcPr>
            <w:tcW w:w="1410" w:type="dxa"/>
            <w:shd w:val="clear" w:color="auto" w:fill="E6E6E6"/>
            <w:vAlign w:val="center"/>
          </w:tcPr>
          <w:p w14:paraId="3949346C" w14:textId="603B876C"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+0,0</w:t>
            </w:r>
          </w:p>
        </w:tc>
        <w:tc>
          <w:tcPr>
            <w:tcW w:w="1531" w:type="dxa"/>
            <w:vAlign w:val="center"/>
          </w:tcPr>
          <w:p w14:paraId="486CF35E" w14:textId="0164EB88"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+0,1</w:t>
            </w:r>
          </w:p>
        </w:tc>
        <w:tc>
          <w:tcPr>
            <w:tcW w:w="1426" w:type="dxa"/>
            <w:shd w:val="clear" w:color="auto" w:fill="E6E6E6"/>
            <w:vAlign w:val="center"/>
          </w:tcPr>
          <w:p w14:paraId="16C138B7" w14:textId="4D315EEC" w:rsidR="00AA59E1" w:rsidRDefault="00AA59E1" w:rsidP="00AA59E1">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0DA9769C" w14:textId="544B8E5A"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+0,2</w:t>
            </w:r>
          </w:p>
        </w:tc>
      </w:tr>
      <w:tr w:rsidR="00AA59E1" w:rsidRPr="008C0651" w14:paraId="1FE9FEC0" w14:textId="77777777" w:rsidTr="00D6552B">
        <w:trPr>
          <w:trHeight w:val="255"/>
        </w:trPr>
        <w:tc>
          <w:tcPr>
            <w:tcW w:w="1458" w:type="dxa"/>
            <w:shd w:val="clear" w:color="auto" w:fill="E6E6E6"/>
            <w:vAlign w:val="center"/>
          </w:tcPr>
          <w:p w14:paraId="354B2B35" w14:textId="77777777" w:rsidR="00AA59E1" w:rsidRPr="00C479EF" w:rsidRDefault="00AA59E1" w:rsidP="00AA59E1">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1FC557BD" w14:textId="44ADA04E"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+0,2</w:t>
            </w:r>
          </w:p>
        </w:tc>
        <w:tc>
          <w:tcPr>
            <w:tcW w:w="1456" w:type="dxa"/>
            <w:vAlign w:val="center"/>
          </w:tcPr>
          <w:p w14:paraId="70C3AC13" w14:textId="130350FD"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+0,4</w:t>
            </w:r>
          </w:p>
        </w:tc>
        <w:tc>
          <w:tcPr>
            <w:tcW w:w="1410" w:type="dxa"/>
            <w:shd w:val="clear" w:color="auto" w:fill="E6E6E6"/>
            <w:vAlign w:val="center"/>
          </w:tcPr>
          <w:p w14:paraId="1DAD3A82" w14:textId="1034381B"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+0,4</w:t>
            </w:r>
          </w:p>
        </w:tc>
        <w:tc>
          <w:tcPr>
            <w:tcW w:w="1531" w:type="dxa"/>
            <w:vAlign w:val="center"/>
          </w:tcPr>
          <w:p w14:paraId="19AA4C65" w14:textId="7A49AF6A"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+0,3</w:t>
            </w:r>
          </w:p>
        </w:tc>
        <w:tc>
          <w:tcPr>
            <w:tcW w:w="1426" w:type="dxa"/>
            <w:shd w:val="clear" w:color="auto" w:fill="E6E6E6"/>
            <w:vAlign w:val="center"/>
          </w:tcPr>
          <w:p w14:paraId="354176E3" w14:textId="38FD7BC4" w:rsidR="00AA59E1" w:rsidRDefault="00AA59E1" w:rsidP="00AA59E1">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2B7AC526" w14:textId="6296635C" w:rsidR="00AA59E1" w:rsidRDefault="00AA59E1" w:rsidP="00AA59E1">
            <w:pPr>
              <w:jc w:val="center"/>
              <w:rPr>
                <w:rFonts w:ascii="Arial Narrow" w:hAnsi="Arial Narrow"/>
                <w:color w:val="000000"/>
                <w:sz w:val="18"/>
                <w:szCs w:val="18"/>
              </w:rPr>
            </w:pPr>
            <w:r>
              <w:rPr>
                <w:rFonts w:ascii="Arial Narrow" w:hAnsi="Arial Narrow"/>
                <w:color w:val="000000"/>
                <w:sz w:val="18"/>
                <w:szCs w:val="18"/>
              </w:rPr>
              <w:t>+0,4</w:t>
            </w:r>
          </w:p>
        </w:tc>
      </w:tr>
    </w:tbl>
    <w:p w14:paraId="6EDECB36" w14:textId="148B9B52" w:rsidR="006629BE" w:rsidRDefault="006629BE" w:rsidP="00072C03">
      <w:pPr>
        <w:ind w:right="28"/>
        <w:jc w:val="both"/>
        <w:rPr>
          <w:rFonts w:ascii="Arial" w:hAnsi="Arial" w:cs="Arial"/>
          <w:color w:val="000000"/>
          <w:sz w:val="21"/>
          <w:szCs w:val="21"/>
        </w:rPr>
      </w:pPr>
    </w:p>
    <w:p w14:paraId="4AD25D59" w14:textId="77777777" w:rsidR="00D6552B" w:rsidRPr="00D6552B" w:rsidRDefault="00D6552B" w:rsidP="00072C03">
      <w:pPr>
        <w:ind w:right="28"/>
        <w:jc w:val="both"/>
        <w:rPr>
          <w:rFonts w:ascii="Arial" w:hAnsi="Arial" w:cs="Arial"/>
          <w:color w:val="000000"/>
          <w:sz w:val="10"/>
          <w:szCs w:val="10"/>
        </w:rPr>
      </w:pPr>
    </w:p>
    <w:p w14:paraId="7426D10C" w14:textId="77777777" w:rsidR="006629BE" w:rsidRDefault="006629BE" w:rsidP="00072C03">
      <w:pPr>
        <w:ind w:right="28"/>
        <w:jc w:val="both"/>
        <w:rPr>
          <w:rFonts w:ascii="Arial Narrow" w:hAnsi="Arial Narrow" w:cs="Arial"/>
          <w:b/>
          <w:color w:val="E42618"/>
          <w:sz w:val="22"/>
          <w:szCs w:val="22"/>
        </w:rPr>
      </w:pPr>
    </w:p>
    <w:p w14:paraId="102EB212" w14:textId="77777777" w:rsidR="00072C03" w:rsidRPr="00A84F05" w:rsidRDefault="00B076CD" w:rsidP="00072C03">
      <w:pPr>
        <w:ind w:right="28"/>
        <w:jc w:val="both"/>
        <w:rPr>
          <w:rFonts w:ascii="Arial Narrow" w:hAnsi="Arial Narrow" w:cs="Arial"/>
          <w:b/>
          <w:color w:val="5F5F5F"/>
          <w:sz w:val="22"/>
          <w:szCs w:val="22"/>
        </w:rPr>
      </w:pPr>
      <w:r w:rsidRPr="00A84F05">
        <w:rPr>
          <w:rFonts w:ascii="Arial Narrow" w:hAnsi="Arial Narrow" w:cs="Arial"/>
          <w:b/>
          <w:color w:val="E42618"/>
          <w:sz w:val="22"/>
          <w:szCs w:val="22"/>
        </w:rPr>
        <w:t xml:space="preserve">PROSPETTO </w:t>
      </w:r>
      <w:r w:rsidR="007D643E" w:rsidRPr="00A84F05">
        <w:rPr>
          <w:rFonts w:ascii="Arial Narrow" w:hAnsi="Arial Narrow" w:cs="Arial"/>
          <w:b/>
          <w:color w:val="E42618"/>
          <w:sz w:val="22"/>
          <w:szCs w:val="22"/>
        </w:rPr>
        <w:t>7</w:t>
      </w:r>
      <w:r w:rsidRPr="00A84F05">
        <w:rPr>
          <w:rFonts w:ascii="Arial Narrow" w:hAnsi="Arial Narrow" w:cs="Arial"/>
          <w:b/>
          <w:color w:val="E42618"/>
          <w:sz w:val="22"/>
          <w:szCs w:val="22"/>
        </w:rPr>
        <w:t>.</w:t>
      </w:r>
      <w:r w:rsidRPr="00A84F05">
        <w:rPr>
          <w:rFonts w:ascii="Arial Narrow" w:hAnsi="Arial Narrow" w:cs="Arial"/>
          <w:b/>
          <w:color w:val="5F5F5F"/>
        </w:rPr>
        <w:t xml:space="preserve"> </w:t>
      </w:r>
      <w:r w:rsidR="00B13FB7" w:rsidRPr="00A84F05">
        <w:rPr>
          <w:rFonts w:ascii="Arial Narrow" w:hAnsi="Arial Narrow" w:cs="Arial"/>
          <w:b/>
          <w:color w:val="5F5F5F"/>
          <w:sz w:val="22"/>
          <w:szCs w:val="22"/>
        </w:rPr>
        <w:t>PREZZI ALL’IMPORTAZIONE</w:t>
      </w:r>
    </w:p>
    <w:p w14:paraId="6A7227FD" w14:textId="2B80E8F2" w:rsidR="009370E6" w:rsidRPr="006304A5" w:rsidRDefault="00CB06AD" w:rsidP="009370E6">
      <w:pPr>
        <w:pStyle w:val="Corpodeltesto1"/>
        <w:spacing w:after="120"/>
        <w:jc w:val="left"/>
        <w:rPr>
          <w:rFonts w:ascii="Arial Narrow" w:hAnsi="Arial Narrow" w:cs="Arial"/>
          <w:b w:val="0"/>
          <w:bCs/>
          <w:sz w:val="19"/>
          <w:szCs w:val="19"/>
        </w:rPr>
      </w:pPr>
      <w:r w:rsidRPr="00A84F05">
        <w:rPr>
          <w:rFonts w:ascii="Arial Narrow" w:hAnsi="Arial Narrow" w:cs="Arial"/>
          <w:b w:val="0"/>
          <w:color w:val="5F5F5F"/>
          <w:kern w:val="28"/>
          <w:sz w:val="20"/>
          <w:szCs w:val="20"/>
        </w:rPr>
        <w:t>Gennaio</w:t>
      </w:r>
      <w:r w:rsidR="00606941" w:rsidRPr="00A84F05">
        <w:rPr>
          <w:rFonts w:ascii="Arial Narrow" w:hAnsi="Arial Narrow" w:cs="Arial"/>
          <w:b w:val="0"/>
          <w:color w:val="5F5F5F"/>
          <w:kern w:val="28"/>
          <w:sz w:val="20"/>
          <w:szCs w:val="20"/>
        </w:rPr>
        <w:t xml:space="preserve"> </w:t>
      </w:r>
      <w:r w:rsidRPr="00A84F05">
        <w:rPr>
          <w:rFonts w:ascii="Arial Narrow" w:hAnsi="Arial Narrow" w:cs="Arial"/>
          <w:b w:val="0"/>
          <w:color w:val="5F5F5F"/>
          <w:kern w:val="28"/>
          <w:sz w:val="20"/>
          <w:szCs w:val="20"/>
        </w:rPr>
        <w:t>2022</w:t>
      </w:r>
      <w:r w:rsidR="00B076CD" w:rsidRPr="00A84F05">
        <w:rPr>
          <w:rFonts w:ascii="Arial Narrow" w:hAnsi="Arial Narrow" w:cs="Arial"/>
          <w:b w:val="0"/>
          <w:color w:val="5F5F5F"/>
          <w:kern w:val="28"/>
          <w:sz w:val="20"/>
          <w:szCs w:val="20"/>
        </w:rPr>
        <w:t xml:space="preserve">, revisioni delle variazioni percentuali, differenze in punti percentuali </w:t>
      </w:r>
      <w:r w:rsidR="009370E6" w:rsidRPr="00A84F05">
        <w:rPr>
          <w:rFonts w:ascii="Arial Narrow" w:hAnsi="Arial Narrow" w:cs="Arial"/>
          <w:b w:val="0"/>
          <w:color w:val="5F5F5F"/>
          <w:kern w:val="28"/>
          <w:sz w:val="20"/>
          <w:szCs w:val="20"/>
        </w:rPr>
        <w:t>(base 2015=100)</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698"/>
        <w:gridCol w:w="1697"/>
        <w:gridCol w:w="1645"/>
        <w:gridCol w:w="1787"/>
        <w:gridCol w:w="1663"/>
        <w:gridCol w:w="1716"/>
      </w:tblGrid>
      <w:tr w:rsidR="00B076CD" w:rsidRPr="001C01EA" w14:paraId="1772340B" w14:textId="77777777" w:rsidTr="00D6552B">
        <w:trPr>
          <w:trHeight w:val="255"/>
        </w:trPr>
        <w:tc>
          <w:tcPr>
            <w:tcW w:w="3395" w:type="dxa"/>
            <w:gridSpan w:val="2"/>
            <w:tcBorders>
              <w:bottom w:val="single" w:sz="4" w:space="0" w:color="333333"/>
            </w:tcBorders>
            <w:shd w:val="clear" w:color="auto" w:fill="E6E6E6"/>
            <w:vAlign w:val="center"/>
          </w:tcPr>
          <w:p w14:paraId="387511BE" w14:textId="77777777" w:rsidR="00B076CD" w:rsidRPr="001C01EA" w:rsidRDefault="00B076CD" w:rsidP="00593C33">
            <w:pPr>
              <w:spacing w:before="40" w:after="20"/>
              <w:ind w:left="-142" w:firstLine="142"/>
              <w:jc w:val="center"/>
              <w:rPr>
                <w:rFonts w:ascii="Arial Narrow" w:hAnsi="Arial Narrow" w:cs="Arial"/>
                <w:b/>
                <w:bCs/>
                <w:sz w:val="18"/>
                <w:szCs w:val="18"/>
              </w:rPr>
            </w:pPr>
            <w:r w:rsidRPr="001C01EA">
              <w:rPr>
                <w:rFonts w:ascii="Arial Narrow" w:hAnsi="Arial Narrow" w:cs="Arial"/>
                <w:b/>
                <w:bCs/>
                <w:sz w:val="18"/>
                <w:szCs w:val="18"/>
              </w:rPr>
              <w:t>Totale</w:t>
            </w:r>
          </w:p>
        </w:tc>
        <w:tc>
          <w:tcPr>
            <w:tcW w:w="3432" w:type="dxa"/>
            <w:gridSpan w:val="2"/>
            <w:tcBorders>
              <w:bottom w:val="single" w:sz="4" w:space="0" w:color="333333"/>
            </w:tcBorders>
            <w:vAlign w:val="center"/>
          </w:tcPr>
          <w:p w14:paraId="7E367106"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euro</w:t>
            </w:r>
          </w:p>
        </w:tc>
        <w:tc>
          <w:tcPr>
            <w:tcW w:w="3379" w:type="dxa"/>
            <w:gridSpan w:val="2"/>
            <w:tcBorders>
              <w:bottom w:val="single" w:sz="4" w:space="0" w:color="333333"/>
            </w:tcBorders>
            <w:shd w:val="clear" w:color="auto" w:fill="E6E6E6"/>
            <w:vAlign w:val="center"/>
          </w:tcPr>
          <w:p w14:paraId="099AEC91"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non euro</w:t>
            </w:r>
          </w:p>
        </w:tc>
      </w:tr>
      <w:tr w:rsidR="00072C03" w:rsidRPr="001C01EA" w14:paraId="07E4D575" w14:textId="77777777" w:rsidTr="00D6552B">
        <w:trPr>
          <w:trHeight w:val="255"/>
        </w:trPr>
        <w:tc>
          <w:tcPr>
            <w:tcW w:w="1698" w:type="dxa"/>
            <w:shd w:val="clear" w:color="auto" w:fill="E6E6E6"/>
            <w:vAlign w:val="center"/>
          </w:tcPr>
          <w:p w14:paraId="13435AC6"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697" w:type="dxa"/>
            <w:vAlign w:val="center"/>
          </w:tcPr>
          <w:p w14:paraId="19FE0A11"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45" w:type="dxa"/>
            <w:shd w:val="clear" w:color="auto" w:fill="E6E6E6"/>
            <w:vAlign w:val="center"/>
          </w:tcPr>
          <w:p w14:paraId="41D4E121"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87" w:type="dxa"/>
            <w:vAlign w:val="center"/>
          </w:tcPr>
          <w:p w14:paraId="1ECD763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63" w:type="dxa"/>
            <w:shd w:val="clear" w:color="auto" w:fill="E6E6E6"/>
            <w:vAlign w:val="center"/>
          </w:tcPr>
          <w:p w14:paraId="4B3E1EC3"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16" w:type="dxa"/>
            <w:vAlign w:val="center"/>
          </w:tcPr>
          <w:p w14:paraId="292EEA72"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A84F05" w:rsidRPr="00C201C1" w14:paraId="7B10ED75" w14:textId="77777777" w:rsidTr="007815EF">
        <w:trPr>
          <w:trHeight w:val="255"/>
        </w:trPr>
        <w:tc>
          <w:tcPr>
            <w:tcW w:w="1698" w:type="dxa"/>
            <w:shd w:val="clear" w:color="auto" w:fill="E6E6E6"/>
            <w:vAlign w:val="center"/>
          </w:tcPr>
          <w:p w14:paraId="1534B5AB" w14:textId="2EE62E41" w:rsidR="00A84F05" w:rsidRPr="001559E1" w:rsidRDefault="00A84F05" w:rsidP="00A84F05">
            <w:pPr>
              <w:spacing w:before="40" w:after="20"/>
              <w:jc w:val="center"/>
              <w:rPr>
                <w:rFonts w:ascii="Arial Narrow" w:hAnsi="Arial Narrow" w:cs="Arial"/>
                <w:bCs/>
                <w:sz w:val="18"/>
                <w:szCs w:val="18"/>
              </w:rPr>
            </w:pPr>
            <w:r w:rsidRPr="00687873">
              <w:rPr>
                <w:rFonts w:ascii="Arial Narrow" w:hAnsi="Arial Narrow" w:cs="Arial"/>
                <w:color w:val="000000"/>
                <w:sz w:val="18"/>
                <w:szCs w:val="18"/>
              </w:rPr>
              <w:t>-0,4</w:t>
            </w:r>
          </w:p>
        </w:tc>
        <w:tc>
          <w:tcPr>
            <w:tcW w:w="1697" w:type="dxa"/>
            <w:vAlign w:val="center"/>
          </w:tcPr>
          <w:p w14:paraId="222A2BFA" w14:textId="5FE07EA8" w:rsidR="00A84F05" w:rsidRPr="001559E1" w:rsidRDefault="00A84F05" w:rsidP="00A84F05">
            <w:pPr>
              <w:spacing w:before="40" w:after="20"/>
              <w:jc w:val="center"/>
              <w:rPr>
                <w:rFonts w:ascii="Arial Narrow" w:hAnsi="Arial Narrow" w:cs="Arial"/>
                <w:bCs/>
                <w:sz w:val="18"/>
                <w:szCs w:val="18"/>
              </w:rPr>
            </w:pPr>
            <w:r w:rsidRPr="00687873">
              <w:rPr>
                <w:rFonts w:ascii="Arial Narrow" w:hAnsi="Arial Narrow" w:cs="Arial"/>
                <w:color w:val="000000"/>
                <w:sz w:val="18"/>
                <w:szCs w:val="18"/>
              </w:rPr>
              <w:t>-0,3</w:t>
            </w:r>
          </w:p>
        </w:tc>
        <w:tc>
          <w:tcPr>
            <w:tcW w:w="1645" w:type="dxa"/>
            <w:shd w:val="clear" w:color="auto" w:fill="E6E6E6"/>
            <w:vAlign w:val="center"/>
          </w:tcPr>
          <w:p w14:paraId="46E5DAE7" w14:textId="27D722E3" w:rsidR="00A84F05" w:rsidRPr="001559E1" w:rsidRDefault="00A84F05" w:rsidP="00A84F05">
            <w:pPr>
              <w:spacing w:before="40" w:after="20"/>
              <w:jc w:val="center"/>
              <w:rPr>
                <w:rFonts w:ascii="Arial Narrow" w:hAnsi="Arial Narrow" w:cs="Arial"/>
                <w:bCs/>
                <w:sz w:val="18"/>
                <w:szCs w:val="18"/>
              </w:rPr>
            </w:pPr>
            <w:r w:rsidRPr="00687873">
              <w:rPr>
                <w:rFonts w:ascii="Arial Narrow" w:hAnsi="Arial Narrow" w:cs="Arial"/>
                <w:color w:val="000000"/>
                <w:sz w:val="18"/>
                <w:szCs w:val="18"/>
              </w:rPr>
              <w:t>-0,1</w:t>
            </w:r>
          </w:p>
        </w:tc>
        <w:tc>
          <w:tcPr>
            <w:tcW w:w="1787" w:type="dxa"/>
            <w:vAlign w:val="center"/>
          </w:tcPr>
          <w:p w14:paraId="7B0BBBE3" w14:textId="6611C84E" w:rsidR="00A84F05" w:rsidRPr="001559E1" w:rsidRDefault="00A84F05" w:rsidP="00A84F05">
            <w:pPr>
              <w:spacing w:before="40" w:after="20"/>
              <w:jc w:val="center"/>
              <w:rPr>
                <w:rFonts w:ascii="Arial Narrow" w:hAnsi="Arial Narrow" w:cs="Arial"/>
                <w:bCs/>
                <w:sz w:val="18"/>
                <w:szCs w:val="18"/>
              </w:rPr>
            </w:pPr>
            <w:r w:rsidRPr="00687873">
              <w:rPr>
                <w:rFonts w:ascii="Arial Narrow" w:hAnsi="Arial Narrow" w:cs="Arial"/>
                <w:color w:val="000000"/>
                <w:sz w:val="18"/>
                <w:szCs w:val="18"/>
              </w:rPr>
              <w:t>-0,1</w:t>
            </w:r>
          </w:p>
        </w:tc>
        <w:tc>
          <w:tcPr>
            <w:tcW w:w="1663" w:type="dxa"/>
            <w:shd w:val="clear" w:color="auto" w:fill="E6E6E6"/>
            <w:vAlign w:val="center"/>
          </w:tcPr>
          <w:p w14:paraId="0C33E9DB" w14:textId="16A71C89" w:rsidR="00A84F05" w:rsidRPr="001559E1" w:rsidRDefault="00A84F05" w:rsidP="00A84F05">
            <w:pPr>
              <w:spacing w:before="40" w:after="20"/>
              <w:jc w:val="center"/>
              <w:rPr>
                <w:rFonts w:ascii="Arial Narrow" w:hAnsi="Arial Narrow" w:cs="Arial"/>
                <w:bCs/>
                <w:sz w:val="18"/>
                <w:szCs w:val="18"/>
              </w:rPr>
            </w:pPr>
            <w:r w:rsidRPr="00687873">
              <w:rPr>
                <w:rFonts w:ascii="Arial Narrow" w:hAnsi="Arial Narrow" w:cs="Arial"/>
                <w:color w:val="000000"/>
                <w:sz w:val="18"/>
                <w:szCs w:val="18"/>
              </w:rPr>
              <w:t>-0,9</w:t>
            </w:r>
          </w:p>
        </w:tc>
        <w:tc>
          <w:tcPr>
            <w:tcW w:w="1716" w:type="dxa"/>
            <w:vAlign w:val="center"/>
          </w:tcPr>
          <w:p w14:paraId="3E9F29BC" w14:textId="74A5CCB5" w:rsidR="00A84F05" w:rsidRPr="001559E1" w:rsidRDefault="00A84F05" w:rsidP="00A84F05">
            <w:pPr>
              <w:spacing w:before="40" w:after="20"/>
              <w:jc w:val="center"/>
              <w:rPr>
                <w:rFonts w:ascii="Arial Narrow" w:hAnsi="Arial Narrow" w:cs="Arial"/>
                <w:bCs/>
                <w:sz w:val="18"/>
                <w:szCs w:val="18"/>
              </w:rPr>
            </w:pPr>
            <w:r w:rsidRPr="00687873">
              <w:rPr>
                <w:rFonts w:ascii="Arial Narrow" w:hAnsi="Arial Narrow" w:cs="Arial"/>
                <w:color w:val="000000"/>
                <w:sz w:val="18"/>
                <w:szCs w:val="18"/>
              </w:rPr>
              <w:t>-0,7</w:t>
            </w:r>
          </w:p>
        </w:tc>
      </w:tr>
    </w:tbl>
    <w:p w14:paraId="7770BD76" w14:textId="77777777" w:rsidR="009B2E91" w:rsidRDefault="009B2E91"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3B215333" w14:textId="77777777" w:rsidR="00111EC4" w:rsidRDefault="00111EC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111EC4" w:rsidSect="009B2E91">
          <w:headerReference w:type="default" r:id="rId35"/>
          <w:pgSz w:w="11907" w:h="16840" w:code="9"/>
          <w:pgMar w:top="1534" w:right="851" w:bottom="680" w:left="851" w:header="567" w:footer="567" w:gutter="0"/>
          <w:cols w:space="720"/>
          <w:noEndnote/>
          <w:docGrid w:linePitch="272"/>
        </w:sectPr>
      </w:pPr>
    </w:p>
    <w:p w14:paraId="0881A4C5" w14:textId="77777777" w:rsidR="000B233D" w:rsidRPr="000B233D" w:rsidRDefault="000B233D" w:rsidP="00CC2949">
      <w:pPr>
        <w:ind w:right="57"/>
        <w:jc w:val="both"/>
        <w:rPr>
          <w:rFonts w:ascii="Arial" w:hAnsi="Arial" w:cs="Arial"/>
          <w:b/>
          <w:bCs/>
        </w:rPr>
      </w:pPr>
    </w:p>
    <w:p w14:paraId="709AD9DA"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durevoli</w:t>
      </w:r>
      <w:r w:rsidRPr="00C9631A">
        <w:rPr>
          <w:rFonts w:ascii="Arial" w:hAnsi="Arial" w:cs="Arial"/>
          <w:sz w:val="20"/>
          <w:szCs w:val="20"/>
        </w:rPr>
        <w:t>: includono, tra gli altri, la fabbricazione di apparecchi per uso domestico, la fabbricazione di mobili, motocicli, la fabbricazione di apparecchi per la riproduzione del suono e dell’immagine.</w:t>
      </w:r>
    </w:p>
    <w:p w14:paraId="7FA47A8D"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non durevoli</w:t>
      </w:r>
      <w:r w:rsidRPr="00C9631A">
        <w:rPr>
          <w:rFonts w:ascii="Arial" w:hAnsi="Arial" w:cs="Arial"/>
          <w:sz w:val="20"/>
          <w:szCs w:val="20"/>
        </w:rPr>
        <w:t>: includono, tra gli altri, la produzione, la lavorazione e la conservazione di prodotti alimentari e bevande, alcune industrie tessili, la fabbricazione di prodotti farmaceutici.</w:t>
      </w:r>
    </w:p>
    <w:p w14:paraId="63FE64E3"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intermedi</w:t>
      </w:r>
      <w:r w:rsidRPr="00C9631A">
        <w:rPr>
          <w:rFonts w:ascii="Arial" w:hAnsi="Arial" w:cs="Arial"/>
          <w:sz w:val="20"/>
          <w:szCs w:val="20"/>
        </w:rPr>
        <w:t>: includono, tra gli altri, la fabbricazione di prodotti chimici, la fabbricazione di metalli e prodotti in metallo, la fabbricazione di apparecchi elettrici, l’industria del legno, la fabbricazione di tessuti.</w:t>
      </w:r>
    </w:p>
    <w:p w14:paraId="3171476F"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strumentali</w:t>
      </w:r>
      <w:r w:rsidRPr="00C9631A">
        <w:rPr>
          <w:rFonts w:ascii="Arial" w:hAnsi="Arial" w:cs="Arial"/>
          <w:sz w:val="20"/>
          <w:szCs w:val="20"/>
        </w:rPr>
        <w:t>: includono, tra gli altri, la fabbricazione di macchine e motori, la fabbricazione di strumenti e apparecchi di misurazione e controllo, la fabbricazione di autoveicoli.</w:t>
      </w:r>
    </w:p>
    <w:p w14:paraId="61CE4789" w14:textId="77777777" w:rsidR="006B1C0B" w:rsidRPr="00C9631A" w:rsidRDefault="006B1C0B" w:rsidP="00E74CD4">
      <w:pPr>
        <w:pStyle w:val="Corpodeltesto1"/>
        <w:spacing w:after="120"/>
        <w:rPr>
          <w:rFonts w:ascii="Arial" w:hAnsi="Arial" w:cs="Arial"/>
          <w:b w:val="0"/>
          <w:bCs/>
          <w:sz w:val="20"/>
          <w:szCs w:val="20"/>
        </w:rPr>
      </w:pPr>
      <w:r w:rsidRPr="00C9631A">
        <w:rPr>
          <w:rFonts w:ascii="Arial" w:hAnsi="Arial" w:cs="Arial"/>
          <w:bCs/>
          <w:sz w:val="20"/>
          <w:szCs w:val="20"/>
        </w:rPr>
        <w:t>Contributo alla variazione tendenziale</w:t>
      </w:r>
      <w:r w:rsidRPr="00C9631A">
        <w:rPr>
          <w:rFonts w:ascii="Arial" w:hAnsi="Arial" w:cs="Arial"/>
          <w:b w:val="0"/>
          <w:bCs/>
          <w:sz w:val="20"/>
          <w:szCs w:val="20"/>
        </w:rPr>
        <w:t xml:space="preserve">: misura l’incidenza delle variazioni delle importazioni e delle esportazioni dei singoli aggregati merceologici o geografici sull’aumento o sulla diminuzione dei flussi aggregati. </w:t>
      </w:r>
    </w:p>
    <w:p w14:paraId="419B4749" w14:textId="77777777" w:rsidR="006B1C0B" w:rsidRPr="00C9631A" w:rsidRDefault="006B1C0B" w:rsidP="00E74CD4">
      <w:pPr>
        <w:spacing w:after="120"/>
        <w:ind w:right="23"/>
        <w:jc w:val="both"/>
        <w:rPr>
          <w:rFonts w:ascii="Arial" w:hAnsi="Arial" w:cs="Arial"/>
          <w:b/>
          <w:sz w:val="20"/>
          <w:szCs w:val="20"/>
        </w:rPr>
      </w:pPr>
      <w:r w:rsidRPr="00C9631A">
        <w:rPr>
          <w:rFonts w:ascii="Arial" w:hAnsi="Arial" w:cs="Arial"/>
          <w:b/>
          <w:bCs/>
          <w:sz w:val="20"/>
          <w:szCs w:val="20"/>
        </w:rPr>
        <w:t>Dati corretti per gli effetti di calendario</w:t>
      </w:r>
      <w:r w:rsidRPr="00C9631A">
        <w:rPr>
          <w:rFonts w:ascii="Arial" w:hAnsi="Arial" w:cs="Arial"/>
          <w:bCs/>
          <w:sz w:val="20"/>
          <w:szCs w:val="20"/>
        </w:rPr>
        <w:t>: dati depurati, mediante apposite tecniche statistiche, dalla variabilità attribuibile alla composizione del calendario nei singoli periodi (mesi o trimestri) dell’anno, dovuta al diverso numero di giorni lavorativi o di giorni specifici della settimana in essi contenuti, nonché dell’anno bisestile. Il ricorso a tale trasformazione dei dati consente di cogliere in maniera più adeguata sia le variazioni tendenziali (calcolate rispetto allo stesso periodo dell'anno precedente), sia le variazioni medie annue.</w:t>
      </w:r>
    </w:p>
    <w:p w14:paraId="7D0A804D"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Dati destagionalizzati</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16E90070"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include l’industria estrattiva di materie prime energetiche (petrolio, gas naturale, lignite), l’industria della raffinazione, la produzione di energia elettrica, gas e acqua, vapore, la raccolta, depurazione e distribuzione dell’acqua.</w:t>
      </w:r>
    </w:p>
    <w:p w14:paraId="03C282E9"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Esportazioni</w:t>
      </w:r>
      <w:r w:rsidRPr="00C9631A">
        <w:rPr>
          <w:rFonts w:ascii="Arial" w:hAnsi="Arial" w:cs="Arial"/>
          <w:sz w:val="20"/>
          <w:szCs w:val="20"/>
        </w:rPr>
        <w:t>: includono tutti i beni (nazionali o nazionalizzati, nuovi o usati) che, a titolo oneroso o gratuito, escono dal territorio economico del Paese per essere destinati al resto del mondo. Esse sono valutate al valore Fob (free on board), che corrisponde al prezzo di mercato alla frontiera del Paese esportatore. Questo prezzo comprende il prezzo ex-fabrica, i margini commerciali, le spese di trasporto internazionale e gli eventuali diritti all'esportazione.</w:t>
      </w:r>
    </w:p>
    <w:p w14:paraId="5824DD4A" w14:textId="77777777" w:rsidR="006B1C0B" w:rsidRPr="00C9631A" w:rsidRDefault="006B1C0B" w:rsidP="00E74CD4">
      <w:pPr>
        <w:pStyle w:val="NormaleWeb"/>
        <w:spacing w:beforeAutospacing="0" w:after="120" w:afterAutospacing="0"/>
        <w:jc w:val="both"/>
        <w:rPr>
          <w:rFonts w:ascii="Arial" w:hAnsi="Arial" w:cs="Arial"/>
          <w:sz w:val="20"/>
          <w:szCs w:val="20"/>
        </w:rPr>
      </w:pPr>
      <w:r w:rsidRPr="00C9631A">
        <w:rPr>
          <w:rFonts w:ascii="Arial" w:hAnsi="Arial" w:cs="Arial"/>
          <w:b/>
          <w:sz w:val="20"/>
          <w:szCs w:val="20"/>
          <w:lang w:eastAsia="ar-SA"/>
        </w:rPr>
        <w:t>Importazioni</w:t>
      </w:r>
      <w:r w:rsidRPr="00C9631A">
        <w:rPr>
          <w:rFonts w:ascii="Arial" w:hAnsi="Arial" w:cs="Arial"/>
          <w:bCs/>
          <w:sz w:val="20"/>
          <w:szCs w:val="20"/>
          <w:lang w:eastAsia="ar-SA"/>
        </w:rPr>
        <w:t>:</w:t>
      </w:r>
      <w:r w:rsidRPr="00C9631A">
        <w:rPr>
          <w:rFonts w:ascii="Arial" w:hAnsi="Arial" w:cs="Arial"/>
          <w:sz w:val="20"/>
          <w:szCs w:val="20"/>
          <w:lang w:eastAsia="ar-SA"/>
        </w:rPr>
        <w:t xml:space="preserve"> comprendono tutti i beni (nuovi o usati) che, a titolo oneroso o gratuito, entrano nel territorio economico del Paese in provenienza dal Resto del mondo. Esse sono valutate al valore Cif (cost, insurance, freight), che comprende: il valore Fob dei beni, le spese di trasporto e le attività assicurative tra la frontiera del Paese esportatore e la frontiera del Paese importatore.</w:t>
      </w:r>
    </w:p>
    <w:p w14:paraId="194A4603"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mensile che misura le variazioni nel tempo dei prezzi all’importazione di un paniere rappresentativo dei principali prodotti industriali importati da imprese dell’industria e del commercio. I prezzi si riferiscono ai prodotti industriali importati da imprese (la cui attività economica prevalente nelle sezioni B, C, D, E, G della classificazione Ateco 2007 derivata dalla Nace Rev.2) situate sul territorio nazionale. L’indicatore è definito dal Regolamento delle Statistiche economiche congiunturali STS (CE) 1158/2005.</w:t>
      </w:r>
    </w:p>
    <w:p w14:paraId="516CAAAB" w14:textId="77777777" w:rsidR="006B1C0B" w:rsidRPr="00C9631A" w:rsidRDefault="006B1C0B" w:rsidP="00E74CD4">
      <w:pPr>
        <w:spacing w:after="120"/>
        <w:jc w:val="both"/>
        <w:rPr>
          <w:rFonts w:ascii="Arial" w:hAnsi="Arial" w:cs="Arial"/>
          <w:bCs/>
          <w:sz w:val="20"/>
          <w:szCs w:val="20"/>
        </w:rPr>
      </w:pPr>
      <w:r w:rsidRPr="00C9631A">
        <w:rPr>
          <w:rFonts w:ascii="Arial" w:hAnsi="Arial" w:cs="Arial"/>
          <w:b/>
          <w:bCs/>
          <w:sz w:val="20"/>
          <w:szCs w:val="20"/>
        </w:rPr>
        <w:t xml:space="preserve">Indice dei prezzi all’importazione </w:t>
      </w:r>
      <w:r w:rsidRPr="00C9631A">
        <w:rPr>
          <w:rFonts w:ascii="Arial" w:hAnsi="Arial" w:cs="Arial"/>
          <w:b/>
          <w:sz w:val="20"/>
          <w:szCs w:val="20"/>
        </w:rPr>
        <w:t>al netto dell’energia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misura la componente di fondo dell’indice </w:t>
      </w:r>
      <w:r w:rsidRPr="00C9631A">
        <w:rPr>
          <w:rFonts w:ascii="Arial" w:hAnsi="Arial" w:cs="Arial"/>
          <w:bCs/>
          <w:sz w:val="20"/>
          <w:szCs w:val="20"/>
        </w:rPr>
        <w:t>aggregato, calcolata al netto del Raggruppamento principale di industria Energia.</w:t>
      </w:r>
    </w:p>
    <w:p w14:paraId="50DC4A3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totale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definito dalla media aritmetica ponderata degli indici dei prezzi calcolati sui mercati dell’Area euro e non euro.</w:t>
      </w:r>
    </w:p>
    <w:p w14:paraId="2E174578" w14:textId="48B791D0"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Merce</w:t>
      </w:r>
      <w:r w:rsidRPr="00C9631A">
        <w:rPr>
          <w:rFonts w:ascii="Arial" w:hAnsi="Arial" w:cs="Arial"/>
          <w:bCs/>
          <w:sz w:val="20"/>
          <w:szCs w:val="20"/>
        </w:rPr>
        <w:t>: tutte le merci che fisicamente transitano la frontier</w:t>
      </w:r>
      <w:r w:rsidR="00E37A51">
        <w:rPr>
          <w:rFonts w:ascii="Arial" w:hAnsi="Arial" w:cs="Arial"/>
          <w:bCs/>
          <w:sz w:val="20"/>
          <w:szCs w:val="20"/>
        </w:rPr>
        <w:t>a</w:t>
      </w:r>
      <w:r w:rsidRPr="00C9631A">
        <w:rPr>
          <w:rFonts w:ascii="Arial" w:hAnsi="Arial" w:cs="Arial"/>
          <w:bCs/>
          <w:sz w:val="20"/>
          <w:szCs w:val="20"/>
        </w:rPr>
        <w:t xml:space="preserve"> nazionale, inclusa l'energia elettrica. Per i movimenti particolari, che includono navi e aerei è utilizzato il principio della proprietà economica.</w:t>
      </w:r>
    </w:p>
    <w:p w14:paraId="4DD0D63F"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Quote di mercato</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rapporto percentuale tra valore delle esportazioni nazionali e valore delle esportazioni di un gruppo di paesi elaborato a partire da dati di fonte Eurostat rispetto all’ultimo periodo di disponibilità dei dati. </w:t>
      </w:r>
    </w:p>
    <w:p w14:paraId="5FB81DEE"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Raggruppamenti principali di industrie</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gruppi e/o divisioni di attività economica definiti, secondo il criterio della prevalenza.</w:t>
      </w:r>
    </w:p>
    <w:p w14:paraId="356114A5"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Revisioni</w:t>
      </w:r>
      <w:r w:rsidRPr="00C9631A">
        <w:rPr>
          <w:rFonts w:ascii="Arial" w:hAnsi="Arial" w:cs="Arial"/>
          <w:sz w:val="20"/>
          <w:szCs w:val="20"/>
        </w:rPr>
        <w:t>: differenze in punti tra la variazione percentuale pubblicata come dato provvisorio nel precedente comunicato stampa e quella definitiva relativa allo stesso mese di riferimento. Data la complessità merceologica e geografica dei dati di commercio estero, oltre alla revisione mensile, i regolamenti statistici comunitari prevedono che i dati mensili dell’anno t-1 siano ulteriormente rivisti e diffusi nel mese di novembre dell’anno t.</w:t>
      </w:r>
    </w:p>
    <w:p w14:paraId="6861C7F8" w14:textId="77777777" w:rsidR="008028CC" w:rsidRDefault="008028CC" w:rsidP="00E74CD4">
      <w:pPr>
        <w:spacing w:after="120"/>
        <w:jc w:val="both"/>
        <w:rPr>
          <w:rFonts w:ascii="Arial" w:hAnsi="Arial" w:cs="Arial"/>
          <w:b/>
          <w:sz w:val="20"/>
          <w:szCs w:val="20"/>
        </w:rPr>
      </w:pPr>
    </w:p>
    <w:p w14:paraId="0A41609F" w14:textId="77777777" w:rsidR="008028CC" w:rsidRDefault="008028CC" w:rsidP="00E74CD4">
      <w:pPr>
        <w:spacing w:after="120"/>
        <w:jc w:val="both"/>
        <w:rPr>
          <w:rFonts w:ascii="Arial" w:hAnsi="Arial" w:cs="Arial"/>
          <w:b/>
          <w:sz w:val="20"/>
          <w:szCs w:val="20"/>
        </w:rPr>
      </w:pPr>
    </w:p>
    <w:p w14:paraId="092459FB" w14:textId="77777777" w:rsidR="008028CC" w:rsidRDefault="008028CC" w:rsidP="00E74CD4">
      <w:pPr>
        <w:spacing w:after="120"/>
        <w:jc w:val="both"/>
        <w:rPr>
          <w:rFonts w:ascii="Arial" w:hAnsi="Arial" w:cs="Arial"/>
          <w:b/>
          <w:sz w:val="20"/>
          <w:szCs w:val="20"/>
        </w:rPr>
      </w:pPr>
    </w:p>
    <w:p w14:paraId="529C97B9" w14:textId="77777777" w:rsidR="008028CC" w:rsidRDefault="008028CC" w:rsidP="00E74CD4">
      <w:pPr>
        <w:spacing w:after="120"/>
        <w:jc w:val="both"/>
        <w:rPr>
          <w:rFonts w:ascii="Arial" w:hAnsi="Arial" w:cs="Arial"/>
          <w:b/>
          <w:sz w:val="20"/>
          <w:szCs w:val="20"/>
        </w:rPr>
      </w:pPr>
    </w:p>
    <w:p w14:paraId="5C756E1F" w14:textId="77777777" w:rsidR="006B1C0B" w:rsidRPr="00C9631A" w:rsidRDefault="006B1C0B" w:rsidP="00E74CD4">
      <w:pPr>
        <w:spacing w:after="120"/>
        <w:jc w:val="both"/>
        <w:rPr>
          <w:rFonts w:ascii="Arial" w:hAnsi="Arial" w:cs="Arial"/>
          <w:b/>
          <w:sz w:val="20"/>
          <w:szCs w:val="20"/>
        </w:rPr>
      </w:pPr>
      <w:r w:rsidRPr="00C9631A">
        <w:rPr>
          <w:rFonts w:ascii="Arial" w:hAnsi="Arial" w:cs="Arial"/>
          <w:b/>
          <w:sz w:val="20"/>
          <w:szCs w:val="20"/>
        </w:rPr>
        <w:t>Settori di attività economica</w:t>
      </w:r>
      <w:r w:rsidRPr="00C9631A">
        <w:rPr>
          <w:rFonts w:ascii="Arial" w:hAnsi="Arial" w:cs="Arial"/>
          <w:sz w:val="20"/>
          <w:szCs w:val="20"/>
        </w:rPr>
        <w:t xml:space="preserve">: aggregati della classificazione </w:t>
      </w:r>
      <w:hyperlink r:id="rId36" w:history="1">
        <w:r w:rsidRPr="00C9631A">
          <w:rPr>
            <w:rStyle w:val="Collegamentoipertestuale"/>
            <w:rFonts w:ascii="Arial" w:hAnsi="Arial" w:cs="Arial"/>
            <w:sz w:val="20"/>
            <w:szCs w:val="20"/>
          </w:rPr>
          <w:t>SNA/ISIC A38</w:t>
        </w:r>
      </w:hyperlink>
      <w:r w:rsidRPr="00C9631A">
        <w:rPr>
          <w:rFonts w:ascii="Arial" w:hAnsi="Arial" w:cs="Arial"/>
          <w:sz w:val="20"/>
          <w:szCs w:val="20"/>
        </w:rPr>
        <w:t xml:space="preserve"> (non previsti dalla classificazione </w:t>
      </w:r>
      <w:hyperlink r:id="rId37" w:history="1">
        <w:r w:rsidRPr="00C9631A">
          <w:rPr>
            <w:rStyle w:val="Collegamentoipertestuale"/>
            <w:rFonts w:ascii="Arial" w:hAnsi="Arial" w:cs="Arial"/>
            <w:sz w:val="20"/>
            <w:szCs w:val="20"/>
          </w:rPr>
          <w:t>Nace Rev.2</w:t>
        </w:r>
      </w:hyperlink>
      <w:r w:rsidRPr="00C9631A">
        <w:rPr>
          <w:rFonts w:ascii="Arial" w:hAnsi="Arial" w:cs="Arial"/>
          <w:sz w:val="20"/>
          <w:szCs w:val="20"/>
        </w:rPr>
        <w:t>) pubblicati per continuità storica con l’informazione fornita prima del gennaio 2009.</w:t>
      </w:r>
    </w:p>
    <w:p w14:paraId="200E73E7"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Variazione congiunturale</w:t>
      </w:r>
      <w:r w:rsidRPr="00C9631A">
        <w:rPr>
          <w:rFonts w:ascii="Arial" w:hAnsi="Arial" w:cs="Arial"/>
          <w:sz w:val="20"/>
          <w:szCs w:val="20"/>
        </w:rPr>
        <w:t>: variazione percentuale rispetto al mese o al periodo precedente.</w:t>
      </w:r>
    </w:p>
    <w:p w14:paraId="65813A2F" w14:textId="77777777" w:rsidR="006B1C0B" w:rsidRPr="00C9631A" w:rsidRDefault="006B1C0B" w:rsidP="00E74CD4">
      <w:pPr>
        <w:pStyle w:val="Corpodeltesto1"/>
        <w:spacing w:after="120"/>
        <w:rPr>
          <w:rFonts w:ascii="Arial" w:hAnsi="Arial" w:cs="Arial"/>
          <w:b w:val="0"/>
          <w:sz w:val="20"/>
          <w:szCs w:val="20"/>
        </w:rPr>
      </w:pPr>
      <w:r w:rsidRPr="00C9631A">
        <w:rPr>
          <w:rFonts w:ascii="Arial" w:hAnsi="Arial" w:cs="Arial"/>
          <w:sz w:val="20"/>
          <w:szCs w:val="20"/>
        </w:rPr>
        <w:t>Variazione tendenziale</w:t>
      </w:r>
      <w:r w:rsidRPr="00C9631A">
        <w:rPr>
          <w:rFonts w:ascii="Arial" w:hAnsi="Arial" w:cs="Arial"/>
          <w:b w:val="0"/>
          <w:bCs/>
          <w:sz w:val="20"/>
          <w:szCs w:val="20"/>
        </w:rPr>
        <w:t>:</w:t>
      </w:r>
      <w:r w:rsidRPr="00C9631A">
        <w:rPr>
          <w:rFonts w:ascii="Arial" w:hAnsi="Arial" w:cs="Arial"/>
          <w:b w:val="0"/>
          <w:sz w:val="20"/>
          <w:szCs w:val="20"/>
        </w:rPr>
        <w:t xml:space="preserve"> variazione percentuale rispetto allo stesso mese o allo stesso periodo dell’anno precedente.</w:t>
      </w:r>
    </w:p>
    <w:p w14:paraId="29A2120A" w14:textId="77777777" w:rsidR="008028CC" w:rsidRPr="00C9631A" w:rsidRDefault="008028CC" w:rsidP="006B1C0B">
      <w:pPr>
        <w:spacing w:after="120"/>
        <w:jc w:val="both"/>
        <w:rPr>
          <w:rFonts w:ascii="Arial" w:hAnsi="Arial" w:cs="Arial"/>
          <w:b/>
          <w:sz w:val="20"/>
          <w:szCs w:val="20"/>
        </w:rPr>
      </w:pPr>
    </w:p>
    <w:p w14:paraId="499AD1DD" w14:textId="77777777" w:rsidR="006B1C0B" w:rsidRDefault="006B1C0B" w:rsidP="006B1C0B">
      <w:pPr>
        <w:spacing w:after="120"/>
        <w:jc w:val="both"/>
        <w:rPr>
          <w:rFonts w:ascii="Arial" w:hAnsi="Arial" w:cs="Arial"/>
          <w:b/>
          <w:sz w:val="22"/>
          <w:szCs w:val="20"/>
        </w:rPr>
      </w:pPr>
      <w:r w:rsidRPr="00C9631A">
        <w:rPr>
          <w:rFonts w:ascii="Arial" w:hAnsi="Arial" w:cs="Arial"/>
          <w:b/>
          <w:sz w:val="22"/>
          <w:szCs w:val="20"/>
        </w:rPr>
        <w:t>Definizioni delle aree geografiche e geoeconomiche</w:t>
      </w:r>
    </w:p>
    <w:p w14:paraId="5371E90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Africa settentrionale</w:t>
      </w:r>
      <w:r w:rsidRPr="00C9631A">
        <w:rPr>
          <w:rFonts w:ascii="Arial" w:hAnsi="Arial" w:cs="Arial"/>
          <w:sz w:val="20"/>
          <w:szCs w:val="20"/>
        </w:rPr>
        <w:t>: Algeria, Egitto, Ceuta, Libia, Marocco, Melilla, Sahara Occidentale, Tunisia.</w:t>
      </w:r>
    </w:p>
    <w:p w14:paraId="5405479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Altri paesi africani</w:t>
      </w:r>
      <w:r w:rsidRPr="00C9631A">
        <w:rPr>
          <w:rFonts w:ascii="Arial" w:hAnsi="Arial" w:cs="Arial"/>
          <w:sz w:val="20"/>
          <w:szCs w:val="20"/>
        </w:rPr>
        <w:t xml:space="preserve">: Angola, Benin, Botswana, Burkina Faso, Burundi, Camerun, Capo Verde, Ciad, Comore, Congo, Costa d’Avorio, Eritrea, Etiopia, Gabon, Gambia, Ghana, Gibuti, Guinea, Guinea equatoriale, Guinea-Bissau, Kenya, Lesotho, Liberia, Madagascar, Malawi, Mali, Mauritania, Maurizio, Mayotte, Mozambico, Namibia, Niger, Nigeria, Repubblica Centrafricana, Repubblica democratica del Congo, Repubblica unita di Tanzania, Ruanda, Sant’Elena-Ascensione e Tristan da Cunha, São Tomé e Principe, Seychelles, Senegal, Sierra Leone, Somalia, Sud Africa, Sudan, Sud Sudan, Swaziland, Territorio britannico dell’ Oceano Indiano, Togo, Uganda, Zambia, Zimbabwe. </w:t>
      </w:r>
    </w:p>
    <w:p w14:paraId="69979550"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Altri paesi asiatici</w:t>
      </w:r>
      <w:r w:rsidRPr="00C9631A">
        <w:rPr>
          <w:rFonts w:ascii="Arial" w:hAnsi="Arial" w:cs="Arial"/>
          <w:i/>
          <w:iCs/>
          <w:sz w:val="20"/>
          <w:szCs w:val="20"/>
        </w:rPr>
        <w:t xml:space="preserve">: </w:t>
      </w:r>
      <w:r w:rsidRPr="00C9631A">
        <w:rPr>
          <w:rFonts w:ascii="Arial" w:hAnsi="Arial" w:cs="Arial"/>
          <w:sz w:val="20"/>
          <w:szCs w:val="20"/>
        </w:rPr>
        <w:t>Afghanistan, Bangladesh, Bhutan, Birmania, Brunei, Cambogia, Cina, Corea del Nord, Corea del Sud, Filippine, Giappone, Hong Kong, India, Indonesia, Kazakistan, Kirghizistan, Laos, Macao, Malaysia, Maldive, Mongolia, Nepal, Pakistan, Singapore, Sri Lanka, Tagikistan, Taiwan, Thailandia, Timor-Leste, Turkmenistan, Uzbekistan, Vietnam.</w:t>
      </w:r>
    </w:p>
    <w:p w14:paraId="7747FFC4"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centro-meridionale</w:t>
      </w:r>
      <w:r w:rsidRPr="00C9631A">
        <w:rPr>
          <w:rFonts w:ascii="Arial" w:hAnsi="Arial" w:cs="Arial"/>
          <w:i/>
          <w:iCs/>
          <w:sz w:val="20"/>
          <w:szCs w:val="20"/>
        </w:rPr>
        <w:t xml:space="preserve">: </w:t>
      </w:r>
      <w:r w:rsidRPr="00C9631A">
        <w:rPr>
          <w:rFonts w:ascii="Arial" w:hAnsi="Arial" w:cs="Arial"/>
          <w:sz w:val="20"/>
          <w:szCs w:val="20"/>
        </w:rPr>
        <w:t xml:space="preserve">Anguilla, Antigua e Barbuda, Argentina, Aruba, Bahama, Barbados, Belize, Bermuda, Bolivia, Bonaire, Sint Eustatius e Saba, Brasile, Cile, Colombia, Costa Rica, Cuba, Curaçao, Dominica, Ecuador, El Salvador, Giamaica, Grenada, Guatemala, Guyana, Haiti, Honduras, Isole Cayman, Isole Falkland, Isole Turks e Caicos, Isole Vergini Americane, Isole Vergini Britanniche, Messico, Montserrat, Nicaragua, Panama, Paraguay, Perù, Repubblica dominicana, Saint-Barthélemy, Saint Kitts e Nevis, Saint Vincente e le Grenadine, Santa Lucia, Sint Maarten, Suriname, Trinidad e Tobago, Uruguay, Venezuela. </w:t>
      </w:r>
    </w:p>
    <w:p w14:paraId="202BFD03"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settentrionale</w:t>
      </w:r>
      <w:r w:rsidRPr="00C9631A">
        <w:rPr>
          <w:rFonts w:ascii="Arial" w:hAnsi="Arial" w:cs="Arial"/>
          <w:sz w:val="20"/>
          <w:szCs w:val="20"/>
        </w:rPr>
        <w:t>: Canada, Groenlandia, Saint-Pierre e Miquelon, Stati Uniti.</w:t>
      </w:r>
    </w:p>
    <w:p w14:paraId="52962AD7"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euro</w:t>
      </w:r>
      <w:r w:rsidRPr="00C9631A">
        <w:rPr>
          <w:rFonts w:ascii="Arial" w:hAnsi="Arial" w:cs="Arial"/>
          <w:sz w:val="20"/>
          <w:szCs w:val="20"/>
          <w:lang w:eastAsia="ar-SA"/>
        </w:rPr>
        <w:t>: Austria, Belgio, Cipro, Estonia, Finlandia, Francia, Germania, Grecia, Irlanda, Italia, Lettonia, Lituania, Lussemburgo, Malta, Paesi Bassi, Portogallo, Slovacchia, Slovenia, Spagna.</w:t>
      </w:r>
    </w:p>
    <w:p w14:paraId="65F65045"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non euro</w:t>
      </w:r>
      <w:r w:rsidRPr="00C9631A">
        <w:rPr>
          <w:rFonts w:ascii="Arial" w:hAnsi="Arial" w:cs="Arial"/>
          <w:bCs/>
          <w:iCs/>
          <w:sz w:val="20"/>
          <w:szCs w:val="20"/>
          <w:lang w:eastAsia="ar-SA"/>
        </w:rPr>
        <w:t>:</w:t>
      </w:r>
      <w:r w:rsidRPr="00C9631A">
        <w:rPr>
          <w:rFonts w:ascii="Arial" w:hAnsi="Arial" w:cs="Arial"/>
          <w:b/>
          <w:bCs/>
          <w:i/>
          <w:iCs/>
          <w:sz w:val="20"/>
          <w:szCs w:val="20"/>
          <w:lang w:eastAsia="ar-SA"/>
        </w:rPr>
        <w:t xml:space="preserve"> </w:t>
      </w:r>
      <w:r w:rsidRPr="00C9631A">
        <w:rPr>
          <w:rFonts w:ascii="Arial" w:hAnsi="Arial" w:cs="Arial"/>
          <w:bCs/>
          <w:iCs/>
          <w:sz w:val="20"/>
          <w:szCs w:val="20"/>
          <w:lang w:eastAsia="ar-SA"/>
        </w:rPr>
        <w:t>è costituita da tutti i paesi che non adottano l’euro: 1) Paesi che fanno parte dell’Unione europea ma che ancora non aderiscono all’euro (Bulgari</w:t>
      </w:r>
      <w:r w:rsidR="00C22FDA">
        <w:rPr>
          <w:rFonts w:ascii="Arial" w:hAnsi="Arial" w:cs="Arial"/>
          <w:bCs/>
          <w:iCs/>
          <w:sz w:val="20"/>
          <w:szCs w:val="20"/>
          <w:lang w:eastAsia="ar-SA"/>
        </w:rPr>
        <w:t>a, Croazia, Danimarca, Polonia</w:t>
      </w:r>
      <w:r w:rsidRPr="00C9631A">
        <w:rPr>
          <w:rFonts w:ascii="Arial" w:hAnsi="Arial" w:cs="Arial"/>
          <w:bCs/>
          <w:iCs/>
          <w:sz w:val="20"/>
          <w:szCs w:val="20"/>
          <w:lang w:eastAsia="ar-SA"/>
        </w:rPr>
        <w:t>, Repubblica ceca, Romania, Svezia, Ungheria); 2) tutti i Paesi del Resto del mondo. In particolare, Andorra, Città del Vaticano, Principato di Monaco e San Marino usano l’euro come moneta ufficiale ma non sono ufficialmente membri dell’Unione europea; pertanto, fanno parte dell’Area non euro.</w:t>
      </w:r>
    </w:p>
    <w:p w14:paraId="357262ED" w14:textId="77777777" w:rsidR="006B1C0B" w:rsidRPr="00C9631A" w:rsidRDefault="006B1C0B" w:rsidP="00E74CD4">
      <w:pPr>
        <w:suppressAutoHyphens/>
        <w:spacing w:after="120"/>
        <w:jc w:val="both"/>
        <w:rPr>
          <w:rFonts w:ascii="Arial" w:hAnsi="Arial" w:cs="Arial"/>
          <w:b/>
          <w:bCs/>
          <w:i/>
          <w:iCs/>
          <w:sz w:val="20"/>
          <w:szCs w:val="20"/>
          <w:lang w:eastAsia="ar-SA"/>
        </w:rPr>
      </w:pPr>
      <w:r w:rsidRPr="00C9631A">
        <w:rPr>
          <w:rFonts w:ascii="Arial" w:hAnsi="Arial" w:cs="Arial"/>
          <w:b/>
          <w:bCs/>
          <w:iCs/>
          <w:sz w:val="20"/>
          <w:szCs w:val="20"/>
          <w:lang w:eastAsia="ar-SA"/>
        </w:rPr>
        <w:t>Asean (Associazione delle Nazioni del Sud-Est Asiatico)</w:t>
      </w:r>
      <w:r w:rsidRPr="00C9631A">
        <w:rPr>
          <w:rFonts w:ascii="Arial" w:hAnsi="Arial" w:cs="Arial"/>
          <w:i/>
          <w:iCs/>
          <w:sz w:val="20"/>
          <w:szCs w:val="20"/>
          <w:lang w:eastAsia="ar-SA"/>
        </w:rPr>
        <w:t xml:space="preserve">: </w:t>
      </w:r>
      <w:r w:rsidRPr="00C9631A">
        <w:rPr>
          <w:rFonts w:ascii="Arial" w:hAnsi="Arial" w:cs="Arial"/>
          <w:sz w:val="20"/>
          <w:szCs w:val="20"/>
          <w:lang w:eastAsia="ar-SA"/>
        </w:rPr>
        <w:t xml:space="preserve">Brunei, Cambogia, Filippine, Indonesia, Laos, Malaysia, Birmania, Singapore, Thailandia, Vietnam. </w:t>
      </w:r>
    </w:p>
    <w:p w14:paraId="0049DB3E"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Medio Oriente</w:t>
      </w:r>
      <w:r w:rsidRPr="00C9631A">
        <w:rPr>
          <w:rFonts w:ascii="Arial" w:hAnsi="Arial" w:cs="Arial"/>
          <w:i/>
          <w:iCs/>
          <w:sz w:val="20"/>
          <w:szCs w:val="20"/>
        </w:rPr>
        <w:t xml:space="preserve">: </w:t>
      </w:r>
      <w:r w:rsidRPr="00C9631A">
        <w:rPr>
          <w:rFonts w:ascii="Arial" w:hAnsi="Arial" w:cs="Arial"/>
          <w:sz w:val="20"/>
          <w:szCs w:val="20"/>
        </w:rPr>
        <w:t xml:space="preserve">Arabia Saudita, Armenia, Azerbaigian, Bahrein, Emirati Arabi Uniti, Georgia, Giordania, Iraq, Israele, Kuwait, Libano, Oman, Qatar, Repubblica islamica dell’Iran, Siria, Territorio palestinese occupato, Yemen. </w:t>
      </w:r>
    </w:p>
    <w:p w14:paraId="2C6C956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Mercosur</w:t>
      </w:r>
      <w:r w:rsidRPr="00C9631A">
        <w:rPr>
          <w:rFonts w:ascii="Arial" w:hAnsi="Arial" w:cs="Arial"/>
          <w:sz w:val="20"/>
          <w:szCs w:val="20"/>
        </w:rPr>
        <w:t>: Brasile, Paraguay, Uruguay e Argentina.</w:t>
      </w:r>
    </w:p>
    <w:p w14:paraId="5CABFC30" w14:textId="77777777" w:rsidR="006B1C0B" w:rsidRPr="00C9631A" w:rsidRDefault="006B1C0B" w:rsidP="00E74CD4">
      <w:pPr>
        <w:spacing w:after="120"/>
        <w:jc w:val="both"/>
        <w:rPr>
          <w:rFonts w:ascii="Arial" w:hAnsi="Arial" w:cs="Arial"/>
          <w:bCs/>
          <w:i/>
          <w:iCs/>
          <w:sz w:val="20"/>
          <w:szCs w:val="20"/>
        </w:rPr>
      </w:pPr>
      <w:r w:rsidRPr="00C9631A">
        <w:rPr>
          <w:rFonts w:ascii="Arial" w:hAnsi="Arial" w:cs="Arial"/>
          <w:b/>
          <w:bCs/>
          <w:iCs/>
          <w:sz w:val="20"/>
          <w:szCs w:val="20"/>
        </w:rPr>
        <w:t>Oceania e altri territori</w:t>
      </w:r>
      <w:r w:rsidRPr="00C9631A">
        <w:rPr>
          <w:rFonts w:ascii="Arial" w:hAnsi="Arial" w:cs="Arial"/>
          <w:sz w:val="20"/>
          <w:szCs w:val="20"/>
        </w:rPr>
        <w:t>: Antartide, Australia, Figi, Georgia del Sud e Isole Sandwich australi, Isola di Bouvet, Isola Christmas, Isole Cocos (Keeling), Isole Cook, Isole Heard e McDonald, Isole Marianne settentrionali, Isole Marshall, Isole minori periferiche degli Stati Uniti, Isola Norfolk, Isole Pitcairn, Isole Salomone, Kiribati, Nauru, Niue, Nuova Caledonia, Nuova Zelanda, Palau, Papua Nuova Guinea, Polinesia francese, Samoa, Samoa americane, Stati Federati di Micronesia, Terre australi e antartiche francesi, Tokelau, Tonga, Tuvalu, Vanuatu, Wallis e Futuna, Provviste e dotazioni di bordo, Paesi e territori non specificati, Paesi e territori non specificati per ragioni commerciali o militari.</w:t>
      </w:r>
    </w:p>
    <w:p w14:paraId="4CF6A404" w14:textId="2BC01BC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Opec</w:t>
      </w:r>
      <w:r w:rsidRPr="00C9631A">
        <w:rPr>
          <w:rFonts w:ascii="Arial" w:hAnsi="Arial" w:cs="Arial"/>
          <w:sz w:val="20"/>
          <w:szCs w:val="20"/>
        </w:rPr>
        <w:t>:</w:t>
      </w:r>
      <w:r w:rsidRPr="00C9631A">
        <w:rPr>
          <w:rFonts w:ascii="Arial" w:hAnsi="Arial" w:cs="Arial"/>
          <w:i/>
          <w:sz w:val="20"/>
          <w:szCs w:val="20"/>
        </w:rPr>
        <w:t xml:space="preserve"> </w:t>
      </w:r>
      <w:r w:rsidRPr="00C9631A">
        <w:rPr>
          <w:rFonts w:ascii="Arial" w:hAnsi="Arial" w:cs="Arial"/>
          <w:sz w:val="20"/>
          <w:szCs w:val="20"/>
        </w:rPr>
        <w:t xml:space="preserve">Algeria, Angola, Arabia Saudita, Emirati Arabi Uniti, Iraq, Kuwait, Libia, Nigeria, Repubblica islamica </w:t>
      </w:r>
      <w:r w:rsidR="00C9631A">
        <w:rPr>
          <w:rFonts w:ascii="Arial" w:hAnsi="Arial" w:cs="Arial"/>
          <w:sz w:val="20"/>
          <w:szCs w:val="20"/>
        </w:rPr>
        <w:t>d</w:t>
      </w:r>
      <w:r w:rsidRPr="00C9631A">
        <w:rPr>
          <w:rFonts w:ascii="Arial" w:hAnsi="Arial" w:cs="Arial"/>
          <w:sz w:val="20"/>
          <w:szCs w:val="20"/>
        </w:rPr>
        <w:t xml:space="preserve">ell’Iran, </w:t>
      </w:r>
      <w:r w:rsidR="00245D91">
        <w:rPr>
          <w:rFonts w:ascii="Arial" w:hAnsi="Arial" w:cs="Arial"/>
          <w:sz w:val="20"/>
          <w:szCs w:val="20"/>
        </w:rPr>
        <w:t>Venezuela</w:t>
      </w:r>
      <w:r w:rsidRPr="00C9631A">
        <w:rPr>
          <w:rFonts w:ascii="Arial" w:hAnsi="Arial" w:cs="Arial"/>
          <w:sz w:val="20"/>
          <w:szCs w:val="20"/>
        </w:rPr>
        <w:t xml:space="preserve">, </w:t>
      </w:r>
      <w:r w:rsidR="00883849" w:rsidRPr="00C9631A">
        <w:rPr>
          <w:rFonts w:ascii="Arial" w:hAnsi="Arial" w:cs="Arial"/>
          <w:sz w:val="20"/>
          <w:szCs w:val="20"/>
        </w:rPr>
        <w:t xml:space="preserve">Gabon, </w:t>
      </w:r>
      <w:r w:rsidRPr="00C9631A">
        <w:rPr>
          <w:rFonts w:ascii="Arial" w:hAnsi="Arial" w:cs="Arial"/>
          <w:sz w:val="20"/>
          <w:szCs w:val="20"/>
        </w:rPr>
        <w:t>Guinea Equatoriale</w:t>
      </w:r>
      <w:r w:rsidR="00883849" w:rsidRPr="00C9631A">
        <w:rPr>
          <w:rFonts w:ascii="Arial" w:hAnsi="Arial" w:cs="Arial"/>
          <w:sz w:val="20"/>
          <w:szCs w:val="20"/>
        </w:rPr>
        <w:t xml:space="preserve"> e Congo</w:t>
      </w:r>
      <w:r w:rsidRPr="00C9631A">
        <w:rPr>
          <w:rFonts w:ascii="Arial" w:hAnsi="Arial" w:cs="Arial"/>
          <w:sz w:val="20"/>
          <w:szCs w:val="20"/>
        </w:rPr>
        <w:t>.</w:t>
      </w:r>
    </w:p>
    <w:p w14:paraId="2CFEFA7B" w14:textId="662571DA"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Paesi europei non Ue</w:t>
      </w:r>
      <w:r w:rsidRPr="00C9631A">
        <w:rPr>
          <w:rFonts w:ascii="Arial" w:hAnsi="Arial" w:cs="Arial"/>
          <w:sz w:val="20"/>
          <w:szCs w:val="20"/>
        </w:rPr>
        <w:t xml:space="preserve">: Albania, Andorra, Bielorussia, Bosnia-Erzegovina, Fær Øer, Gibilterra, Islanda, Kosovo, Liechtenstein, </w:t>
      </w:r>
      <w:r w:rsidR="00EF21D2">
        <w:rPr>
          <w:rFonts w:ascii="Arial" w:hAnsi="Arial" w:cs="Arial"/>
          <w:sz w:val="20"/>
          <w:szCs w:val="20"/>
        </w:rPr>
        <w:t>Macedonia del Nord,</w:t>
      </w:r>
      <w:r w:rsidR="00EF21D2" w:rsidRPr="00C9631A">
        <w:rPr>
          <w:rFonts w:ascii="Arial" w:hAnsi="Arial" w:cs="Arial"/>
          <w:sz w:val="20"/>
          <w:szCs w:val="20"/>
        </w:rPr>
        <w:t xml:space="preserve"> </w:t>
      </w:r>
      <w:r w:rsidRPr="00C9631A">
        <w:rPr>
          <w:rFonts w:ascii="Arial" w:hAnsi="Arial" w:cs="Arial"/>
          <w:sz w:val="20"/>
          <w:szCs w:val="20"/>
        </w:rPr>
        <w:t xml:space="preserve">Montenegro, Norvegia, </w:t>
      </w:r>
      <w:r w:rsidR="00C22FDA">
        <w:rPr>
          <w:rFonts w:ascii="Arial" w:hAnsi="Arial" w:cs="Arial"/>
          <w:sz w:val="20"/>
          <w:szCs w:val="20"/>
        </w:rPr>
        <w:t xml:space="preserve">Regno Unito, </w:t>
      </w:r>
      <w:r w:rsidRPr="00C9631A">
        <w:rPr>
          <w:rFonts w:ascii="Arial" w:hAnsi="Arial" w:cs="Arial"/>
          <w:sz w:val="20"/>
          <w:szCs w:val="20"/>
        </w:rPr>
        <w:t>Repubblica moldova, Russia, Santa Sede (Stato della Città del Vaticano), Serbia, Svizzera, Turchia, Ucraina.</w:t>
      </w:r>
    </w:p>
    <w:p w14:paraId="4CDC1008" w14:textId="77777777" w:rsidR="00B24754" w:rsidRDefault="006B1C0B" w:rsidP="00F865D6">
      <w:pPr>
        <w:spacing w:after="120"/>
        <w:jc w:val="both"/>
        <w:rPr>
          <w:rFonts w:ascii="Arial" w:hAnsi="Arial" w:cs="Arial"/>
        </w:rPr>
      </w:pPr>
      <w:r w:rsidRPr="00C9631A">
        <w:rPr>
          <w:rFonts w:ascii="Arial" w:hAnsi="Arial" w:cs="Arial"/>
          <w:b/>
          <w:bCs/>
          <w:iCs/>
          <w:sz w:val="20"/>
          <w:szCs w:val="20"/>
        </w:rPr>
        <w:t>Unione europea</w:t>
      </w:r>
      <w:r w:rsidRPr="00C9631A">
        <w:rPr>
          <w:rFonts w:ascii="Arial" w:hAnsi="Arial" w:cs="Arial"/>
          <w:sz w:val="20"/>
          <w:szCs w:val="20"/>
        </w:rPr>
        <w:t>: Austria, Belgio, Bulgaria, Cipro, Croazia, Danimarca, Estonia, Finlandia, Francia, Germania, Grecia, Irlanda, Italia, Lettonia, Lituania, Lussemburgo, Malta, Pa</w:t>
      </w:r>
      <w:r w:rsidR="00C22FDA">
        <w:rPr>
          <w:rFonts w:ascii="Arial" w:hAnsi="Arial" w:cs="Arial"/>
          <w:sz w:val="20"/>
          <w:szCs w:val="20"/>
        </w:rPr>
        <w:t>esi Bassi, Polonia, Portogallo</w:t>
      </w:r>
      <w:r w:rsidRPr="00C9631A">
        <w:rPr>
          <w:rFonts w:ascii="Arial" w:hAnsi="Arial" w:cs="Arial"/>
          <w:sz w:val="20"/>
          <w:szCs w:val="20"/>
        </w:rPr>
        <w:t>, Repubblica ceca, Romania, Slovacchia, Slovenia, Spagna, Svezia, Ungheria.</w:t>
      </w:r>
    </w:p>
    <w:p w14:paraId="315FEA75" w14:textId="77777777" w:rsidR="00940950" w:rsidRDefault="00940950" w:rsidP="00B81D29">
      <w:pPr>
        <w:spacing w:after="120"/>
        <w:rPr>
          <w:rFonts w:ascii="Arial" w:hAnsi="Arial" w:cs="Arial"/>
        </w:rPr>
        <w:sectPr w:rsidR="00940950" w:rsidSect="00B81D29">
          <w:headerReference w:type="default" r:id="rId38"/>
          <w:pgSz w:w="11907" w:h="16840" w:code="9"/>
          <w:pgMar w:top="1534" w:right="851" w:bottom="680" w:left="851" w:header="567" w:footer="567" w:gutter="0"/>
          <w:cols w:space="720"/>
          <w:noEndnote/>
          <w:docGrid w:linePitch="272"/>
        </w:sectPr>
      </w:pPr>
    </w:p>
    <w:p w14:paraId="4C8B1FB9" w14:textId="77777777" w:rsidR="00501E02" w:rsidRPr="00397FAC" w:rsidRDefault="00501E02" w:rsidP="00501E02">
      <w:pPr>
        <w:spacing w:after="120"/>
        <w:rPr>
          <w:rFonts w:ascii="Arial" w:hAnsi="Arial" w:cs="Arial"/>
          <w:b/>
          <w:szCs w:val="28"/>
        </w:rPr>
      </w:pPr>
    </w:p>
    <w:p w14:paraId="104CD227" w14:textId="77777777" w:rsidR="00501E02" w:rsidRPr="00C9631A" w:rsidRDefault="00501E02" w:rsidP="00501E02">
      <w:pPr>
        <w:spacing w:after="120"/>
        <w:rPr>
          <w:rFonts w:ascii="Arial" w:hAnsi="Arial" w:cs="Arial"/>
          <w:b/>
          <w:sz w:val="22"/>
          <w:szCs w:val="20"/>
        </w:rPr>
      </w:pPr>
      <w:r w:rsidRPr="00C9631A">
        <w:rPr>
          <w:rFonts w:ascii="Arial" w:hAnsi="Arial" w:cs="Arial"/>
          <w:b/>
          <w:sz w:val="22"/>
          <w:szCs w:val="20"/>
        </w:rPr>
        <w:t>Introduzione</w:t>
      </w:r>
    </w:p>
    <w:p w14:paraId="6E26E2C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questa nota sono riportati i principali riferimenti normativi e metodologici relativi alle rilevazioni sugli scambi con l’estero di merci e sui prezzi all’importazione dei prodotti industriali. Il Prospetto A ne riporta una sintesi.</w:t>
      </w:r>
    </w:p>
    <w:p w14:paraId="64D5F5FB" w14:textId="77777777" w:rsidR="00501E02" w:rsidRPr="00257DC4" w:rsidRDefault="00501E02" w:rsidP="00501E02">
      <w:pPr>
        <w:spacing w:before="240" w:after="120"/>
        <w:jc w:val="both"/>
        <w:rPr>
          <w:rFonts w:ascii="Arial Narrow" w:hAnsi="Arial Narrow" w:cs="Arial"/>
          <w:b/>
          <w:color w:val="7F7F7F"/>
          <w:sz w:val="19"/>
          <w:szCs w:val="19"/>
        </w:rPr>
      </w:pPr>
      <w:r w:rsidRPr="009E4A3B">
        <w:rPr>
          <w:rFonts w:ascii="Arial Narrow" w:hAnsi="Arial Narrow" w:cs="Arial"/>
          <w:b/>
          <w:color w:val="E42618"/>
          <w:sz w:val="22"/>
          <w:szCs w:val="22"/>
        </w:rPr>
        <w:t>PROSPETTO A.</w:t>
      </w:r>
      <w:r w:rsidRPr="009E4A3B">
        <w:rPr>
          <w:rFonts w:ascii="Arial Narrow" w:hAnsi="Arial Narrow" w:cs="Arial"/>
          <w:b/>
          <w:color w:val="C00000"/>
          <w:sz w:val="22"/>
          <w:szCs w:val="22"/>
        </w:rPr>
        <w:t xml:space="preserve"> </w:t>
      </w:r>
      <w:r w:rsidRPr="00257DC4">
        <w:rPr>
          <w:rFonts w:ascii="Arial Narrow" w:hAnsi="Arial Narrow" w:cs="Arial"/>
          <w:b/>
          <w:color w:val="7F7F7F"/>
          <w:sz w:val="22"/>
          <w:szCs w:val="22"/>
        </w:rPr>
        <w:t>RILEVAZIONI SUGLI SCAMBI CON L’ESTERO DI MERCI E SUI PREZZI ALL’IMPORTAZIONE</w:t>
      </w:r>
      <w:r>
        <w:rPr>
          <w:rFonts w:ascii="Arial Narrow" w:hAnsi="Arial Narrow" w:cs="Arial"/>
          <w:b/>
          <w:color w:val="7F7F7F"/>
          <w:sz w:val="22"/>
          <w:szCs w:val="22"/>
        </w:rPr>
        <w:t xml:space="preserve"> </w:t>
      </w:r>
      <w:r w:rsidRPr="00257DC4">
        <w:rPr>
          <w:rFonts w:ascii="Arial Narrow" w:hAnsi="Arial Narrow" w:cs="Arial"/>
          <w:b/>
          <w:color w:val="7F7F7F"/>
          <w:sz w:val="22"/>
          <w:szCs w:val="22"/>
        </w:rPr>
        <w:t>PRINCIPALI CARATTERISTICHE</w:t>
      </w:r>
    </w:p>
    <w:tbl>
      <w:tblPr>
        <w:tblW w:w="1020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026"/>
        <w:gridCol w:w="4089"/>
        <w:gridCol w:w="4091"/>
      </w:tblGrid>
      <w:tr w:rsidR="00501E02" w14:paraId="2357C0DF" w14:textId="77777777" w:rsidTr="002C489F">
        <w:trPr>
          <w:trHeight w:val="255"/>
        </w:trPr>
        <w:tc>
          <w:tcPr>
            <w:tcW w:w="993" w:type="pct"/>
            <w:vMerge w:val="restart"/>
            <w:shd w:val="clear" w:color="auto" w:fill="auto"/>
          </w:tcPr>
          <w:p w14:paraId="7F4A7F5D" w14:textId="77777777" w:rsidR="00501E02" w:rsidRPr="00232AB9" w:rsidRDefault="00501E02" w:rsidP="002C489F">
            <w:pPr>
              <w:spacing w:before="40" w:after="20"/>
              <w:jc w:val="center"/>
              <w:rPr>
                <w:rFonts w:ascii="Arial Narrow" w:hAnsi="Arial Narrow" w:cs="Arial"/>
                <w:b/>
                <w:sz w:val="18"/>
                <w:szCs w:val="18"/>
              </w:rPr>
            </w:pPr>
          </w:p>
        </w:tc>
        <w:tc>
          <w:tcPr>
            <w:tcW w:w="4007" w:type="pct"/>
            <w:gridSpan w:val="2"/>
            <w:shd w:val="clear" w:color="auto" w:fill="D9D9D9"/>
          </w:tcPr>
          <w:p w14:paraId="6805032D" w14:textId="77777777" w:rsidR="00501E02" w:rsidRPr="00232AB9" w:rsidRDefault="00501E02" w:rsidP="002C489F">
            <w:pPr>
              <w:spacing w:before="40" w:after="20"/>
              <w:jc w:val="center"/>
              <w:rPr>
                <w:rFonts w:ascii="Arial Narrow" w:hAnsi="Arial Narrow" w:cs="Arial"/>
                <w:b/>
                <w:sz w:val="18"/>
                <w:szCs w:val="18"/>
              </w:rPr>
            </w:pPr>
            <w:r w:rsidRPr="00232AB9">
              <w:rPr>
                <w:rFonts w:ascii="Arial Narrow" w:hAnsi="Arial Narrow" w:cs="Arial"/>
                <w:b/>
                <w:sz w:val="18"/>
                <w:szCs w:val="18"/>
              </w:rPr>
              <w:t>RILEVAZIONI</w:t>
            </w:r>
          </w:p>
        </w:tc>
      </w:tr>
      <w:tr w:rsidR="00501E02" w14:paraId="5CB00FD6" w14:textId="77777777" w:rsidTr="002C489F">
        <w:trPr>
          <w:trHeight w:val="255"/>
        </w:trPr>
        <w:tc>
          <w:tcPr>
            <w:tcW w:w="993" w:type="pct"/>
            <w:vMerge/>
            <w:shd w:val="clear" w:color="auto" w:fill="auto"/>
          </w:tcPr>
          <w:p w14:paraId="788EF796" w14:textId="77777777" w:rsidR="00501E02" w:rsidRPr="00232AB9" w:rsidRDefault="00501E02" w:rsidP="002C489F">
            <w:pPr>
              <w:spacing w:before="40" w:after="20"/>
              <w:jc w:val="center"/>
              <w:rPr>
                <w:rFonts w:ascii="Arial Narrow" w:hAnsi="Arial Narrow" w:cs="Arial"/>
                <w:b/>
                <w:sz w:val="18"/>
                <w:szCs w:val="18"/>
              </w:rPr>
            </w:pPr>
          </w:p>
        </w:tc>
        <w:tc>
          <w:tcPr>
            <w:tcW w:w="2003" w:type="pct"/>
            <w:shd w:val="clear" w:color="auto" w:fill="FFFFFF"/>
          </w:tcPr>
          <w:p w14:paraId="1FBD27C3" w14:textId="77777777" w:rsidR="00501E02" w:rsidRPr="00232AB9" w:rsidRDefault="00501E02" w:rsidP="002C489F">
            <w:pPr>
              <w:spacing w:before="40" w:after="20"/>
              <w:jc w:val="center"/>
              <w:rPr>
                <w:b/>
              </w:rPr>
            </w:pPr>
            <w:r w:rsidRPr="00232AB9">
              <w:rPr>
                <w:rFonts w:ascii="Arial Narrow" w:hAnsi="Arial Narrow" w:cs="Arial"/>
                <w:b/>
                <w:sz w:val="18"/>
                <w:szCs w:val="18"/>
              </w:rPr>
              <w:t>Scambi con l’estero di merci</w:t>
            </w:r>
          </w:p>
        </w:tc>
        <w:tc>
          <w:tcPr>
            <w:tcW w:w="2004" w:type="pct"/>
            <w:shd w:val="clear" w:color="auto" w:fill="FFFFFF"/>
          </w:tcPr>
          <w:p w14:paraId="36AB1777" w14:textId="77777777" w:rsidR="00501E02" w:rsidRPr="00232AB9" w:rsidRDefault="00501E02" w:rsidP="002C489F">
            <w:pPr>
              <w:spacing w:before="40" w:after="20"/>
              <w:jc w:val="center"/>
              <w:rPr>
                <w:b/>
              </w:rPr>
            </w:pPr>
            <w:r w:rsidRPr="00232AB9">
              <w:rPr>
                <w:rFonts w:ascii="Arial Narrow" w:hAnsi="Arial Narrow" w:cs="Arial"/>
                <w:b/>
                <w:sz w:val="18"/>
                <w:szCs w:val="18"/>
              </w:rPr>
              <w:t>Prezzi all’importazione</w:t>
            </w:r>
          </w:p>
        </w:tc>
      </w:tr>
      <w:tr w:rsidR="00501E02" w14:paraId="59CA6FE5" w14:textId="77777777" w:rsidTr="002C489F">
        <w:trPr>
          <w:trHeight w:val="255"/>
        </w:trPr>
        <w:tc>
          <w:tcPr>
            <w:tcW w:w="993" w:type="pct"/>
            <w:shd w:val="clear" w:color="auto" w:fill="auto"/>
          </w:tcPr>
          <w:p w14:paraId="695C7C40" w14:textId="77777777" w:rsidR="00501E02" w:rsidRPr="009575F1" w:rsidRDefault="00501E02" w:rsidP="002C489F">
            <w:pPr>
              <w:spacing w:before="40" w:after="20"/>
            </w:pPr>
            <w:r w:rsidRPr="00232AB9">
              <w:rPr>
                <w:rFonts w:ascii="Arial Narrow" w:hAnsi="Arial Narrow" w:cs="Arial"/>
                <w:b/>
                <w:sz w:val="18"/>
                <w:szCs w:val="18"/>
              </w:rPr>
              <w:t>Fonti</w:t>
            </w:r>
          </w:p>
        </w:tc>
        <w:tc>
          <w:tcPr>
            <w:tcW w:w="2003" w:type="pct"/>
            <w:shd w:val="clear" w:color="auto" w:fill="D9D9D9"/>
          </w:tcPr>
          <w:p w14:paraId="1C17989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Utilizzo dati doganali e sistema Intrastat</w:t>
            </w:r>
          </w:p>
          <w:p w14:paraId="50459D9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2) Elaborazioni da statistiche di base sugli Scambi con l’estero di merci</w:t>
            </w:r>
          </w:p>
          <w:p w14:paraId="19BA8CCF" w14:textId="77777777" w:rsidR="00501E02" w:rsidRPr="009575F1" w:rsidRDefault="00501E02" w:rsidP="002C489F">
            <w:pPr>
              <w:spacing w:before="40" w:after="20"/>
            </w:pPr>
            <w:r w:rsidRPr="00232AB9">
              <w:rPr>
                <w:rFonts w:ascii="Arial Narrow" w:hAnsi="Arial Narrow" w:cs="Arial"/>
                <w:sz w:val="18"/>
                <w:szCs w:val="18"/>
              </w:rPr>
              <w:t>3) Le stime di particolari merci sono frutto di elaborazioni ottenute integrando fonti informative diverse</w:t>
            </w:r>
          </w:p>
        </w:tc>
        <w:tc>
          <w:tcPr>
            <w:tcW w:w="2004" w:type="pct"/>
            <w:shd w:val="clear" w:color="auto" w:fill="auto"/>
          </w:tcPr>
          <w:p w14:paraId="24B89F77" w14:textId="77777777" w:rsidR="00501E02" w:rsidRDefault="00501E02" w:rsidP="002C489F">
            <w:pPr>
              <w:spacing w:before="40" w:after="20"/>
            </w:pPr>
            <w:r w:rsidRPr="00232AB9">
              <w:rPr>
                <w:rFonts w:ascii="Arial Narrow" w:hAnsi="Arial Narrow" w:cs="Arial"/>
                <w:sz w:val="18"/>
                <w:szCs w:val="18"/>
              </w:rPr>
              <w:t>Rilevazione diretta</w:t>
            </w:r>
          </w:p>
        </w:tc>
      </w:tr>
      <w:tr w:rsidR="00501E02" w14:paraId="10333363" w14:textId="77777777" w:rsidTr="002C489F">
        <w:trPr>
          <w:trHeight w:val="255"/>
        </w:trPr>
        <w:tc>
          <w:tcPr>
            <w:tcW w:w="993" w:type="pct"/>
            <w:shd w:val="clear" w:color="auto" w:fill="auto"/>
          </w:tcPr>
          <w:p w14:paraId="463391F6" w14:textId="77777777" w:rsidR="00501E02" w:rsidRDefault="00501E02" w:rsidP="002C489F">
            <w:pPr>
              <w:spacing w:before="40" w:after="20"/>
            </w:pPr>
            <w:r w:rsidRPr="00232AB9">
              <w:rPr>
                <w:rFonts w:ascii="Arial Narrow" w:hAnsi="Arial Narrow" w:cs="Arial"/>
                <w:b/>
                <w:sz w:val="18"/>
                <w:szCs w:val="18"/>
              </w:rPr>
              <w:t>Campo di osservazione</w:t>
            </w:r>
          </w:p>
        </w:tc>
        <w:tc>
          <w:tcPr>
            <w:tcW w:w="2003" w:type="pct"/>
            <w:shd w:val="clear" w:color="auto" w:fill="D9D9D9"/>
          </w:tcPr>
          <w:p w14:paraId="4373682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Tutte le merci (cfr glossario), senza restrizioni rispetto all'attività economica prevalente delle unità economiche che hanno attivato i flussi di scambi con l'estero, ad esclusione dell’oro monetario, del software personalizzato, degli strumenti di pagamento aventi corso legale e valori, delle merci destinate alla riparazione.</w:t>
            </w:r>
          </w:p>
        </w:tc>
        <w:tc>
          <w:tcPr>
            <w:tcW w:w="2004" w:type="pct"/>
            <w:shd w:val="clear" w:color="auto" w:fill="auto"/>
          </w:tcPr>
          <w:p w14:paraId="3D707012"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Prodott</w:t>
            </w:r>
            <w:r>
              <w:rPr>
                <w:rFonts w:ascii="Arial Narrow" w:hAnsi="Arial Narrow" w:cs="Arial"/>
                <w:sz w:val="18"/>
                <w:szCs w:val="18"/>
              </w:rPr>
              <w:t>i inclusi nelle sezioni da B a D</w:t>
            </w:r>
            <w:r w:rsidRPr="00232AB9">
              <w:rPr>
                <w:rFonts w:ascii="Arial Narrow" w:hAnsi="Arial Narrow" w:cs="Arial"/>
                <w:sz w:val="18"/>
                <w:szCs w:val="18"/>
              </w:rPr>
              <w:t xml:space="preserve"> della classificazione CPA (derivata dalla Nace Rev.2);</w:t>
            </w:r>
          </w:p>
          <w:p w14:paraId="1D8847B2" w14:textId="77777777" w:rsidR="00501E02" w:rsidRDefault="00501E02" w:rsidP="002C489F">
            <w:pPr>
              <w:spacing w:before="40" w:after="20"/>
            </w:pPr>
            <w:r w:rsidRPr="00232AB9">
              <w:rPr>
                <w:rFonts w:ascii="Arial Narrow" w:hAnsi="Arial Narrow" w:cs="Arial"/>
                <w:sz w:val="18"/>
                <w:szCs w:val="18"/>
              </w:rPr>
              <w:t>2) imprese con attività economica prevalente nelle sezioni B, C, D, E, G della classificazione Ateco 2007 (derivata dalla Nace Rev.2).</w:t>
            </w:r>
          </w:p>
        </w:tc>
      </w:tr>
      <w:tr w:rsidR="00501E02" w14:paraId="20128DAE" w14:textId="77777777" w:rsidTr="002C489F">
        <w:trPr>
          <w:trHeight w:val="255"/>
        </w:trPr>
        <w:tc>
          <w:tcPr>
            <w:tcW w:w="993" w:type="pct"/>
            <w:shd w:val="clear" w:color="auto" w:fill="auto"/>
          </w:tcPr>
          <w:p w14:paraId="17470787" w14:textId="77777777" w:rsidR="00501E02" w:rsidRDefault="00501E02" w:rsidP="002C489F">
            <w:pPr>
              <w:spacing w:before="40" w:after="20"/>
            </w:pPr>
            <w:r w:rsidRPr="00232AB9">
              <w:rPr>
                <w:rFonts w:ascii="Arial Narrow" w:hAnsi="Arial Narrow" w:cs="Arial"/>
                <w:b/>
                <w:sz w:val="18"/>
                <w:szCs w:val="18"/>
              </w:rPr>
              <w:t>Periodicità di diffusione e dettaglio territoriale dei dati</w:t>
            </w:r>
          </w:p>
        </w:tc>
        <w:tc>
          <w:tcPr>
            <w:tcW w:w="2003" w:type="pct"/>
            <w:shd w:val="clear" w:color="auto" w:fill="D9D9D9"/>
          </w:tcPr>
          <w:p w14:paraId="1AF8801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c>
          <w:tcPr>
            <w:tcW w:w="2004" w:type="pct"/>
            <w:shd w:val="clear" w:color="auto" w:fill="auto"/>
          </w:tcPr>
          <w:p w14:paraId="4A57A99B"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r>
      <w:tr w:rsidR="00501E02" w14:paraId="1E0E1AD5" w14:textId="77777777" w:rsidTr="002C489F">
        <w:trPr>
          <w:trHeight w:val="255"/>
        </w:trPr>
        <w:tc>
          <w:tcPr>
            <w:tcW w:w="993" w:type="pct"/>
            <w:shd w:val="clear" w:color="auto" w:fill="auto"/>
          </w:tcPr>
          <w:p w14:paraId="02D2150C" w14:textId="77777777" w:rsidR="00501E02" w:rsidRDefault="00501E02" w:rsidP="002C489F">
            <w:pPr>
              <w:spacing w:before="40" w:after="20"/>
            </w:pPr>
            <w:r w:rsidRPr="00232AB9">
              <w:rPr>
                <w:rFonts w:ascii="Arial Narrow" w:hAnsi="Arial Narrow" w:cs="Arial"/>
                <w:b/>
                <w:sz w:val="18"/>
                <w:szCs w:val="18"/>
              </w:rPr>
              <w:t>Periodo di riferimento</w:t>
            </w:r>
          </w:p>
        </w:tc>
        <w:tc>
          <w:tcPr>
            <w:tcW w:w="2003" w:type="pct"/>
            <w:shd w:val="clear" w:color="auto" w:fill="D9D9D9"/>
          </w:tcPr>
          <w:p w14:paraId="507E0FC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c>
          <w:tcPr>
            <w:tcW w:w="2004" w:type="pct"/>
            <w:shd w:val="clear" w:color="auto" w:fill="auto"/>
          </w:tcPr>
          <w:p w14:paraId="0F2F20E8"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r>
      <w:tr w:rsidR="00501E02" w14:paraId="0A1722C6" w14:textId="77777777" w:rsidTr="002C489F">
        <w:trPr>
          <w:trHeight w:val="255"/>
        </w:trPr>
        <w:tc>
          <w:tcPr>
            <w:tcW w:w="993" w:type="pct"/>
            <w:shd w:val="clear" w:color="auto" w:fill="auto"/>
          </w:tcPr>
          <w:p w14:paraId="1E2819D9" w14:textId="77777777" w:rsidR="00501E02" w:rsidRDefault="00501E02" w:rsidP="002C489F">
            <w:pPr>
              <w:spacing w:before="40" w:after="20"/>
            </w:pPr>
            <w:r w:rsidRPr="00232AB9">
              <w:rPr>
                <w:rFonts w:ascii="Arial Narrow" w:hAnsi="Arial Narrow" w:cs="Arial"/>
                <w:b/>
                <w:sz w:val="18"/>
                <w:szCs w:val="18"/>
              </w:rPr>
              <w:t>Principali indicatori</w:t>
            </w:r>
          </w:p>
        </w:tc>
        <w:tc>
          <w:tcPr>
            <w:tcW w:w="2003" w:type="pct"/>
            <w:shd w:val="clear" w:color="auto" w:fill="D9D9D9"/>
          </w:tcPr>
          <w:p w14:paraId="037463B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Valori monetari a prezzi correnti rilevati o stimati in termini di valore statistico (Cif, Fob)</w:t>
            </w:r>
          </w:p>
          <w:p w14:paraId="23221AB4" w14:textId="77777777" w:rsidR="00501E02" w:rsidRDefault="00501E02" w:rsidP="002C489F">
            <w:pPr>
              <w:spacing w:before="40" w:after="20"/>
            </w:pPr>
            <w:r w:rsidRPr="00232AB9">
              <w:rPr>
                <w:rFonts w:ascii="Arial Narrow" w:hAnsi="Arial Narrow" w:cs="Arial"/>
                <w:sz w:val="18"/>
                <w:szCs w:val="18"/>
              </w:rPr>
              <w:t>2) VMU e volumi: Indici di Fisher a base mobile concatenati</w:t>
            </w:r>
          </w:p>
        </w:tc>
        <w:tc>
          <w:tcPr>
            <w:tcW w:w="2004" w:type="pct"/>
            <w:shd w:val="clear" w:color="auto" w:fill="auto"/>
          </w:tcPr>
          <w:p w14:paraId="6E674035" w14:textId="3A951D2F" w:rsidR="00501E02" w:rsidRDefault="00501E02" w:rsidP="00DF597A">
            <w:pPr>
              <w:spacing w:before="40" w:after="20"/>
            </w:pPr>
            <w:r w:rsidRPr="00DF597A">
              <w:rPr>
                <w:rFonts w:ascii="Arial Narrow" w:hAnsi="Arial Narrow" w:cs="Arial"/>
                <w:sz w:val="18"/>
                <w:szCs w:val="18"/>
              </w:rPr>
              <w:t>Indice di Laspeyres</w:t>
            </w:r>
            <w:r w:rsidR="00DF597A" w:rsidRPr="00DF597A">
              <w:rPr>
                <w:rFonts w:ascii="Arial Narrow" w:hAnsi="Arial Narrow" w:cs="Arial"/>
                <w:sz w:val="18"/>
                <w:szCs w:val="18"/>
              </w:rPr>
              <w:t xml:space="preserve"> concatenato</w:t>
            </w:r>
          </w:p>
        </w:tc>
      </w:tr>
    </w:tbl>
    <w:p w14:paraId="349DC099" w14:textId="77777777" w:rsidR="00501E02" w:rsidRDefault="00501E02" w:rsidP="00501E02">
      <w:pPr>
        <w:spacing w:after="120"/>
        <w:jc w:val="both"/>
        <w:rPr>
          <w:rFonts w:ascii="Arial" w:hAnsi="Arial" w:cs="Arial"/>
          <w:b/>
        </w:rPr>
      </w:pPr>
    </w:p>
    <w:p w14:paraId="22F2900A"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Commercio con l’estero</w:t>
      </w:r>
    </w:p>
    <w:p w14:paraId="4E8C9D08" w14:textId="77777777" w:rsidR="00501E02" w:rsidRPr="00C21B33" w:rsidRDefault="00501E02" w:rsidP="00501E02">
      <w:pPr>
        <w:spacing w:after="120"/>
        <w:jc w:val="both"/>
        <w:rPr>
          <w:rFonts w:ascii="Arial" w:hAnsi="Arial" w:cs="Arial"/>
          <w:strike/>
          <w:sz w:val="20"/>
          <w:szCs w:val="20"/>
        </w:rPr>
      </w:pPr>
      <w:r w:rsidRPr="00C9631A">
        <w:rPr>
          <w:rFonts w:ascii="Arial" w:hAnsi="Arial" w:cs="Arial"/>
          <w:sz w:val="20"/>
          <w:szCs w:val="20"/>
        </w:rPr>
        <w:t>Le statistiche del commercio estero di beni sono il risultato di due rilevazioni che hanno come oggetto gli scambi dell’Italia con i paesi dell’Unione europea (Ue) e con i paesi extra Ue</w:t>
      </w:r>
      <w:r w:rsidRPr="00104132">
        <w:rPr>
          <w:rFonts w:ascii="Arial" w:hAnsi="Arial" w:cs="Arial"/>
          <w:sz w:val="20"/>
          <w:szCs w:val="20"/>
        </w:rPr>
        <w:t xml:space="preserve">. </w:t>
      </w:r>
    </w:p>
    <w:p w14:paraId="03712E1A" w14:textId="77777777" w:rsidR="00501E02" w:rsidRPr="00C9631A" w:rsidRDefault="00501E02" w:rsidP="00501E02">
      <w:pPr>
        <w:spacing w:after="120"/>
        <w:jc w:val="both"/>
        <w:rPr>
          <w:rFonts w:ascii="Arial" w:hAnsi="Arial" w:cs="Arial"/>
          <w:sz w:val="20"/>
          <w:szCs w:val="20"/>
        </w:rPr>
      </w:pPr>
    </w:p>
    <w:p w14:paraId="28024808" w14:textId="77777777" w:rsidR="00501E02" w:rsidRDefault="00501E02" w:rsidP="00501E02">
      <w:pPr>
        <w:spacing w:after="120"/>
        <w:jc w:val="both"/>
        <w:rPr>
          <w:rFonts w:ascii="Arial" w:hAnsi="Arial" w:cs="Arial"/>
          <w:b/>
          <w:sz w:val="20"/>
          <w:szCs w:val="20"/>
        </w:rPr>
      </w:pPr>
      <w:r w:rsidRPr="00C9631A">
        <w:rPr>
          <w:rFonts w:ascii="Arial" w:hAnsi="Arial" w:cs="Arial"/>
          <w:b/>
          <w:sz w:val="20"/>
          <w:szCs w:val="20"/>
        </w:rPr>
        <w:t>Quadro normativo di riferimento</w:t>
      </w:r>
    </w:p>
    <w:p w14:paraId="7A92114D" w14:textId="77777777" w:rsidR="00501E02" w:rsidRPr="00D61DDB" w:rsidRDefault="00501E02" w:rsidP="00501E02">
      <w:pPr>
        <w:spacing w:after="120"/>
        <w:jc w:val="both"/>
        <w:rPr>
          <w:rFonts w:ascii="Arial" w:hAnsi="Arial" w:cs="Arial"/>
          <w:sz w:val="20"/>
          <w:szCs w:val="20"/>
        </w:rPr>
      </w:pPr>
      <w:r w:rsidRPr="00D61DDB">
        <w:rPr>
          <w:rFonts w:ascii="Arial" w:hAnsi="Arial" w:cs="Arial"/>
          <w:sz w:val="20"/>
          <w:szCs w:val="20"/>
        </w:rPr>
        <w:t>L</w:t>
      </w:r>
      <w:r>
        <w:rPr>
          <w:rFonts w:ascii="Arial" w:hAnsi="Arial" w:cs="Arial"/>
          <w:sz w:val="20"/>
          <w:szCs w:val="20"/>
        </w:rPr>
        <w:t>e rilevazioni</w:t>
      </w:r>
      <w:r w:rsidRPr="00D61DDB">
        <w:rPr>
          <w:rFonts w:ascii="Arial" w:hAnsi="Arial" w:cs="Arial"/>
          <w:sz w:val="20"/>
          <w:szCs w:val="20"/>
        </w:rPr>
        <w:t xml:space="preserve"> del commercio con i paesi </w:t>
      </w:r>
      <w:r>
        <w:rPr>
          <w:rFonts w:ascii="Arial" w:hAnsi="Arial" w:cs="Arial"/>
          <w:sz w:val="20"/>
          <w:szCs w:val="20"/>
        </w:rPr>
        <w:t xml:space="preserve">Ue ed </w:t>
      </w:r>
      <w:r w:rsidRPr="00D61DDB">
        <w:rPr>
          <w:rFonts w:ascii="Arial" w:hAnsi="Arial" w:cs="Arial"/>
          <w:sz w:val="20"/>
          <w:szCs w:val="20"/>
        </w:rPr>
        <w:t xml:space="preserve">extra Ue </w:t>
      </w:r>
      <w:r>
        <w:rPr>
          <w:rFonts w:ascii="Arial" w:hAnsi="Arial" w:cs="Arial"/>
          <w:sz w:val="20"/>
          <w:szCs w:val="20"/>
        </w:rPr>
        <w:t>sono</w:t>
      </w:r>
      <w:r w:rsidRPr="00E41033">
        <w:rPr>
          <w:rFonts w:ascii="Arial" w:hAnsi="Arial" w:cs="Arial"/>
          <w:sz w:val="20"/>
          <w:szCs w:val="20"/>
        </w:rPr>
        <w:t xml:space="preserve"> effettuat</w:t>
      </w:r>
      <w:r>
        <w:rPr>
          <w:rFonts w:ascii="Arial" w:hAnsi="Arial" w:cs="Arial"/>
          <w:sz w:val="20"/>
          <w:szCs w:val="20"/>
        </w:rPr>
        <w:t>e</w:t>
      </w:r>
      <w:r w:rsidRPr="00D61DDB">
        <w:rPr>
          <w:rFonts w:ascii="Arial" w:hAnsi="Arial" w:cs="Arial"/>
          <w:sz w:val="20"/>
          <w:szCs w:val="20"/>
        </w:rPr>
        <w:t xml:space="preserve"> secondo la normativa comunitaria: Regolamento (UE) 2019/2152 del Parlamento europeo e del Consiglio relativo alle statistiche europee sulle imprese; Regolamento di esecuzione (UE) 2020/1197 della Commissione che stabilisce le specifiche tecniche e le modalità a norma del regolamento (UE) 2019/2152; Regolamento delegato (UE) 2021/1704 della Commissione che integra il regolamento (UE) 2019/2152 specificando ulteriormente i dettagli delle informazioni statistiche che devono essere fornite dalle autorità fiscali e doganali e che ne modifica gli allegati V e VI; Regolamento di esecuzione (UE) 2021/1225 della Commi</w:t>
      </w:r>
      <w:r>
        <w:rPr>
          <w:rFonts w:ascii="Arial" w:hAnsi="Arial" w:cs="Arial"/>
          <w:sz w:val="20"/>
          <w:szCs w:val="20"/>
        </w:rPr>
        <w:t>s</w:t>
      </w:r>
      <w:r w:rsidRPr="00D61DDB">
        <w:rPr>
          <w:rFonts w:ascii="Arial" w:hAnsi="Arial" w:cs="Arial"/>
          <w:sz w:val="20"/>
          <w:szCs w:val="20"/>
        </w:rPr>
        <w:t>sione che specifica le modalità degli scambi di dati a norma del regolamento (UE) 2019/2152 e che modifica il regolamento di esecuzione (UE) 2020/1197 per quanto riguarda lo Stato membro di esportazione extra-UE e gli obblighi delle unità rispondenti</w:t>
      </w:r>
      <w:r>
        <w:rPr>
          <w:rFonts w:ascii="Arial" w:hAnsi="Arial" w:cs="Arial"/>
          <w:sz w:val="20"/>
          <w:szCs w:val="20"/>
        </w:rPr>
        <w:t>.</w:t>
      </w:r>
    </w:p>
    <w:p w14:paraId="50AEB23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appartenenti all’Unione europea </w:t>
      </w:r>
      <w:r>
        <w:rPr>
          <w:rFonts w:ascii="Arial" w:hAnsi="Arial" w:cs="Arial"/>
          <w:sz w:val="20"/>
          <w:szCs w:val="20"/>
        </w:rPr>
        <w:t>t</w:t>
      </w:r>
      <w:r w:rsidRPr="00C9631A">
        <w:rPr>
          <w:rFonts w:ascii="Arial" w:hAnsi="Arial" w:cs="Arial"/>
          <w:sz w:val="20"/>
          <w:szCs w:val="20"/>
        </w:rPr>
        <w:t>rova applicazione in sede nazionale con il Decreto Legislativo n. 18/2010 (GU n. 41 del 19-2-2010), il Decreto del Ministro dell’</w:t>
      </w:r>
      <w:r>
        <w:rPr>
          <w:rFonts w:ascii="Arial" w:hAnsi="Arial" w:cs="Arial"/>
          <w:sz w:val="20"/>
          <w:szCs w:val="20"/>
        </w:rPr>
        <w:t>e</w:t>
      </w:r>
      <w:r w:rsidRPr="00C9631A">
        <w:rPr>
          <w:rFonts w:ascii="Arial" w:hAnsi="Arial" w:cs="Arial"/>
          <w:sz w:val="20"/>
          <w:szCs w:val="20"/>
        </w:rPr>
        <w:t xml:space="preserve">conomia e delle </w:t>
      </w:r>
      <w:r>
        <w:rPr>
          <w:rFonts w:ascii="Arial" w:hAnsi="Arial" w:cs="Arial"/>
          <w:sz w:val="20"/>
          <w:szCs w:val="20"/>
        </w:rPr>
        <w:t>f</w:t>
      </w:r>
      <w:r w:rsidRPr="00C9631A">
        <w:rPr>
          <w:rFonts w:ascii="Arial" w:hAnsi="Arial" w:cs="Arial"/>
          <w:sz w:val="20"/>
          <w:szCs w:val="20"/>
        </w:rPr>
        <w:t>inanze del 22/2/2010 (GU n.53 del 5-3-2010) e l</w:t>
      </w:r>
      <w:r>
        <w:rPr>
          <w:rFonts w:ascii="Arial" w:hAnsi="Arial" w:cs="Arial"/>
          <w:sz w:val="20"/>
          <w:szCs w:val="20"/>
        </w:rPr>
        <w:t>a</w:t>
      </w:r>
      <w:r w:rsidRPr="00C9631A">
        <w:rPr>
          <w:rFonts w:ascii="Arial" w:hAnsi="Arial" w:cs="Arial"/>
          <w:sz w:val="20"/>
          <w:szCs w:val="20"/>
        </w:rPr>
        <w:t xml:space="preserve"> Determinazione </w:t>
      </w:r>
      <w:r>
        <w:rPr>
          <w:rFonts w:ascii="Arial" w:hAnsi="Arial" w:cs="Arial"/>
          <w:sz w:val="20"/>
          <w:szCs w:val="20"/>
        </w:rPr>
        <w:t xml:space="preserve">del Direttore </w:t>
      </w:r>
      <w:r w:rsidRPr="00C9631A">
        <w:rPr>
          <w:rFonts w:ascii="Arial" w:hAnsi="Arial" w:cs="Arial"/>
          <w:sz w:val="20"/>
          <w:szCs w:val="20"/>
        </w:rPr>
        <w:t xml:space="preserve">dell’Agenzia delle </w:t>
      </w:r>
      <w:r>
        <w:rPr>
          <w:rFonts w:ascii="Arial" w:hAnsi="Arial" w:cs="Arial"/>
          <w:sz w:val="20"/>
          <w:szCs w:val="20"/>
        </w:rPr>
        <w:t>d</w:t>
      </w:r>
      <w:r w:rsidRPr="00C9631A">
        <w:rPr>
          <w:rFonts w:ascii="Arial" w:hAnsi="Arial" w:cs="Arial"/>
          <w:sz w:val="20"/>
          <w:szCs w:val="20"/>
        </w:rPr>
        <w:t>ogane del 22/2/2010</w:t>
      </w:r>
      <w:r>
        <w:rPr>
          <w:rFonts w:ascii="Arial" w:hAnsi="Arial" w:cs="Arial"/>
          <w:sz w:val="20"/>
          <w:szCs w:val="20"/>
        </w:rPr>
        <w:t>,</w:t>
      </w:r>
      <w:r w:rsidRPr="00C9631A">
        <w:rPr>
          <w:rFonts w:ascii="Arial" w:hAnsi="Arial" w:cs="Arial"/>
          <w:sz w:val="20"/>
          <w:szCs w:val="20"/>
        </w:rPr>
        <w:t xml:space="preserve"> </w:t>
      </w:r>
      <w:r>
        <w:rPr>
          <w:rFonts w:ascii="Arial" w:hAnsi="Arial" w:cs="Arial"/>
          <w:sz w:val="20"/>
          <w:szCs w:val="20"/>
        </w:rPr>
        <w:t>il</w:t>
      </w:r>
      <w:r w:rsidRPr="00C9631A">
        <w:rPr>
          <w:rFonts w:ascii="Arial" w:hAnsi="Arial" w:cs="Arial"/>
          <w:sz w:val="20"/>
          <w:szCs w:val="20"/>
        </w:rPr>
        <w:t xml:space="preserve"> Provvedimento del </w:t>
      </w:r>
      <w:r>
        <w:rPr>
          <w:rFonts w:ascii="Arial" w:hAnsi="Arial" w:cs="Arial"/>
          <w:sz w:val="20"/>
          <w:szCs w:val="20"/>
        </w:rPr>
        <w:t>D</w:t>
      </w:r>
      <w:r w:rsidRPr="00C9631A">
        <w:rPr>
          <w:rFonts w:ascii="Arial" w:hAnsi="Arial" w:cs="Arial"/>
          <w:sz w:val="20"/>
          <w:szCs w:val="20"/>
        </w:rPr>
        <w:t>irettore dell'Agenzia delle entrate</w:t>
      </w:r>
      <w:r>
        <w:rPr>
          <w:rFonts w:ascii="Arial" w:hAnsi="Arial" w:cs="Arial"/>
          <w:sz w:val="20"/>
          <w:szCs w:val="20"/>
        </w:rPr>
        <w:t xml:space="preserve"> n. 194409 </w:t>
      </w:r>
      <w:r w:rsidRPr="00C9631A">
        <w:rPr>
          <w:rFonts w:ascii="Arial" w:hAnsi="Arial" w:cs="Arial"/>
          <w:sz w:val="20"/>
          <w:szCs w:val="20"/>
        </w:rPr>
        <w:t xml:space="preserve"> del 25/09/2017</w:t>
      </w:r>
      <w:r>
        <w:rPr>
          <w:rFonts w:ascii="Arial" w:hAnsi="Arial" w:cs="Arial"/>
          <w:sz w:val="20"/>
          <w:szCs w:val="20"/>
        </w:rPr>
        <w:t xml:space="preserve"> e la </w:t>
      </w:r>
      <w:r w:rsidRPr="00D05D6A">
        <w:rPr>
          <w:rFonts w:ascii="Arial" w:hAnsi="Arial" w:cs="Arial"/>
          <w:sz w:val="20"/>
          <w:szCs w:val="20"/>
        </w:rPr>
        <w:t xml:space="preserve">Determinazione </w:t>
      </w:r>
      <w:r>
        <w:rPr>
          <w:rFonts w:ascii="Arial" w:hAnsi="Arial" w:cs="Arial"/>
          <w:sz w:val="20"/>
          <w:szCs w:val="20"/>
        </w:rPr>
        <w:t xml:space="preserve">del Direttore dell’Agenzia delle dogane e monopoli </w:t>
      </w:r>
      <w:r w:rsidRPr="00D05D6A">
        <w:rPr>
          <w:rFonts w:ascii="Arial" w:hAnsi="Arial" w:cs="Arial"/>
          <w:sz w:val="20"/>
          <w:szCs w:val="20"/>
        </w:rPr>
        <w:t>n</w:t>
      </w:r>
      <w:r>
        <w:rPr>
          <w:rFonts w:ascii="Arial" w:hAnsi="Arial" w:cs="Arial"/>
          <w:sz w:val="20"/>
          <w:szCs w:val="20"/>
        </w:rPr>
        <w:t>.</w:t>
      </w:r>
      <w:r w:rsidRPr="00D05D6A">
        <w:rPr>
          <w:rFonts w:ascii="Arial" w:hAnsi="Arial" w:cs="Arial"/>
          <w:sz w:val="20"/>
          <w:szCs w:val="20"/>
        </w:rPr>
        <w:t xml:space="preserve"> 493869 del 23 dicembre 2021</w:t>
      </w:r>
      <w:r w:rsidRPr="00C9631A">
        <w:rPr>
          <w:rFonts w:ascii="Arial" w:hAnsi="Arial" w:cs="Arial"/>
          <w:sz w:val="20"/>
          <w:szCs w:val="20"/>
        </w:rPr>
        <w:t xml:space="preserve">. </w:t>
      </w:r>
    </w:p>
    <w:p w14:paraId="58F853A1"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extra Ue </w:t>
      </w:r>
      <w:r>
        <w:rPr>
          <w:rFonts w:ascii="Arial" w:hAnsi="Arial" w:cs="Arial"/>
          <w:sz w:val="20"/>
          <w:szCs w:val="20"/>
        </w:rPr>
        <w:t xml:space="preserve">trova </w:t>
      </w:r>
      <w:r w:rsidRPr="00C9631A">
        <w:rPr>
          <w:rFonts w:ascii="Arial" w:hAnsi="Arial" w:cs="Arial"/>
          <w:sz w:val="20"/>
          <w:szCs w:val="20"/>
        </w:rPr>
        <w:t xml:space="preserve">applicazione in sede nazionale con opportuni provvedimenti emanati dall’Agenzia delle </w:t>
      </w:r>
      <w:r>
        <w:rPr>
          <w:rFonts w:ascii="Arial" w:hAnsi="Arial" w:cs="Arial"/>
          <w:sz w:val="20"/>
          <w:szCs w:val="20"/>
        </w:rPr>
        <w:t>d</w:t>
      </w:r>
      <w:r w:rsidRPr="00C9631A">
        <w:rPr>
          <w:rFonts w:ascii="Arial" w:hAnsi="Arial" w:cs="Arial"/>
          <w:sz w:val="20"/>
          <w:szCs w:val="20"/>
        </w:rPr>
        <w:t>ogane</w:t>
      </w:r>
      <w:r>
        <w:rPr>
          <w:rFonts w:ascii="Arial" w:hAnsi="Arial" w:cs="Arial"/>
          <w:sz w:val="20"/>
          <w:szCs w:val="20"/>
        </w:rPr>
        <w:t>.</w:t>
      </w:r>
    </w:p>
    <w:p w14:paraId="49AD2B4B" w14:textId="77777777" w:rsidR="00501E02" w:rsidRDefault="00501E02" w:rsidP="00501E02">
      <w:pPr>
        <w:spacing w:after="120"/>
        <w:jc w:val="both"/>
        <w:rPr>
          <w:rFonts w:ascii="Arial" w:hAnsi="Arial" w:cs="Arial"/>
          <w:sz w:val="20"/>
          <w:szCs w:val="20"/>
        </w:rPr>
      </w:pPr>
    </w:p>
    <w:p w14:paraId="1362B3FD" w14:textId="77777777" w:rsidR="00501E02" w:rsidRDefault="00501E02" w:rsidP="00501E02">
      <w:pPr>
        <w:spacing w:after="120"/>
        <w:jc w:val="both"/>
        <w:rPr>
          <w:rFonts w:ascii="Arial" w:hAnsi="Arial" w:cs="Arial"/>
          <w:sz w:val="20"/>
          <w:szCs w:val="20"/>
        </w:rPr>
      </w:pPr>
    </w:p>
    <w:p w14:paraId="4C9FBF49" w14:textId="77777777" w:rsidR="00501E02" w:rsidRDefault="00501E02" w:rsidP="00501E02">
      <w:pPr>
        <w:spacing w:after="120"/>
        <w:jc w:val="both"/>
        <w:rPr>
          <w:rFonts w:ascii="Arial" w:hAnsi="Arial" w:cs="Arial"/>
          <w:sz w:val="20"/>
          <w:szCs w:val="20"/>
        </w:rPr>
      </w:pPr>
    </w:p>
    <w:p w14:paraId="277A2D36" w14:textId="77777777" w:rsidR="00501E02" w:rsidRDefault="00501E02" w:rsidP="00501E02">
      <w:pPr>
        <w:spacing w:after="120"/>
        <w:jc w:val="both"/>
        <w:rPr>
          <w:rFonts w:ascii="Arial" w:hAnsi="Arial" w:cs="Arial"/>
          <w:sz w:val="20"/>
          <w:szCs w:val="20"/>
        </w:rPr>
      </w:pPr>
    </w:p>
    <w:p w14:paraId="1525345B" w14:textId="77777777" w:rsidR="00501E02" w:rsidRPr="00C9631A" w:rsidRDefault="00501E02" w:rsidP="00501E02">
      <w:pPr>
        <w:spacing w:after="120"/>
        <w:jc w:val="both"/>
        <w:rPr>
          <w:rFonts w:ascii="Arial" w:hAnsi="Arial" w:cs="Arial"/>
          <w:sz w:val="20"/>
          <w:szCs w:val="20"/>
        </w:rPr>
      </w:pPr>
    </w:p>
    <w:p w14:paraId="4F564254"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 xml:space="preserve">Fonti utilizzate e raccolta dei dati </w:t>
      </w:r>
    </w:p>
    <w:p w14:paraId="3B3B5DFE" w14:textId="77777777" w:rsidR="00501E02" w:rsidRPr="00FA0113" w:rsidRDefault="00501E02" w:rsidP="00501E02">
      <w:pPr>
        <w:spacing w:after="120"/>
        <w:jc w:val="both"/>
        <w:rPr>
          <w:rFonts w:ascii="Arial" w:hAnsi="Arial" w:cs="Arial"/>
          <w:sz w:val="16"/>
          <w:szCs w:val="16"/>
        </w:rPr>
      </w:pPr>
      <w:r w:rsidRPr="00C9631A">
        <w:rPr>
          <w:rFonts w:ascii="Arial" w:hAnsi="Arial" w:cs="Arial"/>
          <w:sz w:val="20"/>
          <w:szCs w:val="20"/>
        </w:rPr>
        <w:t xml:space="preserve">Per la produzione di statistiche sugli scambi di merci con i paesi Ue, le informazioni sono raccolte tramite i modelli Intrastat che riportano, in sezioni distinte, le dichiarazioni per acquisti e cessioni di beni e per prestazioni di servizi resi e ricevuti. </w:t>
      </w:r>
    </w:p>
    <w:p w14:paraId="6F91AC11"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L’universo di riferimento è costituito dai soggetti economici identificati sulla base della partiva iva, che risultano aver effettuato almeno una transazione commerciale con i paesi Ue nel periodo considerato. Ai sensi della legge 27 febbraio 2017 n. 19 e della Determinazione del Direttore dell’Agenzia delle dogane e dei monopoli n. 493869 del 23 dicembre 2021, a partire dal 1° gennaio 2022 le soglie statistiche che determinano l’obbligatorietà di risposta alla rilevazione mensile Intrastat sono così definite:</w:t>
      </w:r>
    </w:p>
    <w:p w14:paraId="4282FD5D"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a) cessioni di beni, per i soggetti che hanno realizzato, in almeno uno dei quattro trimestri precedenti, un ammontare totale trimestrale superiore ai 100.000 euro (tale soglia resta la stessa in vigore dal 1° gennaio 2018);</w:t>
      </w:r>
    </w:p>
    <w:p w14:paraId="363EB5EC" w14:textId="77777777" w:rsidR="00501E02" w:rsidRPr="00C9631A" w:rsidRDefault="00501E02" w:rsidP="00501E02">
      <w:pPr>
        <w:spacing w:after="120"/>
        <w:jc w:val="both"/>
        <w:rPr>
          <w:rFonts w:ascii="Arial" w:hAnsi="Arial" w:cs="Arial"/>
          <w:sz w:val="20"/>
          <w:szCs w:val="20"/>
        </w:rPr>
      </w:pPr>
      <w:r w:rsidRPr="00A80498">
        <w:rPr>
          <w:rFonts w:ascii="Arial" w:hAnsi="Arial" w:cs="Arial"/>
          <w:sz w:val="20"/>
          <w:szCs w:val="20"/>
        </w:rPr>
        <w:t>b) acquisti di beni, per i soggetti che hanno realizzato, in almeno uno dei quattro trimestri precedenti, un ammontare totale trimestrale superiore ai 350.000 euro (da gennaio 2018 a dicembre 2021, la soglia era di 200.000 euro).</w:t>
      </w:r>
    </w:p>
    <w:p w14:paraId="1ED5F01C"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dichiarazioni Intrastat vengono trasmesse in via telematica all’Agenzia delle Dogane.</w:t>
      </w:r>
    </w:p>
    <w:p w14:paraId="10691FB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 20</w:t>
      </w:r>
      <w:r>
        <w:rPr>
          <w:rFonts w:ascii="Arial" w:hAnsi="Arial" w:cs="Arial"/>
          <w:sz w:val="20"/>
          <w:szCs w:val="20"/>
        </w:rPr>
        <w:t>22</w:t>
      </w:r>
      <w:r w:rsidRPr="00C9631A">
        <w:rPr>
          <w:rFonts w:ascii="Arial" w:hAnsi="Arial" w:cs="Arial"/>
          <w:sz w:val="20"/>
          <w:szCs w:val="20"/>
        </w:rPr>
        <w:t>, i dati necessari alla compilazione delle statistiche sugli scambi di merci con i paesi dell’Ue sono forniti esclusivamente dagli operatori obbligati alle dichiarazioni mensili secondo le nuove soglie sopra riportate. I flussi di merci attivati da questi operatori coprono circa il 97% delle cessioni e il 9</w:t>
      </w:r>
      <w:r>
        <w:rPr>
          <w:rFonts w:ascii="Arial" w:hAnsi="Arial" w:cs="Arial"/>
          <w:sz w:val="20"/>
          <w:szCs w:val="20"/>
        </w:rPr>
        <w:t>1</w:t>
      </w:r>
      <w:r w:rsidRPr="00C9631A">
        <w:rPr>
          <w:rFonts w:ascii="Arial" w:hAnsi="Arial" w:cs="Arial"/>
          <w:sz w:val="20"/>
          <w:szCs w:val="20"/>
        </w:rPr>
        <w:t>% degli acquisti intracomunitari realizzando una consistente riduzione del carico informativo sugli operatori</w:t>
      </w:r>
      <w:r w:rsidRPr="00C9631A">
        <w:rPr>
          <w:rStyle w:val="Rimandonotaapidipagina"/>
          <w:rFonts w:ascii="Arial" w:hAnsi="Arial" w:cs="Arial"/>
          <w:sz w:val="20"/>
          <w:szCs w:val="20"/>
        </w:rPr>
        <w:footnoteReference w:id="1"/>
      </w:r>
      <w:r w:rsidRPr="00C9631A">
        <w:rPr>
          <w:rFonts w:ascii="Arial" w:hAnsi="Arial" w:cs="Arial"/>
          <w:sz w:val="20"/>
          <w:szCs w:val="20"/>
        </w:rPr>
        <w:t xml:space="preserve">. </w:t>
      </w:r>
    </w:p>
    <w:p w14:paraId="2BF181A6"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Al fine di realizzare una stima accurata e tempestiva che completi il quadro informativo rispetto all’universo degli operatori che realizzano scambi commerciali con i paesi dell’Ue è stato adottato un approccio di tipo </w:t>
      </w:r>
      <w:r w:rsidRPr="00AB0189">
        <w:rPr>
          <w:rFonts w:ascii="Arial" w:hAnsi="Arial" w:cs="Arial"/>
          <w:i/>
          <w:sz w:val="20"/>
          <w:szCs w:val="20"/>
        </w:rPr>
        <w:t>register-based</w:t>
      </w:r>
      <w:r w:rsidRPr="00C9631A">
        <w:rPr>
          <w:rFonts w:ascii="Arial" w:hAnsi="Arial" w:cs="Arial"/>
          <w:sz w:val="20"/>
          <w:szCs w:val="20"/>
        </w:rPr>
        <w:t xml:space="preserve"> che provvede a stimare, attraverso opportune metodologie, la componente dei flussi attribuibile agli operatori non obbligati a fornire informazioni, considerando congiuntamente sia i domini nazionali che territoriali. In occasione della revisione annuale dei dati realizzata ogni anno a novembre, verranno considerate nei processi di imputazione e stima delle informazioni mancanti ulteriori informazioni presenti nel sistema dei registri e delle fonti fiscali e amministrative disponibili per migliorare ulteriormente la qualità e la copertura delle stime prodotte. </w:t>
      </w:r>
    </w:p>
    <w:p w14:paraId="6B07878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con i paesi extra Ue è effettuata elaborando dati provenienti da una base dati di tipo fiscale-amministrativo (Documento Amministrativo Unico – DAU) coerente con le definizioni e le classificazioni di tipo statistico e ha periodicità mensile.</w:t>
      </w:r>
    </w:p>
    <w:p w14:paraId="1AE85304"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Conformemente alla normativa comunitaria, dal 2000 le esportazioni e le importazioni al di sotto delle soglie di esclusione (operazioni commerciali di valore – a partire dal 2010 – inferiore a 1.000 euro) vengono inserite nelle statistiche del commercio estero con i paesi extra Ue mensilmente in forma aggregata.</w:t>
      </w:r>
    </w:p>
    <w:p w14:paraId="5DC580D1" w14:textId="77777777" w:rsidR="00501E02" w:rsidRPr="00C9631A" w:rsidRDefault="00501E02" w:rsidP="00501E02">
      <w:pPr>
        <w:spacing w:after="120"/>
        <w:jc w:val="both"/>
        <w:rPr>
          <w:rFonts w:ascii="Arial" w:hAnsi="Arial" w:cs="Arial"/>
          <w:sz w:val="20"/>
          <w:szCs w:val="20"/>
        </w:rPr>
      </w:pPr>
      <w:r>
        <w:rPr>
          <w:rFonts w:ascii="Arial" w:hAnsi="Arial" w:cs="Arial"/>
          <w:sz w:val="20"/>
          <w:szCs w:val="20"/>
        </w:rPr>
        <w:t>A partire dal mese di gennaio 2022, i</w:t>
      </w:r>
      <w:r w:rsidRPr="00C232B1">
        <w:rPr>
          <w:rFonts w:ascii="Arial" w:hAnsi="Arial" w:cs="Arial"/>
          <w:sz w:val="20"/>
          <w:szCs w:val="20"/>
        </w:rPr>
        <w:t xml:space="preserve">n applicazione delle disposizioni di cui al Regolamento di </w:t>
      </w:r>
      <w:r>
        <w:rPr>
          <w:rFonts w:ascii="Arial" w:hAnsi="Arial" w:cs="Arial"/>
          <w:sz w:val="20"/>
          <w:szCs w:val="20"/>
        </w:rPr>
        <w:t xml:space="preserve">esecuzione (UE) 2020/1197, non è richiesta la disaggregazione dei flussi di interscambio intracomunitario in termini di singoli prodotti </w:t>
      </w:r>
      <w:r w:rsidRPr="00C232B1">
        <w:rPr>
          <w:rFonts w:ascii="Arial" w:hAnsi="Arial" w:cs="Arial"/>
          <w:sz w:val="20"/>
          <w:szCs w:val="20"/>
        </w:rPr>
        <w:t>della nomenclatura co</w:t>
      </w:r>
      <w:r>
        <w:rPr>
          <w:rFonts w:ascii="Arial" w:hAnsi="Arial" w:cs="Arial"/>
          <w:sz w:val="20"/>
          <w:szCs w:val="20"/>
        </w:rPr>
        <w:t xml:space="preserve">mbinata </w:t>
      </w:r>
      <w:r w:rsidRPr="00C232B1">
        <w:rPr>
          <w:rFonts w:ascii="Arial" w:hAnsi="Arial" w:cs="Arial"/>
          <w:sz w:val="20"/>
          <w:szCs w:val="20"/>
        </w:rPr>
        <w:t xml:space="preserve">per le spedizioni di valore inferiore </w:t>
      </w:r>
      <w:r>
        <w:rPr>
          <w:rFonts w:ascii="Arial" w:hAnsi="Arial" w:cs="Arial"/>
          <w:sz w:val="20"/>
          <w:szCs w:val="20"/>
        </w:rPr>
        <w:t>a</w:t>
      </w:r>
      <w:r w:rsidRPr="00C232B1">
        <w:rPr>
          <w:rFonts w:ascii="Arial" w:hAnsi="Arial" w:cs="Arial"/>
          <w:sz w:val="20"/>
          <w:szCs w:val="20"/>
        </w:rPr>
        <w:t xml:space="preserve"> 1.000</w:t>
      </w:r>
      <w:r>
        <w:rPr>
          <w:rFonts w:ascii="Arial" w:hAnsi="Arial" w:cs="Arial"/>
          <w:sz w:val="20"/>
          <w:szCs w:val="20"/>
        </w:rPr>
        <w:t xml:space="preserve"> euro.</w:t>
      </w:r>
    </w:p>
    <w:p w14:paraId="7CEBACE3" w14:textId="77777777" w:rsidR="00501E02" w:rsidRDefault="00501E02" w:rsidP="00501E02">
      <w:pPr>
        <w:suppressAutoHyphens/>
        <w:spacing w:after="120"/>
        <w:jc w:val="both"/>
        <w:rPr>
          <w:rFonts w:ascii="Arial" w:hAnsi="Arial" w:cs="Arial"/>
          <w:sz w:val="20"/>
          <w:szCs w:val="20"/>
        </w:rPr>
      </w:pPr>
      <w:r w:rsidRPr="00C9631A">
        <w:rPr>
          <w:rFonts w:ascii="Arial" w:hAnsi="Arial" w:cs="Arial"/>
          <w:sz w:val="20"/>
          <w:szCs w:val="20"/>
        </w:rPr>
        <w:t xml:space="preserve">A partire dal mese di settembre 2011 è stata implementata una nuova metodologia di produzione delle statistiche sugli scambi con l’estero di gas naturale allo stato gassoso e di energia elettrica, che si basa sull’impiego diretto di fonti informative alternative ai dati statistico-doganali solo per quanto riguarda la misurazione degli scambi complessivi in quantità, mentre per le altre variabili di analisi e classificazione richieste dai regolamenti statistici comunitari (dati in valore monetario e allocazione geografica dei flussi con l’estero per “paese statistico”) sono stati adottati opportuni criteri di stima. </w:t>
      </w:r>
    </w:p>
    <w:p w14:paraId="5A0A5233" w14:textId="77777777" w:rsidR="00501E02" w:rsidRPr="00FA0113" w:rsidRDefault="00501E02" w:rsidP="00501E02">
      <w:pPr>
        <w:suppressAutoHyphens/>
        <w:spacing w:after="120"/>
        <w:jc w:val="both"/>
        <w:rPr>
          <w:rFonts w:ascii="Arial" w:hAnsi="Arial" w:cs="Arial"/>
          <w:sz w:val="16"/>
          <w:szCs w:val="16"/>
        </w:rPr>
      </w:pPr>
    </w:p>
    <w:p w14:paraId="5900496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Classificazioni utilizzate</w:t>
      </w:r>
    </w:p>
    <w:p w14:paraId="075E785B" w14:textId="7D8BCD17" w:rsidR="00501E02" w:rsidRDefault="00501E02" w:rsidP="00501E02">
      <w:pPr>
        <w:spacing w:after="100"/>
        <w:jc w:val="both"/>
        <w:rPr>
          <w:rFonts w:ascii="Arial" w:hAnsi="Arial" w:cs="Arial"/>
          <w:sz w:val="20"/>
          <w:szCs w:val="20"/>
        </w:rPr>
      </w:pPr>
      <w:r w:rsidRPr="00C9631A">
        <w:rPr>
          <w:rFonts w:ascii="Arial" w:hAnsi="Arial" w:cs="Arial"/>
          <w:sz w:val="20"/>
          <w:szCs w:val="20"/>
        </w:rPr>
        <w:t>Le principali classificazioni utilizzate nella produzione delle statistiche del commercio con l’estero sono definite a partire dall</w:t>
      </w:r>
      <w:r>
        <w:rPr>
          <w:rFonts w:ascii="Arial" w:hAnsi="Arial" w:cs="Arial"/>
          <w:sz w:val="20"/>
          <w:szCs w:val="20"/>
        </w:rPr>
        <w:t>e</w:t>
      </w:r>
      <w:r w:rsidRPr="00C9631A">
        <w:rPr>
          <w:rFonts w:ascii="Arial" w:hAnsi="Arial" w:cs="Arial"/>
          <w:sz w:val="20"/>
          <w:szCs w:val="20"/>
        </w:rPr>
        <w:t xml:space="preserve"> informazioni elementari riguardanti la tipologia delle merci, il paese statistico e la provincia di provenienza o destinazione delle merci. </w:t>
      </w:r>
    </w:p>
    <w:p w14:paraId="4E3BDC7A" w14:textId="48422151" w:rsidR="00501E02" w:rsidRDefault="00501E02" w:rsidP="00501E02">
      <w:pPr>
        <w:spacing w:after="100"/>
        <w:jc w:val="both"/>
        <w:rPr>
          <w:rFonts w:ascii="Arial" w:hAnsi="Arial" w:cs="Arial"/>
          <w:sz w:val="20"/>
          <w:szCs w:val="20"/>
        </w:rPr>
      </w:pPr>
      <w:r w:rsidRPr="00C9631A">
        <w:rPr>
          <w:rFonts w:ascii="Arial" w:hAnsi="Arial" w:cs="Arial"/>
          <w:sz w:val="20"/>
          <w:szCs w:val="20"/>
        </w:rPr>
        <w:t>Nel rispetto dei Regolamenti comunitari, gli scambi commerciali di beni tra paesi membri sono classificati secondo il paese di provenienza per gli acquisti e il paese di destinazione per le cessioni, mentre quelli con i paesi terzi sono classificati secondo il paese di origine per le importazioni e il paese di destinazione per le esportazioni.</w:t>
      </w:r>
    </w:p>
    <w:p w14:paraId="2C05055B" w14:textId="3DF62987" w:rsidR="00220D58" w:rsidRDefault="00220D58" w:rsidP="00501E02">
      <w:pPr>
        <w:spacing w:after="100"/>
        <w:jc w:val="both"/>
        <w:rPr>
          <w:rFonts w:ascii="Arial" w:hAnsi="Arial" w:cs="Arial"/>
          <w:sz w:val="20"/>
          <w:szCs w:val="20"/>
        </w:rPr>
      </w:pPr>
    </w:p>
    <w:p w14:paraId="27A3F251" w14:textId="77777777" w:rsidR="00220D58" w:rsidRPr="00C9631A" w:rsidRDefault="00220D58" w:rsidP="00501E02">
      <w:pPr>
        <w:spacing w:after="100"/>
        <w:jc w:val="both"/>
        <w:rPr>
          <w:rFonts w:ascii="Arial" w:hAnsi="Arial" w:cs="Arial"/>
          <w:sz w:val="20"/>
          <w:szCs w:val="20"/>
        </w:rPr>
      </w:pPr>
    </w:p>
    <w:p w14:paraId="69860E9B" w14:textId="77777777" w:rsidR="00501E02" w:rsidRPr="00C9631A" w:rsidRDefault="00501E02" w:rsidP="00501E02">
      <w:pPr>
        <w:suppressAutoHyphens/>
        <w:spacing w:after="100"/>
        <w:jc w:val="both"/>
        <w:rPr>
          <w:rFonts w:ascii="Arial" w:hAnsi="Arial" w:cs="Arial"/>
          <w:sz w:val="20"/>
          <w:szCs w:val="20"/>
        </w:rPr>
      </w:pPr>
      <w:r w:rsidRPr="00C9631A">
        <w:rPr>
          <w:rFonts w:ascii="Arial" w:hAnsi="Arial" w:cs="Arial"/>
          <w:sz w:val="20"/>
          <w:szCs w:val="20"/>
        </w:rPr>
        <w:t>La classificazione utilizzata per definire le aree geografiche e le aree geoeconomiche di appartenenza dei paesi è la Geonomenclatura dei paesi e territori per le statistiche del commercio estero dell’Unione e del commercio tra i suoi Stati membri, stabilita da Eurostat.</w:t>
      </w:r>
    </w:p>
    <w:p w14:paraId="56EB4BC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classificazione di base utilizzata per la rilevazione di informazioni statistiche sugli scambi di merci è la Nomenclatura Combinata (NC), definita dall’Unione europea e annualmente aggiornata. </w:t>
      </w:r>
    </w:p>
    <w:p w14:paraId="1BC76B6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 gennaio 2009 i raggruppamenti di merci dell’interscambio commerciale sono definiti sulla base della classificazione delle attività economiche Ateco 2007 opportunamente adattata alle statistiche sul commercio estero. L’Ateco 2007, infatti, costituisce la versione nazionale della nomenclatura europea Nace rev. 2, pubblicata sull’Official Journal il 2 dicembre 2006 (Regolamento (CE) n. 1893/2006 del PE e del Consiglio del 20/12/2006), con la quale coincide fino alla quarta cifra.</w:t>
      </w:r>
    </w:p>
    <w:p w14:paraId="4C706B9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Ai fini di fornire le informazioni a un livello di dettaglio idoneo ad analizzare l’interscambio commerciale italiano, i dati sono rilasciati secondo un’opportuna disaggregazione intermedia delle sezioni.</w:t>
      </w:r>
    </w:p>
    <w:p w14:paraId="0FDD696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Nel corso dell’anno 2003, l’Istat ha modificato, per i dati di commercio estero così come per tutti gli indicatori congiunturali dell’industria, la classificazione delle aggregazioni per destinazione economica dei prodotti “Raggruppamenti Principali di Industrie (RPI)”, definiti dal Regolamento della Commissione n.586/2001 (G.U. delle Comunità europee del 27/03/2001). A seguito dell'entrata in vigore della Nace Rev. 2 tale Regolamento è stato modificato dal Regolamento (CE) n. 656/2007 del 14/06/2007.</w:t>
      </w:r>
    </w:p>
    <w:p w14:paraId="3C20BE6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Raggruppamenti Principali di Industrie (RPI) sono:</w:t>
      </w:r>
    </w:p>
    <w:p w14:paraId="4F353B2D"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durevoli;</w:t>
      </w:r>
    </w:p>
    <w:p w14:paraId="482C0B4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non durevoli;</w:t>
      </w:r>
    </w:p>
    <w:p w14:paraId="5CBAA6F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strumentali;</w:t>
      </w:r>
    </w:p>
    <w:p w14:paraId="7FA5618B"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Prodotti intermedi;</w:t>
      </w:r>
    </w:p>
    <w:p w14:paraId="069C1AB2"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Energia.</w:t>
      </w:r>
    </w:p>
    <w:p w14:paraId="2DB8C24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Al pari dell’Ateco 2007</w:t>
      </w:r>
      <w:r w:rsidRPr="00C9631A">
        <w:rPr>
          <w:rStyle w:val="Rimandonotaapidipagina"/>
          <w:rFonts w:ascii="Arial" w:hAnsi="Arial" w:cs="Arial"/>
          <w:sz w:val="20"/>
          <w:szCs w:val="20"/>
        </w:rPr>
        <w:footnoteReference w:id="2"/>
      </w:r>
      <w:r w:rsidRPr="00C9631A">
        <w:rPr>
          <w:rFonts w:ascii="Arial" w:hAnsi="Arial" w:cs="Arial"/>
          <w:sz w:val="20"/>
          <w:szCs w:val="20"/>
        </w:rPr>
        <w:t>, anche la classificazione RPI è stata adattata alle statistiche sul commercio con l’estero.</w:t>
      </w:r>
    </w:p>
    <w:p w14:paraId="24011C2B" w14:textId="77777777" w:rsidR="00501E02" w:rsidRPr="00C9631A" w:rsidRDefault="00501E02" w:rsidP="00501E02">
      <w:pPr>
        <w:spacing w:after="120"/>
        <w:jc w:val="both"/>
        <w:rPr>
          <w:rFonts w:ascii="Arial" w:hAnsi="Arial" w:cs="Arial"/>
          <w:sz w:val="20"/>
          <w:szCs w:val="20"/>
        </w:rPr>
      </w:pPr>
    </w:p>
    <w:p w14:paraId="59A26E51"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Strumenti di elaborazione dei dati</w:t>
      </w:r>
    </w:p>
    <w:p w14:paraId="476F0B5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Insieme ai dati grezzi, vengono pubblicati anche i dati depurati della componente stagionale e dagli effetti di calendario. Tali dati sono ottenuti attraverso la procedura TRAMO-SEATS per Linux (versione di febbraio 2010).</w:t>
      </w:r>
    </w:p>
    <w:p w14:paraId="0A11FFDD" w14:textId="77777777" w:rsidR="00501E02" w:rsidRPr="00C9631A" w:rsidRDefault="00501E02" w:rsidP="0050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20"/>
          <w:szCs w:val="20"/>
        </w:rPr>
      </w:pPr>
      <w:r w:rsidRPr="00C9631A">
        <w:rPr>
          <w:rFonts w:ascii="Arial" w:hAnsi="Arial" w:cs="Arial"/>
          <w:sz w:val="20"/>
          <w:szCs w:val="20"/>
        </w:rPr>
        <w:t>A partire dai dati mensili del 2012, sono state introdotte alcune sostanziali innovazioni di processo e prodotto nelle procedure di destagionalizzazione, finalizzate a migliorare l’accuratezza delle stime prodotte e a fornire agli utenti un più ampio dettaglio degli indicatori statistici per l’analisi congiunturale del commercio con l’estero, rendendo disponibili nuove serie destagionalizzate a livello di raggruppamenti principali di industrie.</w:t>
      </w:r>
    </w:p>
    <w:p w14:paraId="6F91882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I dati destagionalizzati sono soggetti a revisione ogni mese. I modelli utilizzati vengono verificati in occasione delle revisioni dei dati grezzi. Le specifiche utilizzate dall'Istat nell'ambito della procedura TRAMO-SEATS sono disponibili per gli utenti che ne facciano richiesta per proprie finalità di analisi.</w:t>
      </w:r>
    </w:p>
    <w:p w14:paraId="3D21AD04" w14:textId="77777777" w:rsidR="00501E02" w:rsidRPr="00C9631A" w:rsidRDefault="00501E02" w:rsidP="00501E02">
      <w:pPr>
        <w:spacing w:after="120"/>
        <w:jc w:val="both"/>
        <w:rPr>
          <w:rFonts w:ascii="Arial" w:hAnsi="Arial" w:cs="Arial"/>
          <w:sz w:val="20"/>
          <w:szCs w:val="20"/>
        </w:rPr>
      </w:pPr>
    </w:p>
    <w:p w14:paraId="4FF752BC"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Output</w:t>
      </w:r>
    </w:p>
    <w:p w14:paraId="5E2DDFC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dati diffusi mensilmente riguardano i valori monetari, gli indici e le variazioni tendenziali e congiunturali relativi alle variabili che descrivono i flussi commerciali con l’estero. </w:t>
      </w:r>
    </w:p>
    <w:p w14:paraId="20EF655C"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valori monetari a prezzi correnti si riferiscono alle importazioni ed esportazioni di merci rilevate o stimate in termini di valore statistico (Cif, Fob). </w:t>
      </w:r>
    </w:p>
    <w:p w14:paraId="41DBB060" w14:textId="77777777" w:rsidR="00220D58" w:rsidRDefault="00501E02" w:rsidP="00501E02">
      <w:pPr>
        <w:spacing w:after="120"/>
        <w:jc w:val="both"/>
        <w:rPr>
          <w:rFonts w:ascii="Arial" w:hAnsi="Arial" w:cs="Arial"/>
          <w:sz w:val="20"/>
          <w:szCs w:val="20"/>
        </w:rPr>
      </w:pPr>
      <w:r w:rsidRPr="00C9631A">
        <w:rPr>
          <w:rFonts w:ascii="Arial" w:hAnsi="Arial" w:cs="Arial"/>
          <w:sz w:val="20"/>
          <w:szCs w:val="20"/>
        </w:rPr>
        <w:t>La produzione di indici del commercio estero prevede la produzione e diffusione di indici dei valori medi unitari e dei volumi dei prodotti esportati e importati, secondo un break-down articolato per gruppi di</w:t>
      </w:r>
      <w:r w:rsidR="00220D58">
        <w:rPr>
          <w:rFonts w:ascii="Arial" w:hAnsi="Arial" w:cs="Arial"/>
          <w:sz w:val="20"/>
          <w:szCs w:val="20"/>
        </w:rPr>
        <w:t xml:space="preserve"> prodotto della classificazione </w:t>
      </w:r>
      <w:r w:rsidRPr="00C9631A">
        <w:rPr>
          <w:rFonts w:ascii="Arial" w:hAnsi="Arial" w:cs="Arial"/>
          <w:sz w:val="20"/>
          <w:szCs w:val="20"/>
        </w:rPr>
        <w:t>Ateco 2007 e per specifiche aree geografiche e/o geoeconomiche, nonché per raggruppamenti principali di industrie (RPI). I singoli indici mensili dei valori medi unitari relativi ai diversi gruppi di prodotti e con riferimento alle aree geografiche o geoeconomiche di provenienza o destinazione delle merci sono ottenuti utilizzando la formula di Fisher in cui l’anno base è rappresentato dall’anno immediatamente precedente (indici a “base mobile”). L’aggiornamento a cadenza annuale del sistema di ponderazione consente di calcolare le variazioni dei valori medi unitari seguendo</w:t>
      </w:r>
    </w:p>
    <w:p w14:paraId="01452BF8" w14:textId="77777777" w:rsidR="00220D58" w:rsidRDefault="00220D58" w:rsidP="00501E02">
      <w:pPr>
        <w:spacing w:after="120"/>
        <w:jc w:val="both"/>
        <w:rPr>
          <w:rFonts w:ascii="Arial" w:hAnsi="Arial" w:cs="Arial"/>
          <w:sz w:val="20"/>
          <w:szCs w:val="20"/>
        </w:rPr>
      </w:pPr>
    </w:p>
    <w:p w14:paraId="28E5F8DB" w14:textId="357037BC" w:rsidR="00501E02" w:rsidRDefault="00501E02" w:rsidP="00501E02">
      <w:pPr>
        <w:spacing w:after="120"/>
        <w:jc w:val="both"/>
        <w:rPr>
          <w:rFonts w:ascii="Arial" w:hAnsi="Arial" w:cs="Arial"/>
          <w:sz w:val="20"/>
          <w:szCs w:val="20"/>
        </w:rPr>
      </w:pPr>
      <w:r w:rsidRPr="00C9631A">
        <w:rPr>
          <w:rFonts w:ascii="Arial" w:hAnsi="Arial" w:cs="Arial"/>
          <w:sz w:val="20"/>
          <w:szCs w:val="20"/>
        </w:rPr>
        <w:t>più da vicino l’evoluzione in composizione del mix di prodotti movimentati. Tuttavia, poiché gli indici a base mobile di anni diversi</w:t>
      </w:r>
      <w:r>
        <w:rPr>
          <w:rFonts w:ascii="Arial" w:hAnsi="Arial" w:cs="Arial"/>
          <w:sz w:val="20"/>
          <w:szCs w:val="20"/>
        </w:rPr>
        <w:t xml:space="preserve"> </w:t>
      </w:r>
      <w:r w:rsidRPr="00C9631A">
        <w:rPr>
          <w:rFonts w:ascii="Arial" w:hAnsi="Arial" w:cs="Arial"/>
          <w:sz w:val="20"/>
          <w:szCs w:val="20"/>
        </w:rPr>
        <w:t>non</w:t>
      </w:r>
      <w:r>
        <w:rPr>
          <w:rFonts w:ascii="Arial" w:hAnsi="Arial" w:cs="Arial"/>
          <w:sz w:val="20"/>
          <w:szCs w:val="20"/>
        </w:rPr>
        <w:t xml:space="preserve"> </w:t>
      </w:r>
      <w:r w:rsidRPr="00C9631A">
        <w:rPr>
          <w:rFonts w:ascii="Arial" w:hAnsi="Arial" w:cs="Arial"/>
          <w:sz w:val="20"/>
          <w:szCs w:val="20"/>
        </w:rPr>
        <w:t>sono direttamente</w:t>
      </w:r>
      <w:r>
        <w:rPr>
          <w:rFonts w:ascii="Arial" w:hAnsi="Arial" w:cs="Arial"/>
          <w:sz w:val="20"/>
          <w:szCs w:val="20"/>
        </w:rPr>
        <w:t xml:space="preserve"> </w:t>
      </w:r>
      <w:r w:rsidRPr="00C9631A">
        <w:rPr>
          <w:rFonts w:ascii="Arial" w:hAnsi="Arial" w:cs="Arial"/>
          <w:sz w:val="20"/>
          <w:szCs w:val="20"/>
        </w:rPr>
        <w:t>confrontabili tra loro, per consentire l’analisi economica su</w:t>
      </w:r>
      <w:r>
        <w:rPr>
          <w:rFonts w:ascii="Arial" w:hAnsi="Arial" w:cs="Arial"/>
          <w:sz w:val="20"/>
          <w:szCs w:val="20"/>
        </w:rPr>
        <w:t xml:space="preserve"> </w:t>
      </w:r>
      <w:r w:rsidRPr="00C9631A">
        <w:rPr>
          <w:rFonts w:ascii="Arial" w:hAnsi="Arial" w:cs="Arial"/>
          <w:sz w:val="20"/>
          <w:szCs w:val="20"/>
        </w:rPr>
        <w:t xml:space="preserve">orizzonti temporali superiori ai dodici mesi, le serie storiche previste dal piano di diffusione sono ricondotte a uno stesso anno di riferimento, aggiornato ogni 5 anni in linea con le indicazioni fornite a livello internazionale per le statistiche congiunturali. </w:t>
      </w:r>
    </w:p>
    <w:p w14:paraId="1988ABF3" w14:textId="77777777" w:rsidR="00501E02" w:rsidRPr="00E07DF0"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dai dati di gennaio 2018, l’anno di riferimento è il 2015, assunto come “base” attraverso opportuni coefficienti di raccordo che legano tra loro gli indici riferiti alle diverse basi annuali. La metodologia adottata prevede il calcolo degli indici elementari a livello merceologico di nomenclatura combinata, l’individuazione e il trattamento di eventuali errori di misura e l’aggregazione degli indici elementari mediante medie troncate (Istat, “Nota informativa” del 25/02/2008). Gli indici dei valori medi unitari e gli indici di valore vengono calcolati in modo diretto, mentre gli indici dei volumi sono ottenuti dal rapporto tra gli indici di valore e i corrispondenti indici del valore medio unitario, in modo da assicurare la relazione di complementarietà tra i tre indici. Il piano di diffusione dispone la pubblicazione dei soli indici dei valori medi unitari e dei volumi. Gli indici annuali e trimestrali dei valori medi unitari sono calcolati come media aritmetica dei corrispondenti indici mensili, che non includono le dichiarazioni trimestrali e annuali relative all’indagine Intrastat. Al contrario, gli indici dei volumi vengono calcolati utilizzando indici del valore riferiti al totale delle transazioni, in modo da consentire una più precisa scomposizione delle variazioni dei valori in volume e valori </w:t>
      </w:r>
      <w:r w:rsidRPr="00E07DF0">
        <w:rPr>
          <w:rFonts w:ascii="Arial" w:hAnsi="Arial" w:cs="Arial"/>
          <w:sz w:val="20"/>
          <w:szCs w:val="20"/>
        </w:rPr>
        <w:t>medi unitari.</w:t>
      </w:r>
    </w:p>
    <w:p w14:paraId="2B393A35" w14:textId="77777777" w:rsidR="00501E02" w:rsidRPr="00C9631A" w:rsidRDefault="00501E02" w:rsidP="00501E02">
      <w:pPr>
        <w:spacing w:after="60"/>
        <w:jc w:val="both"/>
        <w:rPr>
          <w:rFonts w:ascii="Arial" w:hAnsi="Arial" w:cs="Arial"/>
          <w:sz w:val="20"/>
          <w:szCs w:val="20"/>
        </w:rPr>
      </w:pPr>
    </w:p>
    <w:p w14:paraId="4D7ACE2F"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Riservatezza</w:t>
      </w:r>
    </w:p>
    <w:p w14:paraId="7B44AD20"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dall'anno 2000, l'Istat ha definito nuove procedure per il trattamento e la diffusione dei dati personali relativi agli scambi di merci con l'estero e ai soggetti importatori ed esportatori, compatibili con l'attuale quadro normativo nazionale (legge 675/96, D.lgs.322/89, 281/99 e 196/03).</w:t>
      </w:r>
    </w:p>
    <w:p w14:paraId="14B28C7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particolare, le nuove procedure consentono di ridurre fortemente il rischio di identificazione, indiretta e accidentale, di dati confidenziali e nel contempo di limitare la perdita di informazione fornita agli utenti esterni.</w:t>
      </w:r>
    </w:p>
    <w:p w14:paraId="20C3F4D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quanto riguarda le statistiche relative alle merci, l'Istat, oltre a tutelare le informazioni riservate secondo il principio della riservatezza passiva, ha definito un piano per la diffusione delle statistiche del commercio con l'estero. Tale piano disciplina le possibilità di incrocio tra variabili in funzione di particolari livelli di dettaglio merceologico, geografico o territoriale riducendo entro soglie ragionevoli il rischio di identificazione dei soggetti indirettamente interessati.</w:t>
      </w:r>
    </w:p>
    <w:p w14:paraId="1895CC9B" w14:textId="77777777" w:rsidR="00501E02" w:rsidRPr="00C9631A" w:rsidRDefault="00501E02" w:rsidP="00501E02">
      <w:pPr>
        <w:spacing w:after="120"/>
        <w:jc w:val="both"/>
        <w:rPr>
          <w:rStyle w:val="Collegamentoipertestuale"/>
          <w:rFonts w:ascii="Arial" w:hAnsi="Arial" w:cs="Arial"/>
          <w:sz w:val="20"/>
          <w:szCs w:val="20"/>
        </w:rPr>
      </w:pPr>
      <w:r w:rsidRPr="00C9631A">
        <w:rPr>
          <w:rFonts w:ascii="Arial" w:hAnsi="Arial" w:cs="Arial"/>
          <w:sz w:val="20"/>
          <w:szCs w:val="20"/>
        </w:rPr>
        <w:t xml:space="preserve">Ulteriori informazioni sulla tutela della riservatezza sono disponibili al seguente link </w:t>
      </w:r>
      <w:hyperlink r:id="rId39" w:history="1">
        <w:r w:rsidRPr="00C9631A">
          <w:rPr>
            <w:rStyle w:val="Collegamentoipertestuale"/>
            <w:rFonts w:ascii="Arial" w:hAnsi="Arial" w:cs="Arial"/>
            <w:sz w:val="20"/>
            <w:szCs w:val="20"/>
          </w:rPr>
          <w:t>https://www.coeweb.istat.it</w:t>
        </w:r>
      </w:hyperlink>
    </w:p>
    <w:p w14:paraId="45D7159F" w14:textId="77777777" w:rsidR="00501E02" w:rsidRPr="00CC6703" w:rsidRDefault="00501E02" w:rsidP="00501E02">
      <w:pPr>
        <w:spacing w:after="120"/>
        <w:jc w:val="both"/>
        <w:rPr>
          <w:rFonts w:ascii="Arial" w:hAnsi="Arial" w:cs="Arial"/>
          <w:sz w:val="16"/>
          <w:szCs w:val="16"/>
        </w:rPr>
      </w:pPr>
    </w:p>
    <w:p w14:paraId="67656141" w14:textId="77777777" w:rsidR="00501E02" w:rsidRPr="00B0387D" w:rsidRDefault="00501E02" w:rsidP="00501E02">
      <w:pPr>
        <w:spacing w:after="120"/>
        <w:jc w:val="both"/>
        <w:rPr>
          <w:rFonts w:ascii="Arial" w:hAnsi="Arial" w:cs="Arial"/>
          <w:b/>
          <w:sz w:val="20"/>
          <w:szCs w:val="20"/>
        </w:rPr>
      </w:pPr>
      <w:r w:rsidRPr="00B0387D">
        <w:rPr>
          <w:rFonts w:ascii="Arial" w:hAnsi="Arial" w:cs="Arial"/>
          <w:b/>
          <w:sz w:val="20"/>
          <w:szCs w:val="20"/>
        </w:rPr>
        <w:t>L’emergenza sanitaria Covid-19 e la rilevazione Intrastat</w:t>
      </w:r>
    </w:p>
    <w:p w14:paraId="3750FB6A" w14:textId="77777777" w:rsidR="00501E02" w:rsidRDefault="00501E02" w:rsidP="00501E02">
      <w:pPr>
        <w:spacing w:after="120"/>
        <w:jc w:val="both"/>
        <w:rPr>
          <w:rFonts w:ascii="Arial" w:hAnsi="Arial" w:cs="Arial"/>
          <w:sz w:val="20"/>
          <w:szCs w:val="20"/>
        </w:rPr>
      </w:pPr>
      <w:r>
        <w:rPr>
          <w:rFonts w:ascii="Arial" w:hAnsi="Arial" w:cs="Arial"/>
          <w:sz w:val="20"/>
          <w:szCs w:val="20"/>
        </w:rPr>
        <w:t>Dal mese di giugno 2020</w:t>
      </w:r>
      <w:r w:rsidRPr="00111E5D">
        <w:rPr>
          <w:rFonts w:ascii="Arial" w:hAnsi="Arial" w:cs="Arial"/>
          <w:sz w:val="20"/>
          <w:szCs w:val="20"/>
        </w:rPr>
        <w:t>, la rilevazione Intrastat non registra più particolari criticità. Scaduto</w:t>
      </w:r>
      <w:r>
        <w:rPr>
          <w:rFonts w:ascii="Arial" w:hAnsi="Arial" w:cs="Arial"/>
          <w:sz w:val="20"/>
          <w:szCs w:val="20"/>
        </w:rPr>
        <w:t xml:space="preserve"> infatti</w:t>
      </w:r>
      <w:r w:rsidRPr="00111E5D">
        <w:rPr>
          <w:rFonts w:ascii="Arial" w:hAnsi="Arial" w:cs="Arial"/>
          <w:sz w:val="20"/>
          <w:szCs w:val="20"/>
        </w:rPr>
        <w:t>, il 30 giugno, il periodo di sospensione dei termini di trasmissione dei dati, previsto dal Decreto Legge 17 marzo 2020, n.18 (Decreto “Cura Italia”), il numero delle dichiarazioni Intrastat trasmesse – sia per le cessioni sia per gli acquisti – è tornato in linea con quello dei mesi precedenti all</w:t>
      </w:r>
      <w:r>
        <w:rPr>
          <w:rFonts w:ascii="Arial" w:hAnsi="Arial" w:cs="Arial"/>
          <w:sz w:val="20"/>
          <w:szCs w:val="20"/>
        </w:rPr>
        <w:t>a prima fase dell</w:t>
      </w:r>
      <w:r w:rsidRPr="00111E5D">
        <w:rPr>
          <w:rFonts w:ascii="Arial" w:hAnsi="Arial" w:cs="Arial"/>
          <w:sz w:val="20"/>
          <w:szCs w:val="20"/>
        </w:rPr>
        <w:t>’emergenza Covid-19.</w:t>
      </w:r>
    </w:p>
    <w:p w14:paraId="38C9F490" w14:textId="18D63B05" w:rsidR="00501E02" w:rsidRDefault="00501E02" w:rsidP="00501E02">
      <w:pPr>
        <w:spacing w:after="120"/>
        <w:jc w:val="both"/>
        <w:rPr>
          <w:rFonts w:ascii="Arial" w:hAnsi="Arial" w:cs="Arial"/>
          <w:sz w:val="20"/>
          <w:szCs w:val="20"/>
        </w:rPr>
      </w:pPr>
      <w:r>
        <w:rPr>
          <w:rFonts w:ascii="Arial" w:hAnsi="Arial" w:cs="Arial"/>
          <w:sz w:val="20"/>
          <w:szCs w:val="20"/>
        </w:rPr>
        <w:t>P</w:t>
      </w:r>
      <w:r w:rsidRPr="002D542F">
        <w:rPr>
          <w:rFonts w:ascii="Arial" w:hAnsi="Arial" w:cs="Arial"/>
          <w:sz w:val="20"/>
          <w:szCs w:val="20"/>
        </w:rPr>
        <w:t xml:space="preserve">er quanto riguarda la destagionalizzazione dei dati grezzi, </w:t>
      </w:r>
      <w:r>
        <w:rPr>
          <w:rFonts w:ascii="Arial" w:hAnsi="Arial" w:cs="Arial"/>
          <w:sz w:val="20"/>
          <w:szCs w:val="20"/>
        </w:rPr>
        <w:t xml:space="preserve">essa è stata effettuata coerentemente alle linee guida metodologiche indicate da Eurostat, disponibili alla pagina web </w:t>
      </w:r>
      <w:hyperlink r:id="rId40" w:history="1">
        <w:r w:rsidRPr="00A94B30">
          <w:rPr>
            <w:rStyle w:val="Collegamentoipertestuale"/>
            <w:rFonts w:ascii="Arial" w:hAnsi="Arial" w:cs="Arial"/>
            <w:sz w:val="20"/>
            <w:szCs w:val="20"/>
          </w:rPr>
          <w:t>Covid-19: Support for statisticians</w:t>
        </w:r>
      </w:hyperlink>
      <w:r>
        <w:rPr>
          <w:rFonts w:ascii="Arial" w:hAnsi="Arial" w:cs="Arial"/>
          <w:sz w:val="20"/>
          <w:szCs w:val="20"/>
        </w:rPr>
        <w:t>.</w:t>
      </w:r>
    </w:p>
    <w:p w14:paraId="36B81719" w14:textId="77777777" w:rsidR="00501E02" w:rsidRPr="00632A22" w:rsidRDefault="00501E02" w:rsidP="00501E02">
      <w:pPr>
        <w:spacing w:after="120"/>
        <w:jc w:val="both"/>
        <w:rPr>
          <w:rFonts w:ascii="Arial" w:hAnsi="Arial" w:cs="Arial"/>
          <w:sz w:val="20"/>
          <w:szCs w:val="20"/>
        </w:rPr>
      </w:pPr>
      <w:r w:rsidRPr="00C21B33">
        <w:rPr>
          <w:rFonts w:ascii="Arial" w:hAnsi="Arial" w:cs="Arial"/>
          <w:sz w:val="20"/>
          <w:szCs w:val="20"/>
        </w:rPr>
        <w:t xml:space="preserve">Pertanto, nelle serie storiche si è tenuto conto – a partire da marzo 2020 - dell’ampiezza inusuale delle variazioni dei flussi commerciali intra ed extra comunitari inserendo nei modelli statistici di destagionalizzazione, ove statisticamente significativi, </w:t>
      </w:r>
      <w:r w:rsidRPr="00A80498">
        <w:rPr>
          <w:rFonts w:ascii="Arial" w:hAnsi="Arial" w:cs="Arial"/>
          <w:sz w:val="20"/>
          <w:szCs w:val="20"/>
        </w:rPr>
        <w:t>regressori aggiuntivi. Non appena le informazioni disponibili lo consentiranno, si procederà alla revisione dei modelli.</w:t>
      </w:r>
    </w:p>
    <w:p w14:paraId="4F5AEB4E" w14:textId="77777777" w:rsidR="00501E02" w:rsidRPr="007817A4" w:rsidRDefault="00501E02" w:rsidP="00501E02">
      <w:pPr>
        <w:spacing w:after="120"/>
        <w:jc w:val="both"/>
        <w:rPr>
          <w:rFonts w:ascii="Arial" w:hAnsi="Arial" w:cs="Arial"/>
          <w:sz w:val="20"/>
          <w:szCs w:val="20"/>
        </w:rPr>
      </w:pPr>
    </w:p>
    <w:p w14:paraId="6E01E547" w14:textId="35986D60" w:rsidR="00501E02" w:rsidRDefault="00501E02" w:rsidP="00501E02">
      <w:pPr>
        <w:spacing w:after="120"/>
        <w:jc w:val="both"/>
        <w:rPr>
          <w:rFonts w:ascii="Arial" w:hAnsi="Arial" w:cs="Arial"/>
          <w:b/>
          <w:sz w:val="20"/>
          <w:szCs w:val="20"/>
        </w:rPr>
      </w:pPr>
      <w:r>
        <w:rPr>
          <w:rFonts w:ascii="Arial" w:hAnsi="Arial" w:cs="Arial"/>
          <w:b/>
          <w:sz w:val="20"/>
          <w:szCs w:val="20"/>
        </w:rPr>
        <w:t xml:space="preserve">Le novità del sistema Intrastat </w:t>
      </w:r>
      <w:r w:rsidR="0026239E">
        <w:rPr>
          <w:rFonts w:ascii="Arial" w:hAnsi="Arial" w:cs="Arial"/>
          <w:b/>
          <w:sz w:val="20"/>
          <w:szCs w:val="20"/>
        </w:rPr>
        <w:t xml:space="preserve">a partire da </w:t>
      </w:r>
      <w:r w:rsidRPr="001D441E">
        <w:rPr>
          <w:rFonts w:ascii="Arial" w:hAnsi="Arial" w:cs="Arial"/>
          <w:b/>
          <w:sz w:val="20"/>
          <w:szCs w:val="20"/>
        </w:rPr>
        <w:t>gennaio 2022</w:t>
      </w:r>
    </w:p>
    <w:p w14:paraId="59C5BBBE" w14:textId="77777777" w:rsidR="00501E02" w:rsidRPr="005A72C3" w:rsidRDefault="00501E02" w:rsidP="00501E02">
      <w:pPr>
        <w:spacing w:after="120"/>
        <w:jc w:val="both"/>
        <w:rPr>
          <w:rFonts w:asciiTheme="minorHAnsi" w:hAnsiTheme="minorHAnsi"/>
          <w:sz w:val="22"/>
          <w:szCs w:val="22"/>
          <w:lang w:eastAsia="en-US"/>
        </w:rPr>
      </w:pPr>
      <w:r>
        <w:rPr>
          <w:rFonts w:ascii="Arial" w:hAnsi="Arial" w:cs="Arial"/>
          <w:sz w:val="20"/>
          <w:szCs w:val="20"/>
        </w:rPr>
        <w:t xml:space="preserve">Con </w:t>
      </w:r>
      <w:r w:rsidRPr="00615A28">
        <w:rPr>
          <w:rFonts w:ascii="Arial" w:hAnsi="Arial" w:cs="Arial"/>
          <w:sz w:val="20"/>
          <w:szCs w:val="20"/>
        </w:rPr>
        <w:t>Determinazione del Direttore dell’Agenzia delle dogane e dei monopoli n.</w:t>
      </w:r>
      <w:r>
        <w:rPr>
          <w:rFonts w:ascii="Arial" w:hAnsi="Arial" w:cs="Arial"/>
          <w:sz w:val="20"/>
          <w:szCs w:val="20"/>
        </w:rPr>
        <w:t xml:space="preserve"> </w:t>
      </w:r>
      <w:r w:rsidRPr="00615A28">
        <w:rPr>
          <w:rFonts w:ascii="Arial" w:hAnsi="Arial" w:cs="Arial"/>
          <w:sz w:val="20"/>
          <w:szCs w:val="20"/>
        </w:rPr>
        <w:t>493869 del 23 dicembre 2021</w:t>
      </w:r>
      <w:r>
        <w:rPr>
          <w:rFonts w:ascii="Arial" w:hAnsi="Arial" w:cs="Arial"/>
          <w:sz w:val="20"/>
          <w:szCs w:val="20"/>
        </w:rPr>
        <w:t xml:space="preserve">, a partire dai dati di gennaio 2022, sono state introdotte importanti novità nel </w:t>
      </w:r>
      <w:r w:rsidRPr="005A72C3">
        <w:rPr>
          <w:rFonts w:ascii="Arial" w:hAnsi="Arial" w:cs="Arial"/>
          <w:sz w:val="20"/>
          <w:szCs w:val="20"/>
        </w:rPr>
        <w:t>sistema Intrastat nel rispetto della recente normativa statistica comunitaria (</w:t>
      </w:r>
      <w:r w:rsidRPr="00D61DDB">
        <w:rPr>
          <w:rFonts w:ascii="Arial" w:hAnsi="Arial" w:cs="Arial"/>
          <w:sz w:val="20"/>
          <w:szCs w:val="20"/>
        </w:rPr>
        <w:t xml:space="preserve">Regolamento (UE) 2019/2152 </w:t>
      </w:r>
      <w:r>
        <w:rPr>
          <w:rFonts w:ascii="Arial" w:hAnsi="Arial" w:cs="Arial"/>
          <w:sz w:val="20"/>
          <w:szCs w:val="20"/>
        </w:rPr>
        <w:t xml:space="preserve">e il relativo </w:t>
      </w:r>
      <w:r w:rsidRPr="00D61DDB">
        <w:rPr>
          <w:rFonts w:ascii="Arial" w:hAnsi="Arial" w:cs="Arial"/>
          <w:sz w:val="20"/>
          <w:szCs w:val="20"/>
        </w:rPr>
        <w:t>Regolamento di esecuzione (UE) 2020/1197</w:t>
      </w:r>
      <w:r>
        <w:rPr>
          <w:rFonts w:ascii="Arial" w:hAnsi="Arial" w:cs="Arial"/>
          <w:sz w:val="20"/>
          <w:szCs w:val="20"/>
        </w:rPr>
        <w:t>)</w:t>
      </w:r>
      <w:r w:rsidRPr="005A72C3">
        <w:rPr>
          <w:rFonts w:ascii="Arial" w:hAnsi="Arial" w:cs="Arial"/>
          <w:sz w:val="20"/>
          <w:szCs w:val="20"/>
        </w:rPr>
        <w:t xml:space="preserve"> e nell’ottica della semplificazione e riduzione del carico statistico sugli operatori economici.</w:t>
      </w:r>
    </w:p>
    <w:p w14:paraId="1AFE66AE" w14:textId="2A27DE66"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Il Regolamento </w:t>
      </w:r>
      <w:r>
        <w:rPr>
          <w:rFonts w:ascii="Arial" w:hAnsi="Arial" w:cs="Arial"/>
          <w:sz w:val="20"/>
          <w:szCs w:val="20"/>
        </w:rPr>
        <w:t>(</w:t>
      </w:r>
      <w:r w:rsidRPr="005A72C3">
        <w:rPr>
          <w:rFonts w:ascii="Arial" w:hAnsi="Arial" w:cs="Arial"/>
          <w:sz w:val="20"/>
          <w:szCs w:val="20"/>
        </w:rPr>
        <w:t>UE</w:t>
      </w:r>
      <w:r>
        <w:rPr>
          <w:rFonts w:ascii="Arial" w:hAnsi="Arial" w:cs="Arial"/>
          <w:sz w:val="20"/>
          <w:szCs w:val="20"/>
        </w:rPr>
        <w:t>)</w:t>
      </w:r>
      <w:r w:rsidRPr="005A72C3">
        <w:rPr>
          <w:rFonts w:ascii="Arial" w:hAnsi="Arial" w:cs="Arial"/>
          <w:sz w:val="20"/>
          <w:szCs w:val="20"/>
        </w:rPr>
        <w:t xml:space="preserve"> 2019/2152 introduce l’obbligo dello scambio di microdati relativi alle cessioni (indicate come esportazioni intracomunitarie nel nuovo Regolamento) tra gli Istituti nazionali di statistica dei Paesi membri a decorrere dal mese di gennaio 2022.</w:t>
      </w:r>
    </w:p>
    <w:p w14:paraId="568BABBF" w14:textId="022CEDF2" w:rsidR="00220D58" w:rsidRDefault="00220D58" w:rsidP="00501E02">
      <w:pPr>
        <w:spacing w:after="120"/>
        <w:jc w:val="both"/>
        <w:rPr>
          <w:rFonts w:ascii="Arial" w:hAnsi="Arial" w:cs="Arial"/>
          <w:sz w:val="20"/>
          <w:szCs w:val="20"/>
        </w:rPr>
      </w:pPr>
    </w:p>
    <w:p w14:paraId="10B113C4" w14:textId="77777777" w:rsidR="00220D58" w:rsidRPr="005A72C3" w:rsidRDefault="00220D58" w:rsidP="00501E02">
      <w:pPr>
        <w:spacing w:after="120"/>
        <w:jc w:val="both"/>
        <w:rPr>
          <w:rFonts w:ascii="Arial" w:hAnsi="Arial" w:cs="Arial"/>
          <w:sz w:val="20"/>
          <w:szCs w:val="20"/>
        </w:rPr>
      </w:pPr>
    </w:p>
    <w:p w14:paraId="2CB5DC08" w14:textId="77777777" w:rsidR="00501E02" w:rsidRPr="005A72C3" w:rsidRDefault="00501E02" w:rsidP="00501E02">
      <w:pPr>
        <w:spacing w:after="120"/>
        <w:jc w:val="both"/>
        <w:rPr>
          <w:rFonts w:ascii="Arial" w:hAnsi="Arial" w:cs="Arial"/>
          <w:sz w:val="20"/>
          <w:szCs w:val="20"/>
        </w:rPr>
      </w:pPr>
      <w:r w:rsidRPr="005A72C3">
        <w:rPr>
          <w:rFonts w:ascii="Arial" w:hAnsi="Arial" w:cs="Arial"/>
          <w:sz w:val="20"/>
          <w:szCs w:val="20"/>
        </w:rPr>
        <w:t>Il sistema di scambio dei microdati – basato sul principio che i dati non devono essere raccolti più di una volta (“once only”) – costituisce un approccio innovativo per la compilazione delle statistiche di commercio intracomunitario, progettato in ambito europeo con la finalità di ridurre l’onere statistico del sistema Intrastat e di fornire ai Paesi membri una fonte aggiuntiva e dettagliata per la compilazione delle statistiche sugli acquisti intracomunitari.</w:t>
      </w:r>
    </w:p>
    <w:p w14:paraId="57C6E8EF" w14:textId="77777777"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Per attuare </w:t>
      </w:r>
      <w:r>
        <w:rPr>
          <w:rFonts w:ascii="Arial" w:hAnsi="Arial" w:cs="Arial"/>
          <w:sz w:val="20"/>
          <w:szCs w:val="20"/>
        </w:rPr>
        <w:t xml:space="preserve">questo </w:t>
      </w:r>
      <w:r w:rsidRPr="005A72C3">
        <w:rPr>
          <w:rFonts w:ascii="Arial" w:hAnsi="Arial" w:cs="Arial"/>
          <w:sz w:val="20"/>
          <w:szCs w:val="20"/>
        </w:rPr>
        <w:t xml:space="preserve">nuovo approccio e consentire a tutti gli Istituti nazionali di statistica dei Paesi Ue di utilizzare i microdati sulle cessioni </w:t>
      </w:r>
      <w:r>
        <w:rPr>
          <w:rFonts w:ascii="Arial" w:hAnsi="Arial" w:cs="Arial"/>
          <w:sz w:val="20"/>
          <w:szCs w:val="20"/>
        </w:rPr>
        <w:t>de</w:t>
      </w:r>
      <w:r w:rsidRPr="005A72C3">
        <w:rPr>
          <w:rFonts w:ascii="Arial" w:hAnsi="Arial" w:cs="Arial"/>
          <w:sz w:val="20"/>
          <w:szCs w:val="20"/>
        </w:rPr>
        <w:t>gli altri Paesi partner</w:t>
      </w:r>
      <w:r>
        <w:rPr>
          <w:rFonts w:ascii="Arial" w:hAnsi="Arial" w:cs="Arial"/>
          <w:sz w:val="20"/>
          <w:szCs w:val="20"/>
        </w:rPr>
        <w:t xml:space="preserve"> – </w:t>
      </w:r>
      <w:r w:rsidRPr="005A72C3">
        <w:rPr>
          <w:rFonts w:ascii="Arial" w:hAnsi="Arial" w:cs="Arial"/>
          <w:sz w:val="20"/>
          <w:szCs w:val="20"/>
        </w:rPr>
        <w:t>in sostituzione totale o parziale dei dati raccolti a livello nazionale</w:t>
      </w:r>
      <w:r>
        <w:rPr>
          <w:rFonts w:ascii="Arial" w:hAnsi="Arial" w:cs="Arial"/>
          <w:sz w:val="20"/>
          <w:szCs w:val="20"/>
        </w:rPr>
        <w:t xml:space="preserve"> –</w:t>
      </w:r>
      <w:r w:rsidRPr="005A72C3">
        <w:rPr>
          <w:rFonts w:ascii="Arial" w:hAnsi="Arial" w:cs="Arial"/>
          <w:sz w:val="20"/>
          <w:szCs w:val="20"/>
        </w:rPr>
        <w:t>,</w:t>
      </w:r>
      <w:r w:rsidRPr="00656343">
        <w:rPr>
          <w:rFonts w:ascii="Arial" w:hAnsi="Arial" w:cs="Arial"/>
          <w:sz w:val="20"/>
          <w:szCs w:val="20"/>
        </w:rPr>
        <w:t xml:space="preserve"> a decorrere dai dati di gennaio 2022 è stata richiesta la compilazione di una </w:t>
      </w:r>
      <w:r>
        <w:rPr>
          <w:rFonts w:ascii="Arial" w:hAnsi="Arial" w:cs="Arial"/>
          <w:sz w:val="20"/>
          <w:szCs w:val="20"/>
        </w:rPr>
        <w:t xml:space="preserve">nuova </w:t>
      </w:r>
      <w:r w:rsidRPr="00656343">
        <w:rPr>
          <w:rFonts w:ascii="Arial" w:hAnsi="Arial" w:cs="Arial"/>
          <w:sz w:val="20"/>
          <w:szCs w:val="20"/>
        </w:rPr>
        <w:t>variabile nei modelli Intrastat relativi alle cessioni</w:t>
      </w:r>
      <w:r>
        <w:rPr>
          <w:rFonts w:ascii="Arial" w:hAnsi="Arial" w:cs="Arial"/>
          <w:sz w:val="20"/>
          <w:szCs w:val="20"/>
        </w:rPr>
        <w:t xml:space="preserve"> (</w:t>
      </w:r>
      <w:r w:rsidRPr="00656343">
        <w:rPr>
          <w:rFonts w:ascii="Arial" w:hAnsi="Arial" w:cs="Arial"/>
          <w:sz w:val="20"/>
          <w:szCs w:val="20"/>
        </w:rPr>
        <w:t>la variabile “Paese di origine” delle merci, definito come il paese in cui il bene è stato sottoposto all’ultima trasformazione o lavorazione sostanziale</w:t>
      </w:r>
      <w:r>
        <w:rPr>
          <w:rFonts w:ascii="Arial" w:hAnsi="Arial" w:cs="Arial"/>
          <w:sz w:val="20"/>
          <w:szCs w:val="20"/>
        </w:rPr>
        <w:t xml:space="preserve"> - </w:t>
      </w:r>
      <w:r w:rsidRPr="00656343">
        <w:rPr>
          <w:rFonts w:ascii="Arial" w:hAnsi="Arial" w:cs="Arial"/>
          <w:sz w:val="20"/>
          <w:szCs w:val="20"/>
        </w:rPr>
        <w:t xml:space="preserve">Regolamento </w:t>
      </w:r>
      <w:r>
        <w:rPr>
          <w:rFonts w:ascii="Arial" w:hAnsi="Arial" w:cs="Arial"/>
          <w:sz w:val="20"/>
          <w:szCs w:val="20"/>
        </w:rPr>
        <w:t>(</w:t>
      </w:r>
      <w:r w:rsidRPr="00656343">
        <w:rPr>
          <w:rFonts w:ascii="Arial" w:hAnsi="Arial" w:cs="Arial"/>
          <w:sz w:val="20"/>
          <w:szCs w:val="20"/>
        </w:rPr>
        <w:t>UE</w:t>
      </w:r>
      <w:r>
        <w:rPr>
          <w:rFonts w:ascii="Arial" w:hAnsi="Arial" w:cs="Arial"/>
          <w:sz w:val="20"/>
          <w:szCs w:val="20"/>
        </w:rPr>
        <w:t>)</w:t>
      </w:r>
      <w:r w:rsidRPr="00656343">
        <w:rPr>
          <w:rFonts w:ascii="Arial" w:hAnsi="Arial" w:cs="Arial"/>
          <w:sz w:val="20"/>
          <w:szCs w:val="20"/>
        </w:rPr>
        <w:t xml:space="preserve"> 2020/1197, sez. 12 par. 3). È stata inoltre adottata una codifica</w:t>
      </w:r>
      <w:r>
        <w:rPr>
          <w:rFonts w:ascii="Arial" w:hAnsi="Arial" w:cs="Arial"/>
          <w:sz w:val="20"/>
          <w:szCs w:val="20"/>
        </w:rPr>
        <w:t xml:space="preserve"> più dettagliata</w:t>
      </w:r>
      <w:r w:rsidRPr="00656343">
        <w:rPr>
          <w:rFonts w:ascii="Arial" w:hAnsi="Arial" w:cs="Arial"/>
          <w:sz w:val="20"/>
          <w:szCs w:val="20"/>
        </w:rPr>
        <w:t xml:space="preserve"> per la variabile “Natura della transazione”. </w:t>
      </w:r>
    </w:p>
    <w:p w14:paraId="04E3045A" w14:textId="77777777" w:rsidR="00501E02" w:rsidRDefault="00501E02" w:rsidP="00501E02">
      <w:pPr>
        <w:spacing w:after="120"/>
        <w:jc w:val="both"/>
        <w:rPr>
          <w:rFonts w:ascii="Arial" w:hAnsi="Arial" w:cs="Arial"/>
          <w:sz w:val="20"/>
          <w:szCs w:val="20"/>
        </w:rPr>
      </w:pPr>
      <w:r>
        <w:rPr>
          <w:rFonts w:ascii="Arial" w:hAnsi="Arial" w:cs="Arial"/>
          <w:sz w:val="20"/>
          <w:szCs w:val="20"/>
        </w:rPr>
        <w:t xml:space="preserve">Allo stesso tempo sono state introdotte numerose semplificazioni, tra queste l’innalzamento della soglia statistica che determina </w:t>
      </w:r>
      <w:r w:rsidRPr="00656343">
        <w:rPr>
          <w:rFonts w:ascii="Arial" w:hAnsi="Arial" w:cs="Arial"/>
          <w:sz w:val="20"/>
          <w:szCs w:val="20"/>
        </w:rPr>
        <w:t xml:space="preserve">l’obbligatorietà di compilazione mensile dei modelli Intrastat relativi agli acquisti (da 200.000 a 350.000 euro). </w:t>
      </w:r>
    </w:p>
    <w:p w14:paraId="23C55C92" w14:textId="46380F4B" w:rsidR="00501E02" w:rsidRDefault="006A2C28" w:rsidP="006A2C28">
      <w:pPr>
        <w:spacing w:after="120"/>
        <w:jc w:val="both"/>
        <w:rPr>
          <w:rFonts w:ascii="Arial" w:hAnsi="Arial" w:cs="Arial"/>
          <w:sz w:val="20"/>
          <w:szCs w:val="20"/>
        </w:rPr>
      </w:pPr>
      <w:r>
        <w:rPr>
          <w:rFonts w:ascii="Arial" w:hAnsi="Arial" w:cs="Arial"/>
          <w:sz w:val="20"/>
          <w:szCs w:val="20"/>
        </w:rPr>
        <w:t>Infine</w:t>
      </w:r>
      <w:r w:rsidR="00220D58">
        <w:rPr>
          <w:rFonts w:ascii="Arial" w:hAnsi="Arial" w:cs="Arial"/>
          <w:sz w:val="20"/>
          <w:szCs w:val="20"/>
        </w:rPr>
        <w:t>, ai soli fini fiscali,</w:t>
      </w:r>
      <w:r>
        <w:rPr>
          <w:rFonts w:ascii="Arial" w:hAnsi="Arial" w:cs="Arial"/>
          <w:sz w:val="20"/>
          <w:szCs w:val="20"/>
        </w:rPr>
        <w:t xml:space="preserve"> nei</w:t>
      </w:r>
      <w:r w:rsidRPr="00483363">
        <w:rPr>
          <w:rFonts w:ascii="Arial" w:hAnsi="Arial" w:cs="Arial"/>
          <w:sz w:val="20"/>
          <w:szCs w:val="20"/>
        </w:rPr>
        <w:t xml:space="preserve"> modelli Intrastat</w:t>
      </w:r>
      <w:r>
        <w:rPr>
          <w:rFonts w:ascii="Arial" w:hAnsi="Arial" w:cs="Arial"/>
          <w:sz w:val="20"/>
          <w:szCs w:val="20"/>
        </w:rPr>
        <w:t xml:space="preserve"> per </w:t>
      </w:r>
      <w:r w:rsidRPr="00483363">
        <w:rPr>
          <w:rFonts w:ascii="Arial" w:hAnsi="Arial" w:cs="Arial"/>
          <w:sz w:val="20"/>
          <w:szCs w:val="20"/>
        </w:rPr>
        <w:t xml:space="preserve">le </w:t>
      </w:r>
      <w:r>
        <w:rPr>
          <w:rFonts w:ascii="Arial" w:hAnsi="Arial" w:cs="Arial"/>
          <w:sz w:val="20"/>
          <w:szCs w:val="20"/>
        </w:rPr>
        <w:t>cessioni è stata inserita</w:t>
      </w:r>
      <w:r w:rsidRPr="00483363">
        <w:rPr>
          <w:rFonts w:ascii="Arial" w:hAnsi="Arial" w:cs="Arial"/>
          <w:sz w:val="20"/>
          <w:szCs w:val="20"/>
        </w:rPr>
        <w:t xml:space="preserve"> una nuova sezione </w:t>
      </w:r>
      <w:r>
        <w:rPr>
          <w:rFonts w:ascii="Arial" w:hAnsi="Arial" w:cs="Arial"/>
          <w:sz w:val="20"/>
          <w:szCs w:val="20"/>
        </w:rPr>
        <w:t>relativa alle cessioni in regime cosiddetto di “call-off stock” (</w:t>
      </w:r>
      <w:r w:rsidRPr="00217CBB">
        <w:rPr>
          <w:rFonts w:ascii="Arial" w:hAnsi="Arial" w:cs="Arial"/>
          <w:sz w:val="20"/>
          <w:szCs w:val="20"/>
        </w:rPr>
        <w:t>Decreto legislativo 5 novembre 2021, n. 192</w:t>
      </w:r>
      <w:r>
        <w:rPr>
          <w:rFonts w:ascii="Arial" w:hAnsi="Arial" w:cs="Arial"/>
          <w:sz w:val="20"/>
          <w:szCs w:val="20"/>
        </w:rPr>
        <w:t>).</w:t>
      </w:r>
    </w:p>
    <w:p w14:paraId="386EF34B" w14:textId="0D1BE8EA" w:rsidR="006A2C28" w:rsidRPr="006A2C28" w:rsidRDefault="006A2C28" w:rsidP="006A2C28">
      <w:pPr>
        <w:spacing w:after="120"/>
        <w:jc w:val="both"/>
        <w:rPr>
          <w:rFonts w:ascii="Arial" w:hAnsi="Arial" w:cs="Arial"/>
          <w:sz w:val="10"/>
          <w:szCs w:val="10"/>
        </w:rPr>
      </w:pPr>
    </w:p>
    <w:p w14:paraId="02C32224" w14:textId="77777777" w:rsidR="006A2C28" w:rsidRPr="006A2C28" w:rsidRDefault="006A2C28" w:rsidP="006A2C28">
      <w:pPr>
        <w:spacing w:after="120"/>
        <w:jc w:val="both"/>
        <w:rPr>
          <w:rFonts w:ascii="Arial" w:hAnsi="Arial" w:cs="Arial"/>
          <w:sz w:val="20"/>
          <w:szCs w:val="20"/>
        </w:rPr>
      </w:pPr>
    </w:p>
    <w:p w14:paraId="657D224E"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Prezzi all’importazione</w:t>
      </w:r>
    </w:p>
    <w:p w14:paraId="0C99FF4D" w14:textId="77777777" w:rsidR="00501E02" w:rsidRDefault="00501E02" w:rsidP="00501E02">
      <w:pPr>
        <w:spacing w:after="100"/>
        <w:jc w:val="both"/>
        <w:rPr>
          <w:rFonts w:ascii="Arial" w:hAnsi="Arial" w:cs="Arial"/>
          <w:b/>
          <w:bCs/>
          <w:sz w:val="20"/>
          <w:szCs w:val="20"/>
        </w:rPr>
      </w:pPr>
      <w:r w:rsidRPr="00BE3D84">
        <w:rPr>
          <w:rFonts w:ascii="Arial" w:hAnsi="Arial" w:cs="Arial"/>
          <w:b/>
          <w:bCs/>
          <w:sz w:val="20"/>
          <w:szCs w:val="20"/>
        </w:rPr>
        <w:t>Obiettivi conoscitivi e quadro normativo di riferimento</w:t>
      </w:r>
    </w:p>
    <w:p w14:paraId="0AE3F535" w14:textId="77777777" w:rsidR="00501E02" w:rsidRDefault="00501E02" w:rsidP="00501E02">
      <w:pPr>
        <w:spacing w:after="100"/>
        <w:jc w:val="both"/>
        <w:rPr>
          <w:rFonts w:ascii="Arial" w:hAnsi="Arial" w:cs="Arial"/>
          <w:bCs/>
          <w:sz w:val="20"/>
          <w:szCs w:val="20"/>
        </w:rPr>
      </w:pPr>
      <w:r w:rsidRPr="0038751B">
        <w:rPr>
          <w:rFonts w:ascii="Arial" w:hAnsi="Arial" w:cs="Arial"/>
          <w:bCs/>
          <w:sz w:val="20"/>
          <w:szCs w:val="20"/>
        </w:rPr>
        <w:t>Gli indici dei prezzi all’importazione misurano la variazione nel tempo dei prezzi di un paniere rappresentativo dei principali prodotti importati, dall’area euro e dall’area non euro, da imprese dell’industria e dei servizi.</w:t>
      </w:r>
    </w:p>
    <w:p w14:paraId="6642A9A0" w14:textId="77777777" w:rsidR="00501E02" w:rsidRDefault="00501E02" w:rsidP="00501E02">
      <w:pPr>
        <w:spacing w:after="100"/>
        <w:jc w:val="both"/>
        <w:rPr>
          <w:rFonts w:ascii="Arial" w:hAnsi="Arial" w:cs="Arial"/>
          <w:bCs/>
          <w:sz w:val="20"/>
          <w:szCs w:val="20"/>
        </w:rPr>
      </w:pPr>
      <w:r w:rsidRPr="00113EDF">
        <w:rPr>
          <w:rFonts w:ascii="Arial" w:hAnsi="Arial" w:cs="Arial"/>
          <w:b/>
          <w:sz w:val="20"/>
          <w:szCs w:val="20"/>
        </w:rPr>
        <w:t>A partire dai dati riferiti a gennaio 2022</w:t>
      </w:r>
      <w:r>
        <w:rPr>
          <w:rFonts w:ascii="Arial" w:hAnsi="Arial" w:cs="Arial"/>
          <w:sz w:val="20"/>
          <w:szCs w:val="20"/>
        </w:rPr>
        <w:t xml:space="preserve">, </w:t>
      </w:r>
      <w:r w:rsidRPr="00113EDF">
        <w:rPr>
          <w:rFonts w:ascii="Arial" w:hAnsi="Arial" w:cs="Arial"/>
          <w:bCs/>
          <w:sz w:val="20"/>
          <w:szCs w:val="20"/>
        </w:rPr>
        <w:t>gli indici dei prezzi all’importazione sono calcolati con il metodo del con</w:t>
      </w:r>
      <w:r>
        <w:rPr>
          <w:rFonts w:ascii="Arial" w:hAnsi="Arial" w:cs="Arial"/>
          <w:bCs/>
          <w:sz w:val="20"/>
          <w:szCs w:val="20"/>
        </w:rPr>
        <w:t>ca</w:t>
      </w:r>
      <w:r w:rsidRPr="00113EDF">
        <w:rPr>
          <w:rFonts w:ascii="Arial" w:hAnsi="Arial" w:cs="Arial"/>
          <w:bCs/>
          <w:sz w:val="20"/>
          <w:szCs w:val="20"/>
        </w:rPr>
        <w:t>tenamento annuale, utilizzando il mese di dicembre 2021 come base di calcolo; l’anno 2015 resta la base di riferimento.</w:t>
      </w:r>
    </w:p>
    <w:p w14:paraId="267241E2" w14:textId="77777777" w:rsidR="00501E02" w:rsidRPr="00BE3D84" w:rsidRDefault="00501E02" w:rsidP="00501E02">
      <w:pPr>
        <w:spacing w:after="100"/>
        <w:jc w:val="both"/>
        <w:rPr>
          <w:rFonts w:ascii="Arial" w:hAnsi="Arial" w:cs="Arial"/>
          <w:bCs/>
          <w:sz w:val="20"/>
          <w:szCs w:val="20"/>
        </w:rPr>
      </w:pPr>
      <w:r w:rsidRPr="00BE3D84">
        <w:rPr>
          <w:rFonts w:ascii="Arial" w:hAnsi="Arial" w:cs="Arial"/>
          <w:bCs/>
          <w:sz w:val="20"/>
          <w:szCs w:val="20"/>
        </w:rPr>
        <w:t>Dal 1° gennaio 2021 ha effetto il Regolamento (UE) 2019/2152 del Parlamento europeo e del Consiglio del 27 novembre 2019 (con successivo Regolamento di esecuzione (UE) 2020/1197 della Commissione europea del 30 luglio 2020) che sostituisce il Regolamento (CE) 1165/1998 del Consiglio europeo (successivamente emendato dal Regolamento (CE) 1158/2005) e stabilisce il livello di dettaglio, la metodologia e la cadenza con cui gli indicatori congiunturali devono essere prodotti e trasmessi a Eurostat.</w:t>
      </w:r>
    </w:p>
    <w:p w14:paraId="08563E04" w14:textId="77777777" w:rsidR="00501E02" w:rsidRDefault="00501E02" w:rsidP="00501E02">
      <w:pPr>
        <w:spacing w:after="100"/>
        <w:jc w:val="both"/>
        <w:rPr>
          <w:rFonts w:ascii="Arial" w:hAnsi="Arial" w:cs="Arial"/>
          <w:sz w:val="20"/>
          <w:szCs w:val="20"/>
        </w:rPr>
      </w:pPr>
      <w:r w:rsidRPr="00BE3D84">
        <w:rPr>
          <w:rFonts w:ascii="Arial" w:hAnsi="Arial" w:cs="Arial"/>
          <w:bCs/>
          <w:sz w:val="20"/>
          <w:szCs w:val="20"/>
        </w:rPr>
        <w:t>La rilevazione dei prezzi all’importazione è prevista dal Programma Statistico Nazionale in vigore, consultabile sul sito internet dell'Istat all'indirizzo</w:t>
      </w:r>
      <w:r w:rsidRPr="00380EB6">
        <w:rPr>
          <w:rFonts w:ascii="Arial" w:hAnsi="Arial" w:cs="Arial"/>
        </w:rPr>
        <w:t xml:space="preserve"> </w:t>
      </w:r>
      <w:hyperlink r:id="rId41" w:history="1">
        <w:r w:rsidRPr="00BE3D84">
          <w:rPr>
            <w:rStyle w:val="Collegamentoipertestuale"/>
            <w:rFonts w:ascii="Arial" w:hAnsi="Arial" w:cs="Arial"/>
            <w:sz w:val="20"/>
            <w:szCs w:val="20"/>
          </w:rPr>
          <w:t>https://www.istat.it/it/istituto-nazionale-di-statistica/organizzazione/normativa</w:t>
        </w:r>
      </w:hyperlink>
      <w:r w:rsidRPr="00BE3D84">
        <w:rPr>
          <w:rFonts w:ascii="Arial" w:hAnsi="Arial" w:cs="Arial"/>
          <w:sz w:val="20"/>
          <w:szCs w:val="20"/>
        </w:rPr>
        <w:t>.</w:t>
      </w:r>
    </w:p>
    <w:p w14:paraId="6D5E0F68" w14:textId="77777777" w:rsidR="00501E02" w:rsidRDefault="00501E02" w:rsidP="00501E02">
      <w:pPr>
        <w:spacing w:after="120"/>
        <w:jc w:val="both"/>
        <w:rPr>
          <w:rFonts w:ascii="Arial" w:hAnsi="Arial" w:cs="Arial"/>
          <w:b/>
          <w:bCs/>
          <w:sz w:val="20"/>
          <w:szCs w:val="20"/>
        </w:rPr>
      </w:pPr>
    </w:p>
    <w:p w14:paraId="4C8204A3" w14:textId="77777777" w:rsidR="00501E02" w:rsidRPr="00C9631A" w:rsidRDefault="00501E02" w:rsidP="00501E02">
      <w:pPr>
        <w:spacing w:after="120"/>
        <w:jc w:val="both"/>
        <w:rPr>
          <w:rFonts w:ascii="Arial" w:hAnsi="Arial" w:cs="Arial"/>
          <w:b/>
          <w:bCs/>
          <w:sz w:val="20"/>
          <w:szCs w:val="20"/>
        </w:rPr>
      </w:pPr>
      <w:r>
        <w:rPr>
          <w:rFonts w:ascii="Arial" w:hAnsi="Arial" w:cs="Arial"/>
          <w:b/>
          <w:bCs/>
          <w:sz w:val="20"/>
          <w:szCs w:val="20"/>
        </w:rPr>
        <w:t>Fonte dei dati, c</w:t>
      </w:r>
      <w:r w:rsidRPr="00C9631A">
        <w:rPr>
          <w:rFonts w:ascii="Arial" w:hAnsi="Arial" w:cs="Arial"/>
          <w:b/>
          <w:bCs/>
          <w:sz w:val="20"/>
          <w:szCs w:val="20"/>
        </w:rPr>
        <w:t>ampo di osservazione, unità di analisi e di rilevazione</w:t>
      </w:r>
    </w:p>
    <w:p w14:paraId="32F8C4CC" w14:textId="77777777" w:rsidR="00501E02" w:rsidRPr="00BE3D84" w:rsidRDefault="00501E02" w:rsidP="00501E02">
      <w:pPr>
        <w:spacing w:after="120"/>
        <w:jc w:val="both"/>
        <w:rPr>
          <w:rFonts w:ascii="Arial" w:hAnsi="Arial" w:cs="Arial"/>
          <w:sz w:val="20"/>
          <w:szCs w:val="20"/>
        </w:rPr>
      </w:pPr>
      <w:r w:rsidRPr="00A54830">
        <w:rPr>
          <w:rFonts w:ascii="Arial" w:hAnsi="Arial" w:cs="Arial"/>
          <w:sz w:val="20"/>
          <w:szCs w:val="20"/>
        </w:rPr>
        <w:t>Il sistema degli indici dei prezzi all’importazione è elaborato a partire dai dati raccolti mediante una rilevazione statistica campionaria, con periodicità mensile.</w:t>
      </w:r>
    </w:p>
    <w:p w14:paraId="0CA288F3" w14:textId="77777777" w:rsidR="00501E02" w:rsidRPr="00C9631A" w:rsidRDefault="00501E02" w:rsidP="00501E02">
      <w:pPr>
        <w:spacing w:after="100"/>
        <w:jc w:val="both"/>
        <w:rPr>
          <w:rFonts w:ascii="Arial" w:hAnsi="Arial" w:cs="Arial"/>
          <w:bCs/>
          <w:sz w:val="20"/>
          <w:szCs w:val="20"/>
        </w:rPr>
      </w:pPr>
      <w:r w:rsidRPr="00C9631A">
        <w:rPr>
          <w:rFonts w:ascii="Arial" w:hAnsi="Arial" w:cs="Arial"/>
          <w:bCs/>
          <w:sz w:val="20"/>
          <w:szCs w:val="20"/>
        </w:rPr>
        <w:t xml:space="preserve">Dal punto di vista dimensionale, l’indagine è basata su un campione </w:t>
      </w:r>
      <w:r>
        <w:rPr>
          <w:rFonts w:ascii="Arial" w:hAnsi="Arial" w:cs="Arial"/>
          <w:bCs/>
          <w:sz w:val="20"/>
          <w:szCs w:val="20"/>
        </w:rPr>
        <w:t>di</w:t>
      </w:r>
      <w:r w:rsidRPr="00C9631A">
        <w:rPr>
          <w:rFonts w:ascii="Arial" w:hAnsi="Arial" w:cs="Arial"/>
          <w:bCs/>
          <w:sz w:val="20"/>
          <w:szCs w:val="20"/>
        </w:rPr>
        <w:t xml:space="preserve"> 1.</w:t>
      </w:r>
      <w:r>
        <w:rPr>
          <w:rFonts w:ascii="Arial" w:hAnsi="Arial" w:cs="Arial"/>
          <w:bCs/>
          <w:sz w:val="20"/>
          <w:szCs w:val="20"/>
        </w:rPr>
        <w:t>241</w:t>
      </w:r>
      <w:r w:rsidRPr="00C9631A">
        <w:rPr>
          <w:rFonts w:ascii="Arial" w:hAnsi="Arial" w:cs="Arial"/>
          <w:bCs/>
          <w:sz w:val="20"/>
          <w:szCs w:val="20"/>
        </w:rPr>
        <w:t xml:space="preserve"> prodotti rilevati presso una lista di </w:t>
      </w:r>
      <w:r>
        <w:rPr>
          <w:rFonts w:ascii="Arial" w:hAnsi="Arial" w:cs="Arial"/>
          <w:bCs/>
          <w:sz w:val="20"/>
          <w:szCs w:val="20"/>
        </w:rPr>
        <w:t>3</w:t>
      </w:r>
      <w:r w:rsidRPr="00C9631A">
        <w:rPr>
          <w:rFonts w:ascii="Arial" w:hAnsi="Arial" w:cs="Arial"/>
          <w:bCs/>
          <w:sz w:val="20"/>
          <w:szCs w:val="20"/>
        </w:rPr>
        <w:t>.</w:t>
      </w:r>
      <w:r>
        <w:rPr>
          <w:rFonts w:ascii="Arial" w:hAnsi="Arial" w:cs="Arial"/>
          <w:bCs/>
          <w:sz w:val="20"/>
          <w:szCs w:val="20"/>
        </w:rPr>
        <w:t>652</w:t>
      </w:r>
      <w:r w:rsidRPr="00C9631A">
        <w:rPr>
          <w:rFonts w:ascii="Arial" w:hAnsi="Arial" w:cs="Arial"/>
          <w:bCs/>
          <w:sz w:val="20"/>
          <w:szCs w:val="20"/>
        </w:rPr>
        <w:t xml:space="preserve"> imprese che forniscono mensilmente </w:t>
      </w:r>
      <w:r>
        <w:rPr>
          <w:rFonts w:ascii="Arial" w:hAnsi="Arial" w:cs="Arial"/>
          <w:bCs/>
          <w:sz w:val="20"/>
          <w:szCs w:val="20"/>
        </w:rPr>
        <w:t>10.164</w:t>
      </w:r>
      <w:r w:rsidRPr="00C9631A">
        <w:rPr>
          <w:rFonts w:ascii="Arial" w:hAnsi="Arial" w:cs="Arial"/>
          <w:bCs/>
          <w:sz w:val="20"/>
          <w:szCs w:val="20"/>
        </w:rPr>
        <w:t xml:space="preserve"> quotazioni di prezzo.</w:t>
      </w:r>
    </w:p>
    <w:p w14:paraId="526C86A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campo di osservazione della rilevazione riguarda:</w:t>
      </w:r>
    </w:p>
    <w:p w14:paraId="28768D3C"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prodotti inclusi nelle sezioni da B a D della classificazione CPA;</w:t>
      </w:r>
    </w:p>
    <w:p w14:paraId="67150518"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imprese con attività economica prevalente nelle sezioni B, C, D, E, G della classificazione Ateco 2007.</w:t>
      </w:r>
    </w:p>
    <w:p w14:paraId="2C7162CE" w14:textId="77777777" w:rsidR="00501E02" w:rsidRPr="00C9631A" w:rsidRDefault="00501E02" w:rsidP="00501E02">
      <w:pPr>
        <w:spacing w:after="120"/>
        <w:ind w:left="426"/>
        <w:jc w:val="both"/>
        <w:rPr>
          <w:rFonts w:ascii="Arial" w:hAnsi="Arial" w:cs="Arial"/>
          <w:sz w:val="20"/>
          <w:szCs w:val="20"/>
        </w:rPr>
      </w:pPr>
      <w:r w:rsidRPr="00C9631A">
        <w:rPr>
          <w:rFonts w:ascii="Arial" w:hAnsi="Arial" w:cs="Arial"/>
          <w:sz w:val="20"/>
          <w:szCs w:val="20"/>
        </w:rPr>
        <w:t xml:space="preserve">L’unità di analisi è il prodotto, ovvero la </w:t>
      </w:r>
      <w:r w:rsidRPr="00E660CB">
        <w:rPr>
          <w:rFonts w:ascii="Arial" w:hAnsi="Arial" w:cs="Arial"/>
          <w:sz w:val="20"/>
          <w:szCs w:val="20"/>
        </w:rPr>
        <w:t>tipologia di prodotto</w:t>
      </w:r>
      <w:r w:rsidRPr="00C9631A">
        <w:rPr>
          <w:rFonts w:ascii="Arial" w:hAnsi="Arial" w:cs="Arial"/>
          <w:sz w:val="20"/>
          <w:szCs w:val="20"/>
        </w:rPr>
        <w:t xml:space="preserve"> (materia prima, semilavorato e prodotto finito) acquistata sul mercato estero e destinata al reimpiego nel processo di produzione (nel caso di un’impresa industriale) oppure alla vendita sul territorio nazionale o estero (nel caso di un’impresa commerciale).</w:t>
      </w:r>
    </w:p>
    <w:p w14:paraId="14E840B2" w14:textId="4C5B0F7A" w:rsidR="00501E02" w:rsidRDefault="00501E02" w:rsidP="00501E02">
      <w:pPr>
        <w:spacing w:after="120"/>
        <w:ind w:left="426"/>
        <w:jc w:val="both"/>
        <w:rPr>
          <w:rFonts w:ascii="Arial" w:hAnsi="Arial" w:cs="Arial"/>
          <w:sz w:val="20"/>
          <w:szCs w:val="20"/>
        </w:rPr>
      </w:pPr>
      <w:r w:rsidRPr="00C9631A">
        <w:rPr>
          <w:rFonts w:ascii="Arial" w:hAnsi="Arial" w:cs="Arial"/>
          <w:sz w:val="20"/>
          <w:szCs w:val="20"/>
        </w:rPr>
        <w:t>L’unità di rilevazione – impresa – deve essere localizzata sul territorio nazionale; nel caso di impresa industriale, la localizzazione è riferita agli stabilimenti di produzione: l’impresa acquista sul mercato estero materie prime, semilavorati e prodotti finiti che reimpiega nel proprio processo di produzione. Se l’impresa è commerciale, acquista sul mercato estero materie prime, semilavorati e prodotti finiti al fine di rivenderli sul mercato nazionale o estero.</w:t>
      </w:r>
    </w:p>
    <w:p w14:paraId="5C6DA00F" w14:textId="77777777" w:rsidR="0026239E" w:rsidRPr="00C9631A" w:rsidRDefault="0026239E" w:rsidP="00501E02">
      <w:pPr>
        <w:spacing w:after="120"/>
        <w:ind w:left="426"/>
        <w:jc w:val="both"/>
        <w:rPr>
          <w:rFonts w:ascii="Arial" w:hAnsi="Arial" w:cs="Arial"/>
          <w:sz w:val="20"/>
          <w:szCs w:val="20"/>
        </w:rPr>
      </w:pPr>
    </w:p>
    <w:p w14:paraId="1303E7DE" w14:textId="77777777" w:rsidR="00220D58" w:rsidRDefault="00220D58" w:rsidP="00501E02">
      <w:pPr>
        <w:spacing w:after="120"/>
        <w:jc w:val="both"/>
        <w:rPr>
          <w:rFonts w:ascii="Arial" w:hAnsi="Arial" w:cs="Arial"/>
          <w:sz w:val="20"/>
          <w:szCs w:val="20"/>
        </w:rPr>
      </w:pPr>
    </w:p>
    <w:p w14:paraId="2B3478BC" w14:textId="77777777" w:rsidR="00220D58" w:rsidRDefault="00220D58" w:rsidP="00501E02">
      <w:pPr>
        <w:spacing w:after="120"/>
        <w:jc w:val="both"/>
        <w:rPr>
          <w:rFonts w:ascii="Arial" w:hAnsi="Arial" w:cs="Arial"/>
          <w:sz w:val="20"/>
          <w:szCs w:val="20"/>
        </w:rPr>
      </w:pPr>
    </w:p>
    <w:p w14:paraId="2D06A78F" w14:textId="45C82B5D" w:rsidR="00501E02" w:rsidRPr="000D4A0C" w:rsidRDefault="00501E02" w:rsidP="00501E02">
      <w:pPr>
        <w:spacing w:after="120"/>
        <w:jc w:val="both"/>
        <w:rPr>
          <w:rFonts w:ascii="Arial" w:hAnsi="Arial" w:cs="Arial"/>
          <w:sz w:val="20"/>
          <w:szCs w:val="20"/>
        </w:rPr>
      </w:pPr>
      <w:r w:rsidRPr="000D4A0C">
        <w:rPr>
          <w:rFonts w:ascii="Arial" w:hAnsi="Arial" w:cs="Arial"/>
          <w:sz w:val="20"/>
          <w:szCs w:val="20"/>
        </w:rPr>
        <w:t>Il regime del commercio considerato è quello del regime del commercio speciale, sono pertanto incluse le importazioni normali nonché le importazioni in regime di perfezionamento attivo e dopo perfezionamento passivo, quando l’unità rispondente acquisisce la proprietà dei beni; sono escluse dal campo di osservazione:</w:t>
      </w:r>
    </w:p>
    <w:p w14:paraId="7356E9F2" w14:textId="77777777" w:rsidR="00501E02" w:rsidRDefault="00501E02" w:rsidP="00501E02">
      <w:pPr>
        <w:numPr>
          <w:ilvl w:val="0"/>
          <w:numId w:val="39"/>
        </w:numPr>
        <w:spacing w:after="120"/>
        <w:ind w:left="425" w:hanging="425"/>
        <w:jc w:val="both"/>
        <w:rPr>
          <w:rFonts w:ascii="Arial" w:hAnsi="Arial" w:cs="Arial"/>
          <w:sz w:val="20"/>
          <w:szCs w:val="20"/>
        </w:rPr>
      </w:pPr>
      <w:r w:rsidRPr="000D4A0C">
        <w:rPr>
          <w:rFonts w:ascii="Arial" w:hAnsi="Arial" w:cs="Arial"/>
          <w:sz w:val="20"/>
          <w:szCs w:val="20"/>
        </w:rPr>
        <w:t>le importazioni delle famiglie, delle amministrazioni pubbliche e delle istituzioni senza scopo di lucro;</w:t>
      </w:r>
    </w:p>
    <w:p w14:paraId="6859D050" w14:textId="77777777" w:rsidR="00501E02"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l’importazione a fini di riparazione;</w:t>
      </w:r>
    </w:p>
    <w:p w14:paraId="58998060" w14:textId="77777777" w:rsidR="00501E02" w:rsidRPr="002A34BD"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tutti i servizi correlati ai prodotti.</w:t>
      </w:r>
    </w:p>
    <w:p w14:paraId="13DED19F" w14:textId="77777777" w:rsidR="00501E02" w:rsidRPr="00C9631A" w:rsidRDefault="00501E02" w:rsidP="00501E02">
      <w:pPr>
        <w:spacing w:after="120"/>
        <w:ind w:left="426"/>
        <w:jc w:val="both"/>
        <w:rPr>
          <w:rFonts w:ascii="Arial" w:hAnsi="Arial" w:cs="Arial"/>
          <w:sz w:val="20"/>
          <w:szCs w:val="20"/>
        </w:rPr>
      </w:pPr>
    </w:p>
    <w:p w14:paraId="661C8612"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Disegno di campionamento</w:t>
      </w:r>
    </w:p>
    <w:p w14:paraId="6F503B0D"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mensile dei prezzi dei prodotti importati dall</w:t>
      </w:r>
      <w:r>
        <w:rPr>
          <w:rFonts w:ascii="Arial" w:hAnsi="Arial" w:cs="Arial"/>
          <w:sz w:val="20"/>
          <w:szCs w:val="20"/>
        </w:rPr>
        <w:t xml:space="preserve">e </w:t>
      </w:r>
      <w:r w:rsidRPr="00C9631A">
        <w:rPr>
          <w:rFonts w:ascii="Arial" w:hAnsi="Arial" w:cs="Arial"/>
          <w:sz w:val="20"/>
          <w:szCs w:val="20"/>
        </w:rPr>
        <w:t>impres</w:t>
      </w:r>
      <w:r>
        <w:rPr>
          <w:rFonts w:ascii="Arial" w:hAnsi="Arial" w:cs="Arial"/>
          <w:sz w:val="20"/>
          <w:szCs w:val="20"/>
        </w:rPr>
        <w:t xml:space="preserve">e </w:t>
      </w:r>
      <w:r w:rsidRPr="00C9631A">
        <w:rPr>
          <w:rFonts w:ascii="Arial" w:hAnsi="Arial" w:cs="Arial"/>
          <w:sz w:val="20"/>
          <w:szCs w:val="20"/>
        </w:rPr>
        <w:t xml:space="preserve">si effettua </w:t>
      </w:r>
      <w:r>
        <w:rPr>
          <w:rFonts w:ascii="Arial" w:hAnsi="Arial" w:cs="Arial"/>
          <w:sz w:val="20"/>
          <w:szCs w:val="20"/>
        </w:rPr>
        <w:t xml:space="preserve">– con riferimento alle due aree, euro e non euro – </w:t>
      </w:r>
      <w:r w:rsidRPr="00C9631A">
        <w:rPr>
          <w:rFonts w:ascii="Arial" w:hAnsi="Arial" w:cs="Arial"/>
          <w:sz w:val="20"/>
          <w:szCs w:val="20"/>
        </w:rPr>
        <w:t xml:space="preserve">sulla base di un disegno di campionamento nel quale si definiscono, relativamente </w:t>
      </w:r>
      <w:r>
        <w:rPr>
          <w:rFonts w:ascii="Arial" w:hAnsi="Arial" w:cs="Arial"/>
          <w:sz w:val="20"/>
          <w:szCs w:val="20"/>
        </w:rPr>
        <w:t>alla base di calcolo</w:t>
      </w:r>
      <w:r w:rsidRPr="00C9631A">
        <w:rPr>
          <w:rFonts w:ascii="Arial" w:hAnsi="Arial" w:cs="Arial"/>
          <w:sz w:val="20"/>
          <w:szCs w:val="20"/>
        </w:rPr>
        <w:t xml:space="preserve">, la composizione del paniere dei prodotti e la lista delle unità di rilevazione. </w:t>
      </w:r>
    </w:p>
    <w:p w14:paraId="73F64BB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paniere dei prodotti è costituito da un campione rappresentativo dei principali beni acquistati dalle imprese sul mercato estero e destinati al reimpiego nel processo di produzione (nel caso di un’impresa industriale) oppure alla vendita sul territorio nazionale o estero (nel caso di un’impresa commerciale). La selezione dei prodotti si effettua utilizzando, come informazione principale, quella proveniente dalle statistiche del commercio con l’estero (valore annuale delle importazioni a livello di merce, codificata secondo la Nomenclatura Combinata).</w:t>
      </w:r>
    </w:p>
    <w:p w14:paraId="4AC4B920"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La lista delle unità di rilevazione è determinata integrando le informazioni sull’interscambio commerciale con quelle contenute nell’Archivio Statistico delle Imprese Attive (Asia) dell’Istat (relativamente all’identificativo dell’impresa e all’attività econo</w:t>
      </w:r>
      <w:r>
        <w:rPr>
          <w:rFonts w:ascii="Arial" w:hAnsi="Arial" w:cs="Arial"/>
          <w:sz w:val="20"/>
          <w:szCs w:val="20"/>
        </w:rPr>
        <w:t>mica prevalente della medesima)</w:t>
      </w:r>
      <w:r w:rsidRPr="00C9631A">
        <w:rPr>
          <w:rFonts w:ascii="Arial" w:hAnsi="Arial" w:cs="Arial"/>
          <w:sz w:val="20"/>
          <w:szCs w:val="20"/>
        </w:rPr>
        <w:t xml:space="preserve"> e nell’Anagrafe Tributaria (relativamente alla corrispondenza operatore economico/partita Iva – impresa/codice fiscale). Attraverso tale link si collegano le unità di analisi (i prodotti importati) alle unità di rilevazione (le imprese importatrici).</w:t>
      </w:r>
    </w:p>
    <w:p w14:paraId="77FED943" w14:textId="77777777" w:rsidR="00501E02" w:rsidRDefault="00501E02" w:rsidP="006A2C28">
      <w:pPr>
        <w:spacing w:after="240"/>
        <w:jc w:val="both"/>
        <w:rPr>
          <w:rFonts w:ascii="Arial" w:hAnsi="Arial" w:cs="Arial"/>
          <w:sz w:val="20"/>
          <w:szCs w:val="20"/>
        </w:rPr>
      </w:pPr>
      <w:r>
        <w:rPr>
          <w:rFonts w:ascii="Arial" w:hAnsi="Arial" w:cs="Arial"/>
          <w:sz w:val="20"/>
          <w:szCs w:val="20"/>
        </w:rPr>
        <w:t>Nel Prospetto B viene sintetizzata la composizione imprese/prodotti/prezzi della base di calcolo dicembre 2021, con riferimento alle tre variabili elaborate.</w:t>
      </w:r>
    </w:p>
    <w:p w14:paraId="06E1DAFA" w14:textId="77777777" w:rsidR="00501E02" w:rsidRDefault="00501E02" w:rsidP="00501E02">
      <w:pPr>
        <w:jc w:val="both"/>
        <w:rPr>
          <w:rFonts w:ascii="Arial Narrow" w:hAnsi="Arial Narrow" w:cs="Arial"/>
          <w:color w:val="7F7F7F"/>
          <w:sz w:val="20"/>
          <w:szCs w:val="20"/>
        </w:rPr>
      </w:pPr>
      <w:r w:rsidRPr="00861AAF">
        <w:rPr>
          <w:rFonts w:ascii="Arial Narrow" w:hAnsi="Arial Narrow" w:cs="Arial"/>
          <w:b/>
          <w:color w:val="E42618"/>
          <w:sz w:val="22"/>
          <w:szCs w:val="22"/>
        </w:rPr>
        <w:t xml:space="preserve">PROSPETTO </w:t>
      </w:r>
      <w:r>
        <w:rPr>
          <w:rFonts w:ascii="Arial Narrow" w:hAnsi="Arial Narrow" w:cs="Arial"/>
          <w:b/>
          <w:color w:val="E42618"/>
          <w:sz w:val="22"/>
          <w:szCs w:val="22"/>
        </w:rPr>
        <w:t>B</w:t>
      </w:r>
      <w:r w:rsidRPr="00861AAF">
        <w:rPr>
          <w:rFonts w:ascii="Arial Narrow" w:hAnsi="Arial Narrow" w:cs="Arial"/>
          <w:b/>
          <w:color w:val="E42618"/>
          <w:sz w:val="22"/>
          <w:szCs w:val="22"/>
        </w:rPr>
        <w:t>.</w:t>
      </w:r>
      <w:r w:rsidRPr="00861AAF">
        <w:rPr>
          <w:rFonts w:ascii="Arial Narrow" w:hAnsi="Arial Narrow" w:cs="Arial"/>
          <w:b/>
          <w:color w:val="7F7F7F"/>
          <w:sz w:val="22"/>
          <w:szCs w:val="22"/>
        </w:rPr>
        <w:t xml:space="preserve"> PREZZI ALL</w:t>
      </w:r>
      <w:r>
        <w:rPr>
          <w:rFonts w:ascii="Arial Narrow" w:hAnsi="Arial Narrow" w:cs="Arial"/>
          <w:b/>
          <w:color w:val="7F7F7F"/>
          <w:sz w:val="22"/>
          <w:szCs w:val="22"/>
        </w:rPr>
        <w:t xml:space="preserve">’IMPORTAZIONE. </w:t>
      </w:r>
      <w:r w:rsidRPr="00832200">
        <w:rPr>
          <w:rFonts w:ascii="Arial Narrow" w:hAnsi="Arial Narrow" w:cs="Arial"/>
          <w:b/>
          <w:color w:val="7F7F7F"/>
          <w:sz w:val="22"/>
          <w:szCs w:val="22"/>
        </w:rPr>
        <w:t>N</w:t>
      </w:r>
      <w:r>
        <w:rPr>
          <w:rFonts w:ascii="Arial Narrow" w:hAnsi="Arial Narrow" w:cs="Arial"/>
          <w:b/>
          <w:color w:val="7F7F7F"/>
          <w:sz w:val="22"/>
          <w:szCs w:val="22"/>
        </w:rPr>
        <w:t>U</w:t>
      </w:r>
      <w:r w:rsidRPr="00832200">
        <w:rPr>
          <w:rFonts w:ascii="Arial Narrow" w:hAnsi="Arial Narrow" w:cs="Arial"/>
          <w:b/>
          <w:color w:val="7F7F7F"/>
          <w:sz w:val="22"/>
          <w:szCs w:val="22"/>
        </w:rPr>
        <w:t>MEROSITÀ DEL CAMPIONE DEI PRODOTTI, IMPRESE E PREZZI</w:t>
      </w:r>
    </w:p>
    <w:p w14:paraId="219A5135" w14:textId="1680CBB9" w:rsidR="00501E02" w:rsidRPr="001F0B80" w:rsidRDefault="00AB0189" w:rsidP="00501E02">
      <w:pPr>
        <w:jc w:val="both"/>
        <w:rPr>
          <w:rFonts w:ascii="Arial Narrow" w:hAnsi="Arial Narrow" w:cs="Arial"/>
          <w:color w:val="7F7F7F"/>
          <w:sz w:val="20"/>
          <w:szCs w:val="20"/>
        </w:rPr>
      </w:pPr>
      <w:r>
        <w:rPr>
          <w:rFonts w:ascii="Arial Narrow" w:hAnsi="Arial Narrow" w:cs="Arial"/>
          <w:color w:val="7F7F7F"/>
          <w:sz w:val="20"/>
          <w:szCs w:val="20"/>
        </w:rPr>
        <w:t>Base di calcolo d</w:t>
      </w:r>
      <w:r w:rsidR="00501E02" w:rsidRPr="001F0B80">
        <w:rPr>
          <w:rFonts w:ascii="Arial Narrow" w:hAnsi="Arial Narrow" w:cs="Arial"/>
          <w:color w:val="7F7F7F"/>
          <w:sz w:val="20"/>
          <w:szCs w:val="20"/>
        </w:rPr>
        <w:t>icembre 2021</w:t>
      </w:r>
    </w:p>
    <w:tbl>
      <w:tblPr>
        <w:tblW w:w="10147" w:type="dxa"/>
        <w:tblCellMar>
          <w:left w:w="70" w:type="dxa"/>
          <w:right w:w="454" w:type="dxa"/>
        </w:tblCellMar>
        <w:tblLook w:val="04A0" w:firstRow="1" w:lastRow="0" w:firstColumn="1" w:lastColumn="0" w:noHBand="0" w:noVBand="1"/>
      </w:tblPr>
      <w:tblGrid>
        <w:gridCol w:w="2551"/>
        <w:gridCol w:w="2494"/>
        <w:gridCol w:w="2551"/>
        <w:gridCol w:w="2551"/>
      </w:tblGrid>
      <w:tr w:rsidR="00501E02" w:rsidRPr="00861AAF" w14:paraId="01948937" w14:textId="77777777" w:rsidTr="002C489F">
        <w:trPr>
          <w:trHeight w:val="340"/>
        </w:trPr>
        <w:tc>
          <w:tcPr>
            <w:tcW w:w="2551" w:type="dxa"/>
            <w:tcBorders>
              <w:top w:val="single" w:sz="8" w:space="0" w:color="333333"/>
              <w:left w:val="nil"/>
              <w:bottom w:val="single" w:sz="8" w:space="0" w:color="333333"/>
              <w:right w:val="nil"/>
            </w:tcBorders>
            <w:shd w:val="clear" w:color="auto" w:fill="auto"/>
            <w:vAlign w:val="center"/>
            <w:hideMark/>
          </w:tcPr>
          <w:p w14:paraId="382A346C" w14:textId="77777777" w:rsidR="00501E02" w:rsidRPr="00861AAF" w:rsidRDefault="00501E02" w:rsidP="002C489F">
            <w:pPr>
              <w:rPr>
                <w:rFonts w:ascii="Arial Narrow" w:hAnsi="Arial Narrow" w:cs="Arial"/>
                <w:b/>
                <w:bCs/>
                <w:color w:val="000000"/>
                <w:sz w:val="18"/>
                <w:szCs w:val="18"/>
              </w:rPr>
            </w:pPr>
            <w:r w:rsidRPr="00861AAF">
              <w:rPr>
                <w:rFonts w:ascii="Arial Narrow" w:hAnsi="Arial Narrow" w:cs="Arial"/>
                <w:b/>
                <w:bCs/>
                <w:color w:val="000000"/>
                <w:sz w:val="18"/>
                <w:szCs w:val="18"/>
              </w:rPr>
              <w:t>UNITÀ</w:t>
            </w:r>
          </w:p>
        </w:tc>
        <w:tc>
          <w:tcPr>
            <w:tcW w:w="2494" w:type="dxa"/>
            <w:tcBorders>
              <w:top w:val="single" w:sz="8" w:space="0" w:color="333333"/>
              <w:left w:val="nil"/>
              <w:bottom w:val="single" w:sz="4" w:space="0" w:color="auto"/>
              <w:right w:val="nil"/>
            </w:tcBorders>
            <w:shd w:val="clear" w:color="000000" w:fill="E6E6E6"/>
            <w:vAlign w:val="center"/>
            <w:hideMark/>
          </w:tcPr>
          <w:p w14:paraId="4629E8BA" w14:textId="77777777" w:rsidR="00501E02" w:rsidRPr="00861AAF" w:rsidRDefault="00501E02" w:rsidP="002C489F">
            <w:pPr>
              <w:jc w:val="right"/>
              <w:rPr>
                <w:rFonts w:ascii="Arial Narrow" w:hAnsi="Arial Narrow" w:cs="Arial"/>
                <w:b/>
                <w:bCs/>
                <w:color w:val="000000"/>
                <w:sz w:val="18"/>
                <w:szCs w:val="18"/>
              </w:rPr>
            </w:pPr>
            <w:r w:rsidRPr="00861AAF">
              <w:rPr>
                <w:rFonts w:ascii="Arial Narrow" w:hAnsi="Arial Narrow" w:cs="Arial"/>
                <w:b/>
                <w:bCs/>
                <w:color w:val="000000"/>
                <w:sz w:val="18"/>
                <w:szCs w:val="18"/>
              </w:rPr>
              <w:t>Totale</w:t>
            </w:r>
          </w:p>
        </w:tc>
        <w:tc>
          <w:tcPr>
            <w:tcW w:w="2551" w:type="dxa"/>
            <w:tcBorders>
              <w:top w:val="single" w:sz="8" w:space="0" w:color="333333"/>
              <w:left w:val="nil"/>
              <w:bottom w:val="single" w:sz="4" w:space="0" w:color="auto"/>
              <w:right w:val="nil"/>
            </w:tcBorders>
            <w:shd w:val="clear" w:color="auto" w:fill="auto"/>
            <w:vAlign w:val="center"/>
            <w:hideMark/>
          </w:tcPr>
          <w:p w14:paraId="50D20B1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euro</w:t>
            </w:r>
          </w:p>
        </w:tc>
        <w:tc>
          <w:tcPr>
            <w:tcW w:w="2551" w:type="dxa"/>
            <w:tcBorders>
              <w:top w:val="single" w:sz="8" w:space="0" w:color="333333"/>
              <w:left w:val="nil"/>
              <w:bottom w:val="single" w:sz="4" w:space="0" w:color="auto"/>
              <w:right w:val="nil"/>
            </w:tcBorders>
            <w:shd w:val="clear" w:color="000000" w:fill="E6E6E6"/>
            <w:vAlign w:val="center"/>
            <w:hideMark/>
          </w:tcPr>
          <w:p w14:paraId="24FFBA2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non euro</w:t>
            </w:r>
          </w:p>
        </w:tc>
      </w:tr>
      <w:tr w:rsidR="00501E02" w:rsidRPr="00861AAF" w14:paraId="0A151E60"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3A60B4CF"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Prodotti</w:t>
            </w:r>
          </w:p>
        </w:tc>
        <w:tc>
          <w:tcPr>
            <w:tcW w:w="2494" w:type="dxa"/>
            <w:tcBorders>
              <w:top w:val="single" w:sz="4" w:space="0" w:color="auto"/>
              <w:left w:val="nil"/>
              <w:bottom w:val="single" w:sz="8" w:space="0" w:color="333333"/>
              <w:right w:val="nil"/>
            </w:tcBorders>
            <w:shd w:val="clear" w:color="auto" w:fill="D9D9D9"/>
            <w:vAlign w:val="center"/>
          </w:tcPr>
          <w:p w14:paraId="2B053B06" w14:textId="77777777" w:rsidR="00501E02" w:rsidRPr="001F0B80" w:rsidRDefault="00501E02" w:rsidP="002C489F">
            <w:pPr>
              <w:jc w:val="right"/>
              <w:rPr>
                <w:rFonts w:ascii="Arial Narrow" w:hAnsi="Arial Narrow"/>
                <w:color w:val="000000"/>
                <w:sz w:val="18"/>
                <w:szCs w:val="18"/>
              </w:rPr>
            </w:pPr>
            <w:r w:rsidRPr="00861AAF">
              <w:rPr>
                <w:rFonts w:ascii="Arial Narrow" w:hAnsi="Arial Narrow"/>
                <w:color w:val="000000"/>
                <w:sz w:val="18"/>
                <w:szCs w:val="18"/>
              </w:rPr>
              <w:t>1.</w:t>
            </w:r>
            <w:r>
              <w:rPr>
                <w:rFonts w:ascii="Arial Narrow" w:hAnsi="Arial Narrow"/>
                <w:color w:val="000000"/>
                <w:sz w:val="18"/>
                <w:szCs w:val="18"/>
              </w:rPr>
              <w:t>241</w:t>
            </w:r>
          </w:p>
        </w:tc>
        <w:tc>
          <w:tcPr>
            <w:tcW w:w="2551" w:type="dxa"/>
            <w:tcBorders>
              <w:top w:val="single" w:sz="4" w:space="0" w:color="auto"/>
              <w:left w:val="nil"/>
              <w:bottom w:val="single" w:sz="8" w:space="0" w:color="333333"/>
              <w:right w:val="nil"/>
            </w:tcBorders>
            <w:shd w:val="clear" w:color="auto" w:fill="auto"/>
            <w:vAlign w:val="center"/>
          </w:tcPr>
          <w:p w14:paraId="02B6219C"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963</w:t>
            </w:r>
          </w:p>
        </w:tc>
        <w:tc>
          <w:tcPr>
            <w:tcW w:w="2551" w:type="dxa"/>
            <w:tcBorders>
              <w:top w:val="single" w:sz="4" w:space="0" w:color="auto"/>
              <w:left w:val="nil"/>
              <w:bottom w:val="single" w:sz="8" w:space="0" w:color="333333"/>
              <w:right w:val="nil"/>
            </w:tcBorders>
            <w:shd w:val="clear" w:color="auto" w:fill="D9D9D9"/>
            <w:vAlign w:val="center"/>
          </w:tcPr>
          <w:p w14:paraId="20341BA4"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800</w:t>
            </w:r>
          </w:p>
        </w:tc>
      </w:tr>
      <w:tr w:rsidR="00501E02" w:rsidRPr="00861AAF" w14:paraId="11D0F0DE"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673B1167"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Imprese</w:t>
            </w:r>
          </w:p>
        </w:tc>
        <w:tc>
          <w:tcPr>
            <w:tcW w:w="2494" w:type="dxa"/>
            <w:tcBorders>
              <w:top w:val="nil"/>
              <w:left w:val="nil"/>
              <w:bottom w:val="single" w:sz="8" w:space="0" w:color="333333"/>
              <w:right w:val="nil"/>
            </w:tcBorders>
            <w:shd w:val="clear" w:color="auto" w:fill="D9D9D9"/>
            <w:vAlign w:val="center"/>
          </w:tcPr>
          <w:p w14:paraId="6017960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3</w:t>
            </w:r>
            <w:r w:rsidRPr="00861AAF">
              <w:rPr>
                <w:rFonts w:ascii="Arial Narrow" w:hAnsi="Arial Narrow"/>
                <w:color w:val="000000"/>
                <w:sz w:val="18"/>
                <w:szCs w:val="18"/>
              </w:rPr>
              <w:t>.</w:t>
            </w:r>
            <w:r>
              <w:rPr>
                <w:rFonts w:ascii="Arial Narrow" w:hAnsi="Arial Narrow"/>
                <w:color w:val="000000"/>
                <w:sz w:val="18"/>
                <w:szCs w:val="18"/>
              </w:rPr>
              <w:t>652</w:t>
            </w:r>
          </w:p>
        </w:tc>
        <w:tc>
          <w:tcPr>
            <w:tcW w:w="2551" w:type="dxa"/>
            <w:tcBorders>
              <w:top w:val="nil"/>
              <w:left w:val="nil"/>
              <w:bottom w:val="single" w:sz="8" w:space="0" w:color="333333"/>
              <w:right w:val="nil"/>
            </w:tcBorders>
            <w:shd w:val="clear" w:color="auto" w:fill="auto"/>
            <w:vAlign w:val="center"/>
          </w:tcPr>
          <w:p w14:paraId="03E35CD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196</w:t>
            </w:r>
          </w:p>
        </w:tc>
        <w:tc>
          <w:tcPr>
            <w:tcW w:w="2551" w:type="dxa"/>
            <w:tcBorders>
              <w:top w:val="nil"/>
              <w:left w:val="nil"/>
              <w:bottom w:val="single" w:sz="8" w:space="0" w:color="333333"/>
              <w:right w:val="nil"/>
            </w:tcBorders>
            <w:shd w:val="clear" w:color="auto" w:fill="D9D9D9"/>
            <w:vAlign w:val="center"/>
          </w:tcPr>
          <w:p w14:paraId="446C825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087</w:t>
            </w:r>
          </w:p>
        </w:tc>
      </w:tr>
      <w:tr w:rsidR="00501E02" w:rsidRPr="00861AAF" w14:paraId="1D626E37"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17B51D0A"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Prezzi</w:t>
            </w:r>
          </w:p>
        </w:tc>
        <w:tc>
          <w:tcPr>
            <w:tcW w:w="2494" w:type="dxa"/>
            <w:tcBorders>
              <w:top w:val="nil"/>
              <w:left w:val="nil"/>
              <w:bottom w:val="single" w:sz="8" w:space="0" w:color="333333"/>
              <w:right w:val="nil"/>
            </w:tcBorders>
            <w:shd w:val="clear" w:color="auto" w:fill="D9D9D9"/>
            <w:vAlign w:val="center"/>
          </w:tcPr>
          <w:p w14:paraId="1A27B87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10</w:t>
            </w:r>
            <w:r w:rsidRPr="00861AAF">
              <w:rPr>
                <w:rFonts w:ascii="Arial Narrow" w:hAnsi="Arial Narrow"/>
                <w:color w:val="000000"/>
                <w:sz w:val="18"/>
                <w:szCs w:val="18"/>
              </w:rPr>
              <w:t>.1</w:t>
            </w:r>
            <w:r>
              <w:rPr>
                <w:rFonts w:ascii="Arial Narrow" w:hAnsi="Arial Narrow"/>
                <w:color w:val="000000"/>
                <w:sz w:val="18"/>
                <w:szCs w:val="18"/>
              </w:rPr>
              <w:t>64</w:t>
            </w:r>
          </w:p>
        </w:tc>
        <w:tc>
          <w:tcPr>
            <w:tcW w:w="2551" w:type="dxa"/>
            <w:tcBorders>
              <w:top w:val="nil"/>
              <w:left w:val="nil"/>
              <w:bottom w:val="single" w:sz="8" w:space="0" w:color="333333"/>
              <w:right w:val="nil"/>
            </w:tcBorders>
            <w:shd w:val="clear" w:color="auto" w:fill="auto"/>
            <w:vAlign w:val="center"/>
          </w:tcPr>
          <w:p w14:paraId="00DB762F"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5</w:t>
            </w:r>
            <w:r w:rsidRPr="00861AAF">
              <w:rPr>
                <w:rFonts w:ascii="Arial Narrow" w:hAnsi="Arial Narrow"/>
                <w:color w:val="000000"/>
                <w:sz w:val="18"/>
                <w:szCs w:val="18"/>
              </w:rPr>
              <w:t>.</w:t>
            </w:r>
            <w:r>
              <w:rPr>
                <w:rFonts w:ascii="Arial Narrow" w:hAnsi="Arial Narrow"/>
                <w:color w:val="000000"/>
                <w:sz w:val="18"/>
                <w:szCs w:val="18"/>
              </w:rPr>
              <w:t>465</w:t>
            </w:r>
          </w:p>
        </w:tc>
        <w:tc>
          <w:tcPr>
            <w:tcW w:w="2551" w:type="dxa"/>
            <w:tcBorders>
              <w:top w:val="nil"/>
              <w:left w:val="nil"/>
              <w:bottom w:val="single" w:sz="8" w:space="0" w:color="333333"/>
              <w:right w:val="nil"/>
            </w:tcBorders>
            <w:shd w:val="clear" w:color="auto" w:fill="D9D9D9"/>
            <w:vAlign w:val="center"/>
          </w:tcPr>
          <w:p w14:paraId="7E51A636" w14:textId="77777777" w:rsidR="00501E02" w:rsidRPr="00861AAF" w:rsidRDefault="00501E02" w:rsidP="002C489F">
            <w:pPr>
              <w:jc w:val="right"/>
              <w:rPr>
                <w:rFonts w:ascii="Arial Narrow" w:hAnsi="Arial Narrow" w:cs="Arial"/>
                <w:color w:val="000000"/>
                <w:sz w:val="18"/>
                <w:szCs w:val="18"/>
              </w:rPr>
            </w:pPr>
            <w:r w:rsidRPr="00861AAF">
              <w:rPr>
                <w:rFonts w:ascii="Arial Narrow" w:hAnsi="Arial Narrow"/>
                <w:color w:val="000000"/>
                <w:sz w:val="18"/>
                <w:szCs w:val="18"/>
              </w:rPr>
              <w:t>4.</w:t>
            </w:r>
            <w:r>
              <w:rPr>
                <w:rFonts w:ascii="Arial Narrow" w:hAnsi="Arial Narrow"/>
                <w:color w:val="000000"/>
                <w:sz w:val="18"/>
                <w:szCs w:val="18"/>
              </w:rPr>
              <w:t>699</w:t>
            </w:r>
          </w:p>
        </w:tc>
      </w:tr>
    </w:tbl>
    <w:p w14:paraId="6D73B5E6" w14:textId="77777777" w:rsidR="00501E02" w:rsidRPr="00861AAF" w:rsidRDefault="00501E02" w:rsidP="00501E02">
      <w:pPr>
        <w:spacing w:before="120" w:after="120"/>
        <w:jc w:val="both"/>
        <w:rPr>
          <w:rFonts w:ascii="Arial" w:hAnsi="Arial" w:cs="Arial"/>
          <w:b/>
          <w:sz w:val="22"/>
          <w:szCs w:val="22"/>
        </w:rPr>
      </w:pPr>
    </w:p>
    <w:p w14:paraId="0B161C23"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Raccolta e controllo di qualità dei dati</w:t>
      </w:r>
    </w:p>
    <w:p w14:paraId="6A422DA0"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raccolta delle informazioni statistiche avviene mediante auto-compilazione del questionario elettronico disponibile all’interno del Portale statistico delle imprese, il sistema introdotto dall'Istat per la semplificazione degli adempimenti statistici delle imprese coinvolte nelle rilevazioni economiche. </w:t>
      </w:r>
    </w:p>
    <w:p w14:paraId="087B1A84" w14:textId="3E285E07" w:rsidR="0026239E" w:rsidRDefault="00501E02" w:rsidP="00501E02">
      <w:pPr>
        <w:pStyle w:val="Testocorrente"/>
        <w:keepNext w:val="0"/>
        <w:tabs>
          <w:tab w:val="left" w:pos="0"/>
        </w:tabs>
        <w:spacing w:after="120"/>
        <w:rPr>
          <w:rFonts w:ascii="Arial" w:hAnsi="Arial" w:cs="Arial"/>
          <w:b w:val="0"/>
          <w:i w:val="0"/>
          <w:sz w:val="20"/>
          <w:lang w:val="it-IT"/>
        </w:rPr>
      </w:pPr>
      <w:r w:rsidRPr="00DB2D37">
        <w:rPr>
          <w:rFonts w:ascii="Arial" w:hAnsi="Arial" w:cs="Arial"/>
          <w:b w:val="0"/>
          <w:i w:val="0"/>
          <w:sz w:val="20"/>
          <w:lang w:val="it-IT"/>
        </w:rPr>
        <w:t>Dall’edizione 2022, l’indagine si avvale della nuova piattaforma informatica integrata (nuovo questionario, nuovo software gestionale e nuov</w:t>
      </w:r>
      <w:r w:rsidR="0026239E">
        <w:rPr>
          <w:rFonts w:ascii="Arial" w:hAnsi="Arial" w:cs="Arial"/>
          <w:b w:val="0"/>
          <w:i w:val="0"/>
          <w:sz w:val="20"/>
          <w:lang w:val="it-IT"/>
        </w:rPr>
        <w:t>i</w:t>
      </w:r>
      <w:r w:rsidRPr="00DB2D37">
        <w:rPr>
          <w:rFonts w:ascii="Arial" w:hAnsi="Arial" w:cs="Arial"/>
          <w:b w:val="0"/>
          <w:i w:val="0"/>
          <w:sz w:val="20"/>
          <w:lang w:val="it-IT"/>
        </w:rPr>
        <w:t xml:space="preserve"> data base), denominata SINTESI, </w:t>
      </w:r>
      <w:r w:rsidR="0026239E" w:rsidRPr="0026239E">
        <w:rPr>
          <w:rFonts w:ascii="Arial" w:hAnsi="Arial" w:cs="Arial"/>
          <w:b w:val="0"/>
          <w:i w:val="0"/>
          <w:sz w:val="20"/>
          <w:lang w:val="it-IT"/>
        </w:rPr>
        <w:t>progettata e sviluppata internamente all’Istituto nell’ambito del progetto di modernizzazione/unificazione di metodi e strumenti per la gestione e conduzione dei processi di produzione delle indagini congiunturali sulle imprese</w:t>
      </w:r>
      <w:r w:rsidR="0026239E">
        <w:rPr>
          <w:rFonts w:ascii="Arial" w:hAnsi="Arial" w:cs="Arial"/>
          <w:b w:val="0"/>
          <w:i w:val="0"/>
          <w:sz w:val="20"/>
          <w:lang w:val="it-IT"/>
        </w:rPr>
        <w:t>.</w:t>
      </w:r>
    </w:p>
    <w:p w14:paraId="4C40A3D3"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modalità di compilazione per via telematica favorisce la tempestività della rilevazione dei dati e la qualità delle informazioni raccolte, poiché prevede un programma di </w:t>
      </w:r>
      <w:r w:rsidRPr="00C9631A">
        <w:rPr>
          <w:rFonts w:ascii="Arial" w:hAnsi="Arial" w:cs="Arial"/>
          <w:bCs/>
          <w:i/>
          <w:sz w:val="20"/>
          <w:szCs w:val="20"/>
        </w:rPr>
        <w:t>check</w:t>
      </w:r>
      <w:r w:rsidRPr="00C9631A">
        <w:rPr>
          <w:rFonts w:ascii="Arial" w:hAnsi="Arial" w:cs="Arial"/>
          <w:bCs/>
          <w:sz w:val="20"/>
          <w:szCs w:val="20"/>
        </w:rPr>
        <w:t xml:space="preserve"> automatico che segnala direttamente al rispondente eventuali risposte incompatibili, errori di coerenza, incongruenze e omissioni, che possono essere risolti nel corso della stessa compilazione.</w:t>
      </w:r>
    </w:p>
    <w:p w14:paraId="66D9A453" w14:textId="6E8B5353"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possono essere inviati dal </w:t>
      </w:r>
      <w:r>
        <w:rPr>
          <w:rFonts w:ascii="Arial" w:hAnsi="Arial" w:cs="Arial"/>
          <w:bCs/>
          <w:sz w:val="20"/>
          <w:szCs w:val="20"/>
        </w:rPr>
        <w:t>primo</w:t>
      </w:r>
      <w:r w:rsidRPr="00C9631A">
        <w:rPr>
          <w:rFonts w:ascii="Arial" w:hAnsi="Arial" w:cs="Arial"/>
          <w:bCs/>
          <w:sz w:val="20"/>
          <w:szCs w:val="20"/>
        </w:rPr>
        <w:t xml:space="preserve"> giorno dopo la fine del mese di riferimento</w:t>
      </w:r>
      <w:r>
        <w:rPr>
          <w:rFonts w:ascii="Arial" w:hAnsi="Arial" w:cs="Arial"/>
          <w:bCs/>
          <w:sz w:val="20"/>
          <w:szCs w:val="20"/>
        </w:rPr>
        <w:t xml:space="preserve"> e</w:t>
      </w:r>
      <w:r w:rsidRPr="00C9631A">
        <w:rPr>
          <w:rFonts w:ascii="Arial" w:hAnsi="Arial" w:cs="Arial"/>
          <w:bCs/>
          <w:sz w:val="20"/>
          <w:szCs w:val="20"/>
        </w:rPr>
        <w:t xml:space="preserve"> la trasmissione </w:t>
      </w:r>
      <w:r>
        <w:rPr>
          <w:rFonts w:ascii="Arial" w:hAnsi="Arial" w:cs="Arial"/>
          <w:bCs/>
          <w:sz w:val="20"/>
          <w:szCs w:val="20"/>
        </w:rPr>
        <w:t xml:space="preserve">deve </w:t>
      </w:r>
      <w:r w:rsidR="00AB0189">
        <w:rPr>
          <w:rFonts w:ascii="Arial" w:hAnsi="Arial" w:cs="Arial"/>
          <w:bCs/>
          <w:sz w:val="20"/>
          <w:szCs w:val="20"/>
        </w:rPr>
        <w:t>essere effettuata</w:t>
      </w:r>
      <w:r w:rsidRPr="00EE3D7B">
        <w:rPr>
          <w:rFonts w:ascii="Arial" w:hAnsi="Arial" w:cs="Arial"/>
          <w:bCs/>
          <w:sz w:val="20"/>
          <w:szCs w:val="20"/>
        </w:rPr>
        <w:t xml:space="preserve"> entro le date di</w:t>
      </w:r>
      <w:r>
        <w:rPr>
          <w:rFonts w:ascii="Arial" w:hAnsi="Arial" w:cs="Arial"/>
          <w:bCs/>
          <w:sz w:val="20"/>
          <w:szCs w:val="20"/>
        </w:rPr>
        <w:t xml:space="preserve"> indicate nella lettera informativa</w:t>
      </w:r>
      <w:r w:rsidRPr="00EE3D7B">
        <w:rPr>
          <w:rFonts w:ascii="Arial" w:hAnsi="Arial" w:cs="Arial"/>
          <w:bCs/>
          <w:sz w:val="20"/>
          <w:szCs w:val="20"/>
        </w:rPr>
        <w:t xml:space="preserve"> </w:t>
      </w:r>
      <w:r w:rsidRPr="00C9631A">
        <w:rPr>
          <w:rFonts w:ascii="Arial" w:hAnsi="Arial" w:cs="Arial"/>
          <w:bCs/>
          <w:sz w:val="20"/>
          <w:szCs w:val="20"/>
        </w:rPr>
        <w:t>al fine di poter rispettare le scadenze dei regolamenti europei</w:t>
      </w:r>
      <w:r>
        <w:rPr>
          <w:rFonts w:ascii="Arial" w:hAnsi="Arial" w:cs="Arial"/>
          <w:bCs/>
          <w:sz w:val="20"/>
          <w:szCs w:val="20"/>
        </w:rPr>
        <w:t>.</w:t>
      </w:r>
      <w:r w:rsidRPr="00C9631A">
        <w:rPr>
          <w:rFonts w:ascii="Arial" w:hAnsi="Arial" w:cs="Arial"/>
          <w:bCs/>
          <w:sz w:val="20"/>
          <w:szCs w:val="20"/>
        </w:rPr>
        <w:t xml:space="preserve"> </w:t>
      </w:r>
      <w:r>
        <w:rPr>
          <w:rFonts w:ascii="Arial" w:hAnsi="Arial" w:cs="Arial"/>
          <w:bCs/>
          <w:sz w:val="20"/>
          <w:szCs w:val="20"/>
        </w:rPr>
        <w:t>S</w:t>
      </w:r>
      <w:r w:rsidRPr="00C9631A">
        <w:rPr>
          <w:rFonts w:ascii="Arial" w:hAnsi="Arial" w:cs="Arial"/>
          <w:bCs/>
          <w:sz w:val="20"/>
          <w:szCs w:val="20"/>
        </w:rPr>
        <w:t>uccessivamente sono previste operazioni di sollecito e contatto delle unità non rispondenti al fine di aumentare la copertura delle stime provvisorie e definitive.</w:t>
      </w:r>
    </w:p>
    <w:p w14:paraId="4681F9B7" w14:textId="674296A4"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Il questionario è di tipo chiuso, riporta prestampato l’elenco dei prodotti sottoposti a osservazione; l’impresa, coerentemente con la denominazione del prodotto assegnato, individua le </w:t>
      </w:r>
      <w:r w:rsidRPr="00C9631A">
        <w:rPr>
          <w:rFonts w:ascii="Arial" w:hAnsi="Arial" w:cs="Arial"/>
          <w:bCs/>
          <w:i/>
          <w:sz w:val="20"/>
          <w:szCs w:val="20"/>
        </w:rPr>
        <w:t>tipologie di prodotto</w:t>
      </w:r>
      <w:r w:rsidRPr="00C9631A">
        <w:rPr>
          <w:rFonts w:ascii="Arial" w:hAnsi="Arial" w:cs="Arial"/>
          <w:bCs/>
          <w:sz w:val="20"/>
          <w:szCs w:val="20"/>
        </w:rPr>
        <w:t xml:space="preserve"> maggiormente rappresentative delle importazioni dell’impresa per le quali sia possibile determinare regolarmente un prezzo di </w:t>
      </w:r>
      <w:r>
        <w:rPr>
          <w:rFonts w:ascii="Arial" w:hAnsi="Arial" w:cs="Arial"/>
          <w:bCs/>
          <w:sz w:val="20"/>
          <w:szCs w:val="20"/>
        </w:rPr>
        <w:t>a</w:t>
      </w:r>
      <w:r w:rsidRPr="00C9631A">
        <w:rPr>
          <w:rFonts w:ascii="Arial" w:hAnsi="Arial" w:cs="Arial"/>
          <w:bCs/>
          <w:sz w:val="20"/>
          <w:szCs w:val="20"/>
        </w:rPr>
        <w:t xml:space="preserve">cquisto nel tempo. </w:t>
      </w:r>
    </w:p>
    <w:p w14:paraId="0099FDB4" w14:textId="77777777" w:rsidR="0026239E" w:rsidRPr="00C9631A" w:rsidRDefault="0026239E" w:rsidP="006A2C28">
      <w:pPr>
        <w:jc w:val="both"/>
        <w:rPr>
          <w:rFonts w:ascii="Arial" w:hAnsi="Arial" w:cs="Arial"/>
          <w:bCs/>
          <w:sz w:val="20"/>
          <w:szCs w:val="20"/>
        </w:rPr>
      </w:pPr>
    </w:p>
    <w:p w14:paraId="0355BB19"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variabile rilevata è il prezzo all’importazione ovvero un prezzo di acquisto di un prodotto ceduto da un operatore non residente da parte di un’impresa residente in Italia. </w:t>
      </w:r>
      <w:r w:rsidRPr="00C9631A">
        <w:rPr>
          <w:rFonts w:ascii="Arial" w:hAnsi="Arial" w:cs="Arial"/>
          <w:sz w:val="20"/>
          <w:szCs w:val="20"/>
        </w:rPr>
        <w:t xml:space="preserve">Si tratta di un prezzo di mercato o di transazione reale, cioè un prezzo che si riferisce a un acquisto effettivamente realizzato. I prezzi sono rilevati in euro secondo la clausola </w:t>
      </w:r>
      <w:r w:rsidRPr="00C9631A">
        <w:rPr>
          <w:rFonts w:ascii="Arial" w:hAnsi="Arial" w:cs="Arial"/>
          <w:iCs/>
          <w:sz w:val="20"/>
          <w:szCs w:val="20"/>
        </w:rPr>
        <w:t xml:space="preserve">Cif </w:t>
      </w:r>
      <w:r w:rsidRPr="00C9631A">
        <w:rPr>
          <w:rFonts w:ascii="Arial" w:hAnsi="Arial" w:cs="Arial"/>
          <w:sz w:val="20"/>
          <w:szCs w:val="20"/>
        </w:rPr>
        <w:t xml:space="preserve">(costo, assicurazione e nolo) alla frontiera nazionale; sono al netto dell'Iva e di ogni altro onere a carico dell'acquirente. </w:t>
      </w:r>
    </w:p>
    <w:p w14:paraId="0AF76AD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L’importazione è il </w:t>
      </w:r>
      <w:r w:rsidRPr="00C9631A">
        <w:rPr>
          <w:rFonts w:ascii="Arial" w:hAnsi="Arial" w:cs="Arial"/>
          <w:iCs/>
          <w:sz w:val="20"/>
          <w:szCs w:val="20"/>
        </w:rPr>
        <w:t>valore della merce acquistata all’estero dalle imprese industriali e commerciali, valutato Cif e riferito ai soli regimi definitivi (cioè al netto delle importazioni temporanee e delle reimportazioni), distinto per area di importazione euro/non euro.</w:t>
      </w:r>
    </w:p>
    <w:p w14:paraId="50CAEC95"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raccolti sono sottoposti a un processo di controllo e correzione con integrazione delle mancate risposte. In particolare, si verifica la compatibilità dei valori con l’informazione richiesta (prezzo all’importazione), la coerenza intertemporale dei dati, la presenza di valori anomali; la validazione dei dati può richiedere il ritorno sul rispondente al fine di sanare i problemi rilevati. I dati mancanti sono stimati utilizzando l’ultima informazione disponibile validata.</w:t>
      </w:r>
    </w:p>
    <w:p w14:paraId="13E30399" w14:textId="067692F0" w:rsidR="00501E02" w:rsidRDefault="00501E02" w:rsidP="00501E02">
      <w:pPr>
        <w:spacing w:after="120"/>
        <w:jc w:val="both"/>
        <w:rPr>
          <w:rFonts w:ascii="Arial" w:hAnsi="Arial" w:cs="Arial"/>
          <w:bCs/>
          <w:sz w:val="20"/>
          <w:szCs w:val="20"/>
        </w:rPr>
      </w:pPr>
      <w:r w:rsidRPr="00C9631A">
        <w:rPr>
          <w:rFonts w:ascii="Arial" w:hAnsi="Arial" w:cs="Arial"/>
          <w:bCs/>
          <w:sz w:val="20"/>
          <w:szCs w:val="20"/>
        </w:rPr>
        <w:t>I dati raccolti mensilmente sono elaborati sotto forma di numeri indici di prezzo e sono diffusi in forma aggregata.</w:t>
      </w:r>
    </w:p>
    <w:p w14:paraId="0DEFAF1F" w14:textId="13B21FAC" w:rsidR="007815EF" w:rsidRDefault="007815EF" w:rsidP="00501E02">
      <w:pPr>
        <w:spacing w:after="120"/>
        <w:jc w:val="both"/>
        <w:rPr>
          <w:rFonts w:ascii="Arial" w:hAnsi="Arial" w:cs="Arial"/>
          <w:bCs/>
          <w:sz w:val="20"/>
          <w:szCs w:val="20"/>
        </w:rPr>
      </w:pPr>
      <w:r w:rsidRPr="00C9631A">
        <w:rPr>
          <w:rFonts w:ascii="Arial" w:hAnsi="Arial" w:cs="Arial"/>
          <w:sz w:val="20"/>
          <w:szCs w:val="20"/>
        </w:rPr>
        <w:t xml:space="preserve">A partire dal mese di </w:t>
      </w:r>
      <w:r>
        <w:rPr>
          <w:rFonts w:ascii="Arial" w:hAnsi="Arial" w:cs="Arial"/>
          <w:sz w:val="20"/>
          <w:szCs w:val="20"/>
        </w:rPr>
        <w:t>gennaio 2022</w:t>
      </w:r>
      <w:r w:rsidRPr="00C9631A">
        <w:rPr>
          <w:rFonts w:ascii="Arial" w:hAnsi="Arial" w:cs="Arial"/>
          <w:sz w:val="20"/>
          <w:szCs w:val="20"/>
        </w:rPr>
        <w:t xml:space="preserve"> è stata implementata una nuova metodologia di </w:t>
      </w:r>
      <w:r>
        <w:rPr>
          <w:rFonts w:ascii="Arial" w:hAnsi="Arial" w:cs="Arial"/>
          <w:sz w:val="20"/>
          <w:szCs w:val="20"/>
        </w:rPr>
        <w:t xml:space="preserve">calcolo degli indici dei prezzi all’importazione per alcuni prodotti energetici </w:t>
      </w:r>
      <w:r w:rsidRPr="00C9631A">
        <w:rPr>
          <w:rFonts w:ascii="Arial" w:hAnsi="Arial" w:cs="Arial"/>
          <w:sz w:val="20"/>
          <w:szCs w:val="20"/>
        </w:rPr>
        <w:t xml:space="preserve">che si basa </w:t>
      </w:r>
      <w:r>
        <w:rPr>
          <w:rFonts w:ascii="Arial" w:hAnsi="Arial" w:cs="Arial"/>
          <w:sz w:val="20"/>
          <w:szCs w:val="20"/>
        </w:rPr>
        <w:t>sulle informazioni mensili desunte dai dati di commercio con l’estero.</w:t>
      </w:r>
    </w:p>
    <w:p w14:paraId="070DB48A" w14:textId="77777777" w:rsidR="00501E02" w:rsidRDefault="00501E02" w:rsidP="00501E02">
      <w:pPr>
        <w:spacing w:after="120"/>
        <w:jc w:val="both"/>
        <w:rPr>
          <w:rFonts w:ascii="Arial" w:hAnsi="Arial" w:cs="Arial"/>
          <w:b/>
          <w:sz w:val="20"/>
          <w:szCs w:val="20"/>
        </w:rPr>
      </w:pPr>
    </w:p>
    <w:p w14:paraId="33D3CF33" w14:textId="77777777" w:rsidR="00501E02" w:rsidRDefault="00501E02" w:rsidP="00501E02">
      <w:pPr>
        <w:spacing w:after="120"/>
        <w:jc w:val="both"/>
        <w:rPr>
          <w:rFonts w:ascii="Arial" w:hAnsi="Arial" w:cs="Arial"/>
          <w:b/>
          <w:sz w:val="20"/>
          <w:szCs w:val="20"/>
        </w:rPr>
      </w:pPr>
      <w:r>
        <w:rPr>
          <w:rFonts w:ascii="Arial" w:hAnsi="Arial" w:cs="Arial"/>
          <w:b/>
          <w:sz w:val="20"/>
          <w:szCs w:val="20"/>
        </w:rPr>
        <w:t xml:space="preserve">Metodologia di calcolo del sistema </w:t>
      </w:r>
      <w:r w:rsidRPr="00C9631A">
        <w:rPr>
          <w:rFonts w:ascii="Arial" w:hAnsi="Arial" w:cs="Arial"/>
          <w:b/>
          <w:sz w:val="20"/>
          <w:szCs w:val="20"/>
        </w:rPr>
        <w:t>degli indici</w:t>
      </w:r>
    </w:p>
    <w:p w14:paraId="5FC0B2CA" w14:textId="77777777" w:rsidR="00501E02" w:rsidRDefault="00501E02" w:rsidP="00501E02">
      <w:pPr>
        <w:spacing w:after="120"/>
        <w:jc w:val="both"/>
        <w:rPr>
          <w:rFonts w:ascii="Arial" w:hAnsi="Arial" w:cs="Arial"/>
          <w:sz w:val="20"/>
          <w:szCs w:val="20"/>
        </w:rPr>
      </w:pPr>
      <w:r>
        <w:rPr>
          <w:rFonts w:ascii="Arial" w:hAnsi="Arial" w:cs="Arial"/>
          <w:sz w:val="20"/>
          <w:szCs w:val="20"/>
        </w:rPr>
        <w:t>D</w:t>
      </w:r>
      <w:r w:rsidRPr="00994100">
        <w:rPr>
          <w:rFonts w:ascii="Arial" w:hAnsi="Arial" w:cs="Arial"/>
          <w:sz w:val="20"/>
          <w:szCs w:val="20"/>
        </w:rPr>
        <w:t>a marzo 2022, con la diffusione dei dati riferiti a gennaio</w:t>
      </w:r>
      <w:r>
        <w:rPr>
          <w:rFonts w:ascii="Arial" w:hAnsi="Arial" w:cs="Arial"/>
          <w:sz w:val="20"/>
          <w:szCs w:val="20"/>
        </w:rPr>
        <w:t xml:space="preserve"> 2022</w:t>
      </w:r>
      <w:r w:rsidRPr="00994100">
        <w:rPr>
          <w:rFonts w:ascii="Arial" w:hAnsi="Arial" w:cs="Arial"/>
          <w:sz w:val="20"/>
          <w:szCs w:val="20"/>
        </w:rPr>
        <w:t xml:space="preserve">, gli indici dei prezzi </w:t>
      </w:r>
      <w:r w:rsidRPr="00C9631A">
        <w:rPr>
          <w:rFonts w:ascii="Arial" w:hAnsi="Arial" w:cs="Arial"/>
          <w:sz w:val="20"/>
          <w:szCs w:val="20"/>
        </w:rPr>
        <w:t>all’importazione</w:t>
      </w:r>
      <w:r w:rsidRPr="00994100">
        <w:rPr>
          <w:rFonts w:ascii="Arial" w:hAnsi="Arial" w:cs="Arial"/>
          <w:sz w:val="20"/>
          <w:szCs w:val="20"/>
        </w:rPr>
        <w:t xml:space="preserve"> </w:t>
      </w:r>
      <w:r>
        <w:rPr>
          <w:rFonts w:ascii="Arial" w:hAnsi="Arial" w:cs="Arial"/>
          <w:sz w:val="20"/>
          <w:szCs w:val="20"/>
        </w:rPr>
        <w:t>sono calcolati con il metodo del concatenamento annuale su base mensile; s</w:t>
      </w:r>
      <w:r w:rsidRPr="00994100">
        <w:rPr>
          <w:rFonts w:ascii="Arial" w:hAnsi="Arial" w:cs="Arial"/>
          <w:sz w:val="20"/>
          <w:szCs w:val="20"/>
        </w:rPr>
        <w:t xml:space="preserve">ono </w:t>
      </w:r>
      <w:r>
        <w:rPr>
          <w:rFonts w:ascii="Arial" w:hAnsi="Arial" w:cs="Arial"/>
          <w:sz w:val="20"/>
          <w:szCs w:val="20"/>
        </w:rPr>
        <w:t xml:space="preserve">pertanto </w:t>
      </w:r>
      <w:r w:rsidRPr="00994100">
        <w:rPr>
          <w:rFonts w:ascii="Arial" w:hAnsi="Arial" w:cs="Arial"/>
          <w:sz w:val="20"/>
          <w:szCs w:val="20"/>
        </w:rPr>
        <w:t>elaborati in base di calcolo dicembre 2021</w:t>
      </w:r>
      <w:r>
        <w:rPr>
          <w:rFonts w:ascii="Arial" w:hAnsi="Arial" w:cs="Arial"/>
          <w:sz w:val="20"/>
          <w:szCs w:val="20"/>
        </w:rPr>
        <w:t>. La base di riferimento resta l’anno</w:t>
      </w:r>
      <w:r w:rsidRPr="00994100">
        <w:rPr>
          <w:rFonts w:ascii="Arial" w:hAnsi="Arial" w:cs="Arial"/>
          <w:sz w:val="20"/>
          <w:szCs w:val="20"/>
        </w:rPr>
        <w:t xml:space="preserve"> 2015.</w:t>
      </w:r>
    </w:p>
    <w:p w14:paraId="7E97D25C" w14:textId="77777777" w:rsidR="00501E02" w:rsidRPr="00994100" w:rsidRDefault="00501E02" w:rsidP="00501E02">
      <w:pPr>
        <w:spacing w:after="120"/>
        <w:jc w:val="both"/>
        <w:rPr>
          <w:rFonts w:ascii="Arial" w:hAnsi="Arial" w:cs="Arial"/>
          <w:sz w:val="20"/>
          <w:szCs w:val="20"/>
        </w:rPr>
      </w:pPr>
      <w:r>
        <w:rPr>
          <w:rFonts w:ascii="Arial" w:hAnsi="Arial" w:cs="Arial"/>
          <w:sz w:val="20"/>
          <w:szCs w:val="20"/>
        </w:rPr>
        <w:t>Il sistema degli indici dei prezzi all’importazione è costituito da due variabili rilevate – riferite all’Area euro e all’Area non euro – e da una variabile di sintesi – totale (Area euro più Area non euro).</w:t>
      </w:r>
    </w:p>
    <w:p w14:paraId="216E119A" w14:textId="6256BC1A" w:rsidR="00501E02" w:rsidRPr="00942E72" w:rsidRDefault="00501E02" w:rsidP="00501E02">
      <w:pPr>
        <w:spacing w:after="120"/>
        <w:jc w:val="both"/>
        <w:rPr>
          <w:rFonts w:ascii="Arial" w:hAnsi="Arial" w:cs="Arial"/>
          <w:sz w:val="20"/>
          <w:szCs w:val="20"/>
        </w:rPr>
      </w:pPr>
      <w:r w:rsidRPr="00994100">
        <w:rPr>
          <w:rFonts w:ascii="Arial" w:hAnsi="Arial" w:cs="Arial"/>
          <w:sz w:val="20"/>
          <w:szCs w:val="20"/>
        </w:rPr>
        <w:t xml:space="preserve">Le variabili rilevate si calcolano prima longitudinalmente (o per colonna: indici in base di calcolo) quindi per riga (indici in base di riferimento). La procedura di calcolo è articolata in tre livelli: nel primo si definiscono i prezzi relativi (rapporti tra i prezzi correnti e quelli base </w:t>
      </w:r>
      <w:r w:rsidR="00AB0189">
        <w:rPr>
          <w:rFonts w:ascii="Arial" w:hAnsi="Arial" w:cs="Arial"/>
          <w:sz w:val="20"/>
          <w:szCs w:val="20"/>
        </w:rPr>
        <w:t>d</w:t>
      </w:r>
      <w:r w:rsidRPr="00994100">
        <w:rPr>
          <w:rFonts w:ascii="Arial" w:hAnsi="Arial" w:cs="Arial"/>
          <w:sz w:val="20"/>
          <w:szCs w:val="20"/>
        </w:rPr>
        <w:t xml:space="preserve">icembre 2021). Nel secondo, si aggregano in media geometrica semplice i prezzi relativi associati ai prodotti. Nel terzo si aggregano in media aritmetica ponderata gli indici dei sotto-aggregati, dai </w:t>
      </w:r>
      <w:r w:rsidRPr="00942E72">
        <w:rPr>
          <w:rFonts w:ascii="Arial" w:hAnsi="Arial" w:cs="Arial"/>
          <w:sz w:val="20"/>
          <w:szCs w:val="20"/>
        </w:rPr>
        <w:t xml:space="preserve">prodotti all’indice generale (formula tipo Laspeyres concatenato). </w:t>
      </w:r>
    </w:p>
    <w:p w14:paraId="16A6164B" w14:textId="77777777" w:rsidR="00501E02" w:rsidRPr="00994100" w:rsidRDefault="00501E02" w:rsidP="00501E02">
      <w:pPr>
        <w:spacing w:after="120"/>
        <w:jc w:val="both"/>
        <w:rPr>
          <w:rFonts w:ascii="Arial" w:hAnsi="Arial" w:cs="Arial"/>
          <w:sz w:val="20"/>
          <w:szCs w:val="20"/>
        </w:rPr>
      </w:pPr>
      <w:r w:rsidRPr="00942E72">
        <w:rPr>
          <w:rFonts w:ascii="Arial" w:hAnsi="Arial" w:cs="Arial"/>
          <w:sz w:val="20"/>
          <w:szCs w:val="20"/>
        </w:rPr>
        <w:t>Gli indici in base di riferimento dell</w:t>
      </w:r>
      <w:r>
        <w:rPr>
          <w:rFonts w:ascii="Arial" w:hAnsi="Arial" w:cs="Arial"/>
          <w:sz w:val="20"/>
          <w:szCs w:val="20"/>
        </w:rPr>
        <w:t>a variabile di sintesi</w:t>
      </w:r>
      <w:r w:rsidRPr="00942E72">
        <w:rPr>
          <w:rFonts w:ascii="Arial" w:hAnsi="Arial" w:cs="Arial"/>
          <w:sz w:val="20"/>
          <w:szCs w:val="20"/>
        </w:rPr>
        <w:t xml:space="preserve"> si definiscono a partire dalla media aritmetica ponderata degli indici in base di calcolo delle variabili rilevate, utilizzando – per ciascun aggregato – un coefficiente di ponderazione derivato dai pesi assoluti. Ottenuto l’indice in base di calcolo, quello in base di riferimento si deriva con la formula di concatenamento. Gli indici sono concatenati a partire dagli aggregati a 4 cifre Ateco 2007.</w:t>
      </w:r>
    </w:p>
    <w:p w14:paraId="7AA77186" w14:textId="77777777" w:rsidR="00501E02" w:rsidRDefault="00501E02" w:rsidP="00501E02">
      <w:pPr>
        <w:spacing w:after="120"/>
        <w:jc w:val="both"/>
        <w:rPr>
          <w:rFonts w:ascii="Arial" w:hAnsi="Arial" w:cs="Arial"/>
          <w:color w:val="000000"/>
          <w:sz w:val="20"/>
          <w:szCs w:val="20"/>
        </w:rPr>
      </w:pPr>
    </w:p>
    <w:p w14:paraId="04BB1898"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Struttura di ponderazione</w:t>
      </w:r>
    </w:p>
    <w:p w14:paraId="18AB3CE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sistemi di ponderazione degli indici dei prezzi dei prodotti industriali importati dalle imprese (Area euro e Area non euro) sono determinati utilizzando le informazioni desumibili dalle statistiche del commercio con l’estero.</w:t>
      </w:r>
    </w:p>
    <w:p w14:paraId="7C4B96B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variabile utilizzata per la costruzione del sistema di ponderazione (a partire dalle voci di prodotto sino al totale dell’industria) è il valore annuale delle importazioni di prodotti industriali realizzato nell’anno 201</w:t>
      </w:r>
      <w:r>
        <w:rPr>
          <w:rFonts w:ascii="Arial" w:hAnsi="Arial" w:cs="Arial"/>
          <w:sz w:val="20"/>
          <w:szCs w:val="20"/>
        </w:rPr>
        <w:t>9</w:t>
      </w:r>
      <w:r w:rsidRPr="00C9631A">
        <w:rPr>
          <w:rFonts w:ascii="Arial" w:hAnsi="Arial" w:cs="Arial"/>
          <w:sz w:val="20"/>
          <w:szCs w:val="20"/>
        </w:rPr>
        <w:t xml:space="preserve"> nell’Area euro e nell’Area non euro, misurato dalle rilevazioni del commercio con l’estero a livello di merce (ovvero 8 cifre della Nomenclatura Combinata espressa secondo la classificazione CPA) per area di importazione (euro e non euro). </w:t>
      </w:r>
      <w:r>
        <w:rPr>
          <w:rFonts w:ascii="Arial" w:hAnsi="Arial" w:cs="Arial"/>
          <w:sz w:val="20"/>
          <w:szCs w:val="20"/>
        </w:rPr>
        <w:t>I valori 2019 sono stati attualizzati al mese di dicembre 2021.</w:t>
      </w:r>
    </w:p>
    <w:p w14:paraId="7AE305C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valori riferiti alle statistiche del commercio con l’estero - espressi inizialmente secondo i codici della Nomenclatura Combinata - sono riportati alla codifica della classificazione ProdCom (nelle prime 4 cifre derivata dalla Ateco 2007) mediante le tavole di corrispondenza messe a punto da Eurostat.</w:t>
      </w:r>
    </w:p>
    <w:p w14:paraId="7260E4B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l’indice all’importazione totale (sintesi delle due aree), la struttura di ponderazione è definita per ciascun livello di aggregazione settoriale sulla base dei pesi relativi delle due aree.</w:t>
      </w:r>
    </w:p>
    <w:p w14:paraId="0A339A2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prodotti inclusi nel campione hanno pesi rappresentativi anche dei prodotti simili non selezionati e i loro indici sono espressi secondo la classificazione Ateco 2007.</w:t>
      </w:r>
    </w:p>
    <w:p w14:paraId="78AD70E7" w14:textId="59880286" w:rsidR="00501E02" w:rsidRDefault="00501E02" w:rsidP="00501E02">
      <w:pPr>
        <w:spacing w:after="120"/>
        <w:jc w:val="both"/>
        <w:rPr>
          <w:rFonts w:ascii="Arial" w:hAnsi="Arial" w:cs="Arial"/>
          <w:b/>
          <w:bCs/>
          <w:sz w:val="20"/>
          <w:szCs w:val="20"/>
        </w:rPr>
      </w:pPr>
    </w:p>
    <w:p w14:paraId="51D5B27C" w14:textId="16B77254" w:rsidR="00AB0189" w:rsidRDefault="00AB0189" w:rsidP="00501E02">
      <w:pPr>
        <w:spacing w:after="120"/>
        <w:jc w:val="both"/>
        <w:rPr>
          <w:rFonts w:ascii="Arial" w:hAnsi="Arial" w:cs="Arial"/>
          <w:b/>
          <w:bCs/>
          <w:sz w:val="20"/>
          <w:szCs w:val="20"/>
        </w:rPr>
      </w:pPr>
    </w:p>
    <w:p w14:paraId="16A9ABFA" w14:textId="77777777" w:rsidR="00AB0189" w:rsidRDefault="00AB0189" w:rsidP="00501E02">
      <w:pPr>
        <w:spacing w:after="120"/>
        <w:jc w:val="both"/>
        <w:rPr>
          <w:rFonts w:ascii="Arial" w:hAnsi="Arial" w:cs="Arial"/>
          <w:b/>
          <w:bCs/>
          <w:sz w:val="20"/>
          <w:szCs w:val="20"/>
        </w:rPr>
      </w:pPr>
    </w:p>
    <w:p w14:paraId="7D18B9C6" w14:textId="77777777" w:rsidR="006A2C28" w:rsidRDefault="006A2C28" w:rsidP="006A2C28">
      <w:pPr>
        <w:jc w:val="both"/>
        <w:rPr>
          <w:rFonts w:ascii="Arial" w:hAnsi="Arial" w:cs="Arial"/>
          <w:b/>
          <w:bCs/>
          <w:sz w:val="20"/>
          <w:szCs w:val="20"/>
        </w:rPr>
      </w:pPr>
    </w:p>
    <w:p w14:paraId="30D14A9A" w14:textId="7B260848"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Riservatezza</w:t>
      </w:r>
    </w:p>
    <w:p w14:paraId="6827B302"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raccolti nell’ambito </w:t>
      </w:r>
      <w:r w:rsidRPr="00E660CB">
        <w:rPr>
          <w:rFonts w:ascii="Arial" w:hAnsi="Arial" w:cs="Arial"/>
          <w:bCs/>
          <w:sz w:val="20"/>
          <w:szCs w:val="20"/>
        </w:rPr>
        <w:t>della Rilevazione dei prezzi all’importazione</w:t>
      </w:r>
      <w:r w:rsidRPr="00C9631A">
        <w:rPr>
          <w:rFonts w:ascii="Arial" w:hAnsi="Arial" w:cs="Arial"/>
          <w:bCs/>
          <w:sz w:val="20"/>
          <w:szCs w:val="20"/>
        </w:rPr>
        <w:t xml:space="preserve"> sono tutelati dal segreto statistico (art. 9 d.lgs. n. 322/89) e sottoposti alla normativa relativa alla protezione e al trattamento dei dati personali (d.lgs. 30 giugno 2003, n. 196).</w:t>
      </w:r>
    </w:p>
    <w:p w14:paraId="560B555A" w14:textId="77777777" w:rsidR="00501E02" w:rsidRDefault="00501E02" w:rsidP="00501E02">
      <w:pPr>
        <w:spacing w:after="120"/>
        <w:jc w:val="both"/>
        <w:rPr>
          <w:rFonts w:ascii="Arial" w:hAnsi="Arial" w:cs="Arial"/>
          <w:b/>
          <w:bCs/>
          <w:sz w:val="21"/>
          <w:szCs w:val="21"/>
        </w:rPr>
      </w:pPr>
    </w:p>
    <w:p w14:paraId="0BD640AE" w14:textId="77777777" w:rsidR="00501E02" w:rsidRPr="001971DE" w:rsidRDefault="00501E02" w:rsidP="00501E02">
      <w:pPr>
        <w:spacing w:after="120"/>
        <w:jc w:val="both"/>
        <w:rPr>
          <w:rFonts w:ascii="Arial" w:hAnsi="Arial" w:cs="Arial"/>
          <w:b/>
          <w:bCs/>
          <w:sz w:val="21"/>
          <w:szCs w:val="21"/>
        </w:rPr>
      </w:pPr>
      <w:r w:rsidRPr="001971DE">
        <w:rPr>
          <w:rFonts w:ascii="Arial" w:hAnsi="Arial" w:cs="Arial"/>
          <w:b/>
          <w:bCs/>
          <w:sz w:val="21"/>
          <w:szCs w:val="21"/>
        </w:rPr>
        <w:t>Commercio estero e prezzi all’import: la diffusione dei dati</w:t>
      </w:r>
    </w:p>
    <w:p w14:paraId="357C04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Tempestività del rilascio e revisione dei dati</w:t>
      </w:r>
    </w:p>
    <w:p w14:paraId="71CBC319" w14:textId="77777777" w:rsidR="00501E02" w:rsidRPr="00C9631A" w:rsidRDefault="00501E02" w:rsidP="00501E02">
      <w:pPr>
        <w:spacing w:after="120"/>
        <w:jc w:val="both"/>
        <w:rPr>
          <w:rFonts w:ascii="Arial" w:hAnsi="Arial" w:cs="Arial"/>
          <w:bCs/>
          <w:sz w:val="20"/>
          <w:szCs w:val="20"/>
        </w:rPr>
      </w:pPr>
      <w:r w:rsidRPr="00C9631A">
        <w:rPr>
          <w:rFonts w:ascii="Arial" w:hAnsi="Arial" w:cs="Arial"/>
          <w:sz w:val="20"/>
          <w:szCs w:val="20"/>
        </w:rPr>
        <w:t>I dati sono pubblicati a 45 giorni dal mese di riferimento.</w:t>
      </w:r>
      <w:r w:rsidRPr="00C9631A">
        <w:rPr>
          <w:rFonts w:ascii="Arial" w:hAnsi="Arial" w:cs="Arial"/>
          <w:bCs/>
          <w:sz w:val="20"/>
          <w:szCs w:val="20"/>
        </w:rPr>
        <w:t xml:space="preserve"> Il </w:t>
      </w:r>
      <w:hyperlink r:id="rId42" w:history="1">
        <w:r w:rsidRPr="00E660CB">
          <w:rPr>
            <w:rStyle w:val="Collegamentoipertestuale"/>
            <w:rFonts w:ascii="Arial" w:hAnsi="Arial" w:cs="Arial"/>
            <w:bCs/>
            <w:sz w:val="20"/>
            <w:szCs w:val="20"/>
          </w:rPr>
          <w:t>calendario della diffusione</w:t>
        </w:r>
      </w:hyperlink>
      <w:r w:rsidRPr="00C9631A">
        <w:rPr>
          <w:rFonts w:ascii="Arial" w:hAnsi="Arial" w:cs="Arial"/>
          <w:bCs/>
          <w:sz w:val="20"/>
          <w:szCs w:val="20"/>
        </w:rPr>
        <w:t xml:space="preserve"> è definito annualmente e pubblicato sul sito web dell’Istituto</w:t>
      </w:r>
      <w:r>
        <w:rPr>
          <w:rFonts w:ascii="Arial" w:hAnsi="Arial" w:cs="Arial"/>
          <w:bCs/>
          <w:sz w:val="20"/>
          <w:szCs w:val="20"/>
        </w:rPr>
        <w:t>.</w:t>
      </w:r>
    </w:p>
    <w:p w14:paraId="31089204"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Al momento della prima pubblicazione, i dati di commercio estero sono di natura provvisoria e sono soggetti a una prima revisione nel mese successivo, al fine di incorporare ulteriori informazioni che si rendono disponibili successivamente alla loro diffusione, per essere definitivamente consolidati nel mese di novembre dell’anno seguente. </w:t>
      </w:r>
    </w:p>
    <w:p w14:paraId="30D667B7" w14:textId="77777777" w:rsidR="00501E02" w:rsidRPr="00C9631A" w:rsidRDefault="00501E02" w:rsidP="00501E02">
      <w:pPr>
        <w:spacing w:after="120"/>
        <w:jc w:val="both"/>
        <w:rPr>
          <w:rFonts w:ascii="Arial" w:hAnsi="Arial" w:cs="Arial"/>
          <w:sz w:val="20"/>
          <w:szCs w:val="20"/>
        </w:rPr>
      </w:pPr>
      <w:r w:rsidRPr="00C9631A">
        <w:rPr>
          <w:rFonts w:ascii="Arial" w:hAnsi="Arial" w:cs="Arial"/>
          <w:bCs/>
          <w:sz w:val="20"/>
          <w:szCs w:val="20"/>
        </w:rPr>
        <w:t>I dati definitivi dei prezzi all’import vengono invece diffusi dopo 75 giorni</w:t>
      </w:r>
      <w:r>
        <w:rPr>
          <w:rFonts w:ascii="Arial" w:hAnsi="Arial" w:cs="Arial"/>
          <w:bCs/>
          <w:sz w:val="20"/>
          <w:szCs w:val="20"/>
        </w:rPr>
        <w:t xml:space="preserve">, nel rispetto delle </w:t>
      </w:r>
      <w:r w:rsidRPr="00C9631A">
        <w:rPr>
          <w:rFonts w:ascii="Arial" w:hAnsi="Arial" w:cs="Arial"/>
          <w:bCs/>
          <w:sz w:val="20"/>
          <w:szCs w:val="20"/>
        </w:rPr>
        <w:t xml:space="preserve">condizioni richieste da Eurostat. </w:t>
      </w:r>
    </w:p>
    <w:p w14:paraId="2C559D2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Per ulteriori informazioni relative alle revisioni degli indicatori congiunturali, consultare la </w:t>
      </w:r>
      <w:hyperlink r:id="rId43" w:history="1">
        <w:r w:rsidRPr="00C9631A">
          <w:rPr>
            <w:rStyle w:val="Collegamentoipertestuale"/>
            <w:rFonts w:ascii="Arial" w:hAnsi="Arial" w:cs="Arial"/>
            <w:sz w:val="20"/>
            <w:szCs w:val="20"/>
          </w:rPr>
          <w:t>sezione dedicata</w:t>
        </w:r>
      </w:hyperlink>
      <w:r w:rsidRPr="00C9631A">
        <w:rPr>
          <w:rFonts w:ascii="Arial" w:hAnsi="Arial" w:cs="Arial"/>
          <w:sz w:val="20"/>
          <w:szCs w:val="20"/>
        </w:rPr>
        <w:t xml:space="preserve">. Fare riferimento, in particolare, alla </w:t>
      </w:r>
      <w:hyperlink r:id="rId44" w:history="1">
        <w:r w:rsidRPr="00C9631A">
          <w:rPr>
            <w:rStyle w:val="Collegamentoipertestuale"/>
            <w:rFonts w:ascii="Arial" w:hAnsi="Arial" w:cs="Arial"/>
            <w:sz w:val="20"/>
            <w:szCs w:val="20"/>
          </w:rPr>
          <w:t>scheda</w:t>
        </w:r>
      </w:hyperlink>
      <w:r w:rsidRPr="00C9631A">
        <w:rPr>
          <w:rFonts w:ascii="Arial" w:hAnsi="Arial" w:cs="Arial"/>
          <w:sz w:val="20"/>
          <w:szCs w:val="20"/>
        </w:rPr>
        <w:t xml:space="preserve"> relativa alle politiche di revisione degli indicatori del commercio con l’estero e prezzi all’import.</w:t>
      </w:r>
    </w:p>
    <w:p w14:paraId="6B7B2B3F" w14:textId="77777777" w:rsidR="00501E02" w:rsidRDefault="00501E02" w:rsidP="00501E02">
      <w:pPr>
        <w:spacing w:after="120"/>
        <w:jc w:val="both"/>
        <w:rPr>
          <w:rFonts w:ascii="Arial" w:hAnsi="Arial" w:cs="Arial"/>
          <w:b/>
          <w:sz w:val="20"/>
          <w:szCs w:val="20"/>
        </w:rPr>
      </w:pPr>
    </w:p>
    <w:p w14:paraId="6F370B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I canali di diffusione dei dati statistici</w:t>
      </w:r>
    </w:p>
    <w:p w14:paraId="2DC77BA9"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sono diffusi simultaneamente a tutte le parti interessate mediante il comunicato stampa mensile - la Statistica Flash “Commercio con l’estero e prezzi all’import dei prodotti industriali” – pubblicato sul sito web dell’Istituto:</w:t>
      </w:r>
    </w:p>
    <w:p w14:paraId="58DFC275" w14:textId="77777777" w:rsidR="00501E02" w:rsidRPr="00C9631A" w:rsidRDefault="004029EB" w:rsidP="00501E02">
      <w:pPr>
        <w:pStyle w:val="Paragrafoelenco"/>
        <w:numPr>
          <w:ilvl w:val="0"/>
          <w:numId w:val="34"/>
        </w:numPr>
        <w:tabs>
          <w:tab w:val="clear" w:pos="426"/>
        </w:tabs>
        <w:ind w:left="426"/>
        <w:rPr>
          <w:rFonts w:ascii="Arial" w:hAnsi="Arial" w:cs="Arial"/>
          <w:sz w:val="20"/>
          <w:szCs w:val="20"/>
        </w:rPr>
      </w:pPr>
      <w:hyperlink r:id="rId45" w:history="1">
        <w:r w:rsidR="00501E02" w:rsidRPr="00C9631A">
          <w:rPr>
            <w:rStyle w:val="Collegamentoipertestuale"/>
            <w:rFonts w:ascii="Arial" w:hAnsi="Arial" w:cs="Arial"/>
            <w:sz w:val="20"/>
            <w:szCs w:val="20"/>
          </w:rPr>
          <w:t>Commercio estero e prezzi all’import</w:t>
        </w:r>
      </w:hyperlink>
    </w:p>
    <w:p w14:paraId="1B33E7F6"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Le serie storiche aggiornate sono pubblicate in allegato al comunicato stampa.</w:t>
      </w:r>
    </w:p>
    <w:p w14:paraId="31567999" w14:textId="77777777" w:rsidR="00501E02" w:rsidRPr="00C9631A" w:rsidRDefault="00501E02" w:rsidP="00501E02">
      <w:pPr>
        <w:jc w:val="both"/>
        <w:rPr>
          <w:rFonts w:ascii="Arial" w:hAnsi="Arial" w:cs="Arial"/>
          <w:sz w:val="20"/>
          <w:szCs w:val="20"/>
        </w:rPr>
      </w:pPr>
      <w:r w:rsidRPr="00C9631A">
        <w:rPr>
          <w:rFonts w:ascii="Arial" w:hAnsi="Arial" w:cs="Arial"/>
          <w:sz w:val="20"/>
          <w:szCs w:val="20"/>
        </w:rPr>
        <w:t>Ulteriori comunicati stampa sul commercio estero:</w:t>
      </w:r>
    </w:p>
    <w:p w14:paraId="5D83A305" w14:textId="77777777" w:rsidR="00501E02" w:rsidRPr="00C9631A" w:rsidRDefault="004029EB" w:rsidP="00501E02">
      <w:pPr>
        <w:pStyle w:val="Paragrafoelenco"/>
        <w:numPr>
          <w:ilvl w:val="0"/>
          <w:numId w:val="34"/>
        </w:numPr>
        <w:tabs>
          <w:tab w:val="clear" w:pos="426"/>
        </w:tabs>
        <w:spacing w:before="120"/>
        <w:ind w:left="425" w:hanging="357"/>
        <w:rPr>
          <w:rFonts w:ascii="Arial" w:hAnsi="Arial" w:cs="Arial"/>
          <w:sz w:val="20"/>
          <w:szCs w:val="20"/>
        </w:rPr>
      </w:pPr>
      <w:hyperlink r:id="rId46" w:history="1">
        <w:r w:rsidR="00501E02" w:rsidRPr="00C9631A">
          <w:rPr>
            <w:rStyle w:val="Collegamentoipertestuale"/>
            <w:rFonts w:ascii="Arial" w:hAnsi="Arial" w:cs="Arial"/>
            <w:sz w:val="20"/>
            <w:szCs w:val="20"/>
          </w:rPr>
          <w:t>Commercio estero con i paesi extra UE</w:t>
        </w:r>
      </w:hyperlink>
    </w:p>
    <w:p w14:paraId="1E11D8C0" w14:textId="77777777" w:rsidR="00501E02" w:rsidRPr="00C9631A" w:rsidRDefault="004029EB" w:rsidP="00501E02">
      <w:pPr>
        <w:pStyle w:val="Paragrafoelenco"/>
        <w:numPr>
          <w:ilvl w:val="0"/>
          <w:numId w:val="34"/>
        </w:numPr>
        <w:tabs>
          <w:tab w:val="clear" w:pos="426"/>
        </w:tabs>
        <w:spacing w:before="240"/>
        <w:ind w:left="426"/>
        <w:rPr>
          <w:rFonts w:ascii="Arial" w:hAnsi="Arial" w:cs="Arial"/>
          <w:sz w:val="20"/>
          <w:szCs w:val="20"/>
        </w:rPr>
      </w:pPr>
      <w:hyperlink r:id="rId47" w:history="1">
        <w:r w:rsidR="00501E02" w:rsidRPr="00C9631A">
          <w:rPr>
            <w:rStyle w:val="Collegamentoipertestuale"/>
            <w:rFonts w:ascii="Arial" w:hAnsi="Arial" w:cs="Arial"/>
            <w:sz w:val="20"/>
            <w:szCs w:val="20"/>
          </w:rPr>
          <w:t>Le esportazioni delle regioni italiane</w:t>
        </w:r>
      </w:hyperlink>
    </w:p>
    <w:p w14:paraId="2DB500BD" w14:textId="77777777" w:rsidR="00501E02" w:rsidRPr="00C9631A" w:rsidRDefault="00501E02" w:rsidP="00501E02">
      <w:pPr>
        <w:spacing w:after="120"/>
        <w:jc w:val="both"/>
        <w:rPr>
          <w:rFonts w:ascii="Arial" w:hAnsi="Arial" w:cs="Arial"/>
          <w:bCs/>
          <w:sz w:val="20"/>
          <w:szCs w:val="20"/>
        </w:rPr>
      </w:pPr>
      <w:r>
        <w:rPr>
          <w:rFonts w:ascii="Arial" w:hAnsi="Arial" w:cs="Arial"/>
          <w:bCs/>
          <w:sz w:val="20"/>
          <w:szCs w:val="20"/>
        </w:rPr>
        <w:t>I</w:t>
      </w:r>
      <w:r w:rsidRPr="00C9631A">
        <w:rPr>
          <w:rFonts w:ascii="Arial" w:hAnsi="Arial" w:cs="Arial"/>
          <w:bCs/>
          <w:sz w:val="20"/>
          <w:szCs w:val="20"/>
        </w:rPr>
        <w:t xml:space="preserve"> dati sono trasmessi mensilmente ad Eurostat e consultabili all’indirizzo </w:t>
      </w:r>
      <w:hyperlink r:id="rId48" w:history="1">
        <w:r w:rsidRPr="00C9631A">
          <w:rPr>
            <w:rFonts w:ascii="Arial" w:hAnsi="Arial" w:cs="Arial"/>
            <w:bCs/>
            <w:color w:val="0000FF"/>
            <w:sz w:val="20"/>
            <w:szCs w:val="20"/>
            <w:u w:val="single"/>
          </w:rPr>
          <w:t>http://ec.europa.eu/eurostat/data/database</w:t>
        </w:r>
      </w:hyperlink>
      <w:r w:rsidRPr="00C9631A">
        <w:rPr>
          <w:rFonts w:ascii="Arial" w:hAnsi="Arial" w:cs="Arial"/>
          <w:bCs/>
          <w:sz w:val="20"/>
          <w:szCs w:val="20"/>
        </w:rPr>
        <w:t xml:space="preserve"> (Tema </w:t>
      </w:r>
      <w:r w:rsidRPr="00C9631A">
        <w:rPr>
          <w:rFonts w:ascii="Arial" w:hAnsi="Arial" w:cs="Arial"/>
          <w:bCs/>
          <w:i/>
          <w:sz w:val="20"/>
          <w:szCs w:val="20"/>
        </w:rPr>
        <w:t>Industry, trade and services</w:t>
      </w:r>
      <w:r w:rsidRPr="00C9631A">
        <w:rPr>
          <w:rFonts w:ascii="Arial" w:hAnsi="Arial" w:cs="Arial"/>
          <w:bCs/>
          <w:sz w:val="20"/>
          <w:szCs w:val="20"/>
        </w:rPr>
        <w:t xml:space="preserve">, argomento </w:t>
      </w:r>
      <w:r w:rsidRPr="00C9631A">
        <w:rPr>
          <w:rFonts w:ascii="Arial" w:hAnsi="Arial" w:cs="Arial"/>
          <w:bCs/>
          <w:i/>
          <w:sz w:val="20"/>
          <w:szCs w:val="20"/>
        </w:rPr>
        <w:t>Short-term business statistics (sts)</w:t>
      </w:r>
      <w:r w:rsidRPr="00C9631A">
        <w:rPr>
          <w:rFonts w:ascii="Arial" w:hAnsi="Arial" w:cs="Arial"/>
          <w:bCs/>
          <w:sz w:val="20"/>
          <w:szCs w:val="20"/>
        </w:rPr>
        <w:t>).</w:t>
      </w:r>
    </w:p>
    <w:p w14:paraId="4E69BA6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dati di commercio estero sono disponibili su Coeweb, il datawarehouse completamente dedicato alle statistiche del commercio con l'estero, nel mese successivo all’uscita del comunicato. La banca dati fornisce, con cadenza mensile, un ricco patrimonio informativo sui flussi commerciali dell'Italia con il resto del mondo e contiene informazioni e serie storiche a partire dal 1991.</w:t>
      </w:r>
    </w:p>
    <w:p w14:paraId="4921F955"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serie aggiornate degli indici dei prezzi all’importazione sono pubblicate, in concomitanza con la diffusione del comunicato stampa, sul datawarehouse dell’Istituto (I.</w:t>
      </w:r>
      <w:r>
        <w:rPr>
          <w:rFonts w:ascii="Arial" w:hAnsi="Arial" w:cs="Arial"/>
          <w:sz w:val="20"/>
          <w:szCs w:val="20"/>
        </w:rPr>
        <w:t>S</w:t>
      </w:r>
      <w:r w:rsidRPr="00C9631A">
        <w:rPr>
          <w:rFonts w:ascii="Arial" w:hAnsi="Arial" w:cs="Arial"/>
          <w:sz w:val="20"/>
          <w:szCs w:val="20"/>
        </w:rPr>
        <w:t>tat) all’interno del tema Prezzi - Prezzi all'importazione.</w:t>
      </w:r>
    </w:p>
    <w:p w14:paraId="376716E2" w14:textId="77777777" w:rsidR="00501E02" w:rsidRPr="00C9631A" w:rsidRDefault="00501E02" w:rsidP="00501E02">
      <w:pPr>
        <w:spacing w:after="120"/>
        <w:jc w:val="both"/>
        <w:rPr>
          <w:rFonts w:ascii="Arial" w:hAnsi="Arial" w:cs="Arial"/>
          <w:sz w:val="20"/>
          <w:szCs w:val="20"/>
        </w:rPr>
      </w:pPr>
    </w:p>
    <w:p w14:paraId="08E5B040"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Approfondimenti</w:t>
      </w:r>
    </w:p>
    <w:p w14:paraId="6EA73A0D" w14:textId="77777777" w:rsidR="00501E02" w:rsidRPr="00C9631A" w:rsidRDefault="004029EB" w:rsidP="00501E02">
      <w:pPr>
        <w:numPr>
          <w:ilvl w:val="0"/>
          <w:numId w:val="36"/>
        </w:numPr>
        <w:spacing w:after="120"/>
        <w:ind w:left="284" w:hanging="284"/>
        <w:jc w:val="both"/>
        <w:rPr>
          <w:rFonts w:ascii="Arial" w:hAnsi="Arial" w:cs="Arial"/>
          <w:sz w:val="20"/>
          <w:szCs w:val="20"/>
        </w:rPr>
      </w:pPr>
      <w:hyperlink r:id="rId49"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sulle caratteristiche dei nuovi indici del commercio con l’estero del 25/02/2008.</w:t>
      </w:r>
    </w:p>
    <w:p w14:paraId="206AE469" w14:textId="77777777" w:rsidR="00501E02" w:rsidRPr="00C9631A" w:rsidRDefault="004029EB" w:rsidP="00501E02">
      <w:pPr>
        <w:numPr>
          <w:ilvl w:val="0"/>
          <w:numId w:val="36"/>
        </w:numPr>
        <w:spacing w:after="120"/>
        <w:ind w:left="284" w:hanging="284"/>
        <w:jc w:val="both"/>
        <w:rPr>
          <w:rFonts w:ascii="Arial" w:hAnsi="Arial" w:cs="Arial"/>
          <w:sz w:val="20"/>
          <w:szCs w:val="20"/>
        </w:rPr>
      </w:pPr>
      <w:hyperlink r:id="rId50"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 nuovo sistema di produzione delle statistiche sugli scambi con l’estero di gas naturale ed energia elettrica del 15/11/2011.</w:t>
      </w:r>
    </w:p>
    <w:p w14:paraId="3FC941F9" w14:textId="77777777" w:rsidR="00501E02" w:rsidRPr="00C9631A" w:rsidRDefault="004029EB" w:rsidP="00501E02">
      <w:pPr>
        <w:numPr>
          <w:ilvl w:val="0"/>
          <w:numId w:val="36"/>
        </w:numPr>
        <w:spacing w:after="120"/>
        <w:ind w:left="284" w:hanging="284"/>
        <w:jc w:val="both"/>
        <w:rPr>
          <w:rFonts w:ascii="Arial" w:hAnsi="Arial" w:cs="Arial"/>
          <w:sz w:val="20"/>
          <w:szCs w:val="20"/>
        </w:rPr>
      </w:pPr>
      <w:hyperlink r:id="rId51"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sull’avvio della rilevazione</w:t>
      </w:r>
      <w:r w:rsidR="00501E02">
        <w:rPr>
          <w:rFonts w:ascii="Arial" w:hAnsi="Arial" w:cs="Arial"/>
          <w:sz w:val="20"/>
          <w:szCs w:val="20"/>
        </w:rPr>
        <w:t xml:space="preserve"> dei prezzi all’import,</w:t>
      </w:r>
      <w:r w:rsidR="00501E02" w:rsidRPr="00C9631A">
        <w:rPr>
          <w:rFonts w:ascii="Arial" w:hAnsi="Arial" w:cs="Arial"/>
          <w:sz w:val="20"/>
          <w:szCs w:val="20"/>
        </w:rPr>
        <w:t xml:space="preserve"> del 24/02/2014. </w:t>
      </w:r>
    </w:p>
    <w:p w14:paraId="26F4BF48" w14:textId="77777777" w:rsidR="00501E02" w:rsidRPr="00C9631A" w:rsidRDefault="004029EB" w:rsidP="00501E02">
      <w:pPr>
        <w:numPr>
          <w:ilvl w:val="0"/>
          <w:numId w:val="36"/>
        </w:numPr>
        <w:spacing w:after="120"/>
        <w:ind w:left="284" w:hanging="284"/>
        <w:jc w:val="both"/>
        <w:rPr>
          <w:rFonts w:ascii="Arial" w:hAnsi="Arial" w:cs="Arial"/>
          <w:b/>
          <w:sz w:val="20"/>
          <w:szCs w:val="20"/>
        </w:rPr>
      </w:pPr>
      <w:hyperlink r:id="rId52" w:history="1">
        <w:r w:rsidR="00501E02" w:rsidRPr="008A6D09">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 ricostruzione delle serie storiche </w:t>
      </w:r>
      <w:r w:rsidR="00501E02">
        <w:rPr>
          <w:rFonts w:ascii="Arial" w:hAnsi="Arial" w:cs="Arial"/>
          <w:sz w:val="20"/>
          <w:szCs w:val="20"/>
        </w:rPr>
        <w:t xml:space="preserve">degli indici dei prezzi all’import </w:t>
      </w:r>
      <w:r w:rsidR="00501E02" w:rsidRPr="00C9631A">
        <w:rPr>
          <w:rFonts w:ascii="Arial" w:hAnsi="Arial" w:cs="Arial"/>
          <w:sz w:val="20"/>
          <w:szCs w:val="20"/>
        </w:rPr>
        <w:t>per il periodo 2005 – 2009, del 16/10/2015.</w:t>
      </w:r>
    </w:p>
    <w:p w14:paraId="165AEE1F" w14:textId="77777777" w:rsidR="00501E02" w:rsidRPr="00222CB7" w:rsidRDefault="004029EB" w:rsidP="00501E02">
      <w:pPr>
        <w:numPr>
          <w:ilvl w:val="0"/>
          <w:numId w:val="36"/>
        </w:numPr>
        <w:spacing w:after="120"/>
        <w:ind w:left="284" w:hanging="284"/>
        <w:jc w:val="both"/>
        <w:rPr>
          <w:rFonts w:ascii="Arial" w:hAnsi="Arial" w:cs="Arial"/>
          <w:sz w:val="20"/>
          <w:szCs w:val="20"/>
        </w:rPr>
      </w:pPr>
      <w:hyperlink r:id="rId53" w:history="1">
        <w:r w:rsidR="00501E02" w:rsidRPr="00222CB7">
          <w:rPr>
            <w:rStyle w:val="Collegamentoipertestuale"/>
            <w:rFonts w:ascii="Arial" w:hAnsi="Arial" w:cs="Arial"/>
            <w:sz w:val="20"/>
            <w:szCs w:val="20"/>
          </w:rPr>
          <w:t>Nota informativa</w:t>
        </w:r>
      </w:hyperlink>
      <w:r w:rsidR="00501E02" w:rsidRPr="00222CB7">
        <w:rPr>
          <w:rFonts w:ascii="Arial" w:hAnsi="Arial" w:cs="Arial"/>
          <w:sz w:val="20"/>
          <w:szCs w:val="20"/>
        </w:rPr>
        <w:t xml:space="preserve"> sulla nuova base 2015</w:t>
      </w:r>
      <w:r w:rsidR="00501E02">
        <w:rPr>
          <w:rFonts w:ascii="Arial" w:hAnsi="Arial" w:cs="Arial"/>
          <w:sz w:val="20"/>
          <w:szCs w:val="20"/>
        </w:rPr>
        <w:t xml:space="preserve"> degli indici dei prezzi all’import</w:t>
      </w:r>
      <w:r w:rsidR="00501E02" w:rsidRPr="00222CB7">
        <w:rPr>
          <w:rFonts w:ascii="Arial" w:hAnsi="Arial" w:cs="Arial"/>
          <w:sz w:val="20"/>
          <w:szCs w:val="20"/>
        </w:rPr>
        <w:t>, del 17/05/2018.</w:t>
      </w:r>
    </w:p>
    <w:p w14:paraId="396DE13F" w14:textId="263FBB8E" w:rsidR="00501E02" w:rsidRDefault="004029EB" w:rsidP="00501E02">
      <w:pPr>
        <w:numPr>
          <w:ilvl w:val="0"/>
          <w:numId w:val="36"/>
        </w:numPr>
        <w:spacing w:after="120"/>
        <w:ind w:left="284" w:hanging="284"/>
        <w:jc w:val="both"/>
        <w:rPr>
          <w:rFonts w:ascii="Arial" w:hAnsi="Arial" w:cs="Arial"/>
          <w:sz w:val="20"/>
          <w:szCs w:val="20"/>
        </w:rPr>
      </w:pPr>
      <w:hyperlink r:id="rId54" w:history="1">
        <w:r w:rsidR="00501E02" w:rsidRPr="00DD73E1">
          <w:rPr>
            <w:rStyle w:val="Collegamentoipertestuale"/>
            <w:rFonts w:ascii="Arial" w:hAnsi="Arial" w:cs="Arial"/>
            <w:sz w:val="20"/>
            <w:szCs w:val="20"/>
          </w:rPr>
          <w:t>Nota informativa</w:t>
        </w:r>
      </w:hyperlink>
      <w:r w:rsidR="00501E02" w:rsidRPr="00DD73E1">
        <w:rPr>
          <w:rFonts w:ascii="Arial" w:hAnsi="Arial" w:cs="Arial"/>
          <w:sz w:val="20"/>
          <w:szCs w:val="20"/>
        </w:rPr>
        <w:t xml:space="preserve"> sulla revisione dei dati di commercio estero per il periodo 2019, gennaio-maggio 2020.</w:t>
      </w:r>
    </w:p>
    <w:p w14:paraId="150DD0CF" w14:textId="5219192D" w:rsidR="00EB3E42" w:rsidRPr="0053425B" w:rsidRDefault="00EB3E42" w:rsidP="00EB3E42">
      <w:pPr>
        <w:numPr>
          <w:ilvl w:val="0"/>
          <w:numId w:val="36"/>
        </w:numPr>
        <w:spacing w:after="120"/>
        <w:ind w:left="284" w:hanging="284"/>
        <w:jc w:val="both"/>
        <w:rPr>
          <w:rFonts w:ascii="Arial" w:hAnsi="Arial" w:cs="Arial"/>
          <w:sz w:val="20"/>
          <w:szCs w:val="20"/>
        </w:rPr>
      </w:pPr>
      <w:r w:rsidRPr="0053425B">
        <w:rPr>
          <w:rStyle w:val="Collegamentoipertestuale"/>
          <w:rFonts w:ascii="Arial" w:hAnsi="Arial" w:cs="Arial"/>
          <w:sz w:val="20"/>
          <w:szCs w:val="20"/>
        </w:rPr>
        <w:t>Nota informativa</w:t>
      </w:r>
      <w:r w:rsidRPr="0053425B">
        <w:rPr>
          <w:rFonts w:ascii="Arial" w:hAnsi="Arial" w:cs="Arial"/>
          <w:sz w:val="20"/>
          <w:szCs w:val="20"/>
        </w:rPr>
        <w:t xml:space="preserve"> </w:t>
      </w:r>
      <w:r w:rsidR="0053425B" w:rsidRPr="0053425B">
        <w:rPr>
          <w:rFonts w:ascii="Arial" w:hAnsi="Arial" w:cs="Arial"/>
          <w:sz w:val="20"/>
          <w:szCs w:val="20"/>
        </w:rPr>
        <w:t xml:space="preserve">sul passaggio </w:t>
      </w:r>
      <w:r w:rsidR="0053425B">
        <w:rPr>
          <w:rFonts w:ascii="Arial" w:hAnsi="Arial" w:cs="Arial"/>
          <w:sz w:val="20"/>
          <w:szCs w:val="20"/>
        </w:rPr>
        <w:t xml:space="preserve">da indici a </w:t>
      </w:r>
      <w:r w:rsidR="0053425B" w:rsidRPr="0053425B">
        <w:rPr>
          <w:rFonts w:ascii="Arial" w:hAnsi="Arial" w:cs="Arial"/>
          <w:sz w:val="20"/>
          <w:szCs w:val="20"/>
        </w:rPr>
        <w:t xml:space="preserve">base fissa a indici </w:t>
      </w:r>
      <w:r w:rsidR="0053425B">
        <w:rPr>
          <w:rFonts w:ascii="Arial" w:hAnsi="Arial" w:cs="Arial"/>
          <w:sz w:val="20"/>
          <w:szCs w:val="20"/>
        </w:rPr>
        <w:t>concatenati</w:t>
      </w:r>
      <w:r w:rsidR="006A2C28">
        <w:rPr>
          <w:rFonts w:ascii="Arial" w:hAnsi="Arial" w:cs="Arial"/>
          <w:sz w:val="20"/>
          <w:szCs w:val="20"/>
        </w:rPr>
        <w:t xml:space="preserve"> per i prezzi all’import</w:t>
      </w:r>
      <w:r w:rsidRPr="0053425B">
        <w:rPr>
          <w:rFonts w:ascii="Arial" w:hAnsi="Arial" w:cs="Arial"/>
          <w:sz w:val="20"/>
          <w:szCs w:val="20"/>
        </w:rPr>
        <w:t>, del 20/04/2022.</w:t>
      </w:r>
    </w:p>
    <w:p w14:paraId="699A62DA" w14:textId="77777777" w:rsidR="00220D58" w:rsidRDefault="00220D58" w:rsidP="00220D58">
      <w:pPr>
        <w:pStyle w:val="NormaleWeb"/>
        <w:spacing w:before="360" w:beforeAutospacing="0" w:after="240" w:afterAutospacing="0"/>
        <w:rPr>
          <w:rFonts w:ascii="Arial" w:hAnsi="Arial" w:cs="Arial"/>
          <w:bCs/>
          <w:color w:val="CD242F"/>
          <w:sz w:val="36"/>
          <w:szCs w:val="36"/>
        </w:rPr>
      </w:pPr>
    </w:p>
    <w:p w14:paraId="096DC865" w14:textId="3DEDDF40" w:rsidR="00501E02" w:rsidRPr="002300D8" w:rsidRDefault="00501E02" w:rsidP="00220D58">
      <w:pPr>
        <w:pStyle w:val="NormaleWeb"/>
        <w:spacing w:before="12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2835"/>
        <w:gridCol w:w="6979"/>
      </w:tblGrid>
      <w:tr w:rsidR="00501E02" w:rsidRPr="00E655EB" w14:paraId="40699954" w14:textId="77777777" w:rsidTr="002C489F">
        <w:trPr>
          <w:trHeight w:val="166"/>
        </w:trPr>
        <w:tc>
          <w:tcPr>
            <w:tcW w:w="9814" w:type="dxa"/>
            <w:gridSpan w:val="2"/>
            <w:shd w:val="clear" w:color="auto" w:fill="auto"/>
            <w:tcMar>
              <w:top w:w="170" w:type="dxa"/>
              <w:left w:w="0" w:type="dxa"/>
              <w:right w:w="0" w:type="dxa"/>
            </w:tcMar>
          </w:tcPr>
          <w:p w14:paraId="53AD74E0" w14:textId="77777777" w:rsidR="00501E02" w:rsidRPr="00E30D50" w:rsidRDefault="00501E02" w:rsidP="002C489F">
            <w:pPr>
              <w:pStyle w:val="NormaleWeb"/>
              <w:rPr>
                <w:rFonts w:ascii="Arial" w:hAnsi="Arial" w:cs="Arial"/>
                <w:b/>
              </w:rPr>
            </w:pPr>
            <w:r w:rsidRPr="00E30D50">
              <w:rPr>
                <w:rFonts w:ascii="Arial" w:hAnsi="Arial" w:cs="Arial"/>
                <w:b/>
                <w:bCs/>
              </w:rPr>
              <w:t>Commercio con l’estero</w:t>
            </w:r>
          </w:p>
        </w:tc>
      </w:tr>
      <w:tr w:rsidR="00501E02" w:rsidRPr="00E655EB" w14:paraId="2721D0A2" w14:textId="77777777" w:rsidTr="002C489F">
        <w:trPr>
          <w:trHeight w:val="1134"/>
        </w:trPr>
        <w:tc>
          <w:tcPr>
            <w:tcW w:w="2835" w:type="dxa"/>
            <w:shd w:val="clear" w:color="auto" w:fill="auto"/>
            <w:tcMar>
              <w:top w:w="170" w:type="dxa"/>
              <w:left w:w="0" w:type="dxa"/>
              <w:right w:w="0" w:type="dxa"/>
            </w:tcMar>
          </w:tcPr>
          <w:p w14:paraId="2E2C1132" w14:textId="77777777" w:rsidR="00501E02" w:rsidRPr="00E655EB" w:rsidRDefault="00501E02" w:rsidP="002C489F">
            <w:pPr>
              <w:pStyle w:val="NormaleWeb"/>
              <w:spacing w:beforeAutospacing="0" w:after="120" w:afterAutospacing="0"/>
              <w:rPr>
                <w:rFonts w:ascii="Arial" w:hAnsi="Arial" w:cs="Arial"/>
                <w:b/>
                <w:bCs/>
                <w:color w:val="CD242F"/>
                <w:sz w:val="22"/>
                <w:szCs w:val="22"/>
              </w:rPr>
            </w:pPr>
            <w:r>
              <w:rPr>
                <w:rFonts w:ascii="Arial" w:hAnsi="Arial" w:cs="Arial"/>
                <w:b/>
                <w:bCs/>
                <w:color w:val="CD242F"/>
                <w:sz w:val="22"/>
                <w:szCs w:val="22"/>
              </w:rPr>
              <w:t>Maria Serena Causo</w:t>
            </w:r>
          </w:p>
          <w:p w14:paraId="6B9C714B" w14:textId="77777777" w:rsidR="00501E02" w:rsidRPr="00E655EB" w:rsidRDefault="00501E02" w:rsidP="002C489F">
            <w:pPr>
              <w:pStyle w:val="NormaleWeb"/>
              <w:spacing w:beforeAutospacing="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 </w:t>
            </w:r>
            <w:r w:rsidRPr="00E655EB">
              <w:rPr>
                <w:rFonts w:ascii="Arial" w:hAnsi="Arial" w:cs="Arial"/>
                <w:color w:val="000000"/>
              </w:rPr>
              <w:t>06 4673.</w:t>
            </w:r>
            <w:r>
              <w:rPr>
                <w:rFonts w:ascii="Arial" w:hAnsi="Arial" w:cs="Arial"/>
                <w:color w:val="000000"/>
              </w:rPr>
              <w:t>6651</w:t>
            </w:r>
          </w:p>
          <w:p w14:paraId="6BB34B0C" w14:textId="77777777" w:rsidR="00501E02" w:rsidRPr="00E655EB" w:rsidRDefault="004029EB" w:rsidP="002C489F">
            <w:pPr>
              <w:pStyle w:val="NormaleWeb"/>
              <w:spacing w:beforeAutospacing="0" w:after="120" w:afterAutospacing="0"/>
              <w:rPr>
                <w:rFonts w:ascii="Arial" w:hAnsi="Arial" w:cs="Arial"/>
                <w:color w:val="000000"/>
              </w:rPr>
            </w:pPr>
            <w:hyperlink r:id="rId55" w:history="1">
              <w:r w:rsidR="00501E02" w:rsidRPr="003E2D10">
                <w:rPr>
                  <w:rStyle w:val="Collegamentoipertestuale"/>
                  <w:rFonts w:ascii="Arial" w:hAnsi="Arial" w:cs="Arial"/>
                </w:rPr>
                <w:t>causo@istat.it</w:t>
              </w:r>
            </w:hyperlink>
          </w:p>
        </w:tc>
        <w:tc>
          <w:tcPr>
            <w:tcW w:w="6979" w:type="dxa"/>
            <w:shd w:val="clear" w:color="auto" w:fill="auto"/>
            <w:tcMar>
              <w:top w:w="170" w:type="dxa"/>
              <w:left w:w="0" w:type="dxa"/>
              <w:right w:w="0" w:type="dxa"/>
            </w:tcMar>
          </w:tcPr>
          <w:p w14:paraId="5852EE7D" w14:textId="77777777" w:rsidR="00501E02" w:rsidRPr="00E655EB" w:rsidRDefault="00501E02" w:rsidP="002C489F">
            <w:pPr>
              <w:pStyle w:val="NormaleWeb"/>
              <w:spacing w:beforeAutospacing="0" w:after="120" w:afterAutospacing="0"/>
              <w:rPr>
                <w:rFonts w:ascii="Arial" w:hAnsi="Arial" w:cs="Arial"/>
                <w:color w:val="CD242F"/>
              </w:rPr>
            </w:pPr>
            <w:r>
              <w:rPr>
                <w:rFonts w:ascii="Arial" w:hAnsi="Arial" w:cs="Arial"/>
                <w:b/>
                <w:bCs/>
                <w:color w:val="CD242F"/>
                <w:sz w:val="22"/>
                <w:szCs w:val="22"/>
              </w:rPr>
              <w:t>Adele Vendetti</w:t>
            </w:r>
          </w:p>
          <w:p w14:paraId="0094173E" w14:textId="77777777" w:rsidR="00501E02" w:rsidRPr="00E655EB" w:rsidRDefault="00501E02" w:rsidP="002C489F">
            <w:pPr>
              <w:pStyle w:val="NormaleWeb"/>
              <w:spacing w:beforeAutospacing="0" w:after="12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w:t>
            </w:r>
            <w:r w:rsidRPr="00E655EB">
              <w:rPr>
                <w:rFonts w:ascii="Arial" w:hAnsi="Arial" w:cs="Arial"/>
                <w:color w:val="000000"/>
              </w:rPr>
              <w:t xml:space="preserve"> 06 4673.</w:t>
            </w:r>
            <w:r>
              <w:rPr>
                <w:rFonts w:ascii="Arial" w:hAnsi="Arial" w:cs="Arial"/>
                <w:color w:val="000000"/>
              </w:rPr>
              <w:t>6342</w:t>
            </w:r>
            <w:r w:rsidRPr="00E655EB">
              <w:rPr>
                <w:rFonts w:ascii="Arial" w:hAnsi="Arial" w:cs="Arial"/>
                <w:color w:val="000000"/>
              </w:rPr>
              <w:br/>
            </w:r>
            <w:hyperlink r:id="rId56" w:history="1">
              <w:r w:rsidRPr="003E2D10">
                <w:rPr>
                  <w:rStyle w:val="Collegamentoipertestuale"/>
                  <w:rFonts w:ascii="Arial" w:hAnsi="Arial" w:cs="Arial"/>
                </w:rPr>
                <w:t>vendetti@istat.it</w:t>
              </w:r>
            </w:hyperlink>
          </w:p>
          <w:p w14:paraId="4C4C533B" w14:textId="77777777" w:rsidR="00501E02" w:rsidRPr="00E655EB" w:rsidRDefault="00501E02" w:rsidP="002C489F">
            <w:pPr>
              <w:pStyle w:val="NormaleWeb"/>
              <w:rPr>
                <w:rFonts w:ascii="Arial" w:hAnsi="Arial" w:cs="Arial"/>
                <w:color w:val="000000"/>
              </w:rPr>
            </w:pPr>
          </w:p>
        </w:tc>
      </w:tr>
      <w:tr w:rsidR="00501E02" w:rsidRPr="00E655EB" w14:paraId="57F6A533" w14:textId="77777777" w:rsidTr="002C489F">
        <w:trPr>
          <w:trHeight w:val="294"/>
        </w:trPr>
        <w:tc>
          <w:tcPr>
            <w:tcW w:w="9814" w:type="dxa"/>
            <w:gridSpan w:val="2"/>
            <w:shd w:val="clear" w:color="auto" w:fill="auto"/>
            <w:tcMar>
              <w:top w:w="170" w:type="dxa"/>
              <w:left w:w="0" w:type="dxa"/>
              <w:right w:w="0" w:type="dxa"/>
            </w:tcMar>
          </w:tcPr>
          <w:p w14:paraId="574D9FC1" w14:textId="77777777" w:rsidR="00501E02" w:rsidRPr="00E30D50" w:rsidRDefault="00501E02" w:rsidP="002C489F">
            <w:pPr>
              <w:pStyle w:val="NormaleWeb"/>
              <w:rPr>
                <w:rFonts w:ascii="Arial" w:hAnsi="Arial" w:cs="Arial"/>
                <w:b/>
                <w:bCs/>
                <w:sz w:val="22"/>
                <w:szCs w:val="22"/>
              </w:rPr>
            </w:pPr>
            <w:r w:rsidRPr="00E30D50">
              <w:rPr>
                <w:rFonts w:ascii="Arial" w:hAnsi="Arial" w:cs="Arial"/>
                <w:b/>
                <w:bCs/>
              </w:rPr>
              <w:t>Prezzi all’import</w:t>
            </w:r>
          </w:p>
        </w:tc>
      </w:tr>
      <w:tr w:rsidR="00501E02" w14:paraId="3D825D6F" w14:textId="77777777" w:rsidTr="002C489F">
        <w:trPr>
          <w:trHeight w:val="1134"/>
        </w:trPr>
        <w:tc>
          <w:tcPr>
            <w:tcW w:w="2835" w:type="dxa"/>
            <w:tcBorders>
              <w:top w:val="dotted" w:sz="4" w:space="0" w:color="808080"/>
              <w:left w:val="nil"/>
              <w:bottom w:val="nil"/>
              <w:right w:val="nil"/>
            </w:tcBorders>
            <w:tcMar>
              <w:top w:w="170" w:type="dxa"/>
              <w:left w:w="0" w:type="dxa"/>
              <w:bottom w:w="0" w:type="dxa"/>
              <w:right w:w="0" w:type="dxa"/>
            </w:tcMar>
            <w:hideMark/>
          </w:tcPr>
          <w:p w14:paraId="2C2C798F"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Emiliano Sibio</w:t>
            </w:r>
          </w:p>
          <w:p w14:paraId="4140293B"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4673.6028</w:t>
            </w:r>
          </w:p>
          <w:p w14:paraId="557AA4CF" w14:textId="77777777" w:rsidR="00501E02" w:rsidRDefault="004029EB" w:rsidP="002C489F">
            <w:pPr>
              <w:pStyle w:val="NormaleWeb"/>
              <w:spacing w:beforeAutospacing="0" w:afterAutospacing="0" w:line="276" w:lineRule="auto"/>
              <w:rPr>
                <w:rFonts w:ascii="Arial" w:hAnsi="Arial" w:cs="Arial"/>
                <w:b/>
                <w:bCs/>
                <w:color w:val="CD242F"/>
                <w:sz w:val="22"/>
                <w:szCs w:val="22"/>
                <w:lang w:eastAsia="en-US"/>
              </w:rPr>
            </w:pPr>
            <w:hyperlink r:id="rId57" w:history="1">
              <w:r w:rsidR="00501E02">
                <w:rPr>
                  <w:rStyle w:val="Collegamentoipertestuale"/>
                  <w:rFonts w:ascii="Arial" w:hAnsi="Arial" w:cs="Arial"/>
                  <w:lang w:eastAsia="en-US"/>
                </w:rPr>
                <w:t>sibio@istat.it</w:t>
              </w:r>
            </w:hyperlink>
          </w:p>
        </w:tc>
        <w:tc>
          <w:tcPr>
            <w:tcW w:w="6979" w:type="dxa"/>
            <w:tcBorders>
              <w:top w:val="dotted" w:sz="4" w:space="0" w:color="808080"/>
              <w:left w:val="nil"/>
              <w:bottom w:val="nil"/>
              <w:right w:val="nil"/>
            </w:tcBorders>
            <w:tcMar>
              <w:top w:w="170" w:type="dxa"/>
              <w:left w:w="0" w:type="dxa"/>
              <w:bottom w:w="0" w:type="dxa"/>
              <w:right w:w="0" w:type="dxa"/>
            </w:tcMar>
            <w:hideMark/>
          </w:tcPr>
          <w:p w14:paraId="5D117403"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Lorenzo D’Orazio</w:t>
            </w:r>
          </w:p>
          <w:p w14:paraId="019C76A1"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4673.6281</w:t>
            </w:r>
          </w:p>
          <w:p w14:paraId="6A7FA24D" w14:textId="77777777" w:rsidR="00501E02" w:rsidRDefault="004029EB" w:rsidP="002C489F">
            <w:pPr>
              <w:pStyle w:val="NormaleWeb"/>
              <w:spacing w:beforeAutospacing="0" w:afterAutospacing="0" w:line="276" w:lineRule="auto"/>
              <w:rPr>
                <w:rFonts w:ascii="Arial" w:hAnsi="Arial" w:cs="Arial"/>
                <w:b/>
                <w:bCs/>
                <w:color w:val="CD242F"/>
                <w:sz w:val="22"/>
                <w:szCs w:val="22"/>
                <w:lang w:eastAsia="en-US"/>
              </w:rPr>
            </w:pPr>
            <w:hyperlink r:id="rId58" w:history="1">
              <w:r w:rsidR="00501E02" w:rsidRPr="00B86CCC">
                <w:rPr>
                  <w:rStyle w:val="Collegamentoipertestuale"/>
                  <w:rFonts w:ascii="Arial" w:hAnsi="Arial" w:cs="Arial"/>
                  <w:lang w:eastAsia="en-US"/>
                </w:rPr>
                <w:t>lodorazi@istat.it</w:t>
              </w:r>
            </w:hyperlink>
          </w:p>
        </w:tc>
      </w:tr>
    </w:tbl>
    <w:p w14:paraId="4D473B1F" w14:textId="77777777" w:rsidR="00501E02" w:rsidRDefault="00501E02" w:rsidP="00501E02">
      <w:pPr>
        <w:pStyle w:val="Default"/>
        <w:spacing w:after="120"/>
        <w:jc w:val="both"/>
        <w:rPr>
          <w:rFonts w:ascii="Arial" w:hAnsi="Arial" w:cs="Arial"/>
          <w:sz w:val="20"/>
          <w:szCs w:val="20"/>
        </w:rPr>
      </w:pPr>
    </w:p>
    <w:p w14:paraId="40B3FF42" w14:textId="77777777" w:rsidR="00501E02" w:rsidRPr="00C9631A" w:rsidRDefault="00501E02" w:rsidP="00501E02">
      <w:pPr>
        <w:spacing w:after="120"/>
        <w:rPr>
          <w:rFonts w:ascii="Arial" w:hAnsi="Arial" w:cs="Arial"/>
          <w:sz w:val="20"/>
          <w:szCs w:val="20"/>
        </w:rPr>
      </w:pPr>
    </w:p>
    <w:p w14:paraId="47B26564" w14:textId="6A3BC4BE" w:rsidR="00257DC4" w:rsidRPr="00397FAC" w:rsidRDefault="00257DC4" w:rsidP="00257DC4">
      <w:pPr>
        <w:spacing w:after="120"/>
        <w:rPr>
          <w:rFonts w:ascii="Arial" w:hAnsi="Arial" w:cs="Arial"/>
          <w:b/>
          <w:szCs w:val="28"/>
        </w:rPr>
      </w:pPr>
    </w:p>
    <w:sectPr w:rsidR="00257DC4" w:rsidRPr="00397FAC" w:rsidSect="00B81D29">
      <w:headerReference w:type="default" r:id="rId59"/>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79EC4" w14:textId="77777777" w:rsidR="00EB3E2F" w:rsidRDefault="00EB3E2F">
      <w:r>
        <w:separator/>
      </w:r>
    </w:p>
  </w:endnote>
  <w:endnote w:type="continuationSeparator" w:id="0">
    <w:p w14:paraId="4B9F313E" w14:textId="77777777" w:rsidR="00EB3E2F" w:rsidRDefault="00EB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D454E" w14:textId="0D84E674" w:rsidR="00166759" w:rsidRPr="002548DD" w:rsidRDefault="00166759" w:rsidP="002548DD">
    <w:pPr>
      <w:pStyle w:val="Pidipagina"/>
      <w:ind w:left="1560"/>
      <w:rPr>
        <w:rFonts w:ascii="Calibri" w:hAnsi="Calibri"/>
      </w:rPr>
    </w:pPr>
    <w:r w:rsidRPr="00AA5409">
      <w:rPr>
        <w:rFonts w:ascii="Calibri" w:hAnsi="Calibri"/>
        <w:b/>
        <w:noProof/>
        <w:color w:val="E42618"/>
        <w:szCs w:val="28"/>
      </w:rPr>
      <w:drawing>
        <wp:anchor distT="0" distB="0" distL="114300" distR="114300" simplePos="0" relativeHeight="251656192" behindDoc="0" locked="0" layoutInCell="1" allowOverlap="1" wp14:anchorId="75D3DE23" wp14:editId="3DC2B47C">
          <wp:simplePos x="0" y="0"/>
          <wp:positionH relativeFrom="column">
            <wp:posOffset>13335</wp:posOffset>
          </wp:positionH>
          <wp:positionV relativeFrom="paragraph">
            <wp:posOffset>-50800</wp:posOffset>
          </wp:positionV>
          <wp:extent cx="943610" cy="390525"/>
          <wp:effectExtent l="0" t="0" r="0" b="0"/>
          <wp:wrapNone/>
          <wp:docPr id="59"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anchor>
      </w:drawing>
    </w:r>
    <w:r w:rsidRPr="00AA5409">
      <w:rPr>
        <w:rStyle w:val="Numeropagina"/>
        <w:rFonts w:ascii="Calibri" w:hAnsi="Calibri"/>
        <w:b/>
        <w:color w:val="E42618"/>
        <w:szCs w:val="28"/>
      </w:rPr>
      <w:t>|</w:t>
    </w:r>
    <w:r>
      <w:rPr>
        <w:rStyle w:val="Numeropagina"/>
        <w:rFonts w:ascii="Calibri" w:hAnsi="Calibri"/>
        <w:color w:val="E31C18"/>
        <w:sz w:val="28"/>
        <w:szCs w:val="28"/>
      </w:rPr>
      <w:t xml:space="preserve"> </w:t>
    </w:r>
    <w:r w:rsidRPr="00AA5409">
      <w:rPr>
        <w:rFonts w:ascii="Calibri" w:hAnsi="Calibri" w:cs="Arial"/>
        <w:color w:val="5F5F5F"/>
      </w:rPr>
      <w:fldChar w:fldCharType="begin"/>
    </w:r>
    <w:r w:rsidRPr="00AA5409">
      <w:rPr>
        <w:rFonts w:ascii="Calibri" w:hAnsi="Calibri" w:cs="Arial"/>
        <w:color w:val="5F5F5F"/>
      </w:rPr>
      <w:instrText>PAGE   \* MERGEFORMAT</w:instrText>
    </w:r>
    <w:r w:rsidRPr="00AA5409">
      <w:rPr>
        <w:rFonts w:ascii="Calibri" w:hAnsi="Calibri" w:cs="Arial"/>
        <w:color w:val="5F5F5F"/>
      </w:rPr>
      <w:fldChar w:fldCharType="separate"/>
    </w:r>
    <w:r w:rsidR="004029EB">
      <w:rPr>
        <w:rFonts w:ascii="Calibri" w:hAnsi="Calibri" w:cs="Arial"/>
        <w:noProof/>
        <w:color w:val="5F5F5F"/>
      </w:rPr>
      <w:t>2</w:t>
    </w:r>
    <w:r w:rsidRPr="00AA5409">
      <w:rPr>
        <w:rFonts w:ascii="Calibri" w:hAnsi="Calibri" w:cs="Arial"/>
        <w:color w:val="5F5F5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2AB2B" w14:textId="77777777" w:rsidR="00EB3E2F" w:rsidRDefault="00EB3E2F">
      <w:r>
        <w:separator/>
      </w:r>
    </w:p>
  </w:footnote>
  <w:footnote w:type="continuationSeparator" w:id="0">
    <w:p w14:paraId="18D51A73" w14:textId="77777777" w:rsidR="00EB3E2F" w:rsidRDefault="00EB3E2F">
      <w:r>
        <w:continuationSeparator/>
      </w:r>
    </w:p>
  </w:footnote>
  <w:footnote w:id="1">
    <w:p w14:paraId="54546F80" w14:textId="77777777" w:rsidR="00166759" w:rsidRPr="00E74CD4" w:rsidRDefault="00166759" w:rsidP="00501E02">
      <w:pPr>
        <w:pStyle w:val="Testonotaapidipagina"/>
        <w:jc w:val="both"/>
        <w:rPr>
          <w:rFonts w:ascii="Arial Narrow" w:hAnsi="Arial Narrow"/>
          <w:sz w:val="15"/>
          <w:szCs w:val="15"/>
        </w:rPr>
      </w:pPr>
      <w:r w:rsidRPr="00AF0A9F">
        <w:rPr>
          <w:rFonts w:ascii="Arial Narrow" w:hAnsi="Arial Narrow" w:cs="Arial"/>
          <w:sz w:val="15"/>
          <w:szCs w:val="15"/>
          <w:vertAlign w:val="superscript"/>
        </w:rPr>
        <w:footnoteRef/>
      </w:r>
      <w:r w:rsidRPr="00E74CD4">
        <w:rPr>
          <w:rFonts w:ascii="Arial Narrow" w:hAnsi="Arial Narrow" w:cs="Arial"/>
          <w:sz w:val="15"/>
          <w:szCs w:val="15"/>
        </w:rPr>
        <w:t xml:space="preserve"> I</w:t>
      </w:r>
      <w:r>
        <w:rPr>
          <w:rFonts w:ascii="Arial Narrow" w:hAnsi="Arial Narrow" w:cs="Arial"/>
          <w:sz w:val="15"/>
          <w:szCs w:val="15"/>
        </w:rPr>
        <w:t>n conseguenza dell’innalzamento della soglia di esenzione introdotto a partire da gennaio 2022, il</w:t>
      </w:r>
      <w:r w:rsidRPr="00E74CD4">
        <w:rPr>
          <w:rFonts w:ascii="Arial Narrow" w:hAnsi="Arial Narrow" w:cs="Arial"/>
          <w:sz w:val="15"/>
          <w:szCs w:val="15"/>
        </w:rPr>
        <w:t xml:space="preserve"> numero degli operatori tenuti a presentare il modello mensile Intrastat per gli acquisti </w:t>
      </w:r>
      <w:r>
        <w:rPr>
          <w:rFonts w:ascii="Arial Narrow" w:hAnsi="Arial Narrow" w:cs="Arial"/>
          <w:sz w:val="15"/>
          <w:szCs w:val="15"/>
        </w:rPr>
        <w:t>passa a</w:t>
      </w:r>
      <w:r w:rsidRPr="00E74CD4">
        <w:rPr>
          <w:rFonts w:ascii="Arial Narrow" w:hAnsi="Arial Narrow" w:cs="Arial"/>
          <w:sz w:val="15"/>
          <w:szCs w:val="15"/>
        </w:rPr>
        <w:t xml:space="preserve"> </w:t>
      </w:r>
      <w:r>
        <w:rPr>
          <w:rFonts w:ascii="Arial Narrow" w:hAnsi="Arial Narrow" w:cs="Arial"/>
          <w:sz w:val="15"/>
          <w:szCs w:val="15"/>
        </w:rPr>
        <w:t xml:space="preserve">14.000 </w:t>
      </w:r>
      <w:r w:rsidRPr="00E74CD4">
        <w:rPr>
          <w:rFonts w:ascii="Arial Narrow" w:hAnsi="Arial Narrow" w:cs="Arial"/>
          <w:sz w:val="15"/>
          <w:szCs w:val="15"/>
        </w:rPr>
        <w:t xml:space="preserve">rispetto ai </w:t>
      </w:r>
      <w:r>
        <w:rPr>
          <w:rFonts w:ascii="Arial Narrow" w:hAnsi="Arial Narrow" w:cs="Arial"/>
          <w:sz w:val="15"/>
          <w:szCs w:val="15"/>
        </w:rPr>
        <w:t>18.</w:t>
      </w:r>
      <w:r w:rsidRPr="00D42794">
        <w:rPr>
          <w:rFonts w:ascii="Arial Narrow" w:hAnsi="Arial Narrow" w:cs="Arial"/>
          <w:sz w:val="15"/>
          <w:szCs w:val="15"/>
        </w:rPr>
        <w:t xml:space="preserve">000 </w:t>
      </w:r>
      <w:r>
        <w:rPr>
          <w:rFonts w:ascii="Arial Narrow" w:hAnsi="Arial Narrow" w:cs="Arial"/>
          <w:sz w:val="15"/>
          <w:szCs w:val="15"/>
        </w:rPr>
        <w:t xml:space="preserve"> soggetti obbligati del 2021</w:t>
      </w:r>
      <w:r w:rsidRPr="00E74CD4">
        <w:rPr>
          <w:rFonts w:ascii="Arial Narrow" w:hAnsi="Arial Narrow" w:cs="Arial"/>
          <w:sz w:val="15"/>
          <w:szCs w:val="15"/>
        </w:rPr>
        <w:t>.</w:t>
      </w:r>
      <w:r w:rsidRPr="00E74CD4">
        <w:rPr>
          <w:rFonts w:ascii="Arial Narrow" w:hAnsi="Arial Narrow"/>
          <w:sz w:val="15"/>
          <w:szCs w:val="15"/>
        </w:rPr>
        <w:t xml:space="preserve"> </w:t>
      </w:r>
    </w:p>
  </w:footnote>
  <w:footnote w:id="2">
    <w:p w14:paraId="46466A40" w14:textId="77777777" w:rsidR="00166759" w:rsidRPr="00E74CD4" w:rsidRDefault="00166759" w:rsidP="00501E02">
      <w:pPr>
        <w:pStyle w:val="Testonotaapidipagina"/>
        <w:jc w:val="both"/>
        <w:rPr>
          <w:rFonts w:ascii="Arial Narrow" w:hAnsi="Arial Narrow" w:cs="Arial"/>
          <w:sz w:val="15"/>
          <w:szCs w:val="15"/>
        </w:rPr>
      </w:pPr>
      <w:r w:rsidRPr="00E74CD4">
        <w:rPr>
          <w:rStyle w:val="Rimandonotaapidipagina"/>
          <w:rFonts w:ascii="Arial Narrow" w:hAnsi="Arial Narrow"/>
          <w:sz w:val="15"/>
          <w:szCs w:val="15"/>
        </w:rPr>
        <w:footnoteRef/>
      </w:r>
      <w:r w:rsidRPr="00E74CD4">
        <w:rPr>
          <w:rFonts w:ascii="Arial Narrow" w:hAnsi="Arial Narrow"/>
          <w:sz w:val="15"/>
          <w:szCs w:val="15"/>
        </w:rPr>
        <w:t xml:space="preserve"> </w:t>
      </w:r>
      <w:r w:rsidRPr="00E74CD4">
        <w:rPr>
          <w:rFonts w:ascii="Arial Narrow" w:hAnsi="Arial Narrow" w:cs="Arial"/>
          <w:sz w:val="15"/>
          <w:szCs w:val="15"/>
        </w:rPr>
        <w:t>Le serie storiche dei valori di importazioni ed esportazioni per RPI sono state ricostruite e possono, quindi, differire da quelle precedentemente pubblicate.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2D952" w14:textId="77777777" w:rsidR="00166759" w:rsidRPr="009E5F03" w:rsidRDefault="00166759" w:rsidP="009E5F03">
    <w:pPr>
      <w:pStyle w:val="Intestazione"/>
    </w:pPr>
    <w:r>
      <w:rPr>
        <w:noProof/>
      </w:rPr>
      <mc:AlternateContent>
        <mc:Choice Requires="wps">
          <w:drawing>
            <wp:anchor distT="0" distB="0" distL="114300" distR="114300" simplePos="0" relativeHeight="251657216" behindDoc="0" locked="0" layoutInCell="1" allowOverlap="1" wp14:anchorId="7BFABAE4" wp14:editId="5CE0B1B7">
              <wp:simplePos x="0" y="0"/>
              <wp:positionH relativeFrom="column">
                <wp:posOffset>552450</wp:posOffset>
              </wp:positionH>
              <wp:positionV relativeFrom="paragraph">
                <wp:posOffset>65405</wp:posOffset>
              </wp:positionV>
              <wp:extent cx="1824355" cy="390525"/>
              <wp:effectExtent l="0" t="0" r="4445"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0525"/>
                      </a:xfrm>
                      <a:prstGeom prst="rect">
                        <a:avLst/>
                      </a:prstGeom>
                      <a:solidFill>
                        <a:srgbClr val="FFFFFF"/>
                      </a:solidFill>
                      <a:ln w="9525">
                        <a:solidFill>
                          <a:srgbClr val="FFFFFF"/>
                        </a:solidFill>
                        <a:miter lim="800000"/>
                        <a:headEnd/>
                        <a:tailEnd/>
                      </a:ln>
                    </wps:spPr>
                    <wps:txbx>
                      <w:txbxContent>
                        <w:p w14:paraId="0CF4011B" w14:textId="77777777" w:rsidR="00166759" w:rsidRPr="000F5A7E" w:rsidRDefault="00166759"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166759" w:rsidRPr="00E26DB7" w:rsidRDefault="00166759" w:rsidP="00862146">
                          <w:pPr>
                            <w:pStyle w:val="Intestazione"/>
                            <w:spacing w:line="200" w:lineRule="exact"/>
                            <w:rPr>
                              <w:rFonts w:ascii="Arial Narrow" w:hAnsi="Arial Narrow"/>
                              <w:b/>
                              <w:color w:val="5F5F5F"/>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BFABAE4" id="_x0000_t202" coordsize="21600,21600" o:spt="202" path="m,l,21600r21600,l21600,xe">
              <v:stroke joinstyle="miter"/>
              <v:path gradientshapeok="t" o:connecttype="rect"/>
            </v:shapetype>
            <v:shape id="_x0000_s1027" type="#_x0000_t202" style="position:absolute;margin-left:43.5pt;margin-top:5.15pt;width:143.65pt;height:3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" strokecolor="white">
              <v:textbox style="mso-fit-shape-to-text:t" inset="0,0,0,0">
                <w:txbxContent>
                  <w:p w14:paraId="0CF4011B" w14:textId="77777777" w:rsidR="00166759" w:rsidRPr="000F5A7E" w:rsidRDefault="00166759"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166759" w:rsidRPr="00E26DB7" w:rsidRDefault="00166759" w:rsidP="00862146">
                    <w:pPr>
                      <w:pStyle w:val="Intestazione"/>
                      <w:spacing w:line="200" w:lineRule="exact"/>
                      <w:rPr>
                        <w:rFonts w:ascii="Arial Narrow" w:hAnsi="Arial Narrow"/>
                        <w:b/>
                        <w:color w:val="5F5F5F"/>
                      </w:rPr>
                    </w:pPr>
                  </w:p>
                </w:txbxContent>
              </v:textbox>
            </v:shape>
          </w:pict>
        </mc:Fallback>
      </mc:AlternateContent>
    </w:r>
    <w:r>
      <w:rPr>
        <w:noProof/>
      </w:rPr>
      <w:drawing>
        <wp:inline distT="0" distB="0" distL="0" distR="0" wp14:anchorId="330EA11B" wp14:editId="53476AAA">
          <wp:extent cx="6477000" cy="581025"/>
          <wp:effectExtent l="0" t="0" r="0" b="0"/>
          <wp:docPr id="58" name="Immagine 58"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140CE" w14:textId="2D91102F" w:rsidR="00166759" w:rsidRDefault="00166759" w:rsidP="004342C5">
    <w:pPr>
      <w:pStyle w:val="Intestazione"/>
      <w:rPr>
        <w:sz w:val="20"/>
        <w:szCs w:val="20"/>
      </w:rPr>
    </w:pPr>
    <w:r>
      <w:rPr>
        <w:noProof/>
      </w:rPr>
      <w:drawing>
        <wp:anchor distT="0" distB="0" distL="114300" distR="114300" simplePos="0" relativeHeight="251665408" behindDoc="0" locked="0" layoutInCell="1" allowOverlap="1" wp14:anchorId="729C517F" wp14:editId="5D81AF42">
          <wp:simplePos x="0" y="0"/>
          <wp:positionH relativeFrom="column">
            <wp:posOffset>15875</wp:posOffset>
          </wp:positionH>
          <wp:positionV relativeFrom="paragraph">
            <wp:posOffset>-138430</wp:posOffset>
          </wp:positionV>
          <wp:extent cx="5332730" cy="1137920"/>
          <wp:effectExtent l="0" t="0" r="1270" b="5080"/>
          <wp:wrapNone/>
          <wp:docPr id="60" name="Immagine 60"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1EF73FD" wp14:editId="002A6955">
              <wp:simplePos x="0" y="0"/>
              <wp:positionH relativeFrom="column">
                <wp:posOffset>5434965</wp:posOffset>
              </wp:positionH>
              <wp:positionV relativeFrom="paragraph">
                <wp:posOffset>363855</wp:posOffset>
              </wp:positionV>
              <wp:extent cx="994410" cy="701675"/>
              <wp:effectExtent l="0" t="0" r="0" b="3175"/>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701675"/>
                      </a:xfrm>
                      <a:prstGeom prst="rect">
                        <a:avLst/>
                      </a:prstGeom>
                      <a:solidFill>
                        <a:sysClr val="window" lastClr="FFFFFF"/>
                      </a:solidFill>
                      <a:ln w="6350">
                        <a:noFill/>
                      </a:ln>
                    </wps:spPr>
                    <wps:txbx>
                      <w:txbxContent>
                        <w:p w14:paraId="12715719" w14:textId="77777777" w:rsidR="00166759" w:rsidRPr="004342C5" w:rsidRDefault="00166759"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166759" w:rsidRDefault="00166759"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166759" w:rsidRDefault="00166759"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166759" w:rsidRDefault="00166759" w:rsidP="004342C5">
                          <w:pPr>
                            <w:rPr>
                              <w:rFonts w:ascii="Arial Narrow" w:hAnsi="Arial Narrow"/>
                              <w:b/>
                              <w:bCs/>
                              <w:color w:val="7F7F7F"/>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1EF73FD" id="_x0000_t202" coordsize="21600,21600" o:spt="202" path="m,l,21600r21600,l21600,xe">
              <v:stroke joinstyle="miter"/>
              <v:path gradientshapeok="t" o:connecttype="rect"/>
            </v:shapetype>
            <v:shape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" fillcolor="window" stroked="f" strokeweight=".5pt">
              <v:path arrowok="t"/>
              <v:textbox inset="0,0,0,0">
                <w:txbxContent>
                  <w:p w14:paraId="12715719" w14:textId="77777777" w:rsidR="00166759" w:rsidRPr="004342C5" w:rsidRDefault="00166759"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166759" w:rsidRDefault="00166759"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166759" w:rsidRDefault="00166759"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166759" w:rsidRDefault="00166759" w:rsidP="004342C5">
                    <w:pPr>
                      <w:rPr>
                        <w:rFonts w:ascii="Arial Narrow" w:hAnsi="Arial Narrow"/>
                        <w:b/>
                        <w:bCs/>
                        <w:color w:val="7F7F7F"/>
                        <w:sz w:val="18"/>
                        <w:szCs w:val="18"/>
                        <w:lang w:val="en-US"/>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14:anchorId="0A419EAF" wp14:editId="1D103BB8">
              <wp:simplePos x="0" y="0"/>
              <wp:positionH relativeFrom="column">
                <wp:posOffset>0</wp:posOffset>
              </wp:positionH>
              <wp:positionV relativeFrom="paragraph">
                <wp:posOffset>1082039</wp:posOffset>
              </wp:positionV>
              <wp:extent cx="6414770" cy="0"/>
              <wp:effectExtent l="0" t="0" r="24130" b="19050"/>
              <wp:wrapNone/>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A59623B" id="Connettore diritto 3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" strokecolor="#7f7f7f">
              <v:stroke joinstyle="miter"/>
              <o:lock v:ext="edit" shapetype="f"/>
            </v:line>
          </w:pict>
        </mc:Fallback>
      </mc:AlternateContent>
    </w:r>
  </w:p>
  <w:p w14:paraId="314B2889" w14:textId="428A5D81" w:rsidR="00166759" w:rsidRPr="004342C5" w:rsidRDefault="00166759" w:rsidP="004342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9DA63" w14:textId="77777777" w:rsidR="00166759" w:rsidRPr="009E5F03" w:rsidRDefault="00166759" w:rsidP="009E5F03">
    <w:pPr>
      <w:pStyle w:val="Intestazione"/>
    </w:pPr>
    <w:r>
      <w:rPr>
        <w:noProof/>
      </w:rPr>
      <mc:AlternateContent>
        <mc:Choice Requires="wps">
          <w:drawing>
            <wp:anchor distT="0" distB="0" distL="114300" distR="114300" simplePos="0" relativeHeight="251659264" behindDoc="0" locked="0" layoutInCell="1" allowOverlap="1" wp14:anchorId="587627AC" wp14:editId="47DCDAFC">
              <wp:simplePos x="0" y="0"/>
              <wp:positionH relativeFrom="column">
                <wp:posOffset>536575</wp:posOffset>
              </wp:positionH>
              <wp:positionV relativeFrom="paragraph">
                <wp:posOffset>60960</wp:posOffset>
              </wp:positionV>
              <wp:extent cx="1752600" cy="39052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0525"/>
                      </a:xfrm>
                      <a:prstGeom prst="rect">
                        <a:avLst/>
                      </a:prstGeom>
                      <a:solidFill>
                        <a:srgbClr val="FFFFFF"/>
                      </a:solidFill>
                      <a:ln w="9525">
                        <a:solidFill>
                          <a:srgbClr val="FFFFFF"/>
                        </a:solidFill>
                        <a:miter lim="800000"/>
                        <a:headEnd/>
                        <a:tailEnd/>
                      </a:ln>
                    </wps:spPr>
                    <wps:txbx>
                      <w:txbxContent>
                        <w:p w14:paraId="57DE39C9" w14:textId="77777777" w:rsidR="00166759" w:rsidRPr="000F5A7E" w:rsidRDefault="00166759"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166759" w:rsidRPr="0017508C" w:rsidRDefault="00166759" w:rsidP="00B249D0">
                          <w:pPr>
                            <w:pStyle w:val="Intestazione"/>
                            <w:spacing w:line="200" w:lineRule="exact"/>
                            <w:rPr>
                              <w:rFonts w:ascii="Arial Narrow" w:hAnsi="Arial Narrow"/>
                              <w:b/>
                              <w:color w:val="999999"/>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87627AC" id="_x0000_t202" coordsize="21600,21600" o:spt="202" path="m,l,21600r21600,l21600,xe">
              <v:stroke joinstyle="miter"/>
              <v:path gradientshapeok="t" o:connecttype="rect"/>
            </v:shapetype>
            <v:shape id="_x0000_s1029" type="#_x0000_t202" style="position:absolute;margin-left:42.25pt;margin-top:4.8pt;width:138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" strokecolor="white">
              <v:textbox style="mso-fit-shape-to-text:t" inset="0,0,0,0">
                <w:txbxContent>
                  <w:p w14:paraId="57DE39C9" w14:textId="77777777" w:rsidR="00166759" w:rsidRPr="000F5A7E" w:rsidRDefault="00166759"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166759" w:rsidRPr="0017508C" w:rsidRDefault="00166759" w:rsidP="00B249D0">
                    <w:pPr>
                      <w:pStyle w:val="Intestazione"/>
                      <w:spacing w:line="200" w:lineRule="exact"/>
                      <w:rPr>
                        <w:rFonts w:ascii="Arial Narrow" w:hAnsi="Arial Narrow"/>
                        <w:b/>
                        <w:color w:val="999999"/>
                      </w:rPr>
                    </w:pPr>
                  </w:p>
                </w:txbxContent>
              </v:textbox>
            </v:shape>
          </w:pict>
        </mc:Fallback>
      </mc:AlternateContent>
    </w:r>
    <w:r w:rsidRPr="00287543">
      <w:rPr>
        <w:noProof/>
      </w:rPr>
      <w:drawing>
        <wp:inline distT="0" distB="0" distL="0" distR="0" wp14:anchorId="7EC9C5CB" wp14:editId="1DB5EB31">
          <wp:extent cx="6477000" cy="590550"/>
          <wp:effectExtent l="0" t="0" r="0" b="0"/>
          <wp:docPr id="11" name="Immagine 11"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4C4D9" w14:textId="77777777" w:rsidR="00166759" w:rsidRPr="009E5F03" w:rsidRDefault="00166759" w:rsidP="009E5F03">
    <w:pPr>
      <w:pStyle w:val="Intestazione"/>
    </w:pPr>
    <w:r>
      <w:rPr>
        <w:noProof/>
      </w:rPr>
      <mc:AlternateContent>
        <mc:Choice Requires="wps">
          <w:drawing>
            <wp:anchor distT="0" distB="0" distL="114300" distR="114300" simplePos="0" relativeHeight="251660288" behindDoc="0" locked="0" layoutInCell="1" allowOverlap="1" wp14:anchorId="670C86BF" wp14:editId="669A4652">
              <wp:simplePos x="0" y="0"/>
              <wp:positionH relativeFrom="column">
                <wp:posOffset>536575</wp:posOffset>
              </wp:positionH>
              <wp:positionV relativeFrom="paragraph">
                <wp:posOffset>60960</wp:posOffset>
              </wp:positionV>
              <wp:extent cx="1752600" cy="263525"/>
              <wp:effectExtent l="0" t="0" r="0" b="381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3525"/>
                      </a:xfrm>
                      <a:prstGeom prst="rect">
                        <a:avLst/>
                      </a:prstGeom>
                      <a:solidFill>
                        <a:srgbClr val="FFFFFF"/>
                      </a:solidFill>
                      <a:ln w="9525">
                        <a:solidFill>
                          <a:srgbClr val="FFFFFF"/>
                        </a:solidFill>
                        <a:miter lim="800000"/>
                        <a:headEnd/>
                        <a:tailEnd/>
                      </a:ln>
                    </wps:spPr>
                    <wps:txbx>
                      <w:txbxContent>
                        <w:p w14:paraId="0F39A46F" w14:textId="77777777" w:rsidR="00166759" w:rsidRPr="00E74CD4" w:rsidRDefault="00166759"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670C86BF" id="_x0000_t202" coordsize="21600,21600" o:spt="202" path="m,l,21600r21600,l21600,xe">
              <v:stroke joinstyle="miter"/>
              <v:path gradientshapeok="t" o:connecttype="rect"/>
            </v:shapetype>
            <v:shape id="_x0000_s1030" type="#_x0000_t202" style="position:absolute;margin-left:42.25pt;margin-top:4.8pt;width:13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" strokecolor="white">
              <v:textbox style="mso-fit-shape-to-text:t" inset="0,0,0,0">
                <w:txbxContent>
                  <w:p w14:paraId="0F39A46F" w14:textId="77777777" w:rsidR="00166759" w:rsidRPr="00E74CD4" w:rsidRDefault="00166759"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v:textbox>
            </v:shape>
          </w:pict>
        </mc:Fallback>
      </mc:AlternateContent>
    </w:r>
    <w:r>
      <w:rPr>
        <w:noProof/>
      </w:rPr>
      <w:drawing>
        <wp:inline distT="0" distB="0" distL="0" distR="0" wp14:anchorId="47889812" wp14:editId="5E3ED409">
          <wp:extent cx="6477000" cy="590550"/>
          <wp:effectExtent l="0" t="0" r="0" b="0"/>
          <wp:docPr id="21" name="Immagine 21" descr="iconeComunica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eComunicati-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CCA90" w14:textId="77777777" w:rsidR="00166759" w:rsidRPr="009E5F03" w:rsidRDefault="00166759" w:rsidP="009E5F03">
    <w:pPr>
      <w:pStyle w:val="Intestazione"/>
    </w:pPr>
    <w:r>
      <w:rPr>
        <w:noProof/>
      </w:rPr>
      <mc:AlternateContent>
        <mc:Choice Requires="wps">
          <w:drawing>
            <wp:anchor distT="0" distB="0" distL="114300" distR="114300" simplePos="0" relativeHeight="251655168" behindDoc="0" locked="0" layoutInCell="1" allowOverlap="1" wp14:anchorId="2B5953E2" wp14:editId="1CF3CD2F">
              <wp:simplePos x="0" y="0"/>
              <wp:positionH relativeFrom="column">
                <wp:posOffset>536575</wp:posOffset>
              </wp:positionH>
              <wp:positionV relativeFrom="paragraph">
                <wp:posOffset>60960</wp:posOffset>
              </wp:positionV>
              <wp:extent cx="196532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300BD506" w14:textId="77777777" w:rsidR="00166759" w:rsidRPr="00E74CD4" w:rsidRDefault="00166759"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166759" w:rsidRPr="00B81D29" w:rsidRDefault="00166759"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2B5953E2" id="_x0000_t202" coordsize="21600,21600" o:spt="202" path="m,l,21600r21600,l21600,xe">
              <v:stroke joinstyle="miter"/>
              <v:path gradientshapeok="t" o:connecttype="rect"/>
            </v:shapetype>
            <v:shape id="_x0000_s1031" type="#_x0000_t202" style="position:absolute;margin-left:42.25pt;margin-top:4.8pt;width:154.75pt;height:30.7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4HwDtB8CAABPBAAADgAAAAAAAAAAAAAAAAAuAgAAZHJzL2Uyb0RvYy54bWxQSwEC&#10;LQAUAAYACAAAACEAZ28GptwAAAAHAQAADwAAAAAAAAAAAAAAAAB5BAAAZHJzL2Rvd25yZXYueG1s&#10;UEsFBgAAAAAEAAQA8wAAAIIFAAAAAA==&#10;" strokecolor="white">
              <v:textbox style="mso-fit-shape-to-text:t" inset="0,0,0,0">
                <w:txbxContent>
                  <w:p w14:paraId="300BD506" w14:textId="77777777" w:rsidR="00166759" w:rsidRPr="00E74CD4" w:rsidRDefault="00166759"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166759" w:rsidRPr="00B81D29" w:rsidRDefault="00166759" w:rsidP="00B249D0">
                    <w:pPr>
                      <w:pStyle w:val="Intestazione"/>
                      <w:spacing w:line="200" w:lineRule="exact"/>
                      <w:rPr>
                        <w:rFonts w:ascii="Arial Narrow" w:hAnsi="Arial Narrow"/>
                        <w:b/>
                        <w:color w:val="808080"/>
                      </w:rPr>
                    </w:pPr>
                  </w:p>
                </w:txbxContent>
              </v:textbox>
            </v:shape>
          </w:pict>
        </mc:Fallback>
      </mc:AlternateContent>
    </w:r>
    <w:r w:rsidRPr="00670D3C">
      <w:rPr>
        <w:noProof/>
      </w:rPr>
      <w:drawing>
        <wp:inline distT="0" distB="0" distL="0" distR="0" wp14:anchorId="501353DF" wp14:editId="10857D03">
          <wp:extent cx="6477000" cy="590550"/>
          <wp:effectExtent l="0" t="0" r="0" b="0"/>
          <wp:docPr id="22" name="Immagine 22"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C4C28" w14:textId="77777777" w:rsidR="00166759" w:rsidRPr="009E5F03" w:rsidRDefault="00166759" w:rsidP="009E5F03">
    <w:pPr>
      <w:pStyle w:val="Intestazione"/>
    </w:pPr>
    <w:r>
      <w:rPr>
        <w:noProof/>
      </w:rPr>
      <mc:AlternateContent>
        <mc:Choice Requires="wps">
          <w:drawing>
            <wp:anchor distT="0" distB="0" distL="114300" distR="114300" simplePos="0" relativeHeight="251667456" behindDoc="0" locked="0" layoutInCell="1" allowOverlap="1" wp14:anchorId="283D027B" wp14:editId="4794F03D">
              <wp:simplePos x="0" y="0"/>
              <wp:positionH relativeFrom="column">
                <wp:posOffset>536575</wp:posOffset>
              </wp:positionH>
              <wp:positionV relativeFrom="paragraph">
                <wp:posOffset>60960</wp:posOffset>
              </wp:positionV>
              <wp:extent cx="1965325" cy="39052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0626CF6E" w14:textId="77777777" w:rsidR="00166759" w:rsidRPr="00E74CD4" w:rsidRDefault="00166759"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166759" w:rsidRPr="00B81D29" w:rsidRDefault="00166759"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283D027B" id="_x0000_t202" coordsize="21600,21600" o:spt="202" path="m,l,21600r21600,l21600,xe">
              <v:stroke joinstyle="miter"/>
              <v:path gradientshapeok="t" o:connecttype="rect"/>
            </v:shapetype>
            <v:shape id="_x0000_s1032" type="#_x0000_t202" style="position:absolute;margin-left:42.25pt;margin-top:4.8pt;width:154.75pt;height:3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" strokecolor="white">
              <v:textbox style="mso-fit-shape-to-text:t" inset="0,0,0,0">
                <w:txbxContent>
                  <w:p w14:paraId="0626CF6E" w14:textId="77777777" w:rsidR="002C489F" w:rsidRPr="00E74CD4" w:rsidRDefault="002C489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2C489F" w:rsidRPr="00B81D29" w:rsidRDefault="002C489F" w:rsidP="00B249D0">
                    <w:pPr>
                      <w:pStyle w:val="Intestazione"/>
                      <w:spacing w:line="200" w:lineRule="exact"/>
                      <w:rPr>
                        <w:rFonts w:ascii="Arial Narrow" w:hAnsi="Arial Narrow"/>
                        <w:b/>
                        <w:color w:val="808080"/>
                      </w:rPr>
                    </w:pPr>
                  </w:p>
                </w:txbxContent>
              </v:textbox>
            </v:shape>
          </w:pict>
        </mc:Fallback>
      </mc:AlternateContent>
    </w:r>
    <w:r w:rsidRPr="0052352C">
      <w:rPr>
        <w:noProof/>
      </w:rPr>
      <w:drawing>
        <wp:inline distT="0" distB="0" distL="0" distR="0" wp14:anchorId="37D13FE8" wp14:editId="718D88C3">
          <wp:extent cx="6477000" cy="590550"/>
          <wp:effectExtent l="0" t="0" r="0" b="0"/>
          <wp:docPr id="13" name="Immagine 13"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5pt;height:8.45pt" o:bullet="t">
        <v:imagedata r:id="rId1" o:title=""/>
      </v:shape>
    </w:pict>
  </w:numPicBullet>
  <w:numPicBullet w:numPicBulletId="1">
    <w:pict>
      <v:shape id="_x0000_i1031" type="#_x0000_t75" style="width:4.5pt;height:7.2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3B30D2B"/>
    <w:multiLevelType w:val="hybridMultilevel"/>
    <w:tmpl w:val="5CEC454A"/>
    <w:lvl w:ilvl="0" w:tplc="785E333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E056BD"/>
    <w:multiLevelType w:val="hybridMultilevel"/>
    <w:tmpl w:val="93188842"/>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5"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3B7600"/>
    <w:multiLevelType w:val="hybridMultilevel"/>
    <w:tmpl w:val="857A09D8"/>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41BE7B76"/>
    <w:lvl w:ilvl="0" w:tplc="C8782680">
      <w:start w:val="1"/>
      <w:numFmt w:val="bullet"/>
      <w:lvlText w:val=""/>
      <w:lvlJc w:val="left"/>
      <w:pPr>
        <w:ind w:left="360" w:hanging="360"/>
      </w:pPr>
      <w:rPr>
        <w:rFonts w:ascii="Wingdings" w:hAnsi="Wingdings"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EC4AD0"/>
    <w:multiLevelType w:val="multilevel"/>
    <w:tmpl w:val="781664CC"/>
    <w:lvl w:ilvl="0">
      <w:start w:val="1"/>
      <w:numFmt w:val="lowerLetter"/>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2" w15:restartNumberingAfterBreak="0">
    <w:nsid w:val="0B643584"/>
    <w:multiLevelType w:val="hybridMultilevel"/>
    <w:tmpl w:val="51E2D8B6"/>
    <w:lvl w:ilvl="0" w:tplc="46243AC4">
      <w:start w:val="1"/>
      <w:numFmt w:val="lowerLetter"/>
      <w:lvlText w:val="%1)"/>
      <w:lvlJc w:val="left"/>
      <w:pPr>
        <w:ind w:left="2517" w:hanging="360"/>
      </w:pPr>
      <w:rPr>
        <w:rFonts w:ascii="Arial" w:eastAsia="Times New Roman" w:hAnsi="Arial" w:cs="Arial"/>
      </w:r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3"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407BCC"/>
    <w:multiLevelType w:val="hybridMultilevel"/>
    <w:tmpl w:val="F20AF4D8"/>
    <w:lvl w:ilvl="0" w:tplc="5270E3B4">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5"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24545E"/>
    <w:multiLevelType w:val="hybridMultilevel"/>
    <w:tmpl w:val="2BE66A3A"/>
    <w:lvl w:ilvl="0" w:tplc="6888BADE">
      <w:start w:val="1"/>
      <w:numFmt w:val="bullet"/>
      <w:lvlText w:val=""/>
      <w:lvlJc w:val="left"/>
      <w:pPr>
        <w:tabs>
          <w:tab w:val="num" w:pos="340"/>
        </w:tabs>
      </w:pPr>
      <w:rPr>
        <w:rFonts w:ascii="Webdings" w:hAnsi="Webdings" w:hint="default"/>
        <w:b w:val="0"/>
        <w:i w:val="0"/>
        <w:color w:val="E42618"/>
        <w:spacing w:val="0"/>
        <w:sz w:val="24"/>
        <w:szCs w:val="18"/>
      </w:rPr>
    </w:lvl>
    <w:lvl w:ilvl="1" w:tplc="E8FCC02E">
      <w:start w:val="1"/>
      <w:numFmt w:val="bullet"/>
      <w:lvlText w:val="o"/>
      <w:lvlJc w:val="left"/>
      <w:pPr>
        <w:tabs>
          <w:tab w:val="num" w:pos="1440"/>
        </w:tabs>
        <w:ind w:left="1440" w:hanging="360"/>
      </w:pPr>
      <w:rPr>
        <w:rFonts w:ascii="Courier New" w:hAnsi="Courier New"/>
      </w:rPr>
    </w:lvl>
    <w:lvl w:ilvl="2" w:tplc="57B2E412">
      <w:start w:val="1"/>
      <w:numFmt w:val="bullet"/>
      <w:lvlText w:val=""/>
      <w:lvlJc w:val="left"/>
      <w:pPr>
        <w:tabs>
          <w:tab w:val="num" w:pos="2160"/>
        </w:tabs>
        <w:ind w:left="2160" w:hanging="360"/>
      </w:pPr>
      <w:rPr>
        <w:rFonts w:ascii="Wingdings" w:hAnsi="Wingdings"/>
      </w:rPr>
    </w:lvl>
    <w:lvl w:ilvl="3" w:tplc="31BA2B30">
      <w:start w:val="1"/>
      <w:numFmt w:val="bullet"/>
      <w:lvlText w:val=""/>
      <w:lvlJc w:val="left"/>
      <w:pPr>
        <w:tabs>
          <w:tab w:val="num" w:pos="2880"/>
        </w:tabs>
        <w:ind w:left="2880" w:hanging="360"/>
      </w:pPr>
      <w:rPr>
        <w:rFonts w:ascii="Symbol" w:hAnsi="Symbol"/>
      </w:rPr>
    </w:lvl>
    <w:lvl w:ilvl="4" w:tplc="2C2276D6">
      <w:start w:val="1"/>
      <w:numFmt w:val="bullet"/>
      <w:lvlText w:val="o"/>
      <w:lvlJc w:val="left"/>
      <w:pPr>
        <w:tabs>
          <w:tab w:val="num" w:pos="3600"/>
        </w:tabs>
        <w:ind w:left="3600" w:hanging="360"/>
      </w:pPr>
      <w:rPr>
        <w:rFonts w:ascii="Courier New" w:hAnsi="Courier New"/>
      </w:rPr>
    </w:lvl>
    <w:lvl w:ilvl="5" w:tplc="85BACC6E">
      <w:start w:val="1"/>
      <w:numFmt w:val="bullet"/>
      <w:lvlText w:val=""/>
      <w:lvlJc w:val="left"/>
      <w:pPr>
        <w:tabs>
          <w:tab w:val="num" w:pos="4320"/>
        </w:tabs>
        <w:ind w:left="4320" w:hanging="360"/>
      </w:pPr>
      <w:rPr>
        <w:rFonts w:ascii="Wingdings" w:hAnsi="Wingdings"/>
      </w:rPr>
    </w:lvl>
    <w:lvl w:ilvl="6" w:tplc="1F3EF924">
      <w:start w:val="1"/>
      <w:numFmt w:val="bullet"/>
      <w:lvlText w:val=""/>
      <w:lvlJc w:val="left"/>
      <w:pPr>
        <w:tabs>
          <w:tab w:val="num" w:pos="5040"/>
        </w:tabs>
        <w:ind w:left="5040" w:hanging="360"/>
      </w:pPr>
      <w:rPr>
        <w:rFonts w:ascii="Symbol" w:hAnsi="Symbol"/>
      </w:rPr>
    </w:lvl>
    <w:lvl w:ilvl="7" w:tplc="6D82A608">
      <w:start w:val="1"/>
      <w:numFmt w:val="bullet"/>
      <w:lvlText w:val="o"/>
      <w:lvlJc w:val="left"/>
      <w:pPr>
        <w:tabs>
          <w:tab w:val="num" w:pos="5760"/>
        </w:tabs>
        <w:ind w:left="5760" w:hanging="360"/>
      </w:pPr>
      <w:rPr>
        <w:rFonts w:ascii="Courier New" w:hAnsi="Courier New"/>
      </w:rPr>
    </w:lvl>
    <w:lvl w:ilvl="8" w:tplc="11E84114">
      <w:start w:val="1"/>
      <w:numFmt w:val="bullet"/>
      <w:lvlText w:val=""/>
      <w:lvlJc w:val="left"/>
      <w:pPr>
        <w:tabs>
          <w:tab w:val="num" w:pos="6480"/>
        </w:tabs>
        <w:ind w:left="6480" w:hanging="360"/>
      </w:pPr>
      <w:rPr>
        <w:rFonts w:ascii="Wingdings" w:hAnsi="Wingdings"/>
      </w:rPr>
    </w:lvl>
  </w:abstractNum>
  <w:abstractNum w:abstractNumId="17" w15:restartNumberingAfterBreak="0">
    <w:nsid w:val="1C424650"/>
    <w:multiLevelType w:val="hybridMultilevel"/>
    <w:tmpl w:val="4FC00012"/>
    <w:lvl w:ilvl="0" w:tplc="086C8314">
      <w:start w:val="1"/>
      <w:numFmt w:val="bullet"/>
      <w:lvlText w:val=""/>
      <w:lvlJc w:val="left"/>
      <w:pPr>
        <w:tabs>
          <w:tab w:val="num" w:pos="340"/>
        </w:tabs>
        <w:ind w:left="0" w:firstLine="0"/>
      </w:pPr>
      <w:rPr>
        <w:rFonts w:ascii="Wingdings" w:hAnsi="Wingdings" w:hint="default"/>
        <w:b w:val="0"/>
        <w:i w:val="0"/>
        <w:color w:val="E42618"/>
        <w:spacing w:val="0"/>
        <w:sz w:val="26"/>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9" w15:restartNumberingAfterBreak="0">
    <w:nsid w:val="21557202"/>
    <w:multiLevelType w:val="hybridMultilevel"/>
    <w:tmpl w:val="0A3276F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1"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8A6599"/>
    <w:multiLevelType w:val="hybridMultilevel"/>
    <w:tmpl w:val="B76E8456"/>
    <w:lvl w:ilvl="0" w:tplc="2B42CDCC">
      <w:start w:val="1"/>
      <w:numFmt w:val="bullet"/>
      <w:lvlText w:val=""/>
      <w:lvlJc w:val="left"/>
      <w:pPr>
        <w:tabs>
          <w:tab w:val="num" w:pos="340"/>
        </w:tabs>
      </w:pPr>
      <w:rPr>
        <w:rFonts w:ascii="Wingdings" w:hAnsi="Wingdings" w:hint="default"/>
        <w:b w:val="0"/>
        <w:i w:val="0"/>
        <w:color w:val="FF0000"/>
        <w:spacing w:val="0"/>
        <w:sz w:val="26"/>
      </w:rPr>
    </w:lvl>
    <w:lvl w:ilvl="1" w:tplc="BEA8D876">
      <w:start w:val="1"/>
      <w:numFmt w:val="bullet"/>
      <w:lvlText w:val="o"/>
      <w:lvlJc w:val="left"/>
      <w:pPr>
        <w:tabs>
          <w:tab w:val="num" w:pos="1440"/>
        </w:tabs>
        <w:ind w:left="1440" w:hanging="360"/>
      </w:pPr>
      <w:rPr>
        <w:rFonts w:ascii="Courier New" w:hAnsi="Courier New" w:hint="default"/>
      </w:rPr>
    </w:lvl>
    <w:lvl w:ilvl="2" w:tplc="CA689E7A">
      <w:start w:val="1"/>
      <w:numFmt w:val="bullet"/>
      <w:lvlText w:val=""/>
      <w:lvlJc w:val="left"/>
      <w:pPr>
        <w:tabs>
          <w:tab w:val="num" w:pos="2160"/>
        </w:tabs>
        <w:ind w:left="2160" w:hanging="360"/>
      </w:pPr>
      <w:rPr>
        <w:rFonts w:ascii="Wingdings" w:hAnsi="Wingdings" w:hint="default"/>
      </w:rPr>
    </w:lvl>
    <w:lvl w:ilvl="3" w:tplc="1B16916C">
      <w:start w:val="1"/>
      <w:numFmt w:val="bullet"/>
      <w:lvlText w:val=""/>
      <w:lvlJc w:val="left"/>
      <w:pPr>
        <w:tabs>
          <w:tab w:val="num" w:pos="2880"/>
        </w:tabs>
        <w:ind w:left="2880" w:hanging="360"/>
      </w:pPr>
      <w:rPr>
        <w:rFonts w:ascii="Symbol" w:hAnsi="Symbol" w:hint="default"/>
      </w:rPr>
    </w:lvl>
    <w:lvl w:ilvl="4" w:tplc="8584BC78">
      <w:start w:val="1"/>
      <w:numFmt w:val="bullet"/>
      <w:lvlText w:val="o"/>
      <w:lvlJc w:val="left"/>
      <w:pPr>
        <w:tabs>
          <w:tab w:val="num" w:pos="3600"/>
        </w:tabs>
        <w:ind w:left="3600" w:hanging="360"/>
      </w:pPr>
      <w:rPr>
        <w:rFonts w:ascii="Courier New" w:hAnsi="Courier New" w:hint="default"/>
      </w:rPr>
    </w:lvl>
    <w:lvl w:ilvl="5" w:tplc="FE628432">
      <w:start w:val="1"/>
      <w:numFmt w:val="bullet"/>
      <w:lvlText w:val=""/>
      <w:lvlJc w:val="left"/>
      <w:pPr>
        <w:tabs>
          <w:tab w:val="num" w:pos="4320"/>
        </w:tabs>
        <w:ind w:left="4320" w:hanging="360"/>
      </w:pPr>
      <w:rPr>
        <w:rFonts w:ascii="Wingdings" w:hAnsi="Wingdings" w:hint="default"/>
      </w:rPr>
    </w:lvl>
    <w:lvl w:ilvl="6" w:tplc="DA4E5C98">
      <w:start w:val="1"/>
      <w:numFmt w:val="bullet"/>
      <w:lvlText w:val=""/>
      <w:lvlJc w:val="left"/>
      <w:pPr>
        <w:tabs>
          <w:tab w:val="num" w:pos="5040"/>
        </w:tabs>
        <w:ind w:left="5040" w:hanging="360"/>
      </w:pPr>
      <w:rPr>
        <w:rFonts w:ascii="Symbol" w:hAnsi="Symbol" w:hint="default"/>
      </w:rPr>
    </w:lvl>
    <w:lvl w:ilvl="7" w:tplc="CF50E1B2">
      <w:start w:val="1"/>
      <w:numFmt w:val="bullet"/>
      <w:lvlText w:val="o"/>
      <w:lvlJc w:val="left"/>
      <w:pPr>
        <w:tabs>
          <w:tab w:val="num" w:pos="5760"/>
        </w:tabs>
        <w:ind w:left="5760" w:hanging="360"/>
      </w:pPr>
      <w:rPr>
        <w:rFonts w:ascii="Courier New" w:hAnsi="Courier New" w:hint="default"/>
      </w:rPr>
    </w:lvl>
    <w:lvl w:ilvl="8" w:tplc="E9CCC43E">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133F22"/>
    <w:multiLevelType w:val="hybridMultilevel"/>
    <w:tmpl w:val="07B4D620"/>
    <w:lvl w:ilvl="0" w:tplc="894A4710">
      <w:start w:val="1"/>
      <w:numFmt w:val="lowerLetter"/>
      <w:lvlText w:val="(%1)"/>
      <w:lvlJc w:val="left"/>
      <w:pPr>
        <w:tabs>
          <w:tab w:val="num" w:pos="2202"/>
        </w:tabs>
        <w:ind w:left="2202" w:hanging="360"/>
      </w:pPr>
      <w:rPr>
        <w:rFonts w:hint="default"/>
      </w:rPr>
    </w:lvl>
    <w:lvl w:ilvl="1" w:tplc="04100019" w:tentative="1">
      <w:start w:val="1"/>
      <w:numFmt w:val="lowerLetter"/>
      <w:lvlText w:val="%2."/>
      <w:lvlJc w:val="left"/>
      <w:pPr>
        <w:tabs>
          <w:tab w:val="num" w:pos="2922"/>
        </w:tabs>
        <w:ind w:left="2922" w:hanging="360"/>
      </w:pPr>
    </w:lvl>
    <w:lvl w:ilvl="2" w:tplc="0410001B" w:tentative="1">
      <w:start w:val="1"/>
      <w:numFmt w:val="lowerRoman"/>
      <w:lvlText w:val="%3."/>
      <w:lvlJc w:val="right"/>
      <w:pPr>
        <w:tabs>
          <w:tab w:val="num" w:pos="3642"/>
        </w:tabs>
        <w:ind w:left="3642" w:hanging="180"/>
      </w:pPr>
    </w:lvl>
    <w:lvl w:ilvl="3" w:tplc="0410000F" w:tentative="1">
      <w:start w:val="1"/>
      <w:numFmt w:val="decimal"/>
      <w:lvlText w:val="%4."/>
      <w:lvlJc w:val="left"/>
      <w:pPr>
        <w:tabs>
          <w:tab w:val="num" w:pos="4362"/>
        </w:tabs>
        <w:ind w:left="4362" w:hanging="360"/>
      </w:pPr>
    </w:lvl>
    <w:lvl w:ilvl="4" w:tplc="04100019" w:tentative="1">
      <w:start w:val="1"/>
      <w:numFmt w:val="lowerLetter"/>
      <w:lvlText w:val="%5."/>
      <w:lvlJc w:val="left"/>
      <w:pPr>
        <w:tabs>
          <w:tab w:val="num" w:pos="5082"/>
        </w:tabs>
        <w:ind w:left="5082" w:hanging="360"/>
      </w:pPr>
    </w:lvl>
    <w:lvl w:ilvl="5" w:tplc="0410001B" w:tentative="1">
      <w:start w:val="1"/>
      <w:numFmt w:val="lowerRoman"/>
      <w:lvlText w:val="%6."/>
      <w:lvlJc w:val="right"/>
      <w:pPr>
        <w:tabs>
          <w:tab w:val="num" w:pos="5802"/>
        </w:tabs>
        <w:ind w:left="5802" w:hanging="180"/>
      </w:pPr>
    </w:lvl>
    <w:lvl w:ilvl="6" w:tplc="0410000F" w:tentative="1">
      <w:start w:val="1"/>
      <w:numFmt w:val="decimal"/>
      <w:lvlText w:val="%7."/>
      <w:lvlJc w:val="left"/>
      <w:pPr>
        <w:tabs>
          <w:tab w:val="num" w:pos="6522"/>
        </w:tabs>
        <w:ind w:left="6522" w:hanging="360"/>
      </w:pPr>
    </w:lvl>
    <w:lvl w:ilvl="7" w:tplc="04100019" w:tentative="1">
      <w:start w:val="1"/>
      <w:numFmt w:val="lowerLetter"/>
      <w:lvlText w:val="%8."/>
      <w:lvlJc w:val="left"/>
      <w:pPr>
        <w:tabs>
          <w:tab w:val="num" w:pos="7242"/>
        </w:tabs>
        <w:ind w:left="7242" w:hanging="360"/>
      </w:pPr>
    </w:lvl>
    <w:lvl w:ilvl="8" w:tplc="0410001B" w:tentative="1">
      <w:start w:val="1"/>
      <w:numFmt w:val="lowerRoman"/>
      <w:lvlText w:val="%9."/>
      <w:lvlJc w:val="right"/>
      <w:pPr>
        <w:tabs>
          <w:tab w:val="num" w:pos="7962"/>
        </w:tabs>
        <w:ind w:left="7962" w:hanging="180"/>
      </w:p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D95BC4"/>
    <w:multiLevelType w:val="hybridMultilevel"/>
    <w:tmpl w:val="A086B6BA"/>
    <w:lvl w:ilvl="0" w:tplc="973C3CC0">
      <w:start w:val="1"/>
      <w:numFmt w:val="lowerLetter"/>
      <w:lvlText w:val="(%1)"/>
      <w:lvlJc w:val="left"/>
      <w:pPr>
        <w:ind w:left="420" w:hanging="360"/>
      </w:pPr>
      <w:rPr>
        <w:rFonts w:ascii="Arial Narrow" w:hAnsi="Arial Narrow" w:hint="default"/>
        <w:sz w:val="15"/>
        <w:szCs w:val="15"/>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03F6CFD"/>
    <w:multiLevelType w:val="hybridMultilevel"/>
    <w:tmpl w:val="DB5CFE1A"/>
    <w:lvl w:ilvl="0" w:tplc="A8762A92">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6526AED"/>
    <w:multiLevelType w:val="hybridMultilevel"/>
    <w:tmpl w:val="F10A9D34"/>
    <w:lvl w:ilvl="0" w:tplc="680C282C">
      <w:start w:val="1"/>
      <w:numFmt w:val="bullet"/>
      <w:lvlText w:val="n"/>
      <w:lvlJc w:val="left"/>
      <w:pPr>
        <w:tabs>
          <w:tab w:val="num" w:pos="360"/>
        </w:tabs>
        <w:ind w:left="360" w:hanging="360"/>
      </w:pPr>
      <w:rPr>
        <w:rFonts w:ascii="Wingdings" w:hAnsi="Wingdings" w:hint="default"/>
        <w:color w:val="E42618"/>
        <w:sz w:val="24"/>
        <w:szCs w:val="24"/>
      </w:rPr>
    </w:lvl>
    <w:lvl w:ilvl="1" w:tplc="E7AC5A20">
      <w:start w:val="1"/>
      <w:numFmt w:val="bullet"/>
      <w:lvlText w:val=""/>
      <w:lvlJc w:val="left"/>
      <w:pPr>
        <w:tabs>
          <w:tab w:val="num" w:pos="1440"/>
        </w:tabs>
        <w:ind w:left="1440" w:hanging="360"/>
      </w:pPr>
      <w:rPr>
        <w:rFonts w:ascii="Symbol" w:hAnsi="Symbol"/>
      </w:rPr>
    </w:lvl>
    <w:lvl w:ilvl="2" w:tplc="050AAA86">
      <w:start w:val="1"/>
      <w:numFmt w:val="bullet"/>
      <w:lvlText w:val=""/>
      <w:lvlJc w:val="left"/>
      <w:pPr>
        <w:tabs>
          <w:tab w:val="num" w:pos="2160"/>
        </w:tabs>
        <w:ind w:left="2160" w:hanging="360"/>
      </w:pPr>
      <w:rPr>
        <w:rFonts w:ascii="Symbol" w:hAnsi="Symbol"/>
      </w:rPr>
    </w:lvl>
    <w:lvl w:ilvl="3" w:tplc="8B3E2E4E">
      <w:start w:val="1"/>
      <w:numFmt w:val="bullet"/>
      <w:lvlText w:val=""/>
      <w:lvlJc w:val="left"/>
      <w:pPr>
        <w:tabs>
          <w:tab w:val="num" w:pos="2880"/>
        </w:tabs>
        <w:ind w:left="2880" w:hanging="360"/>
      </w:pPr>
      <w:rPr>
        <w:rFonts w:ascii="Symbol" w:hAnsi="Symbol"/>
      </w:rPr>
    </w:lvl>
    <w:lvl w:ilvl="4" w:tplc="D36450B0">
      <w:start w:val="1"/>
      <w:numFmt w:val="bullet"/>
      <w:lvlText w:val=""/>
      <w:lvlJc w:val="left"/>
      <w:pPr>
        <w:tabs>
          <w:tab w:val="num" w:pos="3600"/>
        </w:tabs>
        <w:ind w:left="3600" w:hanging="360"/>
      </w:pPr>
      <w:rPr>
        <w:rFonts w:ascii="Symbol" w:hAnsi="Symbol"/>
      </w:rPr>
    </w:lvl>
    <w:lvl w:ilvl="5" w:tplc="EB62B692">
      <w:start w:val="1"/>
      <w:numFmt w:val="bullet"/>
      <w:lvlText w:val=""/>
      <w:lvlJc w:val="left"/>
      <w:pPr>
        <w:tabs>
          <w:tab w:val="num" w:pos="4320"/>
        </w:tabs>
        <w:ind w:left="4320" w:hanging="360"/>
      </w:pPr>
      <w:rPr>
        <w:rFonts w:ascii="Symbol" w:hAnsi="Symbol"/>
      </w:rPr>
    </w:lvl>
    <w:lvl w:ilvl="6" w:tplc="A796B456">
      <w:start w:val="1"/>
      <w:numFmt w:val="bullet"/>
      <w:lvlText w:val=""/>
      <w:lvlJc w:val="left"/>
      <w:pPr>
        <w:tabs>
          <w:tab w:val="num" w:pos="5040"/>
        </w:tabs>
        <w:ind w:left="5040" w:hanging="360"/>
      </w:pPr>
      <w:rPr>
        <w:rFonts w:ascii="Symbol" w:hAnsi="Symbol"/>
      </w:rPr>
    </w:lvl>
    <w:lvl w:ilvl="7" w:tplc="F144444C">
      <w:start w:val="1"/>
      <w:numFmt w:val="bullet"/>
      <w:lvlText w:val=""/>
      <w:lvlJc w:val="left"/>
      <w:pPr>
        <w:tabs>
          <w:tab w:val="num" w:pos="5760"/>
        </w:tabs>
        <w:ind w:left="5760" w:hanging="360"/>
      </w:pPr>
      <w:rPr>
        <w:rFonts w:ascii="Symbol" w:hAnsi="Symbol"/>
      </w:rPr>
    </w:lvl>
    <w:lvl w:ilvl="8" w:tplc="AC58295C">
      <w:start w:val="1"/>
      <w:numFmt w:val="bullet"/>
      <w:lvlText w:val=""/>
      <w:lvlJc w:val="left"/>
      <w:pPr>
        <w:tabs>
          <w:tab w:val="num" w:pos="6480"/>
        </w:tabs>
        <w:ind w:left="6480" w:hanging="360"/>
      </w:pPr>
      <w:rPr>
        <w:rFonts w:ascii="Symbol" w:hAnsi="Symbol"/>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52F30A1F"/>
    <w:multiLevelType w:val="hybridMultilevel"/>
    <w:tmpl w:val="02607124"/>
    <w:lvl w:ilvl="0" w:tplc="04090001">
      <w:start w:val="1"/>
      <w:numFmt w:val="bullet"/>
      <w:lvlText w:val=""/>
      <w:lvlJc w:val="left"/>
      <w:pPr>
        <w:ind w:left="2534" w:hanging="360"/>
      </w:pPr>
      <w:rPr>
        <w:rFonts w:ascii="Symbol" w:hAnsi="Symbol" w:hint="default"/>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33" w15:restartNumberingAfterBreak="0">
    <w:nsid w:val="549A678C"/>
    <w:multiLevelType w:val="hybridMultilevel"/>
    <w:tmpl w:val="7EFE57B6"/>
    <w:lvl w:ilvl="0" w:tplc="7ED098F6">
      <w:start w:val="1"/>
      <w:numFmt w:val="lowerLetter"/>
      <w:lvlText w:val="%1)"/>
      <w:lvlJc w:val="left"/>
      <w:pPr>
        <w:ind w:left="25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20E061A"/>
    <w:multiLevelType w:val="multilevel"/>
    <w:tmpl w:val="A14EDF6A"/>
    <w:lvl w:ilvl="0">
      <w:start w:val="1"/>
      <w:numFmt w:val="lowerLetter"/>
      <w:lvlText w:val="(%1)"/>
      <w:lvlJc w:val="left"/>
      <w:pPr>
        <w:tabs>
          <w:tab w:val="num" w:pos="1980"/>
        </w:tabs>
        <w:ind w:left="19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1F92649"/>
    <w:multiLevelType w:val="hybridMultilevel"/>
    <w:tmpl w:val="1644907C"/>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7"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num w:numId="1">
    <w:abstractNumId w:val="15"/>
  </w:num>
  <w:num w:numId="2">
    <w:abstractNumId w:val="27"/>
  </w:num>
  <w:num w:numId="3">
    <w:abstractNumId w:val="31"/>
  </w:num>
  <w:num w:numId="4">
    <w:abstractNumId w:val="6"/>
  </w:num>
  <w:num w:numId="5">
    <w:abstractNumId w:val="20"/>
  </w:num>
  <w:num w:numId="6">
    <w:abstractNumId w:val="5"/>
  </w:num>
  <w:num w:numId="7">
    <w:abstractNumId w:val="0"/>
  </w:num>
  <w:num w:numId="8">
    <w:abstractNumId w:val="21"/>
  </w:num>
  <w:num w:numId="9">
    <w:abstractNumId w:val="28"/>
  </w:num>
  <w:num w:numId="10">
    <w:abstractNumId w:val="11"/>
  </w:num>
  <w:num w:numId="11">
    <w:abstractNumId w:val="26"/>
  </w:num>
  <w:num w:numId="12">
    <w:abstractNumId w:val="2"/>
  </w:num>
  <w:num w:numId="13">
    <w:abstractNumId w:val="35"/>
  </w:num>
  <w:num w:numId="14">
    <w:abstractNumId w:val="8"/>
  </w:num>
  <w:num w:numId="15">
    <w:abstractNumId w:val="37"/>
  </w:num>
  <w:num w:numId="16">
    <w:abstractNumId w:val="13"/>
  </w:num>
  <w:num w:numId="17">
    <w:abstractNumId w:val="24"/>
  </w:num>
  <w:num w:numId="18">
    <w:abstractNumId w:val="1"/>
  </w:num>
  <w:num w:numId="19">
    <w:abstractNumId w:val="17"/>
  </w:num>
  <w:num w:numId="20">
    <w:abstractNumId w:val="30"/>
  </w:num>
  <w:num w:numId="21">
    <w:abstractNumId w:val="9"/>
  </w:num>
  <w:num w:numId="22">
    <w:abstractNumId w:val="29"/>
  </w:num>
  <w:num w:numId="23">
    <w:abstractNumId w:val="34"/>
  </w:num>
  <w:num w:numId="24">
    <w:abstractNumId w:val="23"/>
  </w:num>
  <w:num w:numId="25">
    <w:abstractNumId w:val="10"/>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2"/>
  </w:num>
  <w:num w:numId="29">
    <w:abstractNumId w:val="14"/>
  </w:num>
  <w:num w:numId="30">
    <w:abstractNumId w:val="12"/>
  </w:num>
  <w:num w:numId="31">
    <w:abstractNumId w:val="4"/>
  </w:num>
  <w:num w:numId="32">
    <w:abstractNumId w:val="36"/>
  </w:num>
  <w:num w:numId="33">
    <w:abstractNumId w:val="7"/>
  </w:num>
  <w:num w:numId="34">
    <w:abstractNumId w:val="32"/>
  </w:num>
  <w:num w:numId="35">
    <w:abstractNumId w:val="16"/>
  </w:num>
  <w:num w:numId="36">
    <w:abstractNumId w:val="19"/>
  </w:num>
  <w:num w:numId="37">
    <w:abstractNumId w:val="3"/>
  </w:num>
  <w:num w:numId="38">
    <w:abstractNumId w:val="25"/>
  </w:num>
  <w:num w:numId="3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1C"/>
    <w:rsid w:val="000000E6"/>
    <w:rsid w:val="00000148"/>
    <w:rsid w:val="00000728"/>
    <w:rsid w:val="000008B7"/>
    <w:rsid w:val="00000A07"/>
    <w:rsid w:val="00000B94"/>
    <w:rsid w:val="00001548"/>
    <w:rsid w:val="000015D1"/>
    <w:rsid w:val="00001605"/>
    <w:rsid w:val="00001C85"/>
    <w:rsid w:val="000020B7"/>
    <w:rsid w:val="0000242C"/>
    <w:rsid w:val="000026DF"/>
    <w:rsid w:val="00002F2D"/>
    <w:rsid w:val="000034C8"/>
    <w:rsid w:val="00003834"/>
    <w:rsid w:val="000039B0"/>
    <w:rsid w:val="00003AAA"/>
    <w:rsid w:val="00003AB5"/>
    <w:rsid w:val="00003AD9"/>
    <w:rsid w:val="00003F46"/>
    <w:rsid w:val="00003F7B"/>
    <w:rsid w:val="000041BD"/>
    <w:rsid w:val="000043D5"/>
    <w:rsid w:val="00004794"/>
    <w:rsid w:val="000049DD"/>
    <w:rsid w:val="00004CF5"/>
    <w:rsid w:val="00004DDD"/>
    <w:rsid w:val="00004DF3"/>
    <w:rsid w:val="00004E38"/>
    <w:rsid w:val="0000500C"/>
    <w:rsid w:val="000054F2"/>
    <w:rsid w:val="00005A6B"/>
    <w:rsid w:val="00006709"/>
    <w:rsid w:val="0000683C"/>
    <w:rsid w:val="000068CA"/>
    <w:rsid w:val="00006A17"/>
    <w:rsid w:val="00006DB7"/>
    <w:rsid w:val="00006E53"/>
    <w:rsid w:val="00007042"/>
    <w:rsid w:val="0000740E"/>
    <w:rsid w:val="000077FA"/>
    <w:rsid w:val="00007876"/>
    <w:rsid w:val="00010006"/>
    <w:rsid w:val="00010041"/>
    <w:rsid w:val="000101B6"/>
    <w:rsid w:val="0001021B"/>
    <w:rsid w:val="000102D5"/>
    <w:rsid w:val="00010573"/>
    <w:rsid w:val="0001089C"/>
    <w:rsid w:val="000108ED"/>
    <w:rsid w:val="00010957"/>
    <w:rsid w:val="0001097F"/>
    <w:rsid w:val="000109E3"/>
    <w:rsid w:val="00010A46"/>
    <w:rsid w:val="00010B15"/>
    <w:rsid w:val="00010B3C"/>
    <w:rsid w:val="00010B8D"/>
    <w:rsid w:val="00010C7B"/>
    <w:rsid w:val="00010D06"/>
    <w:rsid w:val="00011270"/>
    <w:rsid w:val="000113F8"/>
    <w:rsid w:val="00011473"/>
    <w:rsid w:val="00011610"/>
    <w:rsid w:val="0001181A"/>
    <w:rsid w:val="000119A0"/>
    <w:rsid w:val="00011A51"/>
    <w:rsid w:val="00011DC6"/>
    <w:rsid w:val="00011EAF"/>
    <w:rsid w:val="00011F76"/>
    <w:rsid w:val="00012364"/>
    <w:rsid w:val="0001244E"/>
    <w:rsid w:val="00012499"/>
    <w:rsid w:val="0001283C"/>
    <w:rsid w:val="0001287A"/>
    <w:rsid w:val="00012A11"/>
    <w:rsid w:val="00012FD3"/>
    <w:rsid w:val="0001319C"/>
    <w:rsid w:val="000134A3"/>
    <w:rsid w:val="0001357A"/>
    <w:rsid w:val="000135AB"/>
    <w:rsid w:val="00013751"/>
    <w:rsid w:val="00013995"/>
    <w:rsid w:val="00013A1E"/>
    <w:rsid w:val="00013F41"/>
    <w:rsid w:val="00014269"/>
    <w:rsid w:val="000142DC"/>
    <w:rsid w:val="000146B3"/>
    <w:rsid w:val="00014863"/>
    <w:rsid w:val="00014927"/>
    <w:rsid w:val="0001494F"/>
    <w:rsid w:val="000152B4"/>
    <w:rsid w:val="00015517"/>
    <w:rsid w:val="0001561A"/>
    <w:rsid w:val="00015D22"/>
    <w:rsid w:val="00015DAF"/>
    <w:rsid w:val="00015EAD"/>
    <w:rsid w:val="00016024"/>
    <w:rsid w:val="0001638E"/>
    <w:rsid w:val="000167F5"/>
    <w:rsid w:val="00016974"/>
    <w:rsid w:val="00016B13"/>
    <w:rsid w:val="00016C00"/>
    <w:rsid w:val="00016C6A"/>
    <w:rsid w:val="00017353"/>
    <w:rsid w:val="0001745D"/>
    <w:rsid w:val="00017951"/>
    <w:rsid w:val="000204CC"/>
    <w:rsid w:val="000204D8"/>
    <w:rsid w:val="000205CA"/>
    <w:rsid w:val="0002065A"/>
    <w:rsid w:val="000208F9"/>
    <w:rsid w:val="000211AD"/>
    <w:rsid w:val="000213E2"/>
    <w:rsid w:val="00021652"/>
    <w:rsid w:val="0002181D"/>
    <w:rsid w:val="00021B34"/>
    <w:rsid w:val="00022197"/>
    <w:rsid w:val="00022763"/>
    <w:rsid w:val="000228CB"/>
    <w:rsid w:val="000233BC"/>
    <w:rsid w:val="000235FB"/>
    <w:rsid w:val="00023D90"/>
    <w:rsid w:val="00024050"/>
    <w:rsid w:val="000241B7"/>
    <w:rsid w:val="00024BDA"/>
    <w:rsid w:val="00024DBE"/>
    <w:rsid w:val="000250BC"/>
    <w:rsid w:val="0002515C"/>
    <w:rsid w:val="0002519B"/>
    <w:rsid w:val="00025294"/>
    <w:rsid w:val="000253FD"/>
    <w:rsid w:val="000254AC"/>
    <w:rsid w:val="0002574E"/>
    <w:rsid w:val="000257C6"/>
    <w:rsid w:val="00025822"/>
    <w:rsid w:val="00025AA7"/>
    <w:rsid w:val="00025C48"/>
    <w:rsid w:val="00026495"/>
    <w:rsid w:val="000266A7"/>
    <w:rsid w:val="000271F4"/>
    <w:rsid w:val="00027F95"/>
    <w:rsid w:val="00027FBC"/>
    <w:rsid w:val="000305B0"/>
    <w:rsid w:val="00030AB8"/>
    <w:rsid w:val="00030BEE"/>
    <w:rsid w:val="00030C3A"/>
    <w:rsid w:val="00030D02"/>
    <w:rsid w:val="00030DD9"/>
    <w:rsid w:val="0003114F"/>
    <w:rsid w:val="00031258"/>
    <w:rsid w:val="00031311"/>
    <w:rsid w:val="000317E1"/>
    <w:rsid w:val="00031864"/>
    <w:rsid w:val="00031934"/>
    <w:rsid w:val="00031C2E"/>
    <w:rsid w:val="00031E4E"/>
    <w:rsid w:val="000320B7"/>
    <w:rsid w:val="0003236F"/>
    <w:rsid w:val="00032A4E"/>
    <w:rsid w:val="00032BB1"/>
    <w:rsid w:val="00033432"/>
    <w:rsid w:val="00033801"/>
    <w:rsid w:val="0003391B"/>
    <w:rsid w:val="000344D7"/>
    <w:rsid w:val="00034CCB"/>
    <w:rsid w:val="00034D9C"/>
    <w:rsid w:val="00034E73"/>
    <w:rsid w:val="00034F28"/>
    <w:rsid w:val="0003502D"/>
    <w:rsid w:val="000350E3"/>
    <w:rsid w:val="00035164"/>
    <w:rsid w:val="0003517C"/>
    <w:rsid w:val="000352CC"/>
    <w:rsid w:val="00035555"/>
    <w:rsid w:val="00035837"/>
    <w:rsid w:val="0003608C"/>
    <w:rsid w:val="0003629C"/>
    <w:rsid w:val="000363D3"/>
    <w:rsid w:val="000366BA"/>
    <w:rsid w:val="0003704B"/>
    <w:rsid w:val="00037BBD"/>
    <w:rsid w:val="00037F26"/>
    <w:rsid w:val="0004002D"/>
    <w:rsid w:val="00040033"/>
    <w:rsid w:val="000402DE"/>
    <w:rsid w:val="00040619"/>
    <w:rsid w:val="00041081"/>
    <w:rsid w:val="000410DD"/>
    <w:rsid w:val="00041445"/>
    <w:rsid w:val="000418D6"/>
    <w:rsid w:val="00041D3A"/>
    <w:rsid w:val="00041D56"/>
    <w:rsid w:val="00041DD2"/>
    <w:rsid w:val="00041DDD"/>
    <w:rsid w:val="00041DEF"/>
    <w:rsid w:val="0004257E"/>
    <w:rsid w:val="000425DB"/>
    <w:rsid w:val="00042B16"/>
    <w:rsid w:val="00042D21"/>
    <w:rsid w:val="00042E71"/>
    <w:rsid w:val="00042F77"/>
    <w:rsid w:val="000433C2"/>
    <w:rsid w:val="0004346C"/>
    <w:rsid w:val="000437DE"/>
    <w:rsid w:val="00043C45"/>
    <w:rsid w:val="00043C67"/>
    <w:rsid w:val="00043F9E"/>
    <w:rsid w:val="000445F5"/>
    <w:rsid w:val="0004471F"/>
    <w:rsid w:val="00044806"/>
    <w:rsid w:val="00044845"/>
    <w:rsid w:val="0004496E"/>
    <w:rsid w:val="00044B3D"/>
    <w:rsid w:val="00044BA2"/>
    <w:rsid w:val="00044D3A"/>
    <w:rsid w:val="0004504F"/>
    <w:rsid w:val="000452A7"/>
    <w:rsid w:val="000455A6"/>
    <w:rsid w:val="00045656"/>
    <w:rsid w:val="000456DB"/>
    <w:rsid w:val="000457A7"/>
    <w:rsid w:val="00045BC9"/>
    <w:rsid w:val="000462ED"/>
    <w:rsid w:val="00046645"/>
    <w:rsid w:val="00046668"/>
    <w:rsid w:val="00046881"/>
    <w:rsid w:val="00046950"/>
    <w:rsid w:val="00046AF5"/>
    <w:rsid w:val="000474A3"/>
    <w:rsid w:val="000474EA"/>
    <w:rsid w:val="000478E6"/>
    <w:rsid w:val="0004797F"/>
    <w:rsid w:val="000479D4"/>
    <w:rsid w:val="00047CCE"/>
    <w:rsid w:val="00047E42"/>
    <w:rsid w:val="00047EA6"/>
    <w:rsid w:val="00050117"/>
    <w:rsid w:val="00050441"/>
    <w:rsid w:val="00050489"/>
    <w:rsid w:val="00050496"/>
    <w:rsid w:val="000508D1"/>
    <w:rsid w:val="00050B87"/>
    <w:rsid w:val="00051081"/>
    <w:rsid w:val="000512D1"/>
    <w:rsid w:val="0005132D"/>
    <w:rsid w:val="0005182E"/>
    <w:rsid w:val="00051CCA"/>
    <w:rsid w:val="00051D92"/>
    <w:rsid w:val="00051E6A"/>
    <w:rsid w:val="00051FC2"/>
    <w:rsid w:val="000525CE"/>
    <w:rsid w:val="00052A04"/>
    <w:rsid w:val="00052D6F"/>
    <w:rsid w:val="0005317F"/>
    <w:rsid w:val="00053471"/>
    <w:rsid w:val="000537BB"/>
    <w:rsid w:val="00053850"/>
    <w:rsid w:val="000538A1"/>
    <w:rsid w:val="000541C7"/>
    <w:rsid w:val="00054645"/>
    <w:rsid w:val="00054A4F"/>
    <w:rsid w:val="00054ACA"/>
    <w:rsid w:val="00054B66"/>
    <w:rsid w:val="00054E68"/>
    <w:rsid w:val="0005548B"/>
    <w:rsid w:val="0005548D"/>
    <w:rsid w:val="000557ED"/>
    <w:rsid w:val="00055990"/>
    <w:rsid w:val="00055CB6"/>
    <w:rsid w:val="00055E26"/>
    <w:rsid w:val="00056137"/>
    <w:rsid w:val="00056138"/>
    <w:rsid w:val="000565A3"/>
    <w:rsid w:val="00056612"/>
    <w:rsid w:val="00056635"/>
    <w:rsid w:val="000567BC"/>
    <w:rsid w:val="000569E0"/>
    <w:rsid w:val="00056DA9"/>
    <w:rsid w:val="00056EEF"/>
    <w:rsid w:val="00057588"/>
    <w:rsid w:val="00057640"/>
    <w:rsid w:val="000578A2"/>
    <w:rsid w:val="00057CB1"/>
    <w:rsid w:val="00060045"/>
    <w:rsid w:val="00060073"/>
    <w:rsid w:val="00060194"/>
    <w:rsid w:val="0006043F"/>
    <w:rsid w:val="0006068C"/>
    <w:rsid w:val="00060769"/>
    <w:rsid w:val="000607A6"/>
    <w:rsid w:val="00061253"/>
    <w:rsid w:val="00061378"/>
    <w:rsid w:val="0006148E"/>
    <w:rsid w:val="00061580"/>
    <w:rsid w:val="000617F3"/>
    <w:rsid w:val="000617FF"/>
    <w:rsid w:val="00061BEA"/>
    <w:rsid w:val="00061DC7"/>
    <w:rsid w:val="00061E48"/>
    <w:rsid w:val="00061E67"/>
    <w:rsid w:val="00061EE4"/>
    <w:rsid w:val="000620FB"/>
    <w:rsid w:val="000621DF"/>
    <w:rsid w:val="00062354"/>
    <w:rsid w:val="00062437"/>
    <w:rsid w:val="000629AB"/>
    <w:rsid w:val="00062C7C"/>
    <w:rsid w:val="00062E45"/>
    <w:rsid w:val="00063308"/>
    <w:rsid w:val="000635F7"/>
    <w:rsid w:val="00063D28"/>
    <w:rsid w:val="000641F8"/>
    <w:rsid w:val="000643F7"/>
    <w:rsid w:val="00064404"/>
    <w:rsid w:val="000646B8"/>
    <w:rsid w:val="00064936"/>
    <w:rsid w:val="00064E2A"/>
    <w:rsid w:val="00065001"/>
    <w:rsid w:val="00065319"/>
    <w:rsid w:val="0006537C"/>
    <w:rsid w:val="000653E1"/>
    <w:rsid w:val="00065467"/>
    <w:rsid w:val="00065496"/>
    <w:rsid w:val="000657E2"/>
    <w:rsid w:val="00065B83"/>
    <w:rsid w:val="000662FB"/>
    <w:rsid w:val="0006665B"/>
    <w:rsid w:val="0006690F"/>
    <w:rsid w:val="00067292"/>
    <w:rsid w:val="00067430"/>
    <w:rsid w:val="000674B5"/>
    <w:rsid w:val="0006757F"/>
    <w:rsid w:val="00067AB5"/>
    <w:rsid w:val="00067F81"/>
    <w:rsid w:val="00070718"/>
    <w:rsid w:val="0007076D"/>
    <w:rsid w:val="000708D3"/>
    <w:rsid w:val="00070B2A"/>
    <w:rsid w:val="00070E18"/>
    <w:rsid w:val="00070F2A"/>
    <w:rsid w:val="00071DBD"/>
    <w:rsid w:val="00071EFA"/>
    <w:rsid w:val="000720F5"/>
    <w:rsid w:val="000720F8"/>
    <w:rsid w:val="00072142"/>
    <w:rsid w:val="00072711"/>
    <w:rsid w:val="00072728"/>
    <w:rsid w:val="000727B5"/>
    <w:rsid w:val="00072B3F"/>
    <w:rsid w:val="00072BE2"/>
    <w:rsid w:val="00072C03"/>
    <w:rsid w:val="00072DD4"/>
    <w:rsid w:val="00073223"/>
    <w:rsid w:val="000732DF"/>
    <w:rsid w:val="000732FD"/>
    <w:rsid w:val="0007358E"/>
    <w:rsid w:val="00073792"/>
    <w:rsid w:val="00073872"/>
    <w:rsid w:val="00073A89"/>
    <w:rsid w:val="00073D34"/>
    <w:rsid w:val="00073F42"/>
    <w:rsid w:val="00073FA9"/>
    <w:rsid w:val="00074665"/>
    <w:rsid w:val="000746D5"/>
    <w:rsid w:val="00074709"/>
    <w:rsid w:val="000749B9"/>
    <w:rsid w:val="00074D11"/>
    <w:rsid w:val="00074DA1"/>
    <w:rsid w:val="000754FC"/>
    <w:rsid w:val="000755F9"/>
    <w:rsid w:val="000756DF"/>
    <w:rsid w:val="00075941"/>
    <w:rsid w:val="00075CC6"/>
    <w:rsid w:val="00075E7A"/>
    <w:rsid w:val="0007633F"/>
    <w:rsid w:val="000764A2"/>
    <w:rsid w:val="0007650D"/>
    <w:rsid w:val="000765B6"/>
    <w:rsid w:val="00076C27"/>
    <w:rsid w:val="00076D5D"/>
    <w:rsid w:val="00076DE8"/>
    <w:rsid w:val="0007706A"/>
    <w:rsid w:val="00077534"/>
    <w:rsid w:val="0007754A"/>
    <w:rsid w:val="00077592"/>
    <w:rsid w:val="0007778B"/>
    <w:rsid w:val="000778A2"/>
    <w:rsid w:val="00077E7D"/>
    <w:rsid w:val="00080263"/>
    <w:rsid w:val="000803AD"/>
    <w:rsid w:val="000806D4"/>
    <w:rsid w:val="00080736"/>
    <w:rsid w:val="00080844"/>
    <w:rsid w:val="000808E3"/>
    <w:rsid w:val="00080B60"/>
    <w:rsid w:val="00080F62"/>
    <w:rsid w:val="000811D8"/>
    <w:rsid w:val="000817F5"/>
    <w:rsid w:val="000818DD"/>
    <w:rsid w:val="000819D4"/>
    <w:rsid w:val="000828E6"/>
    <w:rsid w:val="000829B6"/>
    <w:rsid w:val="000829D1"/>
    <w:rsid w:val="00082A62"/>
    <w:rsid w:val="00082D10"/>
    <w:rsid w:val="00082E1E"/>
    <w:rsid w:val="00083173"/>
    <w:rsid w:val="00083421"/>
    <w:rsid w:val="00083429"/>
    <w:rsid w:val="00083FA8"/>
    <w:rsid w:val="00083FE3"/>
    <w:rsid w:val="0008411D"/>
    <w:rsid w:val="00084387"/>
    <w:rsid w:val="00084761"/>
    <w:rsid w:val="000849DF"/>
    <w:rsid w:val="00084AF6"/>
    <w:rsid w:val="00084E02"/>
    <w:rsid w:val="00084EA2"/>
    <w:rsid w:val="00084EE6"/>
    <w:rsid w:val="00084F63"/>
    <w:rsid w:val="0008506C"/>
    <w:rsid w:val="0008524E"/>
    <w:rsid w:val="0008527C"/>
    <w:rsid w:val="0008545A"/>
    <w:rsid w:val="00085AC2"/>
    <w:rsid w:val="00085AFD"/>
    <w:rsid w:val="00085BC7"/>
    <w:rsid w:val="00085C51"/>
    <w:rsid w:val="00085D7F"/>
    <w:rsid w:val="00085E26"/>
    <w:rsid w:val="0008600B"/>
    <w:rsid w:val="0008600F"/>
    <w:rsid w:val="00086154"/>
    <w:rsid w:val="000868F5"/>
    <w:rsid w:val="00086C43"/>
    <w:rsid w:val="00086C83"/>
    <w:rsid w:val="000873CD"/>
    <w:rsid w:val="000873E7"/>
    <w:rsid w:val="000876D8"/>
    <w:rsid w:val="000876FA"/>
    <w:rsid w:val="00087774"/>
    <w:rsid w:val="00087BB3"/>
    <w:rsid w:val="00087C9E"/>
    <w:rsid w:val="0009016A"/>
    <w:rsid w:val="000901BC"/>
    <w:rsid w:val="000909B9"/>
    <w:rsid w:val="00090A07"/>
    <w:rsid w:val="00090B9F"/>
    <w:rsid w:val="00090D41"/>
    <w:rsid w:val="00090DE6"/>
    <w:rsid w:val="00090F1B"/>
    <w:rsid w:val="0009127D"/>
    <w:rsid w:val="00091382"/>
    <w:rsid w:val="000917F4"/>
    <w:rsid w:val="00091AA3"/>
    <w:rsid w:val="00091AFB"/>
    <w:rsid w:val="00091D57"/>
    <w:rsid w:val="00092358"/>
    <w:rsid w:val="00092391"/>
    <w:rsid w:val="000924A8"/>
    <w:rsid w:val="000924D4"/>
    <w:rsid w:val="00092C29"/>
    <w:rsid w:val="00093540"/>
    <w:rsid w:val="00093DB0"/>
    <w:rsid w:val="0009434D"/>
    <w:rsid w:val="00094463"/>
    <w:rsid w:val="00094B3C"/>
    <w:rsid w:val="00094CB4"/>
    <w:rsid w:val="000951A2"/>
    <w:rsid w:val="00095213"/>
    <w:rsid w:val="00095528"/>
    <w:rsid w:val="00095538"/>
    <w:rsid w:val="00095ABF"/>
    <w:rsid w:val="00096313"/>
    <w:rsid w:val="00096371"/>
    <w:rsid w:val="000964A7"/>
    <w:rsid w:val="0009657B"/>
    <w:rsid w:val="00096954"/>
    <w:rsid w:val="00096C13"/>
    <w:rsid w:val="00096DB8"/>
    <w:rsid w:val="0009700D"/>
    <w:rsid w:val="00097014"/>
    <w:rsid w:val="0009723F"/>
    <w:rsid w:val="000972EF"/>
    <w:rsid w:val="000977C6"/>
    <w:rsid w:val="00097C94"/>
    <w:rsid w:val="000A085E"/>
    <w:rsid w:val="000A0936"/>
    <w:rsid w:val="000A09E7"/>
    <w:rsid w:val="000A0AC7"/>
    <w:rsid w:val="000A0D56"/>
    <w:rsid w:val="000A0D76"/>
    <w:rsid w:val="000A0DC1"/>
    <w:rsid w:val="000A0F77"/>
    <w:rsid w:val="000A1070"/>
    <w:rsid w:val="000A10AB"/>
    <w:rsid w:val="000A123E"/>
    <w:rsid w:val="000A1285"/>
    <w:rsid w:val="000A169F"/>
    <w:rsid w:val="000A1D68"/>
    <w:rsid w:val="000A2640"/>
    <w:rsid w:val="000A27BB"/>
    <w:rsid w:val="000A29A5"/>
    <w:rsid w:val="000A2EB6"/>
    <w:rsid w:val="000A2EFD"/>
    <w:rsid w:val="000A32BD"/>
    <w:rsid w:val="000A353C"/>
    <w:rsid w:val="000A3E31"/>
    <w:rsid w:val="000A3EBA"/>
    <w:rsid w:val="000A4087"/>
    <w:rsid w:val="000A40FD"/>
    <w:rsid w:val="000A4124"/>
    <w:rsid w:val="000A4139"/>
    <w:rsid w:val="000A4E9A"/>
    <w:rsid w:val="000A510B"/>
    <w:rsid w:val="000A5314"/>
    <w:rsid w:val="000A539F"/>
    <w:rsid w:val="000A5A83"/>
    <w:rsid w:val="000A5D8F"/>
    <w:rsid w:val="000A5D99"/>
    <w:rsid w:val="000A6163"/>
    <w:rsid w:val="000A630E"/>
    <w:rsid w:val="000A63AD"/>
    <w:rsid w:val="000A6591"/>
    <w:rsid w:val="000A677A"/>
    <w:rsid w:val="000A69D2"/>
    <w:rsid w:val="000A77D6"/>
    <w:rsid w:val="000A78EC"/>
    <w:rsid w:val="000A7B77"/>
    <w:rsid w:val="000A7C4C"/>
    <w:rsid w:val="000A7CF9"/>
    <w:rsid w:val="000A7D15"/>
    <w:rsid w:val="000A7D4B"/>
    <w:rsid w:val="000A7F51"/>
    <w:rsid w:val="000B01FA"/>
    <w:rsid w:val="000B022B"/>
    <w:rsid w:val="000B02ED"/>
    <w:rsid w:val="000B06A7"/>
    <w:rsid w:val="000B0DCE"/>
    <w:rsid w:val="000B14E7"/>
    <w:rsid w:val="000B1BA4"/>
    <w:rsid w:val="000B1F20"/>
    <w:rsid w:val="000B1F2B"/>
    <w:rsid w:val="000B20D4"/>
    <w:rsid w:val="000B2213"/>
    <w:rsid w:val="000B233D"/>
    <w:rsid w:val="000B27E0"/>
    <w:rsid w:val="000B2A82"/>
    <w:rsid w:val="000B2AAC"/>
    <w:rsid w:val="000B2B3C"/>
    <w:rsid w:val="000B2CD6"/>
    <w:rsid w:val="000B2FC3"/>
    <w:rsid w:val="000B32C5"/>
    <w:rsid w:val="000B32E4"/>
    <w:rsid w:val="000B3304"/>
    <w:rsid w:val="000B3667"/>
    <w:rsid w:val="000B38EA"/>
    <w:rsid w:val="000B3C3F"/>
    <w:rsid w:val="000B3D51"/>
    <w:rsid w:val="000B3EAD"/>
    <w:rsid w:val="000B3F89"/>
    <w:rsid w:val="000B4C82"/>
    <w:rsid w:val="000B51E7"/>
    <w:rsid w:val="000B53F2"/>
    <w:rsid w:val="000B56C0"/>
    <w:rsid w:val="000B57DB"/>
    <w:rsid w:val="000B5A90"/>
    <w:rsid w:val="000B5B83"/>
    <w:rsid w:val="000B5DC1"/>
    <w:rsid w:val="000B5F3D"/>
    <w:rsid w:val="000B5FA3"/>
    <w:rsid w:val="000B60D2"/>
    <w:rsid w:val="000B6575"/>
    <w:rsid w:val="000B6A87"/>
    <w:rsid w:val="000B6B12"/>
    <w:rsid w:val="000B6C6C"/>
    <w:rsid w:val="000B6CD3"/>
    <w:rsid w:val="000B6D0F"/>
    <w:rsid w:val="000B6E6D"/>
    <w:rsid w:val="000B72E0"/>
    <w:rsid w:val="000B7600"/>
    <w:rsid w:val="000B7664"/>
    <w:rsid w:val="000B7680"/>
    <w:rsid w:val="000B7989"/>
    <w:rsid w:val="000B7AE5"/>
    <w:rsid w:val="000B7E0D"/>
    <w:rsid w:val="000C01F6"/>
    <w:rsid w:val="000C0226"/>
    <w:rsid w:val="000C023A"/>
    <w:rsid w:val="000C0726"/>
    <w:rsid w:val="000C076E"/>
    <w:rsid w:val="000C099C"/>
    <w:rsid w:val="000C0F55"/>
    <w:rsid w:val="000C1097"/>
    <w:rsid w:val="000C139B"/>
    <w:rsid w:val="000C140B"/>
    <w:rsid w:val="000C15E3"/>
    <w:rsid w:val="000C1C3E"/>
    <w:rsid w:val="000C233C"/>
    <w:rsid w:val="000C24DA"/>
    <w:rsid w:val="000C25D8"/>
    <w:rsid w:val="000C267B"/>
    <w:rsid w:val="000C2980"/>
    <w:rsid w:val="000C2FB7"/>
    <w:rsid w:val="000C30CB"/>
    <w:rsid w:val="000C35FB"/>
    <w:rsid w:val="000C3630"/>
    <w:rsid w:val="000C3830"/>
    <w:rsid w:val="000C399A"/>
    <w:rsid w:val="000C39B4"/>
    <w:rsid w:val="000C3AD0"/>
    <w:rsid w:val="000C3DA5"/>
    <w:rsid w:val="000C42ED"/>
    <w:rsid w:val="000C4457"/>
    <w:rsid w:val="000C4589"/>
    <w:rsid w:val="000C4689"/>
    <w:rsid w:val="000C4968"/>
    <w:rsid w:val="000C4CC0"/>
    <w:rsid w:val="000C4D5C"/>
    <w:rsid w:val="000C5202"/>
    <w:rsid w:val="000C53F5"/>
    <w:rsid w:val="000C5564"/>
    <w:rsid w:val="000C55DB"/>
    <w:rsid w:val="000C5602"/>
    <w:rsid w:val="000C584E"/>
    <w:rsid w:val="000C59C4"/>
    <w:rsid w:val="000C5B36"/>
    <w:rsid w:val="000C5D65"/>
    <w:rsid w:val="000C627A"/>
    <w:rsid w:val="000C6F05"/>
    <w:rsid w:val="000C71C5"/>
    <w:rsid w:val="000C727A"/>
    <w:rsid w:val="000C730E"/>
    <w:rsid w:val="000C7450"/>
    <w:rsid w:val="000C7697"/>
    <w:rsid w:val="000C76DA"/>
    <w:rsid w:val="000C789E"/>
    <w:rsid w:val="000C79D0"/>
    <w:rsid w:val="000C7ABE"/>
    <w:rsid w:val="000C7B4C"/>
    <w:rsid w:val="000C7D70"/>
    <w:rsid w:val="000C7EF4"/>
    <w:rsid w:val="000D0459"/>
    <w:rsid w:val="000D072A"/>
    <w:rsid w:val="000D09C3"/>
    <w:rsid w:val="000D0B34"/>
    <w:rsid w:val="000D0EC2"/>
    <w:rsid w:val="000D0F51"/>
    <w:rsid w:val="000D1221"/>
    <w:rsid w:val="000D17A9"/>
    <w:rsid w:val="000D1B06"/>
    <w:rsid w:val="000D1D83"/>
    <w:rsid w:val="000D1E54"/>
    <w:rsid w:val="000D215B"/>
    <w:rsid w:val="000D24E2"/>
    <w:rsid w:val="000D2BA7"/>
    <w:rsid w:val="000D3585"/>
    <w:rsid w:val="000D3A7C"/>
    <w:rsid w:val="000D3CAE"/>
    <w:rsid w:val="000D42CA"/>
    <w:rsid w:val="000D4498"/>
    <w:rsid w:val="000D4568"/>
    <w:rsid w:val="000D4A0C"/>
    <w:rsid w:val="000D4EE8"/>
    <w:rsid w:val="000D4FE9"/>
    <w:rsid w:val="000D5383"/>
    <w:rsid w:val="000D53B8"/>
    <w:rsid w:val="000D5624"/>
    <w:rsid w:val="000D5955"/>
    <w:rsid w:val="000D68E4"/>
    <w:rsid w:val="000D70CE"/>
    <w:rsid w:val="000D70FA"/>
    <w:rsid w:val="000D7279"/>
    <w:rsid w:val="000D74A4"/>
    <w:rsid w:val="000D7679"/>
    <w:rsid w:val="000D7CD3"/>
    <w:rsid w:val="000E0C8A"/>
    <w:rsid w:val="000E0D71"/>
    <w:rsid w:val="000E0DD4"/>
    <w:rsid w:val="000E0F62"/>
    <w:rsid w:val="000E0FC9"/>
    <w:rsid w:val="000E1054"/>
    <w:rsid w:val="000E1158"/>
    <w:rsid w:val="000E13B0"/>
    <w:rsid w:val="000E1473"/>
    <w:rsid w:val="000E162A"/>
    <w:rsid w:val="000E177D"/>
    <w:rsid w:val="000E19F0"/>
    <w:rsid w:val="000E1E6F"/>
    <w:rsid w:val="000E2098"/>
    <w:rsid w:val="000E21B1"/>
    <w:rsid w:val="000E22B3"/>
    <w:rsid w:val="000E237E"/>
    <w:rsid w:val="000E23BF"/>
    <w:rsid w:val="000E23EF"/>
    <w:rsid w:val="000E2664"/>
    <w:rsid w:val="000E2903"/>
    <w:rsid w:val="000E2BE0"/>
    <w:rsid w:val="000E2C2B"/>
    <w:rsid w:val="000E2E1B"/>
    <w:rsid w:val="000E327D"/>
    <w:rsid w:val="000E32BE"/>
    <w:rsid w:val="000E32CD"/>
    <w:rsid w:val="000E3463"/>
    <w:rsid w:val="000E3464"/>
    <w:rsid w:val="000E3886"/>
    <w:rsid w:val="000E3CFC"/>
    <w:rsid w:val="000E404D"/>
    <w:rsid w:val="000E40CB"/>
    <w:rsid w:val="000E420F"/>
    <w:rsid w:val="000E42F6"/>
    <w:rsid w:val="000E44A9"/>
    <w:rsid w:val="000E4A6D"/>
    <w:rsid w:val="000E4D8F"/>
    <w:rsid w:val="000E5429"/>
    <w:rsid w:val="000E5B28"/>
    <w:rsid w:val="000E5D0D"/>
    <w:rsid w:val="000E62CE"/>
    <w:rsid w:val="000E63BC"/>
    <w:rsid w:val="000E649F"/>
    <w:rsid w:val="000E66DF"/>
    <w:rsid w:val="000E6AF8"/>
    <w:rsid w:val="000E6B08"/>
    <w:rsid w:val="000E70A5"/>
    <w:rsid w:val="000E70F6"/>
    <w:rsid w:val="000E7523"/>
    <w:rsid w:val="000E77B0"/>
    <w:rsid w:val="000E78BC"/>
    <w:rsid w:val="000E7960"/>
    <w:rsid w:val="000E7F42"/>
    <w:rsid w:val="000F01EE"/>
    <w:rsid w:val="000F034B"/>
    <w:rsid w:val="000F039B"/>
    <w:rsid w:val="000F0528"/>
    <w:rsid w:val="000F06DE"/>
    <w:rsid w:val="000F0888"/>
    <w:rsid w:val="000F0DEA"/>
    <w:rsid w:val="000F0DFE"/>
    <w:rsid w:val="000F0E8F"/>
    <w:rsid w:val="000F1394"/>
    <w:rsid w:val="000F1519"/>
    <w:rsid w:val="000F18A3"/>
    <w:rsid w:val="000F19CA"/>
    <w:rsid w:val="000F1A51"/>
    <w:rsid w:val="000F1CEF"/>
    <w:rsid w:val="000F25EE"/>
    <w:rsid w:val="000F269A"/>
    <w:rsid w:val="000F26C0"/>
    <w:rsid w:val="000F2852"/>
    <w:rsid w:val="000F2873"/>
    <w:rsid w:val="000F2BE7"/>
    <w:rsid w:val="000F2DD7"/>
    <w:rsid w:val="000F2FB2"/>
    <w:rsid w:val="000F32AC"/>
    <w:rsid w:val="000F3597"/>
    <w:rsid w:val="000F370D"/>
    <w:rsid w:val="000F376F"/>
    <w:rsid w:val="000F37E4"/>
    <w:rsid w:val="000F3856"/>
    <w:rsid w:val="000F3E1E"/>
    <w:rsid w:val="000F3E50"/>
    <w:rsid w:val="000F41E0"/>
    <w:rsid w:val="000F43CA"/>
    <w:rsid w:val="000F4698"/>
    <w:rsid w:val="000F48B5"/>
    <w:rsid w:val="000F4D00"/>
    <w:rsid w:val="000F4E41"/>
    <w:rsid w:val="000F4FE7"/>
    <w:rsid w:val="000F5554"/>
    <w:rsid w:val="000F57C2"/>
    <w:rsid w:val="000F5A7E"/>
    <w:rsid w:val="000F5D44"/>
    <w:rsid w:val="000F5E41"/>
    <w:rsid w:val="000F5E6F"/>
    <w:rsid w:val="000F5EC4"/>
    <w:rsid w:val="000F6152"/>
    <w:rsid w:val="000F6161"/>
    <w:rsid w:val="000F63EF"/>
    <w:rsid w:val="000F68EC"/>
    <w:rsid w:val="000F75A1"/>
    <w:rsid w:val="000F763F"/>
    <w:rsid w:val="000F7AD5"/>
    <w:rsid w:val="000F7CB4"/>
    <w:rsid w:val="000F7F64"/>
    <w:rsid w:val="000F7FAE"/>
    <w:rsid w:val="00100058"/>
    <w:rsid w:val="00100268"/>
    <w:rsid w:val="00100472"/>
    <w:rsid w:val="001008F0"/>
    <w:rsid w:val="001009C1"/>
    <w:rsid w:val="00100B0C"/>
    <w:rsid w:val="00101A55"/>
    <w:rsid w:val="00101B88"/>
    <w:rsid w:val="00101EC8"/>
    <w:rsid w:val="00101F21"/>
    <w:rsid w:val="0010203F"/>
    <w:rsid w:val="0010243C"/>
    <w:rsid w:val="00102509"/>
    <w:rsid w:val="00102B37"/>
    <w:rsid w:val="00102E12"/>
    <w:rsid w:val="001030AE"/>
    <w:rsid w:val="0010327A"/>
    <w:rsid w:val="001032AD"/>
    <w:rsid w:val="00103356"/>
    <w:rsid w:val="00103433"/>
    <w:rsid w:val="001035FC"/>
    <w:rsid w:val="0010374F"/>
    <w:rsid w:val="0010385A"/>
    <w:rsid w:val="00103A48"/>
    <w:rsid w:val="0010401A"/>
    <w:rsid w:val="00104132"/>
    <w:rsid w:val="00104168"/>
    <w:rsid w:val="00104365"/>
    <w:rsid w:val="001045C8"/>
    <w:rsid w:val="00104992"/>
    <w:rsid w:val="00104E68"/>
    <w:rsid w:val="00104EC6"/>
    <w:rsid w:val="00104EE9"/>
    <w:rsid w:val="001054A5"/>
    <w:rsid w:val="00105774"/>
    <w:rsid w:val="00105B08"/>
    <w:rsid w:val="0010607E"/>
    <w:rsid w:val="0010642A"/>
    <w:rsid w:val="0010687A"/>
    <w:rsid w:val="00106AA3"/>
    <w:rsid w:val="001070B0"/>
    <w:rsid w:val="00107126"/>
    <w:rsid w:val="001075A8"/>
    <w:rsid w:val="001079C3"/>
    <w:rsid w:val="00107B24"/>
    <w:rsid w:val="00110342"/>
    <w:rsid w:val="00110856"/>
    <w:rsid w:val="00111160"/>
    <w:rsid w:val="001112CB"/>
    <w:rsid w:val="00111347"/>
    <w:rsid w:val="001113CA"/>
    <w:rsid w:val="001115C7"/>
    <w:rsid w:val="00111823"/>
    <w:rsid w:val="00111D39"/>
    <w:rsid w:val="00111D49"/>
    <w:rsid w:val="00111E5D"/>
    <w:rsid w:val="00111EC4"/>
    <w:rsid w:val="001120AE"/>
    <w:rsid w:val="001124E6"/>
    <w:rsid w:val="001127A0"/>
    <w:rsid w:val="001128FF"/>
    <w:rsid w:val="00112A83"/>
    <w:rsid w:val="00112D15"/>
    <w:rsid w:val="00112EAD"/>
    <w:rsid w:val="00112FD6"/>
    <w:rsid w:val="00113224"/>
    <w:rsid w:val="00113274"/>
    <w:rsid w:val="0011349E"/>
    <w:rsid w:val="00113A3A"/>
    <w:rsid w:val="00113BDB"/>
    <w:rsid w:val="00113CDF"/>
    <w:rsid w:val="00113DC8"/>
    <w:rsid w:val="00113E20"/>
    <w:rsid w:val="00113E61"/>
    <w:rsid w:val="00113F0D"/>
    <w:rsid w:val="00114045"/>
    <w:rsid w:val="001143AE"/>
    <w:rsid w:val="001143D0"/>
    <w:rsid w:val="001144D0"/>
    <w:rsid w:val="0011455D"/>
    <w:rsid w:val="001146BF"/>
    <w:rsid w:val="00114704"/>
    <w:rsid w:val="001148C3"/>
    <w:rsid w:val="00114F41"/>
    <w:rsid w:val="0011506B"/>
    <w:rsid w:val="0011508E"/>
    <w:rsid w:val="0011562D"/>
    <w:rsid w:val="00115651"/>
    <w:rsid w:val="001156D5"/>
    <w:rsid w:val="00115AB8"/>
    <w:rsid w:val="00115FBE"/>
    <w:rsid w:val="001169B6"/>
    <w:rsid w:val="00116AB6"/>
    <w:rsid w:val="00116DD5"/>
    <w:rsid w:val="00117309"/>
    <w:rsid w:val="00117AF1"/>
    <w:rsid w:val="00117B03"/>
    <w:rsid w:val="00117BB0"/>
    <w:rsid w:val="00117CBF"/>
    <w:rsid w:val="0012007E"/>
    <w:rsid w:val="0012011D"/>
    <w:rsid w:val="00120457"/>
    <w:rsid w:val="00120D62"/>
    <w:rsid w:val="00120D7F"/>
    <w:rsid w:val="00120F89"/>
    <w:rsid w:val="00121090"/>
    <w:rsid w:val="00121177"/>
    <w:rsid w:val="001211E8"/>
    <w:rsid w:val="00121299"/>
    <w:rsid w:val="001213F2"/>
    <w:rsid w:val="001216FA"/>
    <w:rsid w:val="00121DFD"/>
    <w:rsid w:val="00121F1E"/>
    <w:rsid w:val="00122786"/>
    <w:rsid w:val="001228C0"/>
    <w:rsid w:val="00122912"/>
    <w:rsid w:val="00122976"/>
    <w:rsid w:val="00122ECC"/>
    <w:rsid w:val="00123742"/>
    <w:rsid w:val="0012380F"/>
    <w:rsid w:val="00123A77"/>
    <w:rsid w:val="00123C76"/>
    <w:rsid w:val="0012468A"/>
    <w:rsid w:val="001248B9"/>
    <w:rsid w:val="00124943"/>
    <w:rsid w:val="001249B2"/>
    <w:rsid w:val="00124A96"/>
    <w:rsid w:val="0012503F"/>
    <w:rsid w:val="00125420"/>
    <w:rsid w:val="001254C6"/>
    <w:rsid w:val="00125651"/>
    <w:rsid w:val="00125958"/>
    <w:rsid w:val="00125AC1"/>
    <w:rsid w:val="00125C51"/>
    <w:rsid w:val="00125D56"/>
    <w:rsid w:val="00125FC1"/>
    <w:rsid w:val="001261E2"/>
    <w:rsid w:val="00126235"/>
    <w:rsid w:val="0012664B"/>
    <w:rsid w:val="001267F9"/>
    <w:rsid w:val="00126876"/>
    <w:rsid w:val="00126F68"/>
    <w:rsid w:val="00127273"/>
    <w:rsid w:val="001273DA"/>
    <w:rsid w:val="00127CCE"/>
    <w:rsid w:val="00127DBA"/>
    <w:rsid w:val="001304C0"/>
    <w:rsid w:val="0013060B"/>
    <w:rsid w:val="001306A7"/>
    <w:rsid w:val="00131084"/>
    <w:rsid w:val="0013108B"/>
    <w:rsid w:val="0013114E"/>
    <w:rsid w:val="001315D4"/>
    <w:rsid w:val="001315EA"/>
    <w:rsid w:val="0013171C"/>
    <w:rsid w:val="001319AE"/>
    <w:rsid w:val="00131E75"/>
    <w:rsid w:val="00132098"/>
    <w:rsid w:val="00132391"/>
    <w:rsid w:val="0013239A"/>
    <w:rsid w:val="00132472"/>
    <w:rsid w:val="001324FE"/>
    <w:rsid w:val="00132674"/>
    <w:rsid w:val="00132A09"/>
    <w:rsid w:val="00132D0E"/>
    <w:rsid w:val="00132DBF"/>
    <w:rsid w:val="00132E23"/>
    <w:rsid w:val="00132F27"/>
    <w:rsid w:val="001334D9"/>
    <w:rsid w:val="001335FA"/>
    <w:rsid w:val="00133862"/>
    <w:rsid w:val="0013399B"/>
    <w:rsid w:val="00133D17"/>
    <w:rsid w:val="00134308"/>
    <w:rsid w:val="0013455F"/>
    <w:rsid w:val="00134704"/>
    <w:rsid w:val="001348C2"/>
    <w:rsid w:val="00135140"/>
    <w:rsid w:val="00135207"/>
    <w:rsid w:val="00135418"/>
    <w:rsid w:val="001358CD"/>
    <w:rsid w:val="00135D93"/>
    <w:rsid w:val="00135EC9"/>
    <w:rsid w:val="001360C7"/>
    <w:rsid w:val="00136843"/>
    <w:rsid w:val="00136895"/>
    <w:rsid w:val="00136EF3"/>
    <w:rsid w:val="001371D2"/>
    <w:rsid w:val="00137464"/>
    <w:rsid w:val="001376AE"/>
    <w:rsid w:val="00137940"/>
    <w:rsid w:val="00137B50"/>
    <w:rsid w:val="00137F30"/>
    <w:rsid w:val="00137FEB"/>
    <w:rsid w:val="0014041C"/>
    <w:rsid w:val="00141831"/>
    <w:rsid w:val="001418F8"/>
    <w:rsid w:val="001419EF"/>
    <w:rsid w:val="00141A22"/>
    <w:rsid w:val="00141A37"/>
    <w:rsid w:val="00141B4A"/>
    <w:rsid w:val="00141C42"/>
    <w:rsid w:val="001421E4"/>
    <w:rsid w:val="00142813"/>
    <w:rsid w:val="00142C78"/>
    <w:rsid w:val="00142EF1"/>
    <w:rsid w:val="00142F44"/>
    <w:rsid w:val="00142F8B"/>
    <w:rsid w:val="00143151"/>
    <w:rsid w:val="001431DB"/>
    <w:rsid w:val="001433D4"/>
    <w:rsid w:val="00143799"/>
    <w:rsid w:val="00143A1B"/>
    <w:rsid w:val="00143A49"/>
    <w:rsid w:val="00143C18"/>
    <w:rsid w:val="00143EB8"/>
    <w:rsid w:val="001440DD"/>
    <w:rsid w:val="001446B2"/>
    <w:rsid w:val="00144813"/>
    <w:rsid w:val="00144ADB"/>
    <w:rsid w:val="00144DF8"/>
    <w:rsid w:val="00145468"/>
    <w:rsid w:val="00145A1D"/>
    <w:rsid w:val="00146099"/>
    <w:rsid w:val="00146396"/>
    <w:rsid w:val="001463B3"/>
    <w:rsid w:val="00146D9F"/>
    <w:rsid w:val="00146F6C"/>
    <w:rsid w:val="00147253"/>
    <w:rsid w:val="00147422"/>
    <w:rsid w:val="0014748A"/>
    <w:rsid w:val="00147559"/>
    <w:rsid w:val="001478BA"/>
    <w:rsid w:val="00147CB5"/>
    <w:rsid w:val="00147CF6"/>
    <w:rsid w:val="001509A4"/>
    <w:rsid w:val="001511A4"/>
    <w:rsid w:val="0015128D"/>
    <w:rsid w:val="00151343"/>
    <w:rsid w:val="001514E2"/>
    <w:rsid w:val="001516DB"/>
    <w:rsid w:val="00151BB3"/>
    <w:rsid w:val="0015208C"/>
    <w:rsid w:val="001523C9"/>
    <w:rsid w:val="001524CE"/>
    <w:rsid w:val="00152751"/>
    <w:rsid w:val="00152E56"/>
    <w:rsid w:val="00153176"/>
    <w:rsid w:val="001531DE"/>
    <w:rsid w:val="00153299"/>
    <w:rsid w:val="001532E5"/>
    <w:rsid w:val="001536EB"/>
    <w:rsid w:val="001538D3"/>
    <w:rsid w:val="0015390C"/>
    <w:rsid w:val="00153A3C"/>
    <w:rsid w:val="00153DCC"/>
    <w:rsid w:val="001546D3"/>
    <w:rsid w:val="00154733"/>
    <w:rsid w:val="00154850"/>
    <w:rsid w:val="0015485C"/>
    <w:rsid w:val="00154B63"/>
    <w:rsid w:val="00154CB3"/>
    <w:rsid w:val="00154E23"/>
    <w:rsid w:val="00155117"/>
    <w:rsid w:val="001555D0"/>
    <w:rsid w:val="001559AA"/>
    <w:rsid w:val="00155EC4"/>
    <w:rsid w:val="0015634E"/>
    <w:rsid w:val="0015639F"/>
    <w:rsid w:val="001564C3"/>
    <w:rsid w:val="00156C7D"/>
    <w:rsid w:val="00156D13"/>
    <w:rsid w:val="001570B0"/>
    <w:rsid w:val="00157260"/>
    <w:rsid w:val="001575B4"/>
    <w:rsid w:val="001575D8"/>
    <w:rsid w:val="00157664"/>
    <w:rsid w:val="00157E6E"/>
    <w:rsid w:val="001600DF"/>
    <w:rsid w:val="00160180"/>
    <w:rsid w:val="0016038B"/>
    <w:rsid w:val="00160503"/>
    <w:rsid w:val="00160627"/>
    <w:rsid w:val="001606AA"/>
    <w:rsid w:val="00160985"/>
    <w:rsid w:val="00160B79"/>
    <w:rsid w:val="00161148"/>
    <w:rsid w:val="001611C8"/>
    <w:rsid w:val="00161230"/>
    <w:rsid w:val="00161280"/>
    <w:rsid w:val="00161444"/>
    <w:rsid w:val="0016149C"/>
    <w:rsid w:val="001614D8"/>
    <w:rsid w:val="0016192A"/>
    <w:rsid w:val="0016195F"/>
    <w:rsid w:val="00161A69"/>
    <w:rsid w:val="00161A6B"/>
    <w:rsid w:val="00161AEE"/>
    <w:rsid w:val="00161BFF"/>
    <w:rsid w:val="00161D72"/>
    <w:rsid w:val="00162056"/>
    <w:rsid w:val="001622D3"/>
    <w:rsid w:val="001622ED"/>
    <w:rsid w:val="00162C0B"/>
    <w:rsid w:val="00162F8F"/>
    <w:rsid w:val="0016306C"/>
    <w:rsid w:val="0016323D"/>
    <w:rsid w:val="001632FB"/>
    <w:rsid w:val="0016343C"/>
    <w:rsid w:val="00163477"/>
    <w:rsid w:val="00163540"/>
    <w:rsid w:val="00163E5A"/>
    <w:rsid w:val="00164204"/>
    <w:rsid w:val="00164402"/>
    <w:rsid w:val="001645B6"/>
    <w:rsid w:val="00164720"/>
    <w:rsid w:val="00164938"/>
    <w:rsid w:val="00164B50"/>
    <w:rsid w:val="00164DAA"/>
    <w:rsid w:val="00165041"/>
    <w:rsid w:val="0016523C"/>
    <w:rsid w:val="001657D2"/>
    <w:rsid w:val="001657F8"/>
    <w:rsid w:val="00165947"/>
    <w:rsid w:val="00165C17"/>
    <w:rsid w:val="00165C76"/>
    <w:rsid w:val="00165E0A"/>
    <w:rsid w:val="001661D3"/>
    <w:rsid w:val="00166288"/>
    <w:rsid w:val="00166316"/>
    <w:rsid w:val="00166319"/>
    <w:rsid w:val="001664CA"/>
    <w:rsid w:val="0016655B"/>
    <w:rsid w:val="00166759"/>
    <w:rsid w:val="001667BA"/>
    <w:rsid w:val="001669F6"/>
    <w:rsid w:val="001671CF"/>
    <w:rsid w:val="00167305"/>
    <w:rsid w:val="001674B4"/>
    <w:rsid w:val="00167687"/>
    <w:rsid w:val="00167757"/>
    <w:rsid w:val="00167891"/>
    <w:rsid w:val="00167A99"/>
    <w:rsid w:val="00167C39"/>
    <w:rsid w:val="00167FAA"/>
    <w:rsid w:val="00167FBE"/>
    <w:rsid w:val="00167FDD"/>
    <w:rsid w:val="001703A0"/>
    <w:rsid w:val="00170967"/>
    <w:rsid w:val="00170991"/>
    <w:rsid w:val="00170A4B"/>
    <w:rsid w:val="00170D6A"/>
    <w:rsid w:val="00170E15"/>
    <w:rsid w:val="00170E70"/>
    <w:rsid w:val="00170F0C"/>
    <w:rsid w:val="0017188E"/>
    <w:rsid w:val="00171F12"/>
    <w:rsid w:val="00172E48"/>
    <w:rsid w:val="00173151"/>
    <w:rsid w:val="0017316E"/>
    <w:rsid w:val="00173439"/>
    <w:rsid w:val="00173944"/>
    <w:rsid w:val="00174622"/>
    <w:rsid w:val="001747FB"/>
    <w:rsid w:val="00174879"/>
    <w:rsid w:val="0017489B"/>
    <w:rsid w:val="00174B36"/>
    <w:rsid w:val="00174D35"/>
    <w:rsid w:val="00174DDB"/>
    <w:rsid w:val="0017508C"/>
    <w:rsid w:val="00175120"/>
    <w:rsid w:val="001751D9"/>
    <w:rsid w:val="00175364"/>
    <w:rsid w:val="00175897"/>
    <w:rsid w:val="00175B59"/>
    <w:rsid w:val="00175DBA"/>
    <w:rsid w:val="00175FBA"/>
    <w:rsid w:val="0017600F"/>
    <w:rsid w:val="00176295"/>
    <w:rsid w:val="00176CF4"/>
    <w:rsid w:val="00176E46"/>
    <w:rsid w:val="00176F23"/>
    <w:rsid w:val="00176FA2"/>
    <w:rsid w:val="001770F1"/>
    <w:rsid w:val="001772A7"/>
    <w:rsid w:val="0017738A"/>
    <w:rsid w:val="0017799F"/>
    <w:rsid w:val="0018016F"/>
    <w:rsid w:val="001801A0"/>
    <w:rsid w:val="00180464"/>
    <w:rsid w:val="00180A46"/>
    <w:rsid w:val="00180B4B"/>
    <w:rsid w:val="00180BAF"/>
    <w:rsid w:val="00180F58"/>
    <w:rsid w:val="00181180"/>
    <w:rsid w:val="00181281"/>
    <w:rsid w:val="00181340"/>
    <w:rsid w:val="00181353"/>
    <w:rsid w:val="00181555"/>
    <w:rsid w:val="001818AE"/>
    <w:rsid w:val="00181A1C"/>
    <w:rsid w:val="00182103"/>
    <w:rsid w:val="001822CF"/>
    <w:rsid w:val="001823B9"/>
    <w:rsid w:val="001828BF"/>
    <w:rsid w:val="00182A18"/>
    <w:rsid w:val="00182B9D"/>
    <w:rsid w:val="00182F7C"/>
    <w:rsid w:val="001832AE"/>
    <w:rsid w:val="001834C2"/>
    <w:rsid w:val="001836BE"/>
    <w:rsid w:val="0018384A"/>
    <w:rsid w:val="00183A63"/>
    <w:rsid w:val="00183ACA"/>
    <w:rsid w:val="00184065"/>
    <w:rsid w:val="00184632"/>
    <w:rsid w:val="00184694"/>
    <w:rsid w:val="00184D24"/>
    <w:rsid w:val="00185048"/>
    <w:rsid w:val="001857BC"/>
    <w:rsid w:val="00185B90"/>
    <w:rsid w:val="00185DEC"/>
    <w:rsid w:val="00185DFF"/>
    <w:rsid w:val="00185E3F"/>
    <w:rsid w:val="00185F1A"/>
    <w:rsid w:val="00185FCF"/>
    <w:rsid w:val="00186029"/>
    <w:rsid w:val="00186A54"/>
    <w:rsid w:val="00186CB1"/>
    <w:rsid w:val="0018714C"/>
    <w:rsid w:val="001871F1"/>
    <w:rsid w:val="00187799"/>
    <w:rsid w:val="00187ED5"/>
    <w:rsid w:val="00190077"/>
    <w:rsid w:val="00190333"/>
    <w:rsid w:val="001904EF"/>
    <w:rsid w:val="001906DB"/>
    <w:rsid w:val="0019079B"/>
    <w:rsid w:val="00190D9D"/>
    <w:rsid w:val="001910F4"/>
    <w:rsid w:val="00191237"/>
    <w:rsid w:val="001914C0"/>
    <w:rsid w:val="0019150C"/>
    <w:rsid w:val="00191515"/>
    <w:rsid w:val="0019163F"/>
    <w:rsid w:val="001919AA"/>
    <w:rsid w:val="00191B28"/>
    <w:rsid w:val="00191D63"/>
    <w:rsid w:val="00191F98"/>
    <w:rsid w:val="00192227"/>
    <w:rsid w:val="00192293"/>
    <w:rsid w:val="001927F0"/>
    <w:rsid w:val="00192880"/>
    <w:rsid w:val="00192C9C"/>
    <w:rsid w:val="00192E96"/>
    <w:rsid w:val="00192F98"/>
    <w:rsid w:val="00193A14"/>
    <w:rsid w:val="00193A4B"/>
    <w:rsid w:val="00193CF7"/>
    <w:rsid w:val="00193D54"/>
    <w:rsid w:val="00193F94"/>
    <w:rsid w:val="00194279"/>
    <w:rsid w:val="00194384"/>
    <w:rsid w:val="00194DAF"/>
    <w:rsid w:val="0019511A"/>
    <w:rsid w:val="0019536B"/>
    <w:rsid w:val="00195459"/>
    <w:rsid w:val="001954B1"/>
    <w:rsid w:val="00195940"/>
    <w:rsid w:val="001959E9"/>
    <w:rsid w:val="00195C16"/>
    <w:rsid w:val="00196479"/>
    <w:rsid w:val="00196515"/>
    <w:rsid w:val="001966A2"/>
    <w:rsid w:val="001967B2"/>
    <w:rsid w:val="00196C94"/>
    <w:rsid w:val="00196D70"/>
    <w:rsid w:val="00196DE0"/>
    <w:rsid w:val="0019709D"/>
    <w:rsid w:val="001971CB"/>
    <w:rsid w:val="001971DE"/>
    <w:rsid w:val="0019720C"/>
    <w:rsid w:val="0019728F"/>
    <w:rsid w:val="001972CA"/>
    <w:rsid w:val="0019772C"/>
    <w:rsid w:val="001977AD"/>
    <w:rsid w:val="00197AD3"/>
    <w:rsid w:val="001A047F"/>
    <w:rsid w:val="001A0668"/>
    <w:rsid w:val="001A0BBB"/>
    <w:rsid w:val="001A0D3B"/>
    <w:rsid w:val="001A0DDA"/>
    <w:rsid w:val="001A11E5"/>
    <w:rsid w:val="001A13B6"/>
    <w:rsid w:val="001A14D5"/>
    <w:rsid w:val="001A19E6"/>
    <w:rsid w:val="001A20C6"/>
    <w:rsid w:val="001A21CD"/>
    <w:rsid w:val="001A22C1"/>
    <w:rsid w:val="001A2616"/>
    <w:rsid w:val="001A28FB"/>
    <w:rsid w:val="001A2902"/>
    <w:rsid w:val="001A291E"/>
    <w:rsid w:val="001A30F6"/>
    <w:rsid w:val="001A34D7"/>
    <w:rsid w:val="001A3A0A"/>
    <w:rsid w:val="001A3ADB"/>
    <w:rsid w:val="001A3BCF"/>
    <w:rsid w:val="001A3D26"/>
    <w:rsid w:val="001A3EFA"/>
    <w:rsid w:val="001A3F3F"/>
    <w:rsid w:val="001A41BF"/>
    <w:rsid w:val="001A424B"/>
    <w:rsid w:val="001A4D76"/>
    <w:rsid w:val="001A50F8"/>
    <w:rsid w:val="001A5199"/>
    <w:rsid w:val="001A51B6"/>
    <w:rsid w:val="001A54BF"/>
    <w:rsid w:val="001A55A4"/>
    <w:rsid w:val="001A57C1"/>
    <w:rsid w:val="001A5AFA"/>
    <w:rsid w:val="001A609A"/>
    <w:rsid w:val="001A78C8"/>
    <w:rsid w:val="001A7AAD"/>
    <w:rsid w:val="001A7D5A"/>
    <w:rsid w:val="001A7EAD"/>
    <w:rsid w:val="001B000F"/>
    <w:rsid w:val="001B01CB"/>
    <w:rsid w:val="001B01D9"/>
    <w:rsid w:val="001B0702"/>
    <w:rsid w:val="001B07B9"/>
    <w:rsid w:val="001B0ADE"/>
    <w:rsid w:val="001B10B4"/>
    <w:rsid w:val="001B1426"/>
    <w:rsid w:val="001B15BA"/>
    <w:rsid w:val="001B1A43"/>
    <w:rsid w:val="001B20F5"/>
    <w:rsid w:val="001B28C7"/>
    <w:rsid w:val="001B2A8B"/>
    <w:rsid w:val="001B2B8F"/>
    <w:rsid w:val="001B2BF1"/>
    <w:rsid w:val="001B3221"/>
    <w:rsid w:val="001B3415"/>
    <w:rsid w:val="001B34BB"/>
    <w:rsid w:val="001B3775"/>
    <w:rsid w:val="001B38A3"/>
    <w:rsid w:val="001B3AD8"/>
    <w:rsid w:val="001B4143"/>
    <w:rsid w:val="001B434B"/>
    <w:rsid w:val="001B4695"/>
    <w:rsid w:val="001B47C2"/>
    <w:rsid w:val="001B4EA0"/>
    <w:rsid w:val="001B52C9"/>
    <w:rsid w:val="001B5337"/>
    <w:rsid w:val="001B5342"/>
    <w:rsid w:val="001B53B1"/>
    <w:rsid w:val="001B53BC"/>
    <w:rsid w:val="001B57BC"/>
    <w:rsid w:val="001B599E"/>
    <w:rsid w:val="001B5A78"/>
    <w:rsid w:val="001B5CAF"/>
    <w:rsid w:val="001B5DA8"/>
    <w:rsid w:val="001B6B0B"/>
    <w:rsid w:val="001B6C59"/>
    <w:rsid w:val="001B72FD"/>
    <w:rsid w:val="001B752E"/>
    <w:rsid w:val="001B7735"/>
    <w:rsid w:val="001B7B68"/>
    <w:rsid w:val="001C0172"/>
    <w:rsid w:val="001C061E"/>
    <w:rsid w:val="001C0AA2"/>
    <w:rsid w:val="001C0BB3"/>
    <w:rsid w:val="001C0C12"/>
    <w:rsid w:val="001C0F2E"/>
    <w:rsid w:val="001C0F4B"/>
    <w:rsid w:val="001C0FBC"/>
    <w:rsid w:val="001C129F"/>
    <w:rsid w:val="001C13AD"/>
    <w:rsid w:val="001C190B"/>
    <w:rsid w:val="001C1BCC"/>
    <w:rsid w:val="001C1F72"/>
    <w:rsid w:val="001C218A"/>
    <w:rsid w:val="001C2213"/>
    <w:rsid w:val="001C26AF"/>
    <w:rsid w:val="001C2C8A"/>
    <w:rsid w:val="001C2E71"/>
    <w:rsid w:val="001C2F22"/>
    <w:rsid w:val="001C3CD9"/>
    <w:rsid w:val="001C41AB"/>
    <w:rsid w:val="001C44B6"/>
    <w:rsid w:val="001C4DF7"/>
    <w:rsid w:val="001C506B"/>
    <w:rsid w:val="001C51E1"/>
    <w:rsid w:val="001C5236"/>
    <w:rsid w:val="001C58B2"/>
    <w:rsid w:val="001C59A7"/>
    <w:rsid w:val="001C5F64"/>
    <w:rsid w:val="001C6181"/>
    <w:rsid w:val="001C6347"/>
    <w:rsid w:val="001C6ACC"/>
    <w:rsid w:val="001C6B2C"/>
    <w:rsid w:val="001C736C"/>
    <w:rsid w:val="001C749C"/>
    <w:rsid w:val="001C78BB"/>
    <w:rsid w:val="001D03F2"/>
    <w:rsid w:val="001D053B"/>
    <w:rsid w:val="001D07C1"/>
    <w:rsid w:val="001D09ED"/>
    <w:rsid w:val="001D0D4A"/>
    <w:rsid w:val="001D0DC3"/>
    <w:rsid w:val="001D1045"/>
    <w:rsid w:val="001D2416"/>
    <w:rsid w:val="001D2592"/>
    <w:rsid w:val="001D2606"/>
    <w:rsid w:val="001D26FF"/>
    <w:rsid w:val="001D2B1F"/>
    <w:rsid w:val="001D2C5F"/>
    <w:rsid w:val="001D2EDE"/>
    <w:rsid w:val="001D2FB6"/>
    <w:rsid w:val="001D3010"/>
    <w:rsid w:val="001D3155"/>
    <w:rsid w:val="001D34EF"/>
    <w:rsid w:val="001D3505"/>
    <w:rsid w:val="001D35C0"/>
    <w:rsid w:val="001D39BA"/>
    <w:rsid w:val="001D3A08"/>
    <w:rsid w:val="001D4279"/>
    <w:rsid w:val="001D42D4"/>
    <w:rsid w:val="001D447C"/>
    <w:rsid w:val="001D4555"/>
    <w:rsid w:val="001D4709"/>
    <w:rsid w:val="001D48D8"/>
    <w:rsid w:val="001D4AD4"/>
    <w:rsid w:val="001D4CAA"/>
    <w:rsid w:val="001D4CDE"/>
    <w:rsid w:val="001D4E3C"/>
    <w:rsid w:val="001D4FB9"/>
    <w:rsid w:val="001D5006"/>
    <w:rsid w:val="001D55C6"/>
    <w:rsid w:val="001D58AB"/>
    <w:rsid w:val="001D5E51"/>
    <w:rsid w:val="001D6B45"/>
    <w:rsid w:val="001D744B"/>
    <w:rsid w:val="001D7569"/>
    <w:rsid w:val="001D794C"/>
    <w:rsid w:val="001D7CAD"/>
    <w:rsid w:val="001E059D"/>
    <w:rsid w:val="001E079A"/>
    <w:rsid w:val="001E081F"/>
    <w:rsid w:val="001E08DA"/>
    <w:rsid w:val="001E0CC3"/>
    <w:rsid w:val="001E0EDB"/>
    <w:rsid w:val="001E15E8"/>
    <w:rsid w:val="001E1B40"/>
    <w:rsid w:val="001E1DF0"/>
    <w:rsid w:val="001E22BC"/>
    <w:rsid w:val="001E2459"/>
    <w:rsid w:val="001E24EA"/>
    <w:rsid w:val="001E2EC4"/>
    <w:rsid w:val="001E2F57"/>
    <w:rsid w:val="001E3688"/>
    <w:rsid w:val="001E3BFC"/>
    <w:rsid w:val="001E3D9F"/>
    <w:rsid w:val="001E46D9"/>
    <w:rsid w:val="001E4755"/>
    <w:rsid w:val="001E4769"/>
    <w:rsid w:val="001E4804"/>
    <w:rsid w:val="001E4DD5"/>
    <w:rsid w:val="001E4F73"/>
    <w:rsid w:val="001E50FE"/>
    <w:rsid w:val="001E51F7"/>
    <w:rsid w:val="001E52C1"/>
    <w:rsid w:val="001E531B"/>
    <w:rsid w:val="001E54C0"/>
    <w:rsid w:val="001E551F"/>
    <w:rsid w:val="001E5A1D"/>
    <w:rsid w:val="001E5D07"/>
    <w:rsid w:val="001E5DAC"/>
    <w:rsid w:val="001E6089"/>
    <w:rsid w:val="001E67C4"/>
    <w:rsid w:val="001E70D2"/>
    <w:rsid w:val="001E711C"/>
    <w:rsid w:val="001E7354"/>
    <w:rsid w:val="001E74DB"/>
    <w:rsid w:val="001E7779"/>
    <w:rsid w:val="001E779F"/>
    <w:rsid w:val="001E77DD"/>
    <w:rsid w:val="001E79F6"/>
    <w:rsid w:val="001E7BE6"/>
    <w:rsid w:val="001F0235"/>
    <w:rsid w:val="001F0698"/>
    <w:rsid w:val="001F0A5F"/>
    <w:rsid w:val="001F0E8E"/>
    <w:rsid w:val="001F1597"/>
    <w:rsid w:val="001F1ABF"/>
    <w:rsid w:val="001F1DAA"/>
    <w:rsid w:val="001F1EA6"/>
    <w:rsid w:val="001F1F05"/>
    <w:rsid w:val="001F21DC"/>
    <w:rsid w:val="001F21EC"/>
    <w:rsid w:val="001F2819"/>
    <w:rsid w:val="001F3366"/>
    <w:rsid w:val="001F352E"/>
    <w:rsid w:val="001F38BF"/>
    <w:rsid w:val="001F38D3"/>
    <w:rsid w:val="001F3938"/>
    <w:rsid w:val="001F3958"/>
    <w:rsid w:val="001F3C81"/>
    <w:rsid w:val="001F3E90"/>
    <w:rsid w:val="001F3EF9"/>
    <w:rsid w:val="001F4595"/>
    <w:rsid w:val="001F4642"/>
    <w:rsid w:val="001F53EF"/>
    <w:rsid w:val="001F5726"/>
    <w:rsid w:val="001F573B"/>
    <w:rsid w:val="001F5C37"/>
    <w:rsid w:val="001F5EA0"/>
    <w:rsid w:val="001F60A2"/>
    <w:rsid w:val="001F62FE"/>
    <w:rsid w:val="001F6302"/>
    <w:rsid w:val="001F64D7"/>
    <w:rsid w:val="001F66D3"/>
    <w:rsid w:val="001F6803"/>
    <w:rsid w:val="001F6C4F"/>
    <w:rsid w:val="001F7077"/>
    <w:rsid w:val="001F70B7"/>
    <w:rsid w:val="001F7282"/>
    <w:rsid w:val="001F76C7"/>
    <w:rsid w:val="001F780C"/>
    <w:rsid w:val="001F7CF5"/>
    <w:rsid w:val="001F7D1B"/>
    <w:rsid w:val="001F7DF9"/>
    <w:rsid w:val="002000D5"/>
    <w:rsid w:val="002000EB"/>
    <w:rsid w:val="002005A8"/>
    <w:rsid w:val="002005F7"/>
    <w:rsid w:val="0020091F"/>
    <w:rsid w:val="00200A45"/>
    <w:rsid w:val="00200C03"/>
    <w:rsid w:val="00200EAC"/>
    <w:rsid w:val="0020169C"/>
    <w:rsid w:val="0020174D"/>
    <w:rsid w:val="00201B43"/>
    <w:rsid w:val="00201D00"/>
    <w:rsid w:val="00201D2E"/>
    <w:rsid w:val="002021CD"/>
    <w:rsid w:val="002023EE"/>
    <w:rsid w:val="002027C7"/>
    <w:rsid w:val="00202B77"/>
    <w:rsid w:val="00202FBE"/>
    <w:rsid w:val="002034BA"/>
    <w:rsid w:val="0020368C"/>
    <w:rsid w:val="002039D7"/>
    <w:rsid w:val="00203B8B"/>
    <w:rsid w:val="00203C61"/>
    <w:rsid w:val="002044A4"/>
    <w:rsid w:val="0020473B"/>
    <w:rsid w:val="00204871"/>
    <w:rsid w:val="00204C24"/>
    <w:rsid w:val="00204C57"/>
    <w:rsid w:val="00204C6A"/>
    <w:rsid w:val="002056AA"/>
    <w:rsid w:val="002057AA"/>
    <w:rsid w:val="00205C76"/>
    <w:rsid w:val="002066AC"/>
    <w:rsid w:val="002066DE"/>
    <w:rsid w:val="002068C9"/>
    <w:rsid w:val="00206A18"/>
    <w:rsid w:val="00206BBF"/>
    <w:rsid w:val="00206E6F"/>
    <w:rsid w:val="00207188"/>
    <w:rsid w:val="002073C2"/>
    <w:rsid w:val="0020766F"/>
    <w:rsid w:val="00207BBC"/>
    <w:rsid w:val="00207C1A"/>
    <w:rsid w:val="00207EF4"/>
    <w:rsid w:val="0021014C"/>
    <w:rsid w:val="00210301"/>
    <w:rsid w:val="00210662"/>
    <w:rsid w:val="00210DD3"/>
    <w:rsid w:val="00210F10"/>
    <w:rsid w:val="00211045"/>
    <w:rsid w:val="00211212"/>
    <w:rsid w:val="002113A9"/>
    <w:rsid w:val="00211448"/>
    <w:rsid w:val="002115AB"/>
    <w:rsid w:val="0021161A"/>
    <w:rsid w:val="00211886"/>
    <w:rsid w:val="00211E2E"/>
    <w:rsid w:val="00211EC0"/>
    <w:rsid w:val="00211EF1"/>
    <w:rsid w:val="00212443"/>
    <w:rsid w:val="00212661"/>
    <w:rsid w:val="00212E5D"/>
    <w:rsid w:val="0021357B"/>
    <w:rsid w:val="00213BB5"/>
    <w:rsid w:val="002142A5"/>
    <w:rsid w:val="0021442F"/>
    <w:rsid w:val="00214777"/>
    <w:rsid w:val="00214A66"/>
    <w:rsid w:val="00214B5D"/>
    <w:rsid w:val="00214D0C"/>
    <w:rsid w:val="00214DFD"/>
    <w:rsid w:val="002152D5"/>
    <w:rsid w:val="00215554"/>
    <w:rsid w:val="00215733"/>
    <w:rsid w:val="0021595C"/>
    <w:rsid w:val="00215FC4"/>
    <w:rsid w:val="002161F6"/>
    <w:rsid w:val="0021649E"/>
    <w:rsid w:val="002165F4"/>
    <w:rsid w:val="00216B43"/>
    <w:rsid w:val="00217777"/>
    <w:rsid w:val="00217C10"/>
    <w:rsid w:val="00217F9A"/>
    <w:rsid w:val="002200A5"/>
    <w:rsid w:val="00220D58"/>
    <w:rsid w:val="002210D5"/>
    <w:rsid w:val="00221867"/>
    <w:rsid w:val="00221BAA"/>
    <w:rsid w:val="00221EF9"/>
    <w:rsid w:val="00222251"/>
    <w:rsid w:val="002222B9"/>
    <w:rsid w:val="0022256F"/>
    <w:rsid w:val="002227FF"/>
    <w:rsid w:val="0022293C"/>
    <w:rsid w:val="00222B53"/>
    <w:rsid w:val="00223166"/>
    <w:rsid w:val="00223A96"/>
    <w:rsid w:val="00223EEC"/>
    <w:rsid w:val="002243CC"/>
    <w:rsid w:val="002244F6"/>
    <w:rsid w:val="002244FD"/>
    <w:rsid w:val="0022476B"/>
    <w:rsid w:val="002248A7"/>
    <w:rsid w:val="00224A5E"/>
    <w:rsid w:val="00224BE7"/>
    <w:rsid w:val="00224DC1"/>
    <w:rsid w:val="00224E8B"/>
    <w:rsid w:val="00225129"/>
    <w:rsid w:val="0022532F"/>
    <w:rsid w:val="0022535F"/>
    <w:rsid w:val="0022556A"/>
    <w:rsid w:val="002258B8"/>
    <w:rsid w:val="00225979"/>
    <w:rsid w:val="00225B5B"/>
    <w:rsid w:val="00225C8E"/>
    <w:rsid w:val="002262D0"/>
    <w:rsid w:val="00226403"/>
    <w:rsid w:val="00226461"/>
    <w:rsid w:val="00226679"/>
    <w:rsid w:val="00226782"/>
    <w:rsid w:val="00226932"/>
    <w:rsid w:val="002272AB"/>
    <w:rsid w:val="002274CB"/>
    <w:rsid w:val="00227555"/>
    <w:rsid w:val="002277F5"/>
    <w:rsid w:val="00227B3D"/>
    <w:rsid w:val="002300AE"/>
    <w:rsid w:val="00230515"/>
    <w:rsid w:val="00230ABF"/>
    <w:rsid w:val="00230B28"/>
    <w:rsid w:val="00230E55"/>
    <w:rsid w:val="00230F62"/>
    <w:rsid w:val="002311C5"/>
    <w:rsid w:val="002311F1"/>
    <w:rsid w:val="002312ED"/>
    <w:rsid w:val="002317F6"/>
    <w:rsid w:val="0023184A"/>
    <w:rsid w:val="00231891"/>
    <w:rsid w:val="00231899"/>
    <w:rsid w:val="00232082"/>
    <w:rsid w:val="002320ED"/>
    <w:rsid w:val="00232443"/>
    <w:rsid w:val="00232684"/>
    <w:rsid w:val="002328F7"/>
    <w:rsid w:val="00232AB9"/>
    <w:rsid w:val="00232CBC"/>
    <w:rsid w:val="00233142"/>
    <w:rsid w:val="00233167"/>
    <w:rsid w:val="0023361F"/>
    <w:rsid w:val="002336B8"/>
    <w:rsid w:val="002338C4"/>
    <w:rsid w:val="00233B11"/>
    <w:rsid w:val="00233B58"/>
    <w:rsid w:val="00233C5C"/>
    <w:rsid w:val="002344A7"/>
    <w:rsid w:val="002346FD"/>
    <w:rsid w:val="00234B37"/>
    <w:rsid w:val="00234D9F"/>
    <w:rsid w:val="00234F0F"/>
    <w:rsid w:val="00235417"/>
    <w:rsid w:val="00235535"/>
    <w:rsid w:val="0023575A"/>
    <w:rsid w:val="00235A66"/>
    <w:rsid w:val="00235EFE"/>
    <w:rsid w:val="0023612D"/>
    <w:rsid w:val="0023622A"/>
    <w:rsid w:val="002363B1"/>
    <w:rsid w:val="002366EE"/>
    <w:rsid w:val="00236734"/>
    <w:rsid w:val="002367E7"/>
    <w:rsid w:val="0023687E"/>
    <w:rsid w:val="0023707F"/>
    <w:rsid w:val="00237263"/>
    <w:rsid w:val="00237837"/>
    <w:rsid w:val="00240008"/>
    <w:rsid w:val="00240394"/>
    <w:rsid w:val="00240C21"/>
    <w:rsid w:val="002410A5"/>
    <w:rsid w:val="00241295"/>
    <w:rsid w:val="00241566"/>
    <w:rsid w:val="002417D6"/>
    <w:rsid w:val="002417F9"/>
    <w:rsid w:val="00241BE0"/>
    <w:rsid w:val="0024212F"/>
    <w:rsid w:val="00242210"/>
    <w:rsid w:val="00242456"/>
    <w:rsid w:val="002429F4"/>
    <w:rsid w:val="00242CF9"/>
    <w:rsid w:val="00242E35"/>
    <w:rsid w:val="00243133"/>
    <w:rsid w:val="0024336A"/>
    <w:rsid w:val="00243604"/>
    <w:rsid w:val="00243660"/>
    <w:rsid w:val="00243992"/>
    <w:rsid w:val="00243A79"/>
    <w:rsid w:val="00243B1E"/>
    <w:rsid w:val="00243B6A"/>
    <w:rsid w:val="00243CF9"/>
    <w:rsid w:val="00243D71"/>
    <w:rsid w:val="00243EB0"/>
    <w:rsid w:val="00244133"/>
    <w:rsid w:val="00244169"/>
    <w:rsid w:val="00244198"/>
    <w:rsid w:val="002443A9"/>
    <w:rsid w:val="00244441"/>
    <w:rsid w:val="002447BE"/>
    <w:rsid w:val="0024489D"/>
    <w:rsid w:val="00244C69"/>
    <w:rsid w:val="002450DB"/>
    <w:rsid w:val="0024513A"/>
    <w:rsid w:val="0024526D"/>
    <w:rsid w:val="002452F4"/>
    <w:rsid w:val="002455DB"/>
    <w:rsid w:val="00245D91"/>
    <w:rsid w:val="00245E94"/>
    <w:rsid w:val="00245ECC"/>
    <w:rsid w:val="00246367"/>
    <w:rsid w:val="00246CF4"/>
    <w:rsid w:val="002471C5"/>
    <w:rsid w:val="002473BB"/>
    <w:rsid w:val="0024768D"/>
    <w:rsid w:val="00247B54"/>
    <w:rsid w:val="00247D0F"/>
    <w:rsid w:val="00250052"/>
    <w:rsid w:val="002500FB"/>
    <w:rsid w:val="0025034A"/>
    <w:rsid w:val="00250697"/>
    <w:rsid w:val="00250829"/>
    <w:rsid w:val="00250BDF"/>
    <w:rsid w:val="0025136E"/>
    <w:rsid w:val="002513EA"/>
    <w:rsid w:val="00251428"/>
    <w:rsid w:val="0025163C"/>
    <w:rsid w:val="002516EC"/>
    <w:rsid w:val="00251722"/>
    <w:rsid w:val="00251B16"/>
    <w:rsid w:val="00251D0B"/>
    <w:rsid w:val="002523C9"/>
    <w:rsid w:val="0025254B"/>
    <w:rsid w:val="00252594"/>
    <w:rsid w:val="00252BBA"/>
    <w:rsid w:val="00252F1D"/>
    <w:rsid w:val="002532EB"/>
    <w:rsid w:val="002534FD"/>
    <w:rsid w:val="002538A9"/>
    <w:rsid w:val="002538CC"/>
    <w:rsid w:val="00253BC4"/>
    <w:rsid w:val="00253E7F"/>
    <w:rsid w:val="002546FF"/>
    <w:rsid w:val="00254781"/>
    <w:rsid w:val="002548A2"/>
    <w:rsid w:val="002548DD"/>
    <w:rsid w:val="00254C07"/>
    <w:rsid w:val="002550C2"/>
    <w:rsid w:val="00255B18"/>
    <w:rsid w:val="00255B2E"/>
    <w:rsid w:val="0025622B"/>
    <w:rsid w:val="0025636A"/>
    <w:rsid w:val="00256443"/>
    <w:rsid w:val="002564F9"/>
    <w:rsid w:val="00256A69"/>
    <w:rsid w:val="00256AA0"/>
    <w:rsid w:val="00256C8A"/>
    <w:rsid w:val="00256E1E"/>
    <w:rsid w:val="002570B1"/>
    <w:rsid w:val="00257380"/>
    <w:rsid w:val="0025771E"/>
    <w:rsid w:val="00257DC4"/>
    <w:rsid w:val="00257EA6"/>
    <w:rsid w:val="00257F9D"/>
    <w:rsid w:val="0026018C"/>
    <w:rsid w:val="00260508"/>
    <w:rsid w:val="00260841"/>
    <w:rsid w:val="00260A10"/>
    <w:rsid w:val="00260A19"/>
    <w:rsid w:val="00260B0F"/>
    <w:rsid w:val="00260C44"/>
    <w:rsid w:val="00260CD6"/>
    <w:rsid w:val="00261067"/>
    <w:rsid w:val="002610AB"/>
    <w:rsid w:val="002612CB"/>
    <w:rsid w:val="0026158D"/>
    <w:rsid w:val="00261836"/>
    <w:rsid w:val="00261967"/>
    <w:rsid w:val="0026196A"/>
    <w:rsid w:val="002619F6"/>
    <w:rsid w:val="00261DB4"/>
    <w:rsid w:val="00262092"/>
    <w:rsid w:val="002621B0"/>
    <w:rsid w:val="0026234A"/>
    <w:rsid w:val="0026239E"/>
    <w:rsid w:val="0026240F"/>
    <w:rsid w:val="002625ED"/>
    <w:rsid w:val="00262636"/>
    <w:rsid w:val="00262C3B"/>
    <w:rsid w:val="00263374"/>
    <w:rsid w:val="002639B6"/>
    <w:rsid w:val="00263B9E"/>
    <w:rsid w:val="0026417C"/>
    <w:rsid w:val="002641E5"/>
    <w:rsid w:val="00264262"/>
    <w:rsid w:val="002643AD"/>
    <w:rsid w:val="002645E0"/>
    <w:rsid w:val="002646BC"/>
    <w:rsid w:val="002646D6"/>
    <w:rsid w:val="00264C3C"/>
    <w:rsid w:val="00264D1C"/>
    <w:rsid w:val="00264EF6"/>
    <w:rsid w:val="00264FD3"/>
    <w:rsid w:val="002651C4"/>
    <w:rsid w:val="002652E2"/>
    <w:rsid w:val="0026533A"/>
    <w:rsid w:val="00265594"/>
    <w:rsid w:val="002655A1"/>
    <w:rsid w:val="002656E7"/>
    <w:rsid w:val="00265A7E"/>
    <w:rsid w:val="00265D49"/>
    <w:rsid w:val="0026602E"/>
    <w:rsid w:val="002660E7"/>
    <w:rsid w:val="00266427"/>
    <w:rsid w:val="002668FD"/>
    <w:rsid w:val="0026698A"/>
    <w:rsid w:val="00266999"/>
    <w:rsid w:val="002669DF"/>
    <w:rsid w:val="00266A37"/>
    <w:rsid w:val="00266A4E"/>
    <w:rsid w:val="00266C25"/>
    <w:rsid w:val="00266C71"/>
    <w:rsid w:val="0026788C"/>
    <w:rsid w:val="002703EE"/>
    <w:rsid w:val="00270486"/>
    <w:rsid w:val="00270922"/>
    <w:rsid w:val="00270AB8"/>
    <w:rsid w:val="00270B75"/>
    <w:rsid w:val="00270BA6"/>
    <w:rsid w:val="00270E82"/>
    <w:rsid w:val="00271495"/>
    <w:rsid w:val="002719F7"/>
    <w:rsid w:val="00271BB0"/>
    <w:rsid w:val="00272239"/>
    <w:rsid w:val="0027241B"/>
    <w:rsid w:val="002724D9"/>
    <w:rsid w:val="0027254B"/>
    <w:rsid w:val="0027257D"/>
    <w:rsid w:val="0027278D"/>
    <w:rsid w:val="002727F1"/>
    <w:rsid w:val="0027284A"/>
    <w:rsid w:val="0027289D"/>
    <w:rsid w:val="002733D4"/>
    <w:rsid w:val="0027349E"/>
    <w:rsid w:val="00273798"/>
    <w:rsid w:val="0027381D"/>
    <w:rsid w:val="0027386A"/>
    <w:rsid w:val="00273960"/>
    <w:rsid w:val="00273D39"/>
    <w:rsid w:val="002743FA"/>
    <w:rsid w:val="00274620"/>
    <w:rsid w:val="00274738"/>
    <w:rsid w:val="0027489C"/>
    <w:rsid w:val="00274BBB"/>
    <w:rsid w:val="00274CF9"/>
    <w:rsid w:val="0027566E"/>
    <w:rsid w:val="002756DD"/>
    <w:rsid w:val="00275729"/>
    <w:rsid w:val="00275A35"/>
    <w:rsid w:val="00275D3C"/>
    <w:rsid w:val="00275D68"/>
    <w:rsid w:val="00276171"/>
    <w:rsid w:val="00276900"/>
    <w:rsid w:val="00276C62"/>
    <w:rsid w:val="00276DA5"/>
    <w:rsid w:val="00276F21"/>
    <w:rsid w:val="0027710B"/>
    <w:rsid w:val="0027752A"/>
    <w:rsid w:val="002775B4"/>
    <w:rsid w:val="00277C1C"/>
    <w:rsid w:val="00277CCE"/>
    <w:rsid w:val="00277D4A"/>
    <w:rsid w:val="00277E37"/>
    <w:rsid w:val="00277E82"/>
    <w:rsid w:val="00280061"/>
    <w:rsid w:val="0028035C"/>
    <w:rsid w:val="00280377"/>
    <w:rsid w:val="002804AC"/>
    <w:rsid w:val="002804EB"/>
    <w:rsid w:val="00280DF7"/>
    <w:rsid w:val="00280DFA"/>
    <w:rsid w:val="00281059"/>
    <w:rsid w:val="002812BC"/>
    <w:rsid w:val="00281554"/>
    <w:rsid w:val="00281A05"/>
    <w:rsid w:val="00281C4A"/>
    <w:rsid w:val="00282236"/>
    <w:rsid w:val="002828FD"/>
    <w:rsid w:val="00282B90"/>
    <w:rsid w:val="00282F5A"/>
    <w:rsid w:val="00283A8A"/>
    <w:rsid w:val="00283AE9"/>
    <w:rsid w:val="00283CFC"/>
    <w:rsid w:val="00283E15"/>
    <w:rsid w:val="00283F8C"/>
    <w:rsid w:val="002840A3"/>
    <w:rsid w:val="002843F0"/>
    <w:rsid w:val="00284988"/>
    <w:rsid w:val="00284AB7"/>
    <w:rsid w:val="00284D53"/>
    <w:rsid w:val="00284F38"/>
    <w:rsid w:val="002850B0"/>
    <w:rsid w:val="002850DB"/>
    <w:rsid w:val="002859B9"/>
    <w:rsid w:val="00285BFF"/>
    <w:rsid w:val="00285C5D"/>
    <w:rsid w:val="00285D73"/>
    <w:rsid w:val="00285F5C"/>
    <w:rsid w:val="002862AB"/>
    <w:rsid w:val="002862DE"/>
    <w:rsid w:val="002863A8"/>
    <w:rsid w:val="002865B7"/>
    <w:rsid w:val="002865EA"/>
    <w:rsid w:val="002868AA"/>
    <w:rsid w:val="00286B7C"/>
    <w:rsid w:val="00286C49"/>
    <w:rsid w:val="00286CE5"/>
    <w:rsid w:val="00286CFA"/>
    <w:rsid w:val="00286D69"/>
    <w:rsid w:val="00286F5A"/>
    <w:rsid w:val="002871C8"/>
    <w:rsid w:val="00287290"/>
    <w:rsid w:val="00287543"/>
    <w:rsid w:val="002875CB"/>
    <w:rsid w:val="0028777D"/>
    <w:rsid w:val="00287B33"/>
    <w:rsid w:val="002900F6"/>
    <w:rsid w:val="00290211"/>
    <w:rsid w:val="00290CF7"/>
    <w:rsid w:val="00290DD8"/>
    <w:rsid w:val="002910C5"/>
    <w:rsid w:val="002915CF"/>
    <w:rsid w:val="002915D7"/>
    <w:rsid w:val="002915EA"/>
    <w:rsid w:val="0029194F"/>
    <w:rsid w:val="00291D10"/>
    <w:rsid w:val="00291E77"/>
    <w:rsid w:val="0029200F"/>
    <w:rsid w:val="002920FE"/>
    <w:rsid w:val="00292686"/>
    <w:rsid w:val="00292729"/>
    <w:rsid w:val="00292C6D"/>
    <w:rsid w:val="00292E42"/>
    <w:rsid w:val="00292EB6"/>
    <w:rsid w:val="002930F0"/>
    <w:rsid w:val="0029317C"/>
    <w:rsid w:val="00293972"/>
    <w:rsid w:val="002939A1"/>
    <w:rsid w:val="00293E11"/>
    <w:rsid w:val="00294271"/>
    <w:rsid w:val="0029428F"/>
    <w:rsid w:val="002943C8"/>
    <w:rsid w:val="002943D6"/>
    <w:rsid w:val="00294B12"/>
    <w:rsid w:val="00294CC4"/>
    <w:rsid w:val="00294DB4"/>
    <w:rsid w:val="00294E55"/>
    <w:rsid w:val="00294E58"/>
    <w:rsid w:val="002950D8"/>
    <w:rsid w:val="00295425"/>
    <w:rsid w:val="002957D8"/>
    <w:rsid w:val="00295FAD"/>
    <w:rsid w:val="002965FA"/>
    <w:rsid w:val="0029661E"/>
    <w:rsid w:val="00296AA9"/>
    <w:rsid w:val="00296BFD"/>
    <w:rsid w:val="00296C8E"/>
    <w:rsid w:val="00296CA0"/>
    <w:rsid w:val="00296E94"/>
    <w:rsid w:val="0029700A"/>
    <w:rsid w:val="00297049"/>
    <w:rsid w:val="00297394"/>
    <w:rsid w:val="00297619"/>
    <w:rsid w:val="00297699"/>
    <w:rsid w:val="00297761"/>
    <w:rsid w:val="002978BE"/>
    <w:rsid w:val="00297947"/>
    <w:rsid w:val="00297C04"/>
    <w:rsid w:val="00297E84"/>
    <w:rsid w:val="002A0347"/>
    <w:rsid w:val="002A03DC"/>
    <w:rsid w:val="002A0843"/>
    <w:rsid w:val="002A0A1D"/>
    <w:rsid w:val="002A0B81"/>
    <w:rsid w:val="002A10BF"/>
    <w:rsid w:val="002A12C9"/>
    <w:rsid w:val="002A153A"/>
    <w:rsid w:val="002A1652"/>
    <w:rsid w:val="002A22B8"/>
    <w:rsid w:val="002A2528"/>
    <w:rsid w:val="002A2A2D"/>
    <w:rsid w:val="002A34BD"/>
    <w:rsid w:val="002A373D"/>
    <w:rsid w:val="002A3DE5"/>
    <w:rsid w:val="002A3E42"/>
    <w:rsid w:val="002A3E83"/>
    <w:rsid w:val="002A3ED7"/>
    <w:rsid w:val="002A3EE0"/>
    <w:rsid w:val="002A3FE5"/>
    <w:rsid w:val="002A44A4"/>
    <w:rsid w:val="002A4657"/>
    <w:rsid w:val="002A47AF"/>
    <w:rsid w:val="002A484E"/>
    <w:rsid w:val="002A48FF"/>
    <w:rsid w:val="002A49A1"/>
    <w:rsid w:val="002A4BAE"/>
    <w:rsid w:val="002A50F1"/>
    <w:rsid w:val="002A5DF7"/>
    <w:rsid w:val="002A61A8"/>
    <w:rsid w:val="002A629A"/>
    <w:rsid w:val="002A670F"/>
    <w:rsid w:val="002A6EF8"/>
    <w:rsid w:val="002A76E0"/>
    <w:rsid w:val="002A78AC"/>
    <w:rsid w:val="002A7B14"/>
    <w:rsid w:val="002A7D91"/>
    <w:rsid w:val="002A7EC9"/>
    <w:rsid w:val="002B0249"/>
    <w:rsid w:val="002B03F7"/>
    <w:rsid w:val="002B0481"/>
    <w:rsid w:val="002B089E"/>
    <w:rsid w:val="002B0CB4"/>
    <w:rsid w:val="002B0E38"/>
    <w:rsid w:val="002B0FC9"/>
    <w:rsid w:val="002B113A"/>
    <w:rsid w:val="002B130B"/>
    <w:rsid w:val="002B141C"/>
    <w:rsid w:val="002B1735"/>
    <w:rsid w:val="002B1812"/>
    <w:rsid w:val="002B1B4B"/>
    <w:rsid w:val="002B1B82"/>
    <w:rsid w:val="002B1F2C"/>
    <w:rsid w:val="002B1FD9"/>
    <w:rsid w:val="002B24A5"/>
    <w:rsid w:val="002B25FB"/>
    <w:rsid w:val="002B2A7B"/>
    <w:rsid w:val="002B3064"/>
    <w:rsid w:val="002B323E"/>
    <w:rsid w:val="002B3294"/>
    <w:rsid w:val="002B3352"/>
    <w:rsid w:val="002B34FF"/>
    <w:rsid w:val="002B3890"/>
    <w:rsid w:val="002B3A6B"/>
    <w:rsid w:val="002B3BA3"/>
    <w:rsid w:val="002B3C30"/>
    <w:rsid w:val="002B3D63"/>
    <w:rsid w:val="002B3EB9"/>
    <w:rsid w:val="002B42A0"/>
    <w:rsid w:val="002B487A"/>
    <w:rsid w:val="002B4B86"/>
    <w:rsid w:val="002B4EA8"/>
    <w:rsid w:val="002B575D"/>
    <w:rsid w:val="002B596F"/>
    <w:rsid w:val="002B5A11"/>
    <w:rsid w:val="002B5B1A"/>
    <w:rsid w:val="002B5BCB"/>
    <w:rsid w:val="002B5D15"/>
    <w:rsid w:val="002B5D56"/>
    <w:rsid w:val="002B5EAA"/>
    <w:rsid w:val="002B633E"/>
    <w:rsid w:val="002B645E"/>
    <w:rsid w:val="002B6831"/>
    <w:rsid w:val="002B692F"/>
    <w:rsid w:val="002B6F8C"/>
    <w:rsid w:val="002B706E"/>
    <w:rsid w:val="002B745C"/>
    <w:rsid w:val="002B7529"/>
    <w:rsid w:val="002B75CB"/>
    <w:rsid w:val="002B76A5"/>
    <w:rsid w:val="002B7983"/>
    <w:rsid w:val="002C0080"/>
    <w:rsid w:val="002C0147"/>
    <w:rsid w:val="002C032B"/>
    <w:rsid w:val="002C03CE"/>
    <w:rsid w:val="002C04B2"/>
    <w:rsid w:val="002C0E2C"/>
    <w:rsid w:val="002C0ECE"/>
    <w:rsid w:val="002C112A"/>
    <w:rsid w:val="002C13AE"/>
    <w:rsid w:val="002C1564"/>
    <w:rsid w:val="002C17A3"/>
    <w:rsid w:val="002C1BD4"/>
    <w:rsid w:val="002C1C92"/>
    <w:rsid w:val="002C1FF9"/>
    <w:rsid w:val="002C2097"/>
    <w:rsid w:val="002C28FB"/>
    <w:rsid w:val="002C29DD"/>
    <w:rsid w:val="002C2BAC"/>
    <w:rsid w:val="002C2EEC"/>
    <w:rsid w:val="002C2FD9"/>
    <w:rsid w:val="002C3122"/>
    <w:rsid w:val="002C362C"/>
    <w:rsid w:val="002C3714"/>
    <w:rsid w:val="002C3A95"/>
    <w:rsid w:val="002C3E89"/>
    <w:rsid w:val="002C421F"/>
    <w:rsid w:val="002C44A8"/>
    <w:rsid w:val="002C489F"/>
    <w:rsid w:val="002C4BCB"/>
    <w:rsid w:val="002C4EEE"/>
    <w:rsid w:val="002C4F15"/>
    <w:rsid w:val="002C4F8C"/>
    <w:rsid w:val="002C500F"/>
    <w:rsid w:val="002C63C4"/>
    <w:rsid w:val="002C64C2"/>
    <w:rsid w:val="002C667B"/>
    <w:rsid w:val="002C6AB6"/>
    <w:rsid w:val="002C6C39"/>
    <w:rsid w:val="002C702C"/>
    <w:rsid w:val="002C7275"/>
    <w:rsid w:val="002C77D8"/>
    <w:rsid w:val="002C7905"/>
    <w:rsid w:val="002C7A4F"/>
    <w:rsid w:val="002C7E45"/>
    <w:rsid w:val="002D0179"/>
    <w:rsid w:val="002D0197"/>
    <w:rsid w:val="002D0339"/>
    <w:rsid w:val="002D07EA"/>
    <w:rsid w:val="002D08F7"/>
    <w:rsid w:val="002D0DC9"/>
    <w:rsid w:val="002D14C1"/>
    <w:rsid w:val="002D19C2"/>
    <w:rsid w:val="002D1E8F"/>
    <w:rsid w:val="002D206A"/>
    <w:rsid w:val="002D209B"/>
    <w:rsid w:val="002D24AF"/>
    <w:rsid w:val="002D2D74"/>
    <w:rsid w:val="002D2FA6"/>
    <w:rsid w:val="002D3487"/>
    <w:rsid w:val="002D3666"/>
    <w:rsid w:val="002D377F"/>
    <w:rsid w:val="002D37B7"/>
    <w:rsid w:val="002D3AE9"/>
    <w:rsid w:val="002D3D34"/>
    <w:rsid w:val="002D40B9"/>
    <w:rsid w:val="002D44D5"/>
    <w:rsid w:val="002D45C1"/>
    <w:rsid w:val="002D45DD"/>
    <w:rsid w:val="002D465E"/>
    <w:rsid w:val="002D56AD"/>
    <w:rsid w:val="002D583E"/>
    <w:rsid w:val="002D60F0"/>
    <w:rsid w:val="002D6341"/>
    <w:rsid w:val="002D66F4"/>
    <w:rsid w:val="002D6B88"/>
    <w:rsid w:val="002D719A"/>
    <w:rsid w:val="002D72B4"/>
    <w:rsid w:val="002D7C26"/>
    <w:rsid w:val="002E039D"/>
    <w:rsid w:val="002E0647"/>
    <w:rsid w:val="002E071A"/>
    <w:rsid w:val="002E09D6"/>
    <w:rsid w:val="002E0A17"/>
    <w:rsid w:val="002E0BFA"/>
    <w:rsid w:val="002E0E0F"/>
    <w:rsid w:val="002E1638"/>
    <w:rsid w:val="002E167C"/>
    <w:rsid w:val="002E18AC"/>
    <w:rsid w:val="002E1E79"/>
    <w:rsid w:val="002E223A"/>
    <w:rsid w:val="002E27E0"/>
    <w:rsid w:val="002E2D2B"/>
    <w:rsid w:val="002E35E0"/>
    <w:rsid w:val="002E35E8"/>
    <w:rsid w:val="002E3DCA"/>
    <w:rsid w:val="002E4450"/>
    <w:rsid w:val="002E4604"/>
    <w:rsid w:val="002E478E"/>
    <w:rsid w:val="002E4DA4"/>
    <w:rsid w:val="002E4EF4"/>
    <w:rsid w:val="002E525F"/>
    <w:rsid w:val="002E52A5"/>
    <w:rsid w:val="002E54A7"/>
    <w:rsid w:val="002E5E0C"/>
    <w:rsid w:val="002E60B7"/>
    <w:rsid w:val="002E62E9"/>
    <w:rsid w:val="002E6345"/>
    <w:rsid w:val="002E6375"/>
    <w:rsid w:val="002E6590"/>
    <w:rsid w:val="002E663C"/>
    <w:rsid w:val="002E6B6F"/>
    <w:rsid w:val="002E6D9D"/>
    <w:rsid w:val="002E6F10"/>
    <w:rsid w:val="002E70D8"/>
    <w:rsid w:val="002E71EE"/>
    <w:rsid w:val="002E72A9"/>
    <w:rsid w:val="002E7D00"/>
    <w:rsid w:val="002F0225"/>
    <w:rsid w:val="002F03F0"/>
    <w:rsid w:val="002F0EBD"/>
    <w:rsid w:val="002F0F72"/>
    <w:rsid w:val="002F119D"/>
    <w:rsid w:val="002F1260"/>
    <w:rsid w:val="002F12FC"/>
    <w:rsid w:val="002F14CD"/>
    <w:rsid w:val="002F15AD"/>
    <w:rsid w:val="002F1774"/>
    <w:rsid w:val="002F17CD"/>
    <w:rsid w:val="002F19C1"/>
    <w:rsid w:val="002F1EC3"/>
    <w:rsid w:val="002F1F01"/>
    <w:rsid w:val="002F204E"/>
    <w:rsid w:val="002F20D7"/>
    <w:rsid w:val="002F2129"/>
    <w:rsid w:val="002F2215"/>
    <w:rsid w:val="002F245A"/>
    <w:rsid w:val="002F2678"/>
    <w:rsid w:val="002F27B8"/>
    <w:rsid w:val="002F2916"/>
    <w:rsid w:val="002F2CD0"/>
    <w:rsid w:val="002F2D41"/>
    <w:rsid w:val="002F2DB7"/>
    <w:rsid w:val="002F3222"/>
    <w:rsid w:val="002F34EB"/>
    <w:rsid w:val="002F37DE"/>
    <w:rsid w:val="002F3B21"/>
    <w:rsid w:val="002F3B64"/>
    <w:rsid w:val="002F3DA7"/>
    <w:rsid w:val="002F4141"/>
    <w:rsid w:val="002F4710"/>
    <w:rsid w:val="002F48E0"/>
    <w:rsid w:val="002F498C"/>
    <w:rsid w:val="002F50BF"/>
    <w:rsid w:val="002F51B1"/>
    <w:rsid w:val="002F53DF"/>
    <w:rsid w:val="002F576D"/>
    <w:rsid w:val="002F57F2"/>
    <w:rsid w:val="002F5CD6"/>
    <w:rsid w:val="002F5D43"/>
    <w:rsid w:val="002F5DE5"/>
    <w:rsid w:val="002F5E1F"/>
    <w:rsid w:val="002F62AC"/>
    <w:rsid w:val="002F6355"/>
    <w:rsid w:val="002F6395"/>
    <w:rsid w:val="002F67F1"/>
    <w:rsid w:val="002F68A4"/>
    <w:rsid w:val="002F7122"/>
    <w:rsid w:val="002F72FC"/>
    <w:rsid w:val="002F7538"/>
    <w:rsid w:val="002F75C8"/>
    <w:rsid w:val="002F7D08"/>
    <w:rsid w:val="002F7D8B"/>
    <w:rsid w:val="002F7ED7"/>
    <w:rsid w:val="0030020B"/>
    <w:rsid w:val="0030043E"/>
    <w:rsid w:val="00300706"/>
    <w:rsid w:val="0030088A"/>
    <w:rsid w:val="0030190B"/>
    <w:rsid w:val="00301A87"/>
    <w:rsid w:val="00301DD8"/>
    <w:rsid w:val="00301E6E"/>
    <w:rsid w:val="0030234B"/>
    <w:rsid w:val="003026B2"/>
    <w:rsid w:val="00302920"/>
    <w:rsid w:val="00302A3F"/>
    <w:rsid w:val="00302FF0"/>
    <w:rsid w:val="00303223"/>
    <w:rsid w:val="00303350"/>
    <w:rsid w:val="00303393"/>
    <w:rsid w:val="00303585"/>
    <w:rsid w:val="003037E8"/>
    <w:rsid w:val="00303AD6"/>
    <w:rsid w:val="00303B74"/>
    <w:rsid w:val="00303D6C"/>
    <w:rsid w:val="00304690"/>
    <w:rsid w:val="003048AB"/>
    <w:rsid w:val="00304ACC"/>
    <w:rsid w:val="00304B6B"/>
    <w:rsid w:val="00304B86"/>
    <w:rsid w:val="00304EC3"/>
    <w:rsid w:val="003051F6"/>
    <w:rsid w:val="0030522F"/>
    <w:rsid w:val="003055A0"/>
    <w:rsid w:val="003056FE"/>
    <w:rsid w:val="00305772"/>
    <w:rsid w:val="003057A5"/>
    <w:rsid w:val="0030595E"/>
    <w:rsid w:val="00305B1A"/>
    <w:rsid w:val="00305F64"/>
    <w:rsid w:val="0030644E"/>
    <w:rsid w:val="00306CEE"/>
    <w:rsid w:val="00307292"/>
    <w:rsid w:val="0030729E"/>
    <w:rsid w:val="003075F3"/>
    <w:rsid w:val="00307B6D"/>
    <w:rsid w:val="00307D3C"/>
    <w:rsid w:val="00307EA9"/>
    <w:rsid w:val="00307F9B"/>
    <w:rsid w:val="00310271"/>
    <w:rsid w:val="003104E1"/>
    <w:rsid w:val="003106A2"/>
    <w:rsid w:val="0031082C"/>
    <w:rsid w:val="0031090A"/>
    <w:rsid w:val="00310C18"/>
    <w:rsid w:val="00310D0E"/>
    <w:rsid w:val="00311741"/>
    <w:rsid w:val="003118F8"/>
    <w:rsid w:val="00311FF1"/>
    <w:rsid w:val="003122C6"/>
    <w:rsid w:val="00312636"/>
    <w:rsid w:val="0031271D"/>
    <w:rsid w:val="00312A54"/>
    <w:rsid w:val="00312BD8"/>
    <w:rsid w:val="00313640"/>
    <w:rsid w:val="003137B8"/>
    <w:rsid w:val="003138A5"/>
    <w:rsid w:val="00313A64"/>
    <w:rsid w:val="00313B75"/>
    <w:rsid w:val="00313CAA"/>
    <w:rsid w:val="00313E32"/>
    <w:rsid w:val="00313E74"/>
    <w:rsid w:val="00313E95"/>
    <w:rsid w:val="00314383"/>
    <w:rsid w:val="003143E5"/>
    <w:rsid w:val="0031492A"/>
    <w:rsid w:val="00314DE9"/>
    <w:rsid w:val="00314E9E"/>
    <w:rsid w:val="003155AC"/>
    <w:rsid w:val="00315C41"/>
    <w:rsid w:val="00315EBD"/>
    <w:rsid w:val="00316068"/>
    <w:rsid w:val="003161BB"/>
    <w:rsid w:val="00316818"/>
    <w:rsid w:val="0031766A"/>
    <w:rsid w:val="003179CC"/>
    <w:rsid w:val="00317F2C"/>
    <w:rsid w:val="00320129"/>
    <w:rsid w:val="00320150"/>
    <w:rsid w:val="003201D6"/>
    <w:rsid w:val="00320550"/>
    <w:rsid w:val="0032072B"/>
    <w:rsid w:val="003207B6"/>
    <w:rsid w:val="00320DF2"/>
    <w:rsid w:val="00321E0F"/>
    <w:rsid w:val="003227AE"/>
    <w:rsid w:val="00322877"/>
    <w:rsid w:val="00322CF8"/>
    <w:rsid w:val="003230EF"/>
    <w:rsid w:val="0032311C"/>
    <w:rsid w:val="00323185"/>
    <w:rsid w:val="003231D1"/>
    <w:rsid w:val="0032353D"/>
    <w:rsid w:val="00323903"/>
    <w:rsid w:val="0032400C"/>
    <w:rsid w:val="00324153"/>
    <w:rsid w:val="003241B5"/>
    <w:rsid w:val="00324289"/>
    <w:rsid w:val="00324396"/>
    <w:rsid w:val="00324B8F"/>
    <w:rsid w:val="00324DEB"/>
    <w:rsid w:val="00325667"/>
    <w:rsid w:val="003261B1"/>
    <w:rsid w:val="00326311"/>
    <w:rsid w:val="003266E3"/>
    <w:rsid w:val="003267AB"/>
    <w:rsid w:val="00326A33"/>
    <w:rsid w:val="00326ED5"/>
    <w:rsid w:val="0032779B"/>
    <w:rsid w:val="003277C6"/>
    <w:rsid w:val="0032797F"/>
    <w:rsid w:val="003279B1"/>
    <w:rsid w:val="00327A93"/>
    <w:rsid w:val="00330CD1"/>
    <w:rsid w:val="00330E78"/>
    <w:rsid w:val="00330F96"/>
    <w:rsid w:val="00331402"/>
    <w:rsid w:val="003314E4"/>
    <w:rsid w:val="00331564"/>
    <w:rsid w:val="00331C83"/>
    <w:rsid w:val="00331F43"/>
    <w:rsid w:val="00332085"/>
    <w:rsid w:val="00332258"/>
    <w:rsid w:val="003322D5"/>
    <w:rsid w:val="0033240F"/>
    <w:rsid w:val="00332651"/>
    <w:rsid w:val="0033282D"/>
    <w:rsid w:val="00332A28"/>
    <w:rsid w:val="00332C71"/>
    <w:rsid w:val="00332E1C"/>
    <w:rsid w:val="00332FE7"/>
    <w:rsid w:val="0033326F"/>
    <w:rsid w:val="00334216"/>
    <w:rsid w:val="00334694"/>
    <w:rsid w:val="00334FEC"/>
    <w:rsid w:val="00334FFB"/>
    <w:rsid w:val="00335234"/>
    <w:rsid w:val="00335424"/>
    <w:rsid w:val="003355DC"/>
    <w:rsid w:val="003357A5"/>
    <w:rsid w:val="003358AC"/>
    <w:rsid w:val="0033590A"/>
    <w:rsid w:val="00335A67"/>
    <w:rsid w:val="00335ACF"/>
    <w:rsid w:val="00335DFC"/>
    <w:rsid w:val="003362C7"/>
    <w:rsid w:val="00336743"/>
    <w:rsid w:val="003369E9"/>
    <w:rsid w:val="00336AF8"/>
    <w:rsid w:val="00336D82"/>
    <w:rsid w:val="00336E00"/>
    <w:rsid w:val="00336FCE"/>
    <w:rsid w:val="00340100"/>
    <w:rsid w:val="00340212"/>
    <w:rsid w:val="00340640"/>
    <w:rsid w:val="00340943"/>
    <w:rsid w:val="00340A08"/>
    <w:rsid w:val="00340D6C"/>
    <w:rsid w:val="00340F93"/>
    <w:rsid w:val="00340F98"/>
    <w:rsid w:val="00341201"/>
    <w:rsid w:val="0034151E"/>
    <w:rsid w:val="00341652"/>
    <w:rsid w:val="003416F3"/>
    <w:rsid w:val="003417A1"/>
    <w:rsid w:val="00341C4E"/>
    <w:rsid w:val="00341F7B"/>
    <w:rsid w:val="0034221D"/>
    <w:rsid w:val="00342284"/>
    <w:rsid w:val="00342417"/>
    <w:rsid w:val="003428A8"/>
    <w:rsid w:val="0034294A"/>
    <w:rsid w:val="00342971"/>
    <w:rsid w:val="00342BC2"/>
    <w:rsid w:val="00342CDD"/>
    <w:rsid w:val="00342F43"/>
    <w:rsid w:val="003433E1"/>
    <w:rsid w:val="0034376F"/>
    <w:rsid w:val="0034379A"/>
    <w:rsid w:val="00343A06"/>
    <w:rsid w:val="00343C4C"/>
    <w:rsid w:val="003444EA"/>
    <w:rsid w:val="00344820"/>
    <w:rsid w:val="00344BB7"/>
    <w:rsid w:val="00345096"/>
    <w:rsid w:val="003456ED"/>
    <w:rsid w:val="00345DA7"/>
    <w:rsid w:val="00345E28"/>
    <w:rsid w:val="00345F3F"/>
    <w:rsid w:val="00346061"/>
    <w:rsid w:val="003466C2"/>
    <w:rsid w:val="00346AE9"/>
    <w:rsid w:val="00346CD9"/>
    <w:rsid w:val="00346FC5"/>
    <w:rsid w:val="0034755D"/>
    <w:rsid w:val="0034781D"/>
    <w:rsid w:val="00347A7B"/>
    <w:rsid w:val="00347C78"/>
    <w:rsid w:val="00350336"/>
    <w:rsid w:val="0035069C"/>
    <w:rsid w:val="003506A3"/>
    <w:rsid w:val="0035073E"/>
    <w:rsid w:val="003508F5"/>
    <w:rsid w:val="00350AA8"/>
    <w:rsid w:val="00350ED6"/>
    <w:rsid w:val="00351508"/>
    <w:rsid w:val="00351659"/>
    <w:rsid w:val="003516AB"/>
    <w:rsid w:val="00351756"/>
    <w:rsid w:val="00351791"/>
    <w:rsid w:val="00352059"/>
    <w:rsid w:val="003520F2"/>
    <w:rsid w:val="00352478"/>
    <w:rsid w:val="003525F3"/>
    <w:rsid w:val="00352844"/>
    <w:rsid w:val="00352B30"/>
    <w:rsid w:val="00352DD2"/>
    <w:rsid w:val="00352F42"/>
    <w:rsid w:val="00353066"/>
    <w:rsid w:val="003530D0"/>
    <w:rsid w:val="003534F2"/>
    <w:rsid w:val="00353955"/>
    <w:rsid w:val="00353A33"/>
    <w:rsid w:val="00353B9E"/>
    <w:rsid w:val="00353F86"/>
    <w:rsid w:val="00354081"/>
    <w:rsid w:val="00354271"/>
    <w:rsid w:val="00354501"/>
    <w:rsid w:val="003546A4"/>
    <w:rsid w:val="003547A7"/>
    <w:rsid w:val="00354EA0"/>
    <w:rsid w:val="003552DE"/>
    <w:rsid w:val="003552EC"/>
    <w:rsid w:val="00355346"/>
    <w:rsid w:val="0035597C"/>
    <w:rsid w:val="00356327"/>
    <w:rsid w:val="00357042"/>
    <w:rsid w:val="0035733C"/>
    <w:rsid w:val="00357450"/>
    <w:rsid w:val="003574CB"/>
    <w:rsid w:val="00357726"/>
    <w:rsid w:val="00357DB0"/>
    <w:rsid w:val="0036024D"/>
    <w:rsid w:val="003602E7"/>
    <w:rsid w:val="00360878"/>
    <w:rsid w:val="00360ADD"/>
    <w:rsid w:val="00360CF8"/>
    <w:rsid w:val="00361074"/>
    <w:rsid w:val="003611DC"/>
    <w:rsid w:val="00361487"/>
    <w:rsid w:val="003617E9"/>
    <w:rsid w:val="003618BA"/>
    <w:rsid w:val="00361AD2"/>
    <w:rsid w:val="00362655"/>
    <w:rsid w:val="00362B31"/>
    <w:rsid w:val="00362D34"/>
    <w:rsid w:val="00362ED6"/>
    <w:rsid w:val="00363320"/>
    <w:rsid w:val="00363362"/>
    <w:rsid w:val="0036364D"/>
    <w:rsid w:val="00363751"/>
    <w:rsid w:val="00363892"/>
    <w:rsid w:val="00363BA9"/>
    <w:rsid w:val="00363C34"/>
    <w:rsid w:val="00363C4E"/>
    <w:rsid w:val="00363F79"/>
    <w:rsid w:val="003642CF"/>
    <w:rsid w:val="003643A6"/>
    <w:rsid w:val="003645AF"/>
    <w:rsid w:val="003646B0"/>
    <w:rsid w:val="00364B65"/>
    <w:rsid w:val="00364C67"/>
    <w:rsid w:val="003655D7"/>
    <w:rsid w:val="003656F1"/>
    <w:rsid w:val="003658FF"/>
    <w:rsid w:val="0036595E"/>
    <w:rsid w:val="003662D4"/>
    <w:rsid w:val="00366483"/>
    <w:rsid w:val="003664C9"/>
    <w:rsid w:val="0036650E"/>
    <w:rsid w:val="0036682B"/>
    <w:rsid w:val="003668BF"/>
    <w:rsid w:val="0036699E"/>
    <w:rsid w:val="00366D2A"/>
    <w:rsid w:val="00366D35"/>
    <w:rsid w:val="003672B7"/>
    <w:rsid w:val="00367842"/>
    <w:rsid w:val="00367843"/>
    <w:rsid w:val="00367F22"/>
    <w:rsid w:val="003705A2"/>
    <w:rsid w:val="003706BB"/>
    <w:rsid w:val="00370778"/>
    <w:rsid w:val="00370DCA"/>
    <w:rsid w:val="0037158A"/>
    <w:rsid w:val="003715A2"/>
    <w:rsid w:val="00371ABC"/>
    <w:rsid w:val="0037211E"/>
    <w:rsid w:val="00372319"/>
    <w:rsid w:val="00372368"/>
    <w:rsid w:val="00372586"/>
    <w:rsid w:val="003725DB"/>
    <w:rsid w:val="00372DEF"/>
    <w:rsid w:val="0037347F"/>
    <w:rsid w:val="00373511"/>
    <w:rsid w:val="003735B2"/>
    <w:rsid w:val="003739FC"/>
    <w:rsid w:val="00373C22"/>
    <w:rsid w:val="00373C52"/>
    <w:rsid w:val="00373ED7"/>
    <w:rsid w:val="003742E8"/>
    <w:rsid w:val="003749B0"/>
    <w:rsid w:val="00374C56"/>
    <w:rsid w:val="003752B5"/>
    <w:rsid w:val="0037537D"/>
    <w:rsid w:val="00375811"/>
    <w:rsid w:val="00375BF6"/>
    <w:rsid w:val="0037600D"/>
    <w:rsid w:val="003760B4"/>
    <w:rsid w:val="0037631A"/>
    <w:rsid w:val="0037686F"/>
    <w:rsid w:val="00376A03"/>
    <w:rsid w:val="00376C06"/>
    <w:rsid w:val="00376CE6"/>
    <w:rsid w:val="00377031"/>
    <w:rsid w:val="0037737E"/>
    <w:rsid w:val="00377691"/>
    <w:rsid w:val="003779B7"/>
    <w:rsid w:val="00377ACB"/>
    <w:rsid w:val="00377BBF"/>
    <w:rsid w:val="00377D23"/>
    <w:rsid w:val="0038003F"/>
    <w:rsid w:val="0038018E"/>
    <w:rsid w:val="00380240"/>
    <w:rsid w:val="00380298"/>
    <w:rsid w:val="00380666"/>
    <w:rsid w:val="00380684"/>
    <w:rsid w:val="00380FB8"/>
    <w:rsid w:val="003812C2"/>
    <w:rsid w:val="0038131C"/>
    <w:rsid w:val="00381419"/>
    <w:rsid w:val="00381751"/>
    <w:rsid w:val="003818C4"/>
    <w:rsid w:val="00381B5C"/>
    <w:rsid w:val="00381C1B"/>
    <w:rsid w:val="00381C48"/>
    <w:rsid w:val="00381DE4"/>
    <w:rsid w:val="0038218E"/>
    <w:rsid w:val="003825B1"/>
    <w:rsid w:val="0038287A"/>
    <w:rsid w:val="00382C4F"/>
    <w:rsid w:val="00382D37"/>
    <w:rsid w:val="00382DFD"/>
    <w:rsid w:val="003830F2"/>
    <w:rsid w:val="003831BB"/>
    <w:rsid w:val="00383286"/>
    <w:rsid w:val="00383416"/>
    <w:rsid w:val="0038342A"/>
    <w:rsid w:val="0038386C"/>
    <w:rsid w:val="00383AEB"/>
    <w:rsid w:val="0038448A"/>
    <w:rsid w:val="003846D9"/>
    <w:rsid w:val="003847F8"/>
    <w:rsid w:val="00384DCF"/>
    <w:rsid w:val="003851B1"/>
    <w:rsid w:val="0038537B"/>
    <w:rsid w:val="0038543F"/>
    <w:rsid w:val="003855EC"/>
    <w:rsid w:val="0038587C"/>
    <w:rsid w:val="003858E3"/>
    <w:rsid w:val="003859A7"/>
    <w:rsid w:val="00385B90"/>
    <w:rsid w:val="003860BA"/>
    <w:rsid w:val="003865BC"/>
    <w:rsid w:val="00386BE2"/>
    <w:rsid w:val="00386BF7"/>
    <w:rsid w:val="00386C51"/>
    <w:rsid w:val="00386EB7"/>
    <w:rsid w:val="00386FD7"/>
    <w:rsid w:val="003870C7"/>
    <w:rsid w:val="003871E9"/>
    <w:rsid w:val="00387279"/>
    <w:rsid w:val="003873EC"/>
    <w:rsid w:val="0038751B"/>
    <w:rsid w:val="0038758C"/>
    <w:rsid w:val="0038769F"/>
    <w:rsid w:val="003877FA"/>
    <w:rsid w:val="00387954"/>
    <w:rsid w:val="00387B14"/>
    <w:rsid w:val="0039050A"/>
    <w:rsid w:val="00390AC4"/>
    <w:rsid w:val="00390BBB"/>
    <w:rsid w:val="00390D82"/>
    <w:rsid w:val="00390DCA"/>
    <w:rsid w:val="00391051"/>
    <w:rsid w:val="00391722"/>
    <w:rsid w:val="003918C2"/>
    <w:rsid w:val="00391ADB"/>
    <w:rsid w:val="00391F7C"/>
    <w:rsid w:val="003923C9"/>
    <w:rsid w:val="0039298D"/>
    <w:rsid w:val="003929B9"/>
    <w:rsid w:val="0039302C"/>
    <w:rsid w:val="003930E4"/>
    <w:rsid w:val="003932BB"/>
    <w:rsid w:val="00393835"/>
    <w:rsid w:val="0039389D"/>
    <w:rsid w:val="00393B51"/>
    <w:rsid w:val="00393D4D"/>
    <w:rsid w:val="0039447D"/>
    <w:rsid w:val="0039486E"/>
    <w:rsid w:val="00394F9A"/>
    <w:rsid w:val="00395136"/>
    <w:rsid w:val="003951DA"/>
    <w:rsid w:val="003953BC"/>
    <w:rsid w:val="003953F6"/>
    <w:rsid w:val="0039581F"/>
    <w:rsid w:val="00395BF7"/>
    <w:rsid w:val="00395D05"/>
    <w:rsid w:val="00395D07"/>
    <w:rsid w:val="00395D70"/>
    <w:rsid w:val="0039625A"/>
    <w:rsid w:val="00396664"/>
    <w:rsid w:val="00396DE8"/>
    <w:rsid w:val="00396E03"/>
    <w:rsid w:val="00397213"/>
    <w:rsid w:val="003974F3"/>
    <w:rsid w:val="003977A3"/>
    <w:rsid w:val="00397B3F"/>
    <w:rsid w:val="00397D59"/>
    <w:rsid w:val="00397E52"/>
    <w:rsid w:val="00397FAC"/>
    <w:rsid w:val="003A02E4"/>
    <w:rsid w:val="003A050D"/>
    <w:rsid w:val="003A0852"/>
    <w:rsid w:val="003A0B9D"/>
    <w:rsid w:val="003A0C00"/>
    <w:rsid w:val="003A0E36"/>
    <w:rsid w:val="003A1006"/>
    <w:rsid w:val="003A117A"/>
    <w:rsid w:val="003A13A2"/>
    <w:rsid w:val="003A1761"/>
    <w:rsid w:val="003A1781"/>
    <w:rsid w:val="003A1870"/>
    <w:rsid w:val="003A1A49"/>
    <w:rsid w:val="003A2171"/>
    <w:rsid w:val="003A2214"/>
    <w:rsid w:val="003A2282"/>
    <w:rsid w:val="003A2290"/>
    <w:rsid w:val="003A2350"/>
    <w:rsid w:val="003A265D"/>
    <w:rsid w:val="003A33FB"/>
    <w:rsid w:val="003A36FC"/>
    <w:rsid w:val="003A3841"/>
    <w:rsid w:val="003A3DF1"/>
    <w:rsid w:val="003A3F86"/>
    <w:rsid w:val="003A3FE5"/>
    <w:rsid w:val="003A49A1"/>
    <w:rsid w:val="003A49F1"/>
    <w:rsid w:val="003A518A"/>
    <w:rsid w:val="003A577F"/>
    <w:rsid w:val="003A5977"/>
    <w:rsid w:val="003A5B17"/>
    <w:rsid w:val="003A5F33"/>
    <w:rsid w:val="003A5FD3"/>
    <w:rsid w:val="003A6105"/>
    <w:rsid w:val="003A61A8"/>
    <w:rsid w:val="003A6494"/>
    <w:rsid w:val="003A6CD3"/>
    <w:rsid w:val="003A7DC3"/>
    <w:rsid w:val="003A7FE6"/>
    <w:rsid w:val="003B030F"/>
    <w:rsid w:val="003B0761"/>
    <w:rsid w:val="003B076F"/>
    <w:rsid w:val="003B0AB5"/>
    <w:rsid w:val="003B0C3B"/>
    <w:rsid w:val="003B0E7D"/>
    <w:rsid w:val="003B1525"/>
    <w:rsid w:val="003B184B"/>
    <w:rsid w:val="003B1CD3"/>
    <w:rsid w:val="003B1D7D"/>
    <w:rsid w:val="003B1EF7"/>
    <w:rsid w:val="003B220C"/>
    <w:rsid w:val="003B2492"/>
    <w:rsid w:val="003B2805"/>
    <w:rsid w:val="003B2C01"/>
    <w:rsid w:val="003B2C22"/>
    <w:rsid w:val="003B2C2C"/>
    <w:rsid w:val="003B2F20"/>
    <w:rsid w:val="003B2F26"/>
    <w:rsid w:val="003B3529"/>
    <w:rsid w:val="003B384A"/>
    <w:rsid w:val="003B3A3F"/>
    <w:rsid w:val="003B40B4"/>
    <w:rsid w:val="003B413A"/>
    <w:rsid w:val="003B428D"/>
    <w:rsid w:val="003B4338"/>
    <w:rsid w:val="003B451E"/>
    <w:rsid w:val="003B4529"/>
    <w:rsid w:val="003B4643"/>
    <w:rsid w:val="003B46B1"/>
    <w:rsid w:val="003B4B61"/>
    <w:rsid w:val="003B4C8E"/>
    <w:rsid w:val="003B53D3"/>
    <w:rsid w:val="003B545E"/>
    <w:rsid w:val="003B54AA"/>
    <w:rsid w:val="003B561B"/>
    <w:rsid w:val="003B573B"/>
    <w:rsid w:val="003B574D"/>
    <w:rsid w:val="003B5B18"/>
    <w:rsid w:val="003B5E91"/>
    <w:rsid w:val="003B5F5D"/>
    <w:rsid w:val="003B5FFA"/>
    <w:rsid w:val="003B635A"/>
    <w:rsid w:val="003B64EB"/>
    <w:rsid w:val="003B65BB"/>
    <w:rsid w:val="003B6BED"/>
    <w:rsid w:val="003B6C70"/>
    <w:rsid w:val="003B6EA9"/>
    <w:rsid w:val="003B6FCF"/>
    <w:rsid w:val="003B7026"/>
    <w:rsid w:val="003B70A3"/>
    <w:rsid w:val="003B76C8"/>
    <w:rsid w:val="003B7844"/>
    <w:rsid w:val="003B7859"/>
    <w:rsid w:val="003B7C67"/>
    <w:rsid w:val="003B7D50"/>
    <w:rsid w:val="003B7DDB"/>
    <w:rsid w:val="003B7E52"/>
    <w:rsid w:val="003B7E9F"/>
    <w:rsid w:val="003C017E"/>
    <w:rsid w:val="003C06C4"/>
    <w:rsid w:val="003C101C"/>
    <w:rsid w:val="003C11C5"/>
    <w:rsid w:val="003C1208"/>
    <w:rsid w:val="003C1441"/>
    <w:rsid w:val="003C14F9"/>
    <w:rsid w:val="003C1B9D"/>
    <w:rsid w:val="003C1BBD"/>
    <w:rsid w:val="003C2370"/>
    <w:rsid w:val="003C23B9"/>
    <w:rsid w:val="003C2520"/>
    <w:rsid w:val="003C25CD"/>
    <w:rsid w:val="003C292B"/>
    <w:rsid w:val="003C2DCA"/>
    <w:rsid w:val="003C3836"/>
    <w:rsid w:val="003C3B3F"/>
    <w:rsid w:val="003C42CD"/>
    <w:rsid w:val="003C44CC"/>
    <w:rsid w:val="003C4600"/>
    <w:rsid w:val="003C47CE"/>
    <w:rsid w:val="003C48A9"/>
    <w:rsid w:val="003C48AB"/>
    <w:rsid w:val="003C4A98"/>
    <w:rsid w:val="003C4BDA"/>
    <w:rsid w:val="003C4DED"/>
    <w:rsid w:val="003C4E2D"/>
    <w:rsid w:val="003C4EEE"/>
    <w:rsid w:val="003C547D"/>
    <w:rsid w:val="003C56AF"/>
    <w:rsid w:val="003C5803"/>
    <w:rsid w:val="003C69E7"/>
    <w:rsid w:val="003C6B1B"/>
    <w:rsid w:val="003C6D66"/>
    <w:rsid w:val="003C741B"/>
    <w:rsid w:val="003C7722"/>
    <w:rsid w:val="003C7D1B"/>
    <w:rsid w:val="003D0918"/>
    <w:rsid w:val="003D097D"/>
    <w:rsid w:val="003D1233"/>
    <w:rsid w:val="003D1432"/>
    <w:rsid w:val="003D17D8"/>
    <w:rsid w:val="003D1848"/>
    <w:rsid w:val="003D1C2B"/>
    <w:rsid w:val="003D21BE"/>
    <w:rsid w:val="003D22C2"/>
    <w:rsid w:val="003D2311"/>
    <w:rsid w:val="003D25ED"/>
    <w:rsid w:val="003D2A7F"/>
    <w:rsid w:val="003D2CD5"/>
    <w:rsid w:val="003D2D9F"/>
    <w:rsid w:val="003D30AC"/>
    <w:rsid w:val="003D33F5"/>
    <w:rsid w:val="003D364B"/>
    <w:rsid w:val="003D3945"/>
    <w:rsid w:val="003D3F63"/>
    <w:rsid w:val="003D434D"/>
    <w:rsid w:val="003D4770"/>
    <w:rsid w:val="003D4993"/>
    <w:rsid w:val="003D4BFD"/>
    <w:rsid w:val="003D4FFD"/>
    <w:rsid w:val="003D52BE"/>
    <w:rsid w:val="003D52C2"/>
    <w:rsid w:val="003D560D"/>
    <w:rsid w:val="003D5AA5"/>
    <w:rsid w:val="003D615C"/>
    <w:rsid w:val="003D634A"/>
    <w:rsid w:val="003D64AC"/>
    <w:rsid w:val="003D6539"/>
    <w:rsid w:val="003D65F6"/>
    <w:rsid w:val="003D6953"/>
    <w:rsid w:val="003D6A3A"/>
    <w:rsid w:val="003D6ABA"/>
    <w:rsid w:val="003D6C84"/>
    <w:rsid w:val="003D6F1B"/>
    <w:rsid w:val="003D6F97"/>
    <w:rsid w:val="003D7233"/>
    <w:rsid w:val="003D77A5"/>
    <w:rsid w:val="003D78BB"/>
    <w:rsid w:val="003D7AD3"/>
    <w:rsid w:val="003E05F3"/>
    <w:rsid w:val="003E06FC"/>
    <w:rsid w:val="003E14E7"/>
    <w:rsid w:val="003E1514"/>
    <w:rsid w:val="003E16A5"/>
    <w:rsid w:val="003E17A7"/>
    <w:rsid w:val="003E17C2"/>
    <w:rsid w:val="003E18FD"/>
    <w:rsid w:val="003E1BDD"/>
    <w:rsid w:val="003E2081"/>
    <w:rsid w:val="003E2087"/>
    <w:rsid w:val="003E22BD"/>
    <w:rsid w:val="003E2BD1"/>
    <w:rsid w:val="003E3529"/>
    <w:rsid w:val="003E399B"/>
    <w:rsid w:val="003E3B7C"/>
    <w:rsid w:val="003E3B8B"/>
    <w:rsid w:val="003E40B3"/>
    <w:rsid w:val="003E42DF"/>
    <w:rsid w:val="003E457C"/>
    <w:rsid w:val="003E477B"/>
    <w:rsid w:val="003E4A69"/>
    <w:rsid w:val="003E50B6"/>
    <w:rsid w:val="003E5238"/>
    <w:rsid w:val="003E5560"/>
    <w:rsid w:val="003E5695"/>
    <w:rsid w:val="003E584F"/>
    <w:rsid w:val="003E5B51"/>
    <w:rsid w:val="003E5D2A"/>
    <w:rsid w:val="003E5D7F"/>
    <w:rsid w:val="003E5E29"/>
    <w:rsid w:val="003E6098"/>
    <w:rsid w:val="003E6167"/>
    <w:rsid w:val="003E6417"/>
    <w:rsid w:val="003E6717"/>
    <w:rsid w:val="003E675A"/>
    <w:rsid w:val="003E689E"/>
    <w:rsid w:val="003E6E80"/>
    <w:rsid w:val="003E7764"/>
    <w:rsid w:val="003E7F5A"/>
    <w:rsid w:val="003F0B3C"/>
    <w:rsid w:val="003F0C5A"/>
    <w:rsid w:val="003F0D44"/>
    <w:rsid w:val="003F12A2"/>
    <w:rsid w:val="003F14CC"/>
    <w:rsid w:val="003F1748"/>
    <w:rsid w:val="003F1B38"/>
    <w:rsid w:val="003F1DD9"/>
    <w:rsid w:val="003F223B"/>
    <w:rsid w:val="003F22A7"/>
    <w:rsid w:val="003F22EA"/>
    <w:rsid w:val="003F25E0"/>
    <w:rsid w:val="003F2DC8"/>
    <w:rsid w:val="003F361C"/>
    <w:rsid w:val="003F3AEF"/>
    <w:rsid w:val="003F3C01"/>
    <w:rsid w:val="003F3CEC"/>
    <w:rsid w:val="003F3D11"/>
    <w:rsid w:val="003F3F99"/>
    <w:rsid w:val="003F4863"/>
    <w:rsid w:val="003F4893"/>
    <w:rsid w:val="003F49EB"/>
    <w:rsid w:val="003F4E7B"/>
    <w:rsid w:val="003F5231"/>
    <w:rsid w:val="003F53A1"/>
    <w:rsid w:val="003F53E7"/>
    <w:rsid w:val="003F5639"/>
    <w:rsid w:val="003F56A8"/>
    <w:rsid w:val="003F5E6C"/>
    <w:rsid w:val="003F601F"/>
    <w:rsid w:val="003F614A"/>
    <w:rsid w:val="003F617A"/>
    <w:rsid w:val="003F620B"/>
    <w:rsid w:val="003F6302"/>
    <w:rsid w:val="003F63A9"/>
    <w:rsid w:val="003F63EC"/>
    <w:rsid w:val="003F6511"/>
    <w:rsid w:val="003F682F"/>
    <w:rsid w:val="003F6ACA"/>
    <w:rsid w:val="003F6B5B"/>
    <w:rsid w:val="003F6BDC"/>
    <w:rsid w:val="003F6CD8"/>
    <w:rsid w:val="003F6D10"/>
    <w:rsid w:val="003F6D4B"/>
    <w:rsid w:val="003F734A"/>
    <w:rsid w:val="003F7809"/>
    <w:rsid w:val="003F7DC6"/>
    <w:rsid w:val="00400764"/>
    <w:rsid w:val="00400936"/>
    <w:rsid w:val="00400939"/>
    <w:rsid w:val="00400BDB"/>
    <w:rsid w:val="00400C57"/>
    <w:rsid w:val="00400E9B"/>
    <w:rsid w:val="00400F9C"/>
    <w:rsid w:val="00401217"/>
    <w:rsid w:val="004012D2"/>
    <w:rsid w:val="00401933"/>
    <w:rsid w:val="00401A73"/>
    <w:rsid w:val="00401D27"/>
    <w:rsid w:val="00401ED6"/>
    <w:rsid w:val="00402141"/>
    <w:rsid w:val="00402420"/>
    <w:rsid w:val="004025BF"/>
    <w:rsid w:val="004027F2"/>
    <w:rsid w:val="00402936"/>
    <w:rsid w:val="004029EB"/>
    <w:rsid w:val="00402C58"/>
    <w:rsid w:val="00403189"/>
    <w:rsid w:val="0040329B"/>
    <w:rsid w:val="004032AB"/>
    <w:rsid w:val="0040359C"/>
    <w:rsid w:val="004035CE"/>
    <w:rsid w:val="00403738"/>
    <w:rsid w:val="00403783"/>
    <w:rsid w:val="00403CC8"/>
    <w:rsid w:val="00403CE2"/>
    <w:rsid w:val="004048C7"/>
    <w:rsid w:val="00404B2C"/>
    <w:rsid w:val="00404BA0"/>
    <w:rsid w:val="00404D59"/>
    <w:rsid w:val="0040523B"/>
    <w:rsid w:val="004057E0"/>
    <w:rsid w:val="00405905"/>
    <w:rsid w:val="00405963"/>
    <w:rsid w:val="00405A4B"/>
    <w:rsid w:val="00405D4C"/>
    <w:rsid w:val="004065D7"/>
    <w:rsid w:val="0040672B"/>
    <w:rsid w:val="00406A92"/>
    <w:rsid w:val="00406BFA"/>
    <w:rsid w:val="00406CA5"/>
    <w:rsid w:val="00406E02"/>
    <w:rsid w:val="00406F16"/>
    <w:rsid w:val="00406F3B"/>
    <w:rsid w:val="00406F3C"/>
    <w:rsid w:val="00407435"/>
    <w:rsid w:val="004077BD"/>
    <w:rsid w:val="00407978"/>
    <w:rsid w:val="00407D29"/>
    <w:rsid w:val="00407EDC"/>
    <w:rsid w:val="004106ED"/>
    <w:rsid w:val="00410931"/>
    <w:rsid w:val="00410977"/>
    <w:rsid w:val="00410B07"/>
    <w:rsid w:val="00410BEC"/>
    <w:rsid w:val="0041103D"/>
    <w:rsid w:val="0041201D"/>
    <w:rsid w:val="004120EB"/>
    <w:rsid w:val="00412449"/>
    <w:rsid w:val="004124B7"/>
    <w:rsid w:val="00412A58"/>
    <w:rsid w:val="00412A73"/>
    <w:rsid w:val="004132A8"/>
    <w:rsid w:val="00413355"/>
    <w:rsid w:val="004134A7"/>
    <w:rsid w:val="004135B3"/>
    <w:rsid w:val="00414009"/>
    <w:rsid w:val="004158A8"/>
    <w:rsid w:val="00415C52"/>
    <w:rsid w:val="00415DE2"/>
    <w:rsid w:val="0041602E"/>
    <w:rsid w:val="0041615B"/>
    <w:rsid w:val="004166D8"/>
    <w:rsid w:val="00416739"/>
    <w:rsid w:val="0041679A"/>
    <w:rsid w:val="00416911"/>
    <w:rsid w:val="004169B9"/>
    <w:rsid w:val="00416A32"/>
    <w:rsid w:val="00416A9D"/>
    <w:rsid w:val="00417504"/>
    <w:rsid w:val="004175B6"/>
    <w:rsid w:val="00417714"/>
    <w:rsid w:val="004179B1"/>
    <w:rsid w:val="00417BB4"/>
    <w:rsid w:val="00417C33"/>
    <w:rsid w:val="00417D16"/>
    <w:rsid w:val="00417E1D"/>
    <w:rsid w:val="00417ECD"/>
    <w:rsid w:val="0042033F"/>
    <w:rsid w:val="00420545"/>
    <w:rsid w:val="00420620"/>
    <w:rsid w:val="004206CC"/>
    <w:rsid w:val="00420946"/>
    <w:rsid w:val="00420AA9"/>
    <w:rsid w:val="00420CB5"/>
    <w:rsid w:val="00420F56"/>
    <w:rsid w:val="00420F97"/>
    <w:rsid w:val="00421232"/>
    <w:rsid w:val="004212F8"/>
    <w:rsid w:val="00421615"/>
    <w:rsid w:val="00421675"/>
    <w:rsid w:val="00421A7F"/>
    <w:rsid w:val="00421D67"/>
    <w:rsid w:val="00421DCE"/>
    <w:rsid w:val="00421ED1"/>
    <w:rsid w:val="00422146"/>
    <w:rsid w:val="00422204"/>
    <w:rsid w:val="0042262B"/>
    <w:rsid w:val="00422630"/>
    <w:rsid w:val="004229CF"/>
    <w:rsid w:val="00422ED6"/>
    <w:rsid w:val="00422EED"/>
    <w:rsid w:val="00423484"/>
    <w:rsid w:val="004236AB"/>
    <w:rsid w:val="00423811"/>
    <w:rsid w:val="004239FF"/>
    <w:rsid w:val="00423A39"/>
    <w:rsid w:val="00423C08"/>
    <w:rsid w:val="004243F9"/>
    <w:rsid w:val="004244D4"/>
    <w:rsid w:val="00424636"/>
    <w:rsid w:val="00424647"/>
    <w:rsid w:val="00425437"/>
    <w:rsid w:val="00425724"/>
    <w:rsid w:val="004257D5"/>
    <w:rsid w:val="00425AC0"/>
    <w:rsid w:val="00425AED"/>
    <w:rsid w:val="00425B02"/>
    <w:rsid w:val="00425BD6"/>
    <w:rsid w:val="00425DA0"/>
    <w:rsid w:val="00425E97"/>
    <w:rsid w:val="0042609B"/>
    <w:rsid w:val="00426210"/>
    <w:rsid w:val="004267C2"/>
    <w:rsid w:val="00426B1C"/>
    <w:rsid w:val="00426B82"/>
    <w:rsid w:val="00426E6B"/>
    <w:rsid w:val="00426F10"/>
    <w:rsid w:val="0042730F"/>
    <w:rsid w:val="004279EA"/>
    <w:rsid w:val="00427B02"/>
    <w:rsid w:val="00427ED8"/>
    <w:rsid w:val="00427FF2"/>
    <w:rsid w:val="00430300"/>
    <w:rsid w:val="00430489"/>
    <w:rsid w:val="00430931"/>
    <w:rsid w:val="004309C8"/>
    <w:rsid w:val="00430B6C"/>
    <w:rsid w:val="00430B7F"/>
    <w:rsid w:val="00430EA4"/>
    <w:rsid w:val="00430F36"/>
    <w:rsid w:val="00431596"/>
    <w:rsid w:val="00431975"/>
    <w:rsid w:val="00431E54"/>
    <w:rsid w:val="00431E9A"/>
    <w:rsid w:val="004320E6"/>
    <w:rsid w:val="004323D0"/>
    <w:rsid w:val="00432528"/>
    <w:rsid w:val="00432932"/>
    <w:rsid w:val="00432A85"/>
    <w:rsid w:val="00432A8E"/>
    <w:rsid w:val="00432B6E"/>
    <w:rsid w:val="00432E67"/>
    <w:rsid w:val="00432E68"/>
    <w:rsid w:val="00433863"/>
    <w:rsid w:val="00433B94"/>
    <w:rsid w:val="00434015"/>
    <w:rsid w:val="004342C5"/>
    <w:rsid w:val="00434325"/>
    <w:rsid w:val="0043456C"/>
    <w:rsid w:val="004348C5"/>
    <w:rsid w:val="00434932"/>
    <w:rsid w:val="004349F7"/>
    <w:rsid w:val="00434A21"/>
    <w:rsid w:val="00434CE4"/>
    <w:rsid w:val="00434D0D"/>
    <w:rsid w:val="004350BA"/>
    <w:rsid w:val="00435802"/>
    <w:rsid w:val="004358FA"/>
    <w:rsid w:val="00435A1B"/>
    <w:rsid w:val="00435D51"/>
    <w:rsid w:val="00436758"/>
    <w:rsid w:val="00436860"/>
    <w:rsid w:val="00436BBA"/>
    <w:rsid w:val="00436D25"/>
    <w:rsid w:val="00437253"/>
    <w:rsid w:val="004375A1"/>
    <w:rsid w:val="004375D1"/>
    <w:rsid w:val="004379D2"/>
    <w:rsid w:val="004404A2"/>
    <w:rsid w:val="0044098D"/>
    <w:rsid w:val="00440A2D"/>
    <w:rsid w:val="00440C89"/>
    <w:rsid w:val="00440F98"/>
    <w:rsid w:val="004416A0"/>
    <w:rsid w:val="00441AF8"/>
    <w:rsid w:val="00441B06"/>
    <w:rsid w:val="004423DE"/>
    <w:rsid w:val="004424F6"/>
    <w:rsid w:val="004429EF"/>
    <w:rsid w:val="00442A1A"/>
    <w:rsid w:val="00442C1F"/>
    <w:rsid w:val="00442DCC"/>
    <w:rsid w:val="00443AE4"/>
    <w:rsid w:val="00443AEA"/>
    <w:rsid w:val="0044408A"/>
    <w:rsid w:val="0044429F"/>
    <w:rsid w:val="00444495"/>
    <w:rsid w:val="00444508"/>
    <w:rsid w:val="00444509"/>
    <w:rsid w:val="00444DBA"/>
    <w:rsid w:val="00445096"/>
    <w:rsid w:val="0044536C"/>
    <w:rsid w:val="00445B5C"/>
    <w:rsid w:val="00445DEB"/>
    <w:rsid w:val="00445FBF"/>
    <w:rsid w:val="0044605D"/>
    <w:rsid w:val="004461DD"/>
    <w:rsid w:val="00446341"/>
    <w:rsid w:val="0044666B"/>
    <w:rsid w:val="004467B6"/>
    <w:rsid w:val="0044694C"/>
    <w:rsid w:val="00446A13"/>
    <w:rsid w:val="00446AD8"/>
    <w:rsid w:val="00446DD3"/>
    <w:rsid w:val="004474D4"/>
    <w:rsid w:val="00447576"/>
    <w:rsid w:val="00447A29"/>
    <w:rsid w:val="00447EA3"/>
    <w:rsid w:val="00450A3E"/>
    <w:rsid w:val="00450DD9"/>
    <w:rsid w:val="00450FD5"/>
    <w:rsid w:val="00451137"/>
    <w:rsid w:val="0045113B"/>
    <w:rsid w:val="0045113E"/>
    <w:rsid w:val="004513FE"/>
    <w:rsid w:val="004514A2"/>
    <w:rsid w:val="00451D14"/>
    <w:rsid w:val="00451FAA"/>
    <w:rsid w:val="00452D69"/>
    <w:rsid w:val="00452E3B"/>
    <w:rsid w:val="00452E5E"/>
    <w:rsid w:val="00452F7A"/>
    <w:rsid w:val="00453222"/>
    <w:rsid w:val="004535F3"/>
    <w:rsid w:val="00453AA8"/>
    <w:rsid w:val="00453F23"/>
    <w:rsid w:val="004541FD"/>
    <w:rsid w:val="00454311"/>
    <w:rsid w:val="004544EF"/>
    <w:rsid w:val="0045489F"/>
    <w:rsid w:val="00454A7B"/>
    <w:rsid w:val="00454AF8"/>
    <w:rsid w:val="00454BC1"/>
    <w:rsid w:val="00454C5D"/>
    <w:rsid w:val="00454D1F"/>
    <w:rsid w:val="00454F83"/>
    <w:rsid w:val="00455414"/>
    <w:rsid w:val="0045558E"/>
    <w:rsid w:val="0045580C"/>
    <w:rsid w:val="004559EF"/>
    <w:rsid w:val="00455B62"/>
    <w:rsid w:val="004565F8"/>
    <w:rsid w:val="004567AC"/>
    <w:rsid w:val="00456A29"/>
    <w:rsid w:val="004570C4"/>
    <w:rsid w:val="00457534"/>
    <w:rsid w:val="00457730"/>
    <w:rsid w:val="0045799C"/>
    <w:rsid w:val="00457A73"/>
    <w:rsid w:val="00457ACC"/>
    <w:rsid w:val="004600F6"/>
    <w:rsid w:val="00460457"/>
    <w:rsid w:val="00460B08"/>
    <w:rsid w:val="00460CE5"/>
    <w:rsid w:val="00460D19"/>
    <w:rsid w:val="00460F8C"/>
    <w:rsid w:val="00461421"/>
    <w:rsid w:val="004617BA"/>
    <w:rsid w:val="00461920"/>
    <w:rsid w:val="00461E39"/>
    <w:rsid w:val="00461F7F"/>
    <w:rsid w:val="00461FA6"/>
    <w:rsid w:val="0046283C"/>
    <w:rsid w:val="004628B2"/>
    <w:rsid w:val="0046299E"/>
    <w:rsid w:val="00462B13"/>
    <w:rsid w:val="00462C08"/>
    <w:rsid w:val="00462F69"/>
    <w:rsid w:val="00463017"/>
    <w:rsid w:val="004630A9"/>
    <w:rsid w:val="004638F8"/>
    <w:rsid w:val="004639FB"/>
    <w:rsid w:val="00463A4F"/>
    <w:rsid w:val="00464124"/>
    <w:rsid w:val="004643BC"/>
    <w:rsid w:val="0046482D"/>
    <w:rsid w:val="00464EF5"/>
    <w:rsid w:val="00464F80"/>
    <w:rsid w:val="00464FF5"/>
    <w:rsid w:val="00464FFD"/>
    <w:rsid w:val="004651F3"/>
    <w:rsid w:val="004656C0"/>
    <w:rsid w:val="00465E44"/>
    <w:rsid w:val="00465E50"/>
    <w:rsid w:val="00465FDA"/>
    <w:rsid w:val="00466218"/>
    <w:rsid w:val="004664D0"/>
    <w:rsid w:val="00466BDF"/>
    <w:rsid w:val="004676F6"/>
    <w:rsid w:val="00467A80"/>
    <w:rsid w:val="0047006B"/>
    <w:rsid w:val="0047052B"/>
    <w:rsid w:val="0047052C"/>
    <w:rsid w:val="00470611"/>
    <w:rsid w:val="0047080E"/>
    <w:rsid w:val="00470865"/>
    <w:rsid w:val="00470876"/>
    <w:rsid w:val="00470A44"/>
    <w:rsid w:val="00470B42"/>
    <w:rsid w:val="00470B67"/>
    <w:rsid w:val="00470E31"/>
    <w:rsid w:val="00470EB6"/>
    <w:rsid w:val="0047136E"/>
    <w:rsid w:val="004713E7"/>
    <w:rsid w:val="00471561"/>
    <w:rsid w:val="00471613"/>
    <w:rsid w:val="004719C9"/>
    <w:rsid w:val="00471A4D"/>
    <w:rsid w:val="00471AB2"/>
    <w:rsid w:val="00471E45"/>
    <w:rsid w:val="00471E6F"/>
    <w:rsid w:val="00472254"/>
    <w:rsid w:val="004723FC"/>
    <w:rsid w:val="0047242E"/>
    <w:rsid w:val="004725CA"/>
    <w:rsid w:val="00472862"/>
    <w:rsid w:val="00472E10"/>
    <w:rsid w:val="00472E8B"/>
    <w:rsid w:val="004730F6"/>
    <w:rsid w:val="00473249"/>
    <w:rsid w:val="004732E0"/>
    <w:rsid w:val="004736F1"/>
    <w:rsid w:val="00473874"/>
    <w:rsid w:val="00474027"/>
    <w:rsid w:val="004742D9"/>
    <w:rsid w:val="00474822"/>
    <w:rsid w:val="004748AB"/>
    <w:rsid w:val="004748D5"/>
    <w:rsid w:val="00474A02"/>
    <w:rsid w:val="00474AF7"/>
    <w:rsid w:val="00474D30"/>
    <w:rsid w:val="00474E36"/>
    <w:rsid w:val="00474E52"/>
    <w:rsid w:val="004756C6"/>
    <w:rsid w:val="00475715"/>
    <w:rsid w:val="00475B31"/>
    <w:rsid w:val="00475CE1"/>
    <w:rsid w:val="00476048"/>
    <w:rsid w:val="00476080"/>
    <w:rsid w:val="004760B5"/>
    <w:rsid w:val="0047614F"/>
    <w:rsid w:val="00476711"/>
    <w:rsid w:val="004768BA"/>
    <w:rsid w:val="00476AEB"/>
    <w:rsid w:val="00476BDE"/>
    <w:rsid w:val="00476C2A"/>
    <w:rsid w:val="00476E97"/>
    <w:rsid w:val="00477A5B"/>
    <w:rsid w:val="00480B2A"/>
    <w:rsid w:val="00480D93"/>
    <w:rsid w:val="00480DE1"/>
    <w:rsid w:val="00480FF9"/>
    <w:rsid w:val="004810CF"/>
    <w:rsid w:val="004812B0"/>
    <w:rsid w:val="00481340"/>
    <w:rsid w:val="004814B3"/>
    <w:rsid w:val="004815C2"/>
    <w:rsid w:val="004818A1"/>
    <w:rsid w:val="004818D5"/>
    <w:rsid w:val="00481F78"/>
    <w:rsid w:val="00482465"/>
    <w:rsid w:val="004826CF"/>
    <w:rsid w:val="004828B2"/>
    <w:rsid w:val="004828ED"/>
    <w:rsid w:val="00482C3D"/>
    <w:rsid w:val="00482DD6"/>
    <w:rsid w:val="00482DFE"/>
    <w:rsid w:val="00482FFB"/>
    <w:rsid w:val="004830AA"/>
    <w:rsid w:val="004835A5"/>
    <w:rsid w:val="00483737"/>
    <w:rsid w:val="00483858"/>
    <w:rsid w:val="00483AF3"/>
    <w:rsid w:val="00483E9E"/>
    <w:rsid w:val="00484066"/>
    <w:rsid w:val="0048428E"/>
    <w:rsid w:val="00484A4E"/>
    <w:rsid w:val="00484A6A"/>
    <w:rsid w:val="00484ABB"/>
    <w:rsid w:val="00484F00"/>
    <w:rsid w:val="00485453"/>
    <w:rsid w:val="0048546D"/>
    <w:rsid w:val="004859C1"/>
    <w:rsid w:val="00485A12"/>
    <w:rsid w:val="00485C0A"/>
    <w:rsid w:val="00485C19"/>
    <w:rsid w:val="00485CF8"/>
    <w:rsid w:val="0048614A"/>
    <w:rsid w:val="00486649"/>
    <w:rsid w:val="004867B9"/>
    <w:rsid w:val="00486B32"/>
    <w:rsid w:val="00486F36"/>
    <w:rsid w:val="004871AC"/>
    <w:rsid w:val="004871D6"/>
    <w:rsid w:val="00487EDC"/>
    <w:rsid w:val="004903B1"/>
    <w:rsid w:val="00490A4A"/>
    <w:rsid w:val="00490BD2"/>
    <w:rsid w:val="00491400"/>
    <w:rsid w:val="0049192C"/>
    <w:rsid w:val="00491BE4"/>
    <w:rsid w:val="00491D4B"/>
    <w:rsid w:val="00491F82"/>
    <w:rsid w:val="00492044"/>
    <w:rsid w:val="0049220C"/>
    <w:rsid w:val="00492783"/>
    <w:rsid w:val="0049283C"/>
    <w:rsid w:val="00492FB0"/>
    <w:rsid w:val="00493157"/>
    <w:rsid w:val="00493428"/>
    <w:rsid w:val="00493451"/>
    <w:rsid w:val="0049365E"/>
    <w:rsid w:val="00493A19"/>
    <w:rsid w:val="00493C5A"/>
    <w:rsid w:val="00493D0C"/>
    <w:rsid w:val="00493D86"/>
    <w:rsid w:val="00493FBF"/>
    <w:rsid w:val="004942B5"/>
    <w:rsid w:val="0049470F"/>
    <w:rsid w:val="00494DAD"/>
    <w:rsid w:val="00495060"/>
    <w:rsid w:val="004950C9"/>
    <w:rsid w:val="00495493"/>
    <w:rsid w:val="0049579F"/>
    <w:rsid w:val="004959DC"/>
    <w:rsid w:val="00495A78"/>
    <w:rsid w:val="00495FFC"/>
    <w:rsid w:val="0049618F"/>
    <w:rsid w:val="0049623F"/>
    <w:rsid w:val="004964F6"/>
    <w:rsid w:val="0049652D"/>
    <w:rsid w:val="004967C5"/>
    <w:rsid w:val="00496D53"/>
    <w:rsid w:val="004973CB"/>
    <w:rsid w:val="004975D3"/>
    <w:rsid w:val="004A0E1D"/>
    <w:rsid w:val="004A13A5"/>
    <w:rsid w:val="004A16A1"/>
    <w:rsid w:val="004A16BC"/>
    <w:rsid w:val="004A1E2A"/>
    <w:rsid w:val="004A2072"/>
    <w:rsid w:val="004A211E"/>
    <w:rsid w:val="004A294B"/>
    <w:rsid w:val="004A2E90"/>
    <w:rsid w:val="004A3338"/>
    <w:rsid w:val="004A382E"/>
    <w:rsid w:val="004A3B43"/>
    <w:rsid w:val="004A4236"/>
    <w:rsid w:val="004A446A"/>
    <w:rsid w:val="004A47C4"/>
    <w:rsid w:val="004A49DA"/>
    <w:rsid w:val="004A4AD2"/>
    <w:rsid w:val="004A5238"/>
    <w:rsid w:val="004A52D6"/>
    <w:rsid w:val="004A5940"/>
    <w:rsid w:val="004A5C6D"/>
    <w:rsid w:val="004A627E"/>
    <w:rsid w:val="004A6374"/>
    <w:rsid w:val="004A6626"/>
    <w:rsid w:val="004A6663"/>
    <w:rsid w:val="004A6853"/>
    <w:rsid w:val="004A68A5"/>
    <w:rsid w:val="004A69E2"/>
    <w:rsid w:val="004A6D0F"/>
    <w:rsid w:val="004A6FC8"/>
    <w:rsid w:val="004A753E"/>
    <w:rsid w:val="004A764F"/>
    <w:rsid w:val="004A78DA"/>
    <w:rsid w:val="004A7B47"/>
    <w:rsid w:val="004A7B8D"/>
    <w:rsid w:val="004B022E"/>
    <w:rsid w:val="004B02F9"/>
    <w:rsid w:val="004B062D"/>
    <w:rsid w:val="004B06FF"/>
    <w:rsid w:val="004B07B8"/>
    <w:rsid w:val="004B07E8"/>
    <w:rsid w:val="004B09BF"/>
    <w:rsid w:val="004B0CFF"/>
    <w:rsid w:val="004B0EA3"/>
    <w:rsid w:val="004B111F"/>
    <w:rsid w:val="004B1640"/>
    <w:rsid w:val="004B1AB5"/>
    <w:rsid w:val="004B1E23"/>
    <w:rsid w:val="004B2CA3"/>
    <w:rsid w:val="004B3513"/>
    <w:rsid w:val="004B35E9"/>
    <w:rsid w:val="004B36DA"/>
    <w:rsid w:val="004B371A"/>
    <w:rsid w:val="004B3A98"/>
    <w:rsid w:val="004B3BF8"/>
    <w:rsid w:val="004B3C8C"/>
    <w:rsid w:val="004B4635"/>
    <w:rsid w:val="004B4978"/>
    <w:rsid w:val="004B49EC"/>
    <w:rsid w:val="004B4CBB"/>
    <w:rsid w:val="004B5039"/>
    <w:rsid w:val="004B561B"/>
    <w:rsid w:val="004B56FB"/>
    <w:rsid w:val="004B5A8F"/>
    <w:rsid w:val="004B5FCF"/>
    <w:rsid w:val="004B60B9"/>
    <w:rsid w:val="004B6153"/>
    <w:rsid w:val="004B6418"/>
    <w:rsid w:val="004B6F69"/>
    <w:rsid w:val="004B6FB0"/>
    <w:rsid w:val="004B72C1"/>
    <w:rsid w:val="004C0362"/>
    <w:rsid w:val="004C0458"/>
    <w:rsid w:val="004C0BCE"/>
    <w:rsid w:val="004C0C66"/>
    <w:rsid w:val="004C0D32"/>
    <w:rsid w:val="004C0D51"/>
    <w:rsid w:val="004C0F9B"/>
    <w:rsid w:val="004C120F"/>
    <w:rsid w:val="004C1282"/>
    <w:rsid w:val="004C13AD"/>
    <w:rsid w:val="004C1A08"/>
    <w:rsid w:val="004C1AC5"/>
    <w:rsid w:val="004C1B74"/>
    <w:rsid w:val="004C1E20"/>
    <w:rsid w:val="004C1E26"/>
    <w:rsid w:val="004C1F2B"/>
    <w:rsid w:val="004C204F"/>
    <w:rsid w:val="004C2078"/>
    <w:rsid w:val="004C23A0"/>
    <w:rsid w:val="004C2741"/>
    <w:rsid w:val="004C28FA"/>
    <w:rsid w:val="004C2C14"/>
    <w:rsid w:val="004C30CB"/>
    <w:rsid w:val="004C3215"/>
    <w:rsid w:val="004C359C"/>
    <w:rsid w:val="004C359F"/>
    <w:rsid w:val="004C3D63"/>
    <w:rsid w:val="004C3F05"/>
    <w:rsid w:val="004C412C"/>
    <w:rsid w:val="004C42BF"/>
    <w:rsid w:val="004C4446"/>
    <w:rsid w:val="004C4C21"/>
    <w:rsid w:val="004C50EA"/>
    <w:rsid w:val="004C525C"/>
    <w:rsid w:val="004C5631"/>
    <w:rsid w:val="004C5984"/>
    <w:rsid w:val="004C61A1"/>
    <w:rsid w:val="004C6254"/>
    <w:rsid w:val="004C6290"/>
    <w:rsid w:val="004C66C7"/>
    <w:rsid w:val="004C6F2C"/>
    <w:rsid w:val="004C71AB"/>
    <w:rsid w:val="004C7541"/>
    <w:rsid w:val="004C75F5"/>
    <w:rsid w:val="004C77EE"/>
    <w:rsid w:val="004C7973"/>
    <w:rsid w:val="004C7ABD"/>
    <w:rsid w:val="004C7FB0"/>
    <w:rsid w:val="004D0A7F"/>
    <w:rsid w:val="004D1173"/>
    <w:rsid w:val="004D11BC"/>
    <w:rsid w:val="004D1777"/>
    <w:rsid w:val="004D1AF0"/>
    <w:rsid w:val="004D1ED3"/>
    <w:rsid w:val="004D1F46"/>
    <w:rsid w:val="004D21F5"/>
    <w:rsid w:val="004D22C1"/>
    <w:rsid w:val="004D2648"/>
    <w:rsid w:val="004D273F"/>
    <w:rsid w:val="004D2796"/>
    <w:rsid w:val="004D291C"/>
    <w:rsid w:val="004D33E7"/>
    <w:rsid w:val="004D34CA"/>
    <w:rsid w:val="004D3724"/>
    <w:rsid w:val="004D3F5B"/>
    <w:rsid w:val="004D4106"/>
    <w:rsid w:val="004D44D5"/>
    <w:rsid w:val="004D4529"/>
    <w:rsid w:val="004D4755"/>
    <w:rsid w:val="004D487E"/>
    <w:rsid w:val="004D49E9"/>
    <w:rsid w:val="004D4ACB"/>
    <w:rsid w:val="004D54C6"/>
    <w:rsid w:val="004D55F2"/>
    <w:rsid w:val="004D5867"/>
    <w:rsid w:val="004D587F"/>
    <w:rsid w:val="004D5BB2"/>
    <w:rsid w:val="004D5D1A"/>
    <w:rsid w:val="004D5D79"/>
    <w:rsid w:val="004D5E96"/>
    <w:rsid w:val="004D600D"/>
    <w:rsid w:val="004D6A6F"/>
    <w:rsid w:val="004D6AEA"/>
    <w:rsid w:val="004D745E"/>
    <w:rsid w:val="004D766D"/>
    <w:rsid w:val="004D79B1"/>
    <w:rsid w:val="004D7AEA"/>
    <w:rsid w:val="004D7D67"/>
    <w:rsid w:val="004E0290"/>
    <w:rsid w:val="004E0357"/>
    <w:rsid w:val="004E04BF"/>
    <w:rsid w:val="004E0770"/>
    <w:rsid w:val="004E0995"/>
    <w:rsid w:val="004E0A8C"/>
    <w:rsid w:val="004E0EA4"/>
    <w:rsid w:val="004E111C"/>
    <w:rsid w:val="004E1451"/>
    <w:rsid w:val="004E1867"/>
    <w:rsid w:val="004E18AB"/>
    <w:rsid w:val="004E1E5A"/>
    <w:rsid w:val="004E1F74"/>
    <w:rsid w:val="004E1FA3"/>
    <w:rsid w:val="004E24A1"/>
    <w:rsid w:val="004E276C"/>
    <w:rsid w:val="004E27A6"/>
    <w:rsid w:val="004E28F0"/>
    <w:rsid w:val="004E3690"/>
    <w:rsid w:val="004E427E"/>
    <w:rsid w:val="004E4484"/>
    <w:rsid w:val="004E4512"/>
    <w:rsid w:val="004E4626"/>
    <w:rsid w:val="004E464D"/>
    <w:rsid w:val="004E46F6"/>
    <w:rsid w:val="004E4733"/>
    <w:rsid w:val="004E4797"/>
    <w:rsid w:val="004E494A"/>
    <w:rsid w:val="004E49C7"/>
    <w:rsid w:val="004E50E3"/>
    <w:rsid w:val="004E5438"/>
    <w:rsid w:val="004E5B05"/>
    <w:rsid w:val="004E5B47"/>
    <w:rsid w:val="004E5BE2"/>
    <w:rsid w:val="004E5DBD"/>
    <w:rsid w:val="004E5FE2"/>
    <w:rsid w:val="004E61B1"/>
    <w:rsid w:val="004E6686"/>
    <w:rsid w:val="004E6C70"/>
    <w:rsid w:val="004E71BF"/>
    <w:rsid w:val="004E7563"/>
    <w:rsid w:val="004E7996"/>
    <w:rsid w:val="004E7A1D"/>
    <w:rsid w:val="004E7DDD"/>
    <w:rsid w:val="004E7E80"/>
    <w:rsid w:val="004E7ED1"/>
    <w:rsid w:val="004F0195"/>
    <w:rsid w:val="004F023A"/>
    <w:rsid w:val="004F0402"/>
    <w:rsid w:val="004F0475"/>
    <w:rsid w:val="004F0EA3"/>
    <w:rsid w:val="004F0F5F"/>
    <w:rsid w:val="004F1036"/>
    <w:rsid w:val="004F13FA"/>
    <w:rsid w:val="004F1721"/>
    <w:rsid w:val="004F1952"/>
    <w:rsid w:val="004F1B8E"/>
    <w:rsid w:val="004F1E23"/>
    <w:rsid w:val="004F2160"/>
    <w:rsid w:val="004F2293"/>
    <w:rsid w:val="004F236E"/>
    <w:rsid w:val="004F275E"/>
    <w:rsid w:val="004F296C"/>
    <w:rsid w:val="004F2EEE"/>
    <w:rsid w:val="004F3958"/>
    <w:rsid w:val="004F44BE"/>
    <w:rsid w:val="004F44F5"/>
    <w:rsid w:val="004F4635"/>
    <w:rsid w:val="004F466B"/>
    <w:rsid w:val="004F47B9"/>
    <w:rsid w:val="004F48D3"/>
    <w:rsid w:val="004F4C5B"/>
    <w:rsid w:val="004F52EC"/>
    <w:rsid w:val="004F53E9"/>
    <w:rsid w:val="004F5506"/>
    <w:rsid w:val="004F5B9D"/>
    <w:rsid w:val="004F5DFE"/>
    <w:rsid w:val="004F5F3C"/>
    <w:rsid w:val="004F61B7"/>
    <w:rsid w:val="004F6307"/>
    <w:rsid w:val="004F6C1F"/>
    <w:rsid w:val="004F6CCC"/>
    <w:rsid w:val="004F6D60"/>
    <w:rsid w:val="004F6E58"/>
    <w:rsid w:val="004F6FE6"/>
    <w:rsid w:val="004F7063"/>
    <w:rsid w:val="004F7698"/>
    <w:rsid w:val="004F7981"/>
    <w:rsid w:val="004F7AF8"/>
    <w:rsid w:val="004F7E2E"/>
    <w:rsid w:val="0050006D"/>
    <w:rsid w:val="00500159"/>
    <w:rsid w:val="00500993"/>
    <w:rsid w:val="005009E7"/>
    <w:rsid w:val="00500A9D"/>
    <w:rsid w:val="00500AED"/>
    <w:rsid w:val="00500BCA"/>
    <w:rsid w:val="00501559"/>
    <w:rsid w:val="005017AA"/>
    <w:rsid w:val="00501900"/>
    <w:rsid w:val="005019C1"/>
    <w:rsid w:val="00501A5B"/>
    <w:rsid w:val="00501C42"/>
    <w:rsid w:val="00501E02"/>
    <w:rsid w:val="00501FAE"/>
    <w:rsid w:val="00502520"/>
    <w:rsid w:val="005029EA"/>
    <w:rsid w:val="00502B83"/>
    <w:rsid w:val="00502B94"/>
    <w:rsid w:val="00502C39"/>
    <w:rsid w:val="0050352B"/>
    <w:rsid w:val="005047FD"/>
    <w:rsid w:val="00504CBF"/>
    <w:rsid w:val="00504D52"/>
    <w:rsid w:val="00504E66"/>
    <w:rsid w:val="005052E6"/>
    <w:rsid w:val="005054CE"/>
    <w:rsid w:val="00505513"/>
    <w:rsid w:val="005055AD"/>
    <w:rsid w:val="005055E7"/>
    <w:rsid w:val="00505A02"/>
    <w:rsid w:val="00505A25"/>
    <w:rsid w:val="00505ADA"/>
    <w:rsid w:val="00505B4F"/>
    <w:rsid w:val="00505C93"/>
    <w:rsid w:val="00506072"/>
    <w:rsid w:val="00506382"/>
    <w:rsid w:val="005069A4"/>
    <w:rsid w:val="00506C0D"/>
    <w:rsid w:val="00506C79"/>
    <w:rsid w:val="00507015"/>
    <w:rsid w:val="005071B5"/>
    <w:rsid w:val="00507492"/>
    <w:rsid w:val="0050766C"/>
    <w:rsid w:val="005078A9"/>
    <w:rsid w:val="005078D2"/>
    <w:rsid w:val="00507B2F"/>
    <w:rsid w:val="00507D67"/>
    <w:rsid w:val="00507E53"/>
    <w:rsid w:val="00507FE0"/>
    <w:rsid w:val="005100B9"/>
    <w:rsid w:val="005104E5"/>
    <w:rsid w:val="00510628"/>
    <w:rsid w:val="00510C33"/>
    <w:rsid w:val="00510E9E"/>
    <w:rsid w:val="005114B4"/>
    <w:rsid w:val="00511695"/>
    <w:rsid w:val="00511D35"/>
    <w:rsid w:val="00511D69"/>
    <w:rsid w:val="00512064"/>
    <w:rsid w:val="0051206F"/>
    <w:rsid w:val="0051213E"/>
    <w:rsid w:val="00512229"/>
    <w:rsid w:val="00512939"/>
    <w:rsid w:val="00512C1C"/>
    <w:rsid w:val="00512C7E"/>
    <w:rsid w:val="00512CAF"/>
    <w:rsid w:val="00512E73"/>
    <w:rsid w:val="00513189"/>
    <w:rsid w:val="00513274"/>
    <w:rsid w:val="00513571"/>
    <w:rsid w:val="00513577"/>
    <w:rsid w:val="0051411A"/>
    <w:rsid w:val="005141D8"/>
    <w:rsid w:val="005144CB"/>
    <w:rsid w:val="005147EC"/>
    <w:rsid w:val="00514DE6"/>
    <w:rsid w:val="005157CB"/>
    <w:rsid w:val="00515AA5"/>
    <w:rsid w:val="00515FDC"/>
    <w:rsid w:val="005160A7"/>
    <w:rsid w:val="00516615"/>
    <w:rsid w:val="00516959"/>
    <w:rsid w:val="005169FE"/>
    <w:rsid w:val="00516EEC"/>
    <w:rsid w:val="00517372"/>
    <w:rsid w:val="005177D9"/>
    <w:rsid w:val="005200D1"/>
    <w:rsid w:val="005203BD"/>
    <w:rsid w:val="00520551"/>
    <w:rsid w:val="005206AD"/>
    <w:rsid w:val="005207C3"/>
    <w:rsid w:val="00520D81"/>
    <w:rsid w:val="00520EA3"/>
    <w:rsid w:val="00521000"/>
    <w:rsid w:val="00521384"/>
    <w:rsid w:val="00521472"/>
    <w:rsid w:val="00521AA6"/>
    <w:rsid w:val="00521C29"/>
    <w:rsid w:val="0052214D"/>
    <w:rsid w:val="005226FB"/>
    <w:rsid w:val="00522A6E"/>
    <w:rsid w:val="00522C59"/>
    <w:rsid w:val="00522E13"/>
    <w:rsid w:val="0052319B"/>
    <w:rsid w:val="005234E8"/>
    <w:rsid w:val="0052375D"/>
    <w:rsid w:val="0052427A"/>
    <w:rsid w:val="005243CA"/>
    <w:rsid w:val="00524751"/>
    <w:rsid w:val="00524881"/>
    <w:rsid w:val="00524EF6"/>
    <w:rsid w:val="0052550B"/>
    <w:rsid w:val="00525F9A"/>
    <w:rsid w:val="00525FC3"/>
    <w:rsid w:val="00526219"/>
    <w:rsid w:val="00526407"/>
    <w:rsid w:val="0052642A"/>
    <w:rsid w:val="005264A6"/>
    <w:rsid w:val="005266AC"/>
    <w:rsid w:val="005267FF"/>
    <w:rsid w:val="00526ACD"/>
    <w:rsid w:val="00526DCA"/>
    <w:rsid w:val="00527709"/>
    <w:rsid w:val="00527A51"/>
    <w:rsid w:val="00527A76"/>
    <w:rsid w:val="00527D95"/>
    <w:rsid w:val="005301CF"/>
    <w:rsid w:val="0053040B"/>
    <w:rsid w:val="0053046D"/>
    <w:rsid w:val="0053075E"/>
    <w:rsid w:val="005309D5"/>
    <w:rsid w:val="00530E63"/>
    <w:rsid w:val="00530F11"/>
    <w:rsid w:val="00531036"/>
    <w:rsid w:val="0053181C"/>
    <w:rsid w:val="00531B2A"/>
    <w:rsid w:val="00531E86"/>
    <w:rsid w:val="00531E8E"/>
    <w:rsid w:val="00531EE1"/>
    <w:rsid w:val="0053248E"/>
    <w:rsid w:val="0053256F"/>
    <w:rsid w:val="00532982"/>
    <w:rsid w:val="00532C0D"/>
    <w:rsid w:val="00532DE3"/>
    <w:rsid w:val="0053314D"/>
    <w:rsid w:val="00533494"/>
    <w:rsid w:val="005335A3"/>
    <w:rsid w:val="005337BB"/>
    <w:rsid w:val="005339F1"/>
    <w:rsid w:val="00533F2D"/>
    <w:rsid w:val="00533F71"/>
    <w:rsid w:val="00533FC9"/>
    <w:rsid w:val="0053425B"/>
    <w:rsid w:val="00534409"/>
    <w:rsid w:val="005346DF"/>
    <w:rsid w:val="00534755"/>
    <w:rsid w:val="005347E5"/>
    <w:rsid w:val="00534C88"/>
    <w:rsid w:val="0053524F"/>
    <w:rsid w:val="0053543D"/>
    <w:rsid w:val="005359C9"/>
    <w:rsid w:val="00535A7E"/>
    <w:rsid w:val="00535C5F"/>
    <w:rsid w:val="00535D87"/>
    <w:rsid w:val="00536101"/>
    <w:rsid w:val="00536135"/>
    <w:rsid w:val="005362EC"/>
    <w:rsid w:val="00536602"/>
    <w:rsid w:val="00536812"/>
    <w:rsid w:val="00536978"/>
    <w:rsid w:val="00537009"/>
    <w:rsid w:val="005370CE"/>
    <w:rsid w:val="0053731C"/>
    <w:rsid w:val="0053731D"/>
    <w:rsid w:val="00537340"/>
    <w:rsid w:val="00537574"/>
    <w:rsid w:val="005376BD"/>
    <w:rsid w:val="00537993"/>
    <w:rsid w:val="00537B6E"/>
    <w:rsid w:val="00537BEB"/>
    <w:rsid w:val="00537FAB"/>
    <w:rsid w:val="00540326"/>
    <w:rsid w:val="0054037E"/>
    <w:rsid w:val="00540397"/>
    <w:rsid w:val="005408C2"/>
    <w:rsid w:val="00541120"/>
    <w:rsid w:val="0054190B"/>
    <w:rsid w:val="00541995"/>
    <w:rsid w:val="00541C8C"/>
    <w:rsid w:val="00541EE6"/>
    <w:rsid w:val="00542A12"/>
    <w:rsid w:val="00542C96"/>
    <w:rsid w:val="00542D7D"/>
    <w:rsid w:val="00543162"/>
    <w:rsid w:val="00543451"/>
    <w:rsid w:val="00543577"/>
    <w:rsid w:val="005436DD"/>
    <w:rsid w:val="00543A13"/>
    <w:rsid w:val="00543A24"/>
    <w:rsid w:val="00543A6E"/>
    <w:rsid w:val="00543CFF"/>
    <w:rsid w:val="00543ED7"/>
    <w:rsid w:val="005445B1"/>
    <w:rsid w:val="005445FE"/>
    <w:rsid w:val="0054464D"/>
    <w:rsid w:val="0054476C"/>
    <w:rsid w:val="00544853"/>
    <w:rsid w:val="00544C51"/>
    <w:rsid w:val="005453D3"/>
    <w:rsid w:val="0054553E"/>
    <w:rsid w:val="005455AE"/>
    <w:rsid w:val="00545DA7"/>
    <w:rsid w:val="00545FB1"/>
    <w:rsid w:val="00546070"/>
    <w:rsid w:val="005460F4"/>
    <w:rsid w:val="005462CD"/>
    <w:rsid w:val="00546304"/>
    <w:rsid w:val="00546656"/>
    <w:rsid w:val="005466E7"/>
    <w:rsid w:val="005468A8"/>
    <w:rsid w:val="00546BF4"/>
    <w:rsid w:val="00546C96"/>
    <w:rsid w:val="00546D8B"/>
    <w:rsid w:val="00547374"/>
    <w:rsid w:val="00547429"/>
    <w:rsid w:val="00547486"/>
    <w:rsid w:val="00547531"/>
    <w:rsid w:val="00547629"/>
    <w:rsid w:val="0054762D"/>
    <w:rsid w:val="00547660"/>
    <w:rsid w:val="0054790A"/>
    <w:rsid w:val="00547BE3"/>
    <w:rsid w:val="00547CA8"/>
    <w:rsid w:val="00547CC6"/>
    <w:rsid w:val="00547D44"/>
    <w:rsid w:val="00547E66"/>
    <w:rsid w:val="00550236"/>
    <w:rsid w:val="0055059F"/>
    <w:rsid w:val="00550F05"/>
    <w:rsid w:val="005514CC"/>
    <w:rsid w:val="005518A0"/>
    <w:rsid w:val="00551954"/>
    <w:rsid w:val="00551AAC"/>
    <w:rsid w:val="0055270E"/>
    <w:rsid w:val="00552B50"/>
    <w:rsid w:val="00552FB7"/>
    <w:rsid w:val="005531E1"/>
    <w:rsid w:val="00553781"/>
    <w:rsid w:val="005539F0"/>
    <w:rsid w:val="00553C86"/>
    <w:rsid w:val="00553F6E"/>
    <w:rsid w:val="00553F99"/>
    <w:rsid w:val="005540C9"/>
    <w:rsid w:val="00554496"/>
    <w:rsid w:val="005544F8"/>
    <w:rsid w:val="00554C9E"/>
    <w:rsid w:val="00554F10"/>
    <w:rsid w:val="005556C6"/>
    <w:rsid w:val="00555747"/>
    <w:rsid w:val="00555853"/>
    <w:rsid w:val="005559F5"/>
    <w:rsid w:val="00555BF9"/>
    <w:rsid w:val="00555C1D"/>
    <w:rsid w:val="00555EF9"/>
    <w:rsid w:val="005561B1"/>
    <w:rsid w:val="00556490"/>
    <w:rsid w:val="00556628"/>
    <w:rsid w:val="00556C0B"/>
    <w:rsid w:val="00556E69"/>
    <w:rsid w:val="0055730B"/>
    <w:rsid w:val="005574A0"/>
    <w:rsid w:val="00557931"/>
    <w:rsid w:val="00557C08"/>
    <w:rsid w:val="00557C0C"/>
    <w:rsid w:val="00557CC0"/>
    <w:rsid w:val="00557CC8"/>
    <w:rsid w:val="00557F53"/>
    <w:rsid w:val="005601CC"/>
    <w:rsid w:val="005607E7"/>
    <w:rsid w:val="00560863"/>
    <w:rsid w:val="00560CE7"/>
    <w:rsid w:val="00560D34"/>
    <w:rsid w:val="00561417"/>
    <w:rsid w:val="005614DB"/>
    <w:rsid w:val="00562072"/>
    <w:rsid w:val="0056237B"/>
    <w:rsid w:val="00563071"/>
    <w:rsid w:val="0056309F"/>
    <w:rsid w:val="00563139"/>
    <w:rsid w:val="00563272"/>
    <w:rsid w:val="00563469"/>
    <w:rsid w:val="00563557"/>
    <w:rsid w:val="005637CE"/>
    <w:rsid w:val="005639EE"/>
    <w:rsid w:val="00563A79"/>
    <w:rsid w:val="00563C1C"/>
    <w:rsid w:val="00563D5A"/>
    <w:rsid w:val="00563D88"/>
    <w:rsid w:val="00563FDC"/>
    <w:rsid w:val="005645C7"/>
    <w:rsid w:val="0056464C"/>
    <w:rsid w:val="005648AC"/>
    <w:rsid w:val="00564E6B"/>
    <w:rsid w:val="005654C9"/>
    <w:rsid w:val="0056555F"/>
    <w:rsid w:val="00565ACF"/>
    <w:rsid w:val="00565CA7"/>
    <w:rsid w:val="00565EE7"/>
    <w:rsid w:val="005661E3"/>
    <w:rsid w:val="0056632A"/>
    <w:rsid w:val="00566573"/>
    <w:rsid w:val="00566A50"/>
    <w:rsid w:val="00566DFE"/>
    <w:rsid w:val="005675A6"/>
    <w:rsid w:val="005675C6"/>
    <w:rsid w:val="0056782D"/>
    <w:rsid w:val="005679BA"/>
    <w:rsid w:val="00567E6E"/>
    <w:rsid w:val="00567F2B"/>
    <w:rsid w:val="00570020"/>
    <w:rsid w:val="005701C2"/>
    <w:rsid w:val="00570318"/>
    <w:rsid w:val="005704F0"/>
    <w:rsid w:val="00570C7E"/>
    <w:rsid w:val="00570D80"/>
    <w:rsid w:val="00571122"/>
    <w:rsid w:val="00571242"/>
    <w:rsid w:val="0057162B"/>
    <w:rsid w:val="005716D4"/>
    <w:rsid w:val="00571D96"/>
    <w:rsid w:val="00571DBF"/>
    <w:rsid w:val="00571F42"/>
    <w:rsid w:val="005722C7"/>
    <w:rsid w:val="00572550"/>
    <w:rsid w:val="0057292F"/>
    <w:rsid w:val="00572A47"/>
    <w:rsid w:val="00572D62"/>
    <w:rsid w:val="00572D8B"/>
    <w:rsid w:val="00572E69"/>
    <w:rsid w:val="00572EA3"/>
    <w:rsid w:val="00573016"/>
    <w:rsid w:val="0057323D"/>
    <w:rsid w:val="00573475"/>
    <w:rsid w:val="00573B61"/>
    <w:rsid w:val="00573BAC"/>
    <w:rsid w:val="00573E5F"/>
    <w:rsid w:val="00573EA9"/>
    <w:rsid w:val="00573F4E"/>
    <w:rsid w:val="00573F76"/>
    <w:rsid w:val="00574441"/>
    <w:rsid w:val="0057454F"/>
    <w:rsid w:val="00574636"/>
    <w:rsid w:val="00574AB0"/>
    <w:rsid w:val="00574C3C"/>
    <w:rsid w:val="00574C85"/>
    <w:rsid w:val="00575711"/>
    <w:rsid w:val="005757A4"/>
    <w:rsid w:val="00575956"/>
    <w:rsid w:val="00575AF1"/>
    <w:rsid w:val="00575FA3"/>
    <w:rsid w:val="0057611D"/>
    <w:rsid w:val="00576354"/>
    <w:rsid w:val="00576826"/>
    <w:rsid w:val="00576895"/>
    <w:rsid w:val="00576A7D"/>
    <w:rsid w:val="005771E7"/>
    <w:rsid w:val="005774D1"/>
    <w:rsid w:val="00577659"/>
    <w:rsid w:val="005779B1"/>
    <w:rsid w:val="00577B7D"/>
    <w:rsid w:val="005800AF"/>
    <w:rsid w:val="005801FE"/>
    <w:rsid w:val="00580656"/>
    <w:rsid w:val="00580E0C"/>
    <w:rsid w:val="00581010"/>
    <w:rsid w:val="005811FA"/>
    <w:rsid w:val="00581337"/>
    <w:rsid w:val="005816BC"/>
    <w:rsid w:val="00581858"/>
    <w:rsid w:val="0058195D"/>
    <w:rsid w:val="00581D38"/>
    <w:rsid w:val="00581DB5"/>
    <w:rsid w:val="00581F34"/>
    <w:rsid w:val="0058203B"/>
    <w:rsid w:val="00582346"/>
    <w:rsid w:val="00582646"/>
    <w:rsid w:val="00582764"/>
    <w:rsid w:val="00582769"/>
    <w:rsid w:val="00582805"/>
    <w:rsid w:val="005830D0"/>
    <w:rsid w:val="00583169"/>
    <w:rsid w:val="00583190"/>
    <w:rsid w:val="0058320D"/>
    <w:rsid w:val="0058349D"/>
    <w:rsid w:val="005838F8"/>
    <w:rsid w:val="00583C20"/>
    <w:rsid w:val="00583DA9"/>
    <w:rsid w:val="00583EED"/>
    <w:rsid w:val="00584391"/>
    <w:rsid w:val="00584585"/>
    <w:rsid w:val="00584DDE"/>
    <w:rsid w:val="0058509F"/>
    <w:rsid w:val="005853DA"/>
    <w:rsid w:val="0058555F"/>
    <w:rsid w:val="0058559D"/>
    <w:rsid w:val="00585B3C"/>
    <w:rsid w:val="00585E65"/>
    <w:rsid w:val="00585FB4"/>
    <w:rsid w:val="005864CF"/>
    <w:rsid w:val="00586C8D"/>
    <w:rsid w:val="00586ED6"/>
    <w:rsid w:val="0058705F"/>
    <w:rsid w:val="00587264"/>
    <w:rsid w:val="0058796B"/>
    <w:rsid w:val="00587A4F"/>
    <w:rsid w:val="00587AB0"/>
    <w:rsid w:val="00587BB0"/>
    <w:rsid w:val="00587CCF"/>
    <w:rsid w:val="0059033A"/>
    <w:rsid w:val="0059059B"/>
    <w:rsid w:val="005905D1"/>
    <w:rsid w:val="005905E0"/>
    <w:rsid w:val="005908DD"/>
    <w:rsid w:val="00590D57"/>
    <w:rsid w:val="00590E9F"/>
    <w:rsid w:val="00591818"/>
    <w:rsid w:val="005919C0"/>
    <w:rsid w:val="00591F6E"/>
    <w:rsid w:val="00591F9B"/>
    <w:rsid w:val="00592110"/>
    <w:rsid w:val="00592224"/>
    <w:rsid w:val="005923EC"/>
    <w:rsid w:val="00592801"/>
    <w:rsid w:val="00592CBA"/>
    <w:rsid w:val="005933C1"/>
    <w:rsid w:val="00593731"/>
    <w:rsid w:val="00593AFE"/>
    <w:rsid w:val="00593C33"/>
    <w:rsid w:val="00593F10"/>
    <w:rsid w:val="005942FC"/>
    <w:rsid w:val="0059435E"/>
    <w:rsid w:val="005948D3"/>
    <w:rsid w:val="00594AA5"/>
    <w:rsid w:val="00594B0B"/>
    <w:rsid w:val="00595312"/>
    <w:rsid w:val="005957BD"/>
    <w:rsid w:val="0059589C"/>
    <w:rsid w:val="00595A23"/>
    <w:rsid w:val="00595EC9"/>
    <w:rsid w:val="00596364"/>
    <w:rsid w:val="005969AA"/>
    <w:rsid w:val="00596E06"/>
    <w:rsid w:val="00597045"/>
    <w:rsid w:val="005974A1"/>
    <w:rsid w:val="00597D1D"/>
    <w:rsid w:val="00597D4C"/>
    <w:rsid w:val="00597F7B"/>
    <w:rsid w:val="005A0025"/>
    <w:rsid w:val="005A023F"/>
    <w:rsid w:val="005A08EA"/>
    <w:rsid w:val="005A0B88"/>
    <w:rsid w:val="005A0E39"/>
    <w:rsid w:val="005A0F92"/>
    <w:rsid w:val="005A10C9"/>
    <w:rsid w:val="005A11ED"/>
    <w:rsid w:val="005A1375"/>
    <w:rsid w:val="005A1483"/>
    <w:rsid w:val="005A14B6"/>
    <w:rsid w:val="005A15F0"/>
    <w:rsid w:val="005A178E"/>
    <w:rsid w:val="005A1C99"/>
    <w:rsid w:val="005A1DFE"/>
    <w:rsid w:val="005A2CBF"/>
    <w:rsid w:val="005A3318"/>
    <w:rsid w:val="005A3340"/>
    <w:rsid w:val="005A36A9"/>
    <w:rsid w:val="005A3A7B"/>
    <w:rsid w:val="005A3C94"/>
    <w:rsid w:val="005A3F31"/>
    <w:rsid w:val="005A41B6"/>
    <w:rsid w:val="005A4647"/>
    <w:rsid w:val="005A4D17"/>
    <w:rsid w:val="005A537B"/>
    <w:rsid w:val="005A5553"/>
    <w:rsid w:val="005A5701"/>
    <w:rsid w:val="005A5759"/>
    <w:rsid w:val="005A5C9A"/>
    <w:rsid w:val="005A5E3B"/>
    <w:rsid w:val="005A60A0"/>
    <w:rsid w:val="005A6164"/>
    <w:rsid w:val="005A6943"/>
    <w:rsid w:val="005A6A4A"/>
    <w:rsid w:val="005A6F96"/>
    <w:rsid w:val="005A73AC"/>
    <w:rsid w:val="005A74BA"/>
    <w:rsid w:val="005A7610"/>
    <w:rsid w:val="005A766C"/>
    <w:rsid w:val="005A7678"/>
    <w:rsid w:val="005A77E4"/>
    <w:rsid w:val="005A7BFA"/>
    <w:rsid w:val="005A7C24"/>
    <w:rsid w:val="005A7FD1"/>
    <w:rsid w:val="005B0144"/>
    <w:rsid w:val="005B0508"/>
    <w:rsid w:val="005B0566"/>
    <w:rsid w:val="005B057D"/>
    <w:rsid w:val="005B07BD"/>
    <w:rsid w:val="005B09DA"/>
    <w:rsid w:val="005B0B69"/>
    <w:rsid w:val="005B110A"/>
    <w:rsid w:val="005B1B06"/>
    <w:rsid w:val="005B1B68"/>
    <w:rsid w:val="005B1E57"/>
    <w:rsid w:val="005B1EEB"/>
    <w:rsid w:val="005B2129"/>
    <w:rsid w:val="005B25A9"/>
    <w:rsid w:val="005B26D6"/>
    <w:rsid w:val="005B2968"/>
    <w:rsid w:val="005B2990"/>
    <w:rsid w:val="005B2DE4"/>
    <w:rsid w:val="005B3189"/>
    <w:rsid w:val="005B31E3"/>
    <w:rsid w:val="005B4008"/>
    <w:rsid w:val="005B42EB"/>
    <w:rsid w:val="005B4515"/>
    <w:rsid w:val="005B469C"/>
    <w:rsid w:val="005B48CD"/>
    <w:rsid w:val="005B4932"/>
    <w:rsid w:val="005B4B35"/>
    <w:rsid w:val="005B4EE2"/>
    <w:rsid w:val="005B5222"/>
    <w:rsid w:val="005B548A"/>
    <w:rsid w:val="005B5731"/>
    <w:rsid w:val="005B5A68"/>
    <w:rsid w:val="005B5E13"/>
    <w:rsid w:val="005B62D5"/>
    <w:rsid w:val="005B6849"/>
    <w:rsid w:val="005B6C06"/>
    <w:rsid w:val="005B71F5"/>
    <w:rsid w:val="005B7489"/>
    <w:rsid w:val="005B79E3"/>
    <w:rsid w:val="005B7DBB"/>
    <w:rsid w:val="005C0587"/>
    <w:rsid w:val="005C07A8"/>
    <w:rsid w:val="005C0E0C"/>
    <w:rsid w:val="005C1126"/>
    <w:rsid w:val="005C112F"/>
    <w:rsid w:val="005C193F"/>
    <w:rsid w:val="005C1C27"/>
    <w:rsid w:val="005C1FA8"/>
    <w:rsid w:val="005C1FB8"/>
    <w:rsid w:val="005C2014"/>
    <w:rsid w:val="005C2749"/>
    <w:rsid w:val="005C2955"/>
    <w:rsid w:val="005C2A35"/>
    <w:rsid w:val="005C2CC3"/>
    <w:rsid w:val="005C2D2B"/>
    <w:rsid w:val="005C312A"/>
    <w:rsid w:val="005C3378"/>
    <w:rsid w:val="005C343A"/>
    <w:rsid w:val="005C3863"/>
    <w:rsid w:val="005C396B"/>
    <w:rsid w:val="005C3F34"/>
    <w:rsid w:val="005C3FDB"/>
    <w:rsid w:val="005C46FB"/>
    <w:rsid w:val="005C4C09"/>
    <w:rsid w:val="005C4C98"/>
    <w:rsid w:val="005C506B"/>
    <w:rsid w:val="005C53BC"/>
    <w:rsid w:val="005C54E7"/>
    <w:rsid w:val="005C54E9"/>
    <w:rsid w:val="005C55C4"/>
    <w:rsid w:val="005C55E1"/>
    <w:rsid w:val="005C5751"/>
    <w:rsid w:val="005C5BD1"/>
    <w:rsid w:val="005C5C12"/>
    <w:rsid w:val="005C5F25"/>
    <w:rsid w:val="005C5F5D"/>
    <w:rsid w:val="005C60B1"/>
    <w:rsid w:val="005C621D"/>
    <w:rsid w:val="005C656B"/>
    <w:rsid w:val="005C68D8"/>
    <w:rsid w:val="005C6CCD"/>
    <w:rsid w:val="005C6DAD"/>
    <w:rsid w:val="005C6F64"/>
    <w:rsid w:val="005C71BC"/>
    <w:rsid w:val="005C71FC"/>
    <w:rsid w:val="005C72B4"/>
    <w:rsid w:val="005C734F"/>
    <w:rsid w:val="005C75E1"/>
    <w:rsid w:val="005C7C1A"/>
    <w:rsid w:val="005D060F"/>
    <w:rsid w:val="005D06C7"/>
    <w:rsid w:val="005D0910"/>
    <w:rsid w:val="005D0970"/>
    <w:rsid w:val="005D1014"/>
    <w:rsid w:val="005D1077"/>
    <w:rsid w:val="005D1145"/>
    <w:rsid w:val="005D1252"/>
    <w:rsid w:val="005D1313"/>
    <w:rsid w:val="005D132E"/>
    <w:rsid w:val="005D1A79"/>
    <w:rsid w:val="005D1A98"/>
    <w:rsid w:val="005D1B7A"/>
    <w:rsid w:val="005D1B84"/>
    <w:rsid w:val="005D2232"/>
    <w:rsid w:val="005D2496"/>
    <w:rsid w:val="005D2525"/>
    <w:rsid w:val="005D26B6"/>
    <w:rsid w:val="005D2A4D"/>
    <w:rsid w:val="005D2E8F"/>
    <w:rsid w:val="005D30AD"/>
    <w:rsid w:val="005D3301"/>
    <w:rsid w:val="005D36E2"/>
    <w:rsid w:val="005D3FD1"/>
    <w:rsid w:val="005D4053"/>
    <w:rsid w:val="005D4188"/>
    <w:rsid w:val="005D4478"/>
    <w:rsid w:val="005D44D5"/>
    <w:rsid w:val="005D4893"/>
    <w:rsid w:val="005D48D7"/>
    <w:rsid w:val="005D4A5A"/>
    <w:rsid w:val="005D4BBE"/>
    <w:rsid w:val="005D4DDA"/>
    <w:rsid w:val="005D4F94"/>
    <w:rsid w:val="005D5731"/>
    <w:rsid w:val="005D57C0"/>
    <w:rsid w:val="005D5828"/>
    <w:rsid w:val="005D5957"/>
    <w:rsid w:val="005D5B3C"/>
    <w:rsid w:val="005D5BCF"/>
    <w:rsid w:val="005D6409"/>
    <w:rsid w:val="005D64E1"/>
    <w:rsid w:val="005D64F4"/>
    <w:rsid w:val="005D688F"/>
    <w:rsid w:val="005D689C"/>
    <w:rsid w:val="005D6BBA"/>
    <w:rsid w:val="005D712C"/>
    <w:rsid w:val="005D71F3"/>
    <w:rsid w:val="005D73B5"/>
    <w:rsid w:val="005D7644"/>
    <w:rsid w:val="005D7646"/>
    <w:rsid w:val="005D7699"/>
    <w:rsid w:val="005D7BC9"/>
    <w:rsid w:val="005D7C11"/>
    <w:rsid w:val="005D7DB8"/>
    <w:rsid w:val="005E005F"/>
    <w:rsid w:val="005E02E4"/>
    <w:rsid w:val="005E0350"/>
    <w:rsid w:val="005E06D1"/>
    <w:rsid w:val="005E148F"/>
    <w:rsid w:val="005E15F6"/>
    <w:rsid w:val="005E16DE"/>
    <w:rsid w:val="005E19AD"/>
    <w:rsid w:val="005E19AF"/>
    <w:rsid w:val="005E1D39"/>
    <w:rsid w:val="005E1F66"/>
    <w:rsid w:val="005E2261"/>
    <w:rsid w:val="005E230A"/>
    <w:rsid w:val="005E2863"/>
    <w:rsid w:val="005E2D34"/>
    <w:rsid w:val="005E2DD5"/>
    <w:rsid w:val="005E30AB"/>
    <w:rsid w:val="005E3537"/>
    <w:rsid w:val="005E355F"/>
    <w:rsid w:val="005E36E1"/>
    <w:rsid w:val="005E371D"/>
    <w:rsid w:val="005E3787"/>
    <w:rsid w:val="005E3C5A"/>
    <w:rsid w:val="005E45FC"/>
    <w:rsid w:val="005E46BE"/>
    <w:rsid w:val="005E4857"/>
    <w:rsid w:val="005E493E"/>
    <w:rsid w:val="005E4A7D"/>
    <w:rsid w:val="005E4A8B"/>
    <w:rsid w:val="005E4B5F"/>
    <w:rsid w:val="005E4E17"/>
    <w:rsid w:val="005E4E56"/>
    <w:rsid w:val="005E51E7"/>
    <w:rsid w:val="005E5399"/>
    <w:rsid w:val="005E5BC9"/>
    <w:rsid w:val="005E601A"/>
    <w:rsid w:val="005E6635"/>
    <w:rsid w:val="005E675A"/>
    <w:rsid w:val="005E6DA2"/>
    <w:rsid w:val="005E6EBB"/>
    <w:rsid w:val="005E71EB"/>
    <w:rsid w:val="005E7A42"/>
    <w:rsid w:val="005E7DD7"/>
    <w:rsid w:val="005F0759"/>
    <w:rsid w:val="005F095B"/>
    <w:rsid w:val="005F098F"/>
    <w:rsid w:val="005F0A50"/>
    <w:rsid w:val="005F0CCF"/>
    <w:rsid w:val="005F106A"/>
    <w:rsid w:val="005F108C"/>
    <w:rsid w:val="005F1784"/>
    <w:rsid w:val="005F1862"/>
    <w:rsid w:val="005F191C"/>
    <w:rsid w:val="005F1A18"/>
    <w:rsid w:val="005F1ADE"/>
    <w:rsid w:val="005F1EA5"/>
    <w:rsid w:val="005F24DF"/>
    <w:rsid w:val="005F24EB"/>
    <w:rsid w:val="005F2942"/>
    <w:rsid w:val="005F29EE"/>
    <w:rsid w:val="005F2BB0"/>
    <w:rsid w:val="005F30A7"/>
    <w:rsid w:val="005F35D0"/>
    <w:rsid w:val="005F36FB"/>
    <w:rsid w:val="005F3F16"/>
    <w:rsid w:val="005F4065"/>
    <w:rsid w:val="005F4825"/>
    <w:rsid w:val="005F4C1D"/>
    <w:rsid w:val="005F4E22"/>
    <w:rsid w:val="005F4E3A"/>
    <w:rsid w:val="005F508E"/>
    <w:rsid w:val="005F51CE"/>
    <w:rsid w:val="005F5450"/>
    <w:rsid w:val="005F5559"/>
    <w:rsid w:val="005F57E6"/>
    <w:rsid w:val="005F5915"/>
    <w:rsid w:val="005F59C3"/>
    <w:rsid w:val="005F59EC"/>
    <w:rsid w:val="005F5D0B"/>
    <w:rsid w:val="005F5E88"/>
    <w:rsid w:val="005F5EA8"/>
    <w:rsid w:val="005F62C8"/>
    <w:rsid w:val="005F690F"/>
    <w:rsid w:val="005F6B06"/>
    <w:rsid w:val="005F6DC4"/>
    <w:rsid w:val="005F7279"/>
    <w:rsid w:val="005F7821"/>
    <w:rsid w:val="005F7A00"/>
    <w:rsid w:val="005F7C4B"/>
    <w:rsid w:val="005F7CCD"/>
    <w:rsid w:val="006000E4"/>
    <w:rsid w:val="0060014F"/>
    <w:rsid w:val="006001D0"/>
    <w:rsid w:val="00600291"/>
    <w:rsid w:val="00600636"/>
    <w:rsid w:val="00600895"/>
    <w:rsid w:val="00600913"/>
    <w:rsid w:val="00600959"/>
    <w:rsid w:val="00600AC7"/>
    <w:rsid w:val="00600CDA"/>
    <w:rsid w:val="00600D05"/>
    <w:rsid w:val="00600D91"/>
    <w:rsid w:val="00601018"/>
    <w:rsid w:val="006014B9"/>
    <w:rsid w:val="00601954"/>
    <w:rsid w:val="00601BD6"/>
    <w:rsid w:val="00601C56"/>
    <w:rsid w:val="00601CD4"/>
    <w:rsid w:val="00601E0F"/>
    <w:rsid w:val="006022CC"/>
    <w:rsid w:val="0060265A"/>
    <w:rsid w:val="00602A02"/>
    <w:rsid w:val="00602BAC"/>
    <w:rsid w:val="00602C3C"/>
    <w:rsid w:val="0060337D"/>
    <w:rsid w:val="006033D1"/>
    <w:rsid w:val="0060350B"/>
    <w:rsid w:val="0060367A"/>
    <w:rsid w:val="00603728"/>
    <w:rsid w:val="006038A7"/>
    <w:rsid w:val="006039A3"/>
    <w:rsid w:val="00603C58"/>
    <w:rsid w:val="00603C72"/>
    <w:rsid w:val="00603C8A"/>
    <w:rsid w:val="00603CEC"/>
    <w:rsid w:val="00604488"/>
    <w:rsid w:val="0060458B"/>
    <w:rsid w:val="0060485B"/>
    <w:rsid w:val="0060494A"/>
    <w:rsid w:val="00604A07"/>
    <w:rsid w:val="00604AE2"/>
    <w:rsid w:val="00604B99"/>
    <w:rsid w:val="00604C2B"/>
    <w:rsid w:val="00605103"/>
    <w:rsid w:val="006060DB"/>
    <w:rsid w:val="00606366"/>
    <w:rsid w:val="0060684F"/>
    <w:rsid w:val="00606892"/>
    <w:rsid w:val="00606941"/>
    <w:rsid w:val="00607015"/>
    <w:rsid w:val="00607291"/>
    <w:rsid w:val="006073FC"/>
    <w:rsid w:val="0060788F"/>
    <w:rsid w:val="00607A72"/>
    <w:rsid w:val="00607B4B"/>
    <w:rsid w:val="00607B86"/>
    <w:rsid w:val="00607EFD"/>
    <w:rsid w:val="006101F0"/>
    <w:rsid w:val="0061043C"/>
    <w:rsid w:val="006106BD"/>
    <w:rsid w:val="0061099F"/>
    <w:rsid w:val="00610B4E"/>
    <w:rsid w:val="00610C0E"/>
    <w:rsid w:val="00610C29"/>
    <w:rsid w:val="00610D3C"/>
    <w:rsid w:val="00611909"/>
    <w:rsid w:val="00611920"/>
    <w:rsid w:val="00611D83"/>
    <w:rsid w:val="00611FCD"/>
    <w:rsid w:val="00612BC0"/>
    <w:rsid w:val="00612C6B"/>
    <w:rsid w:val="00613211"/>
    <w:rsid w:val="006133E6"/>
    <w:rsid w:val="006137C7"/>
    <w:rsid w:val="00613926"/>
    <w:rsid w:val="00613E8C"/>
    <w:rsid w:val="00614442"/>
    <w:rsid w:val="0061454D"/>
    <w:rsid w:val="00614782"/>
    <w:rsid w:val="00614ABD"/>
    <w:rsid w:val="00614BDC"/>
    <w:rsid w:val="00614C23"/>
    <w:rsid w:val="00614CAA"/>
    <w:rsid w:val="00614E13"/>
    <w:rsid w:val="00615390"/>
    <w:rsid w:val="0061551E"/>
    <w:rsid w:val="00616178"/>
    <w:rsid w:val="0061640F"/>
    <w:rsid w:val="006166A7"/>
    <w:rsid w:val="006166D3"/>
    <w:rsid w:val="006169B4"/>
    <w:rsid w:val="00617022"/>
    <w:rsid w:val="00617183"/>
    <w:rsid w:val="0061731F"/>
    <w:rsid w:val="00617366"/>
    <w:rsid w:val="006174DB"/>
    <w:rsid w:val="00617671"/>
    <w:rsid w:val="00617726"/>
    <w:rsid w:val="006177F6"/>
    <w:rsid w:val="00617A2A"/>
    <w:rsid w:val="00617CE5"/>
    <w:rsid w:val="00617EFF"/>
    <w:rsid w:val="00620233"/>
    <w:rsid w:val="006202FD"/>
    <w:rsid w:val="006203BA"/>
    <w:rsid w:val="00620899"/>
    <w:rsid w:val="00620BE8"/>
    <w:rsid w:val="00620E26"/>
    <w:rsid w:val="00620E54"/>
    <w:rsid w:val="00620EE5"/>
    <w:rsid w:val="00621257"/>
    <w:rsid w:val="0062130B"/>
    <w:rsid w:val="0062160C"/>
    <w:rsid w:val="006217A7"/>
    <w:rsid w:val="00621835"/>
    <w:rsid w:val="006218A7"/>
    <w:rsid w:val="00621C3A"/>
    <w:rsid w:val="00622700"/>
    <w:rsid w:val="00622D1B"/>
    <w:rsid w:val="00622ED6"/>
    <w:rsid w:val="006234BD"/>
    <w:rsid w:val="00623584"/>
    <w:rsid w:val="00623676"/>
    <w:rsid w:val="00623B19"/>
    <w:rsid w:val="00623D6B"/>
    <w:rsid w:val="00623E20"/>
    <w:rsid w:val="006246D7"/>
    <w:rsid w:val="00624B0B"/>
    <w:rsid w:val="00624BEC"/>
    <w:rsid w:val="00624E09"/>
    <w:rsid w:val="00625144"/>
    <w:rsid w:val="00625608"/>
    <w:rsid w:val="00625693"/>
    <w:rsid w:val="0062588E"/>
    <w:rsid w:val="00625B62"/>
    <w:rsid w:val="00625CD3"/>
    <w:rsid w:val="00626001"/>
    <w:rsid w:val="0062644B"/>
    <w:rsid w:val="0062698B"/>
    <w:rsid w:val="00626B95"/>
    <w:rsid w:val="00626C53"/>
    <w:rsid w:val="00626CC5"/>
    <w:rsid w:val="006272BF"/>
    <w:rsid w:val="00627403"/>
    <w:rsid w:val="00627662"/>
    <w:rsid w:val="00627936"/>
    <w:rsid w:val="00627DCC"/>
    <w:rsid w:val="00627F0A"/>
    <w:rsid w:val="00630122"/>
    <w:rsid w:val="00630129"/>
    <w:rsid w:val="00630242"/>
    <w:rsid w:val="00630289"/>
    <w:rsid w:val="006305B6"/>
    <w:rsid w:val="00630ABA"/>
    <w:rsid w:val="006312AC"/>
    <w:rsid w:val="006316EC"/>
    <w:rsid w:val="006318DC"/>
    <w:rsid w:val="00631F9F"/>
    <w:rsid w:val="00632187"/>
    <w:rsid w:val="006321A3"/>
    <w:rsid w:val="00632261"/>
    <w:rsid w:val="006325F8"/>
    <w:rsid w:val="00632785"/>
    <w:rsid w:val="00633101"/>
    <w:rsid w:val="0063317A"/>
    <w:rsid w:val="00633302"/>
    <w:rsid w:val="0063331B"/>
    <w:rsid w:val="00633463"/>
    <w:rsid w:val="00633C81"/>
    <w:rsid w:val="006344FA"/>
    <w:rsid w:val="00634765"/>
    <w:rsid w:val="00634A85"/>
    <w:rsid w:val="00634D42"/>
    <w:rsid w:val="006353F1"/>
    <w:rsid w:val="0063556B"/>
    <w:rsid w:val="0063590C"/>
    <w:rsid w:val="00635ACA"/>
    <w:rsid w:val="00635B21"/>
    <w:rsid w:val="00635C6A"/>
    <w:rsid w:val="00635E3F"/>
    <w:rsid w:val="00636140"/>
    <w:rsid w:val="0063658E"/>
    <w:rsid w:val="00636802"/>
    <w:rsid w:val="0063691E"/>
    <w:rsid w:val="00636B8B"/>
    <w:rsid w:val="00636BAF"/>
    <w:rsid w:val="00636D7F"/>
    <w:rsid w:val="006377B6"/>
    <w:rsid w:val="006379AD"/>
    <w:rsid w:val="00637D45"/>
    <w:rsid w:val="00637FAC"/>
    <w:rsid w:val="006404E3"/>
    <w:rsid w:val="00640DAB"/>
    <w:rsid w:val="0064106B"/>
    <w:rsid w:val="006417B1"/>
    <w:rsid w:val="00641FBB"/>
    <w:rsid w:val="00642219"/>
    <w:rsid w:val="00642256"/>
    <w:rsid w:val="006423FD"/>
    <w:rsid w:val="00642D0C"/>
    <w:rsid w:val="00642DF1"/>
    <w:rsid w:val="006430A2"/>
    <w:rsid w:val="00643520"/>
    <w:rsid w:val="00643D43"/>
    <w:rsid w:val="006443FC"/>
    <w:rsid w:val="006446F6"/>
    <w:rsid w:val="006448AE"/>
    <w:rsid w:val="006448B6"/>
    <w:rsid w:val="00644CE0"/>
    <w:rsid w:val="00644E81"/>
    <w:rsid w:val="00644F5A"/>
    <w:rsid w:val="00645811"/>
    <w:rsid w:val="006458F4"/>
    <w:rsid w:val="00646836"/>
    <w:rsid w:val="00646914"/>
    <w:rsid w:val="00646DF3"/>
    <w:rsid w:val="00646FBB"/>
    <w:rsid w:val="00647448"/>
    <w:rsid w:val="00647558"/>
    <w:rsid w:val="0064782C"/>
    <w:rsid w:val="00647DF2"/>
    <w:rsid w:val="00647ED2"/>
    <w:rsid w:val="0065006D"/>
    <w:rsid w:val="0065044A"/>
    <w:rsid w:val="00650A10"/>
    <w:rsid w:val="00650AE3"/>
    <w:rsid w:val="00650CB5"/>
    <w:rsid w:val="00651564"/>
    <w:rsid w:val="0065175B"/>
    <w:rsid w:val="00651773"/>
    <w:rsid w:val="006519D5"/>
    <w:rsid w:val="00651D79"/>
    <w:rsid w:val="00652056"/>
    <w:rsid w:val="00652520"/>
    <w:rsid w:val="006527BB"/>
    <w:rsid w:val="00652B29"/>
    <w:rsid w:val="00652C6C"/>
    <w:rsid w:val="006536B1"/>
    <w:rsid w:val="00653BA1"/>
    <w:rsid w:val="00653F80"/>
    <w:rsid w:val="00653FA3"/>
    <w:rsid w:val="00654083"/>
    <w:rsid w:val="006540C3"/>
    <w:rsid w:val="00654534"/>
    <w:rsid w:val="0065453A"/>
    <w:rsid w:val="00654954"/>
    <w:rsid w:val="00654AA3"/>
    <w:rsid w:val="00654B25"/>
    <w:rsid w:val="00654BC4"/>
    <w:rsid w:val="00654E13"/>
    <w:rsid w:val="00654EE1"/>
    <w:rsid w:val="006552BA"/>
    <w:rsid w:val="00655370"/>
    <w:rsid w:val="006556B5"/>
    <w:rsid w:val="00655C54"/>
    <w:rsid w:val="00655CA1"/>
    <w:rsid w:val="00655CE8"/>
    <w:rsid w:val="00655E22"/>
    <w:rsid w:val="00655E93"/>
    <w:rsid w:val="00655F70"/>
    <w:rsid w:val="0065632D"/>
    <w:rsid w:val="006563EC"/>
    <w:rsid w:val="00656714"/>
    <w:rsid w:val="006569B7"/>
    <w:rsid w:val="006570B9"/>
    <w:rsid w:val="006571B6"/>
    <w:rsid w:val="0065764C"/>
    <w:rsid w:val="0065780E"/>
    <w:rsid w:val="0065794F"/>
    <w:rsid w:val="00660477"/>
    <w:rsid w:val="0066087F"/>
    <w:rsid w:val="006608F9"/>
    <w:rsid w:val="00660BD3"/>
    <w:rsid w:val="00661005"/>
    <w:rsid w:val="006612EB"/>
    <w:rsid w:val="0066164E"/>
    <w:rsid w:val="00661663"/>
    <w:rsid w:val="0066198F"/>
    <w:rsid w:val="006619D1"/>
    <w:rsid w:val="00661D5B"/>
    <w:rsid w:val="00661FBD"/>
    <w:rsid w:val="0066241F"/>
    <w:rsid w:val="006629BE"/>
    <w:rsid w:val="00662CB0"/>
    <w:rsid w:val="00662CEB"/>
    <w:rsid w:val="006630CF"/>
    <w:rsid w:val="0066334A"/>
    <w:rsid w:val="006634A5"/>
    <w:rsid w:val="00663612"/>
    <w:rsid w:val="00663C65"/>
    <w:rsid w:val="00663FB4"/>
    <w:rsid w:val="00664035"/>
    <w:rsid w:val="00664229"/>
    <w:rsid w:val="00664A6E"/>
    <w:rsid w:val="00664D05"/>
    <w:rsid w:val="00664F1A"/>
    <w:rsid w:val="006653E3"/>
    <w:rsid w:val="006655F5"/>
    <w:rsid w:val="00665662"/>
    <w:rsid w:val="00665995"/>
    <w:rsid w:val="00665A05"/>
    <w:rsid w:val="00665EDD"/>
    <w:rsid w:val="0066612C"/>
    <w:rsid w:val="0066621A"/>
    <w:rsid w:val="00666490"/>
    <w:rsid w:val="00666576"/>
    <w:rsid w:val="0066677D"/>
    <w:rsid w:val="006668E9"/>
    <w:rsid w:val="00666974"/>
    <w:rsid w:val="00666D84"/>
    <w:rsid w:val="00666D8F"/>
    <w:rsid w:val="00666DAA"/>
    <w:rsid w:val="006670F1"/>
    <w:rsid w:val="006672AD"/>
    <w:rsid w:val="00667485"/>
    <w:rsid w:val="006675E5"/>
    <w:rsid w:val="00667837"/>
    <w:rsid w:val="00667AEF"/>
    <w:rsid w:val="00667B96"/>
    <w:rsid w:val="00667CC3"/>
    <w:rsid w:val="00667D0E"/>
    <w:rsid w:val="00667E02"/>
    <w:rsid w:val="00670787"/>
    <w:rsid w:val="00670B97"/>
    <w:rsid w:val="00670CFF"/>
    <w:rsid w:val="006710B7"/>
    <w:rsid w:val="006710F8"/>
    <w:rsid w:val="00671281"/>
    <w:rsid w:val="0067157A"/>
    <w:rsid w:val="00671A8E"/>
    <w:rsid w:val="00671B79"/>
    <w:rsid w:val="00671B8A"/>
    <w:rsid w:val="0067206D"/>
    <w:rsid w:val="006722B8"/>
    <w:rsid w:val="00672397"/>
    <w:rsid w:val="00672975"/>
    <w:rsid w:val="00672B02"/>
    <w:rsid w:val="00673203"/>
    <w:rsid w:val="00673AA4"/>
    <w:rsid w:val="00673B4E"/>
    <w:rsid w:val="00673C33"/>
    <w:rsid w:val="00673E27"/>
    <w:rsid w:val="00673EDA"/>
    <w:rsid w:val="00674272"/>
    <w:rsid w:val="006744F2"/>
    <w:rsid w:val="006746DD"/>
    <w:rsid w:val="006748BB"/>
    <w:rsid w:val="00674A7F"/>
    <w:rsid w:val="00674C13"/>
    <w:rsid w:val="00674C87"/>
    <w:rsid w:val="00674E3E"/>
    <w:rsid w:val="006750E1"/>
    <w:rsid w:val="006756C6"/>
    <w:rsid w:val="00675852"/>
    <w:rsid w:val="00675943"/>
    <w:rsid w:val="00675A6F"/>
    <w:rsid w:val="00676067"/>
    <w:rsid w:val="00676A30"/>
    <w:rsid w:val="00676ACF"/>
    <w:rsid w:val="00676B77"/>
    <w:rsid w:val="00676E00"/>
    <w:rsid w:val="00676F19"/>
    <w:rsid w:val="006770AC"/>
    <w:rsid w:val="00677365"/>
    <w:rsid w:val="00677E0B"/>
    <w:rsid w:val="00680252"/>
    <w:rsid w:val="00680393"/>
    <w:rsid w:val="00680918"/>
    <w:rsid w:val="00680FBC"/>
    <w:rsid w:val="00681794"/>
    <w:rsid w:val="006817BA"/>
    <w:rsid w:val="00681971"/>
    <w:rsid w:val="006819D4"/>
    <w:rsid w:val="00681CD5"/>
    <w:rsid w:val="00681DFE"/>
    <w:rsid w:val="00681EF8"/>
    <w:rsid w:val="00681F10"/>
    <w:rsid w:val="00682035"/>
    <w:rsid w:val="006821EA"/>
    <w:rsid w:val="0068227A"/>
    <w:rsid w:val="006830A3"/>
    <w:rsid w:val="00683452"/>
    <w:rsid w:val="00683482"/>
    <w:rsid w:val="006836FC"/>
    <w:rsid w:val="00683793"/>
    <w:rsid w:val="00683AF3"/>
    <w:rsid w:val="0068400B"/>
    <w:rsid w:val="0068411F"/>
    <w:rsid w:val="006842A8"/>
    <w:rsid w:val="00684318"/>
    <w:rsid w:val="0068437D"/>
    <w:rsid w:val="006849BB"/>
    <w:rsid w:val="00684A0F"/>
    <w:rsid w:val="00684FBF"/>
    <w:rsid w:val="006851DD"/>
    <w:rsid w:val="00685288"/>
    <w:rsid w:val="00685858"/>
    <w:rsid w:val="00685950"/>
    <w:rsid w:val="00685BF8"/>
    <w:rsid w:val="00685CC7"/>
    <w:rsid w:val="0068616E"/>
    <w:rsid w:val="006862A6"/>
    <w:rsid w:val="0068651E"/>
    <w:rsid w:val="00686A19"/>
    <w:rsid w:val="006871B1"/>
    <w:rsid w:val="00687942"/>
    <w:rsid w:val="00687C22"/>
    <w:rsid w:val="00687C3D"/>
    <w:rsid w:val="00690105"/>
    <w:rsid w:val="0069022B"/>
    <w:rsid w:val="00690365"/>
    <w:rsid w:val="00690755"/>
    <w:rsid w:val="00690829"/>
    <w:rsid w:val="00690DF3"/>
    <w:rsid w:val="006912B3"/>
    <w:rsid w:val="006914D2"/>
    <w:rsid w:val="00691523"/>
    <w:rsid w:val="00691A16"/>
    <w:rsid w:val="00691B02"/>
    <w:rsid w:val="00691C36"/>
    <w:rsid w:val="00691D58"/>
    <w:rsid w:val="00691D7A"/>
    <w:rsid w:val="00691F2D"/>
    <w:rsid w:val="00692183"/>
    <w:rsid w:val="006926CA"/>
    <w:rsid w:val="0069278C"/>
    <w:rsid w:val="00692F07"/>
    <w:rsid w:val="00693314"/>
    <w:rsid w:val="00693982"/>
    <w:rsid w:val="006939EC"/>
    <w:rsid w:val="00693C50"/>
    <w:rsid w:val="00693D04"/>
    <w:rsid w:val="00693E33"/>
    <w:rsid w:val="00693E86"/>
    <w:rsid w:val="0069402A"/>
    <w:rsid w:val="00694386"/>
    <w:rsid w:val="0069458F"/>
    <w:rsid w:val="00694804"/>
    <w:rsid w:val="00694EC6"/>
    <w:rsid w:val="00694F8F"/>
    <w:rsid w:val="0069517B"/>
    <w:rsid w:val="00695181"/>
    <w:rsid w:val="00695937"/>
    <w:rsid w:val="0069597C"/>
    <w:rsid w:val="00695D95"/>
    <w:rsid w:val="006960B9"/>
    <w:rsid w:val="00696258"/>
    <w:rsid w:val="00696326"/>
    <w:rsid w:val="00696736"/>
    <w:rsid w:val="006970D5"/>
    <w:rsid w:val="00697118"/>
    <w:rsid w:val="0069739D"/>
    <w:rsid w:val="0069768B"/>
    <w:rsid w:val="0069772F"/>
    <w:rsid w:val="00697CDE"/>
    <w:rsid w:val="006A0293"/>
    <w:rsid w:val="006A0560"/>
    <w:rsid w:val="006A06C6"/>
    <w:rsid w:val="006A08C1"/>
    <w:rsid w:val="006A0BE2"/>
    <w:rsid w:val="006A0D51"/>
    <w:rsid w:val="006A0DCB"/>
    <w:rsid w:val="006A1186"/>
    <w:rsid w:val="006A1E83"/>
    <w:rsid w:val="006A1EE1"/>
    <w:rsid w:val="006A1F2C"/>
    <w:rsid w:val="006A1F71"/>
    <w:rsid w:val="006A2159"/>
    <w:rsid w:val="006A249B"/>
    <w:rsid w:val="006A2C28"/>
    <w:rsid w:val="006A2DE9"/>
    <w:rsid w:val="006A354E"/>
    <w:rsid w:val="006A3795"/>
    <w:rsid w:val="006A3897"/>
    <w:rsid w:val="006A38F6"/>
    <w:rsid w:val="006A4211"/>
    <w:rsid w:val="006A4561"/>
    <w:rsid w:val="006A4AE2"/>
    <w:rsid w:val="006A4D8A"/>
    <w:rsid w:val="006A4D99"/>
    <w:rsid w:val="006A4F99"/>
    <w:rsid w:val="006A5014"/>
    <w:rsid w:val="006A50C8"/>
    <w:rsid w:val="006A5265"/>
    <w:rsid w:val="006A569A"/>
    <w:rsid w:val="006A5EE5"/>
    <w:rsid w:val="006A625E"/>
    <w:rsid w:val="006A64A9"/>
    <w:rsid w:val="006A661F"/>
    <w:rsid w:val="006A6AF9"/>
    <w:rsid w:val="006A6B52"/>
    <w:rsid w:val="006A7218"/>
    <w:rsid w:val="006A724B"/>
    <w:rsid w:val="006A7AD0"/>
    <w:rsid w:val="006A7D66"/>
    <w:rsid w:val="006A7DFF"/>
    <w:rsid w:val="006B0384"/>
    <w:rsid w:val="006B0469"/>
    <w:rsid w:val="006B08D8"/>
    <w:rsid w:val="006B0925"/>
    <w:rsid w:val="006B0973"/>
    <w:rsid w:val="006B1231"/>
    <w:rsid w:val="006B1AD4"/>
    <w:rsid w:val="006B1C0B"/>
    <w:rsid w:val="006B1C87"/>
    <w:rsid w:val="006B21AA"/>
    <w:rsid w:val="006B24E1"/>
    <w:rsid w:val="006B277A"/>
    <w:rsid w:val="006B27FD"/>
    <w:rsid w:val="006B2C28"/>
    <w:rsid w:val="006B311C"/>
    <w:rsid w:val="006B34BE"/>
    <w:rsid w:val="006B38A8"/>
    <w:rsid w:val="006B3B09"/>
    <w:rsid w:val="006B3F25"/>
    <w:rsid w:val="006B3F5D"/>
    <w:rsid w:val="006B40B0"/>
    <w:rsid w:val="006B445E"/>
    <w:rsid w:val="006B4785"/>
    <w:rsid w:val="006B4949"/>
    <w:rsid w:val="006B4C57"/>
    <w:rsid w:val="006B4E1E"/>
    <w:rsid w:val="006B52D9"/>
    <w:rsid w:val="006B556C"/>
    <w:rsid w:val="006B5662"/>
    <w:rsid w:val="006B56EC"/>
    <w:rsid w:val="006B5722"/>
    <w:rsid w:val="006B5A06"/>
    <w:rsid w:val="006B5ADB"/>
    <w:rsid w:val="006B5DCE"/>
    <w:rsid w:val="006B6588"/>
    <w:rsid w:val="006B69D2"/>
    <w:rsid w:val="006B6B5B"/>
    <w:rsid w:val="006B6CB4"/>
    <w:rsid w:val="006B73B9"/>
    <w:rsid w:val="006B741B"/>
    <w:rsid w:val="006B7642"/>
    <w:rsid w:val="006B7EFE"/>
    <w:rsid w:val="006C0522"/>
    <w:rsid w:val="006C06D7"/>
    <w:rsid w:val="006C0CF3"/>
    <w:rsid w:val="006C0DBD"/>
    <w:rsid w:val="006C1014"/>
    <w:rsid w:val="006C1021"/>
    <w:rsid w:val="006C13C3"/>
    <w:rsid w:val="006C13CB"/>
    <w:rsid w:val="006C145B"/>
    <w:rsid w:val="006C167A"/>
    <w:rsid w:val="006C1A1F"/>
    <w:rsid w:val="006C25F1"/>
    <w:rsid w:val="006C2626"/>
    <w:rsid w:val="006C2966"/>
    <w:rsid w:val="006C2C29"/>
    <w:rsid w:val="006C2E0A"/>
    <w:rsid w:val="006C2EF3"/>
    <w:rsid w:val="006C355C"/>
    <w:rsid w:val="006C3918"/>
    <w:rsid w:val="006C3E91"/>
    <w:rsid w:val="006C421F"/>
    <w:rsid w:val="006C44CD"/>
    <w:rsid w:val="006C47FC"/>
    <w:rsid w:val="006C4FD2"/>
    <w:rsid w:val="006C5448"/>
    <w:rsid w:val="006C567D"/>
    <w:rsid w:val="006C56B8"/>
    <w:rsid w:val="006C5828"/>
    <w:rsid w:val="006C599F"/>
    <w:rsid w:val="006C5A94"/>
    <w:rsid w:val="006C63FD"/>
    <w:rsid w:val="006C6FE4"/>
    <w:rsid w:val="006C742F"/>
    <w:rsid w:val="006C746C"/>
    <w:rsid w:val="006C758D"/>
    <w:rsid w:val="006C7693"/>
    <w:rsid w:val="006C7CAB"/>
    <w:rsid w:val="006D02F3"/>
    <w:rsid w:val="006D0648"/>
    <w:rsid w:val="006D0DAD"/>
    <w:rsid w:val="006D0DB2"/>
    <w:rsid w:val="006D103A"/>
    <w:rsid w:val="006D1DE1"/>
    <w:rsid w:val="006D2317"/>
    <w:rsid w:val="006D266D"/>
    <w:rsid w:val="006D2C7E"/>
    <w:rsid w:val="006D2E0D"/>
    <w:rsid w:val="006D2E14"/>
    <w:rsid w:val="006D2F68"/>
    <w:rsid w:val="006D31EC"/>
    <w:rsid w:val="006D32CD"/>
    <w:rsid w:val="006D367A"/>
    <w:rsid w:val="006D3749"/>
    <w:rsid w:val="006D37B0"/>
    <w:rsid w:val="006D3A92"/>
    <w:rsid w:val="006D3E24"/>
    <w:rsid w:val="006D4551"/>
    <w:rsid w:val="006D489D"/>
    <w:rsid w:val="006D4AE0"/>
    <w:rsid w:val="006D4BE0"/>
    <w:rsid w:val="006D4D7F"/>
    <w:rsid w:val="006D4DF3"/>
    <w:rsid w:val="006D4FD3"/>
    <w:rsid w:val="006D51B1"/>
    <w:rsid w:val="006D5A15"/>
    <w:rsid w:val="006D5A97"/>
    <w:rsid w:val="006D5D6C"/>
    <w:rsid w:val="006D5D7E"/>
    <w:rsid w:val="006D5FF2"/>
    <w:rsid w:val="006D6048"/>
    <w:rsid w:val="006D65CA"/>
    <w:rsid w:val="006D66C8"/>
    <w:rsid w:val="006D6C3A"/>
    <w:rsid w:val="006D6F55"/>
    <w:rsid w:val="006D6F58"/>
    <w:rsid w:val="006D72A5"/>
    <w:rsid w:val="006D73BB"/>
    <w:rsid w:val="006D76B9"/>
    <w:rsid w:val="006D7870"/>
    <w:rsid w:val="006D7FD1"/>
    <w:rsid w:val="006E0448"/>
    <w:rsid w:val="006E06EE"/>
    <w:rsid w:val="006E09DE"/>
    <w:rsid w:val="006E0CC6"/>
    <w:rsid w:val="006E0E9C"/>
    <w:rsid w:val="006E0F08"/>
    <w:rsid w:val="006E117D"/>
    <w:rsid w:val="006E12B0"/>
    <w:rsid w:val="006E1377"/>
    <w:rsid w:val="006E143C"/>
    <w:rsid w:val="006E145D"/>
    <w:rsid w:val="006E1582"/>
    <w:rsid w:val="006E165D"/>
    <w:rsid w:val="006E174E"/>
    <w:rsid w:val="006E189A"/>
    <w:rsid w:val="006E1938"/>
    <w:rsid w:val="006E1970"/>
    <w:rsid w:val="006E1B20"/>
    <w:rsid w:val="006E1DDE"/>
    <w:rsid w:val="006E2136"/>
    <w:rsid w:val="006E2191"/>
    <w:rsid w:val="006E2329"/>
    <w:rsid w:val="006E24B2"/>
    <w:rsid w:val="006E2816"/>
    <w:rsid w:val="006E282A"/>
    <w:rsid w:val="006E2A26"/>
    <w:rsid w:val="006E2AF2"/>
    <w:rsid w:val="006E2AF5"/>
    <w:rsid w:val="006E2EA8"/>
    <w:rsid w:val="006E3280"/>
    <w:rsid w:val="006E33DF"/>
    <w:rsid w:val="006E39FC"/>
    <w:rsid w:val="006E42FD"/>
    <w:rsid w:val="006E432A"/>
    <w:rsid w:val="006E44D9"/>
    <w:rsid w:val="006E47C7"/>
    <w:rsid w:val="006E4F7F"/>
    <w:rsid w:val="006E4FC2"/>
    <w:rsid w:val="006E50A3"/>
    <w:rsid w:val="006E532D"/>
    <w:rsid w:val="006E53B4"/>
    <w:rsid w:val="006E53F3"/>
    <w:rsid w:val="006E5E48"/>
    <w:rsid w:val="006E6220"/>
    <w:rsid w:val="006E62EB"/>
    <w:rsid w:val="006E64C8"/>
    <w:rsid w:val="006E6529"/>
    <w:rsid w:val="006E6607"/>
    <w:rsid w:val="006E69A9"/>
    <w:rsid w:val="006E6A23"/>
    <w:rsid w:val="006E6CFE"/>
    <w:rsid w:val="006E6D83"/>
    <w:rsid w:val="006E6E11"/>
    <w:rsid w:val="006E71C1"/>
    <w:rsid w:val="006E71F3"/>
    <w:rsid w:val="006E7410"/>
    <w:rsid w:val="006E778C"/>
    <w:rsid w:val="006E7AC2"/>
    <w:rsid w:val="006F00FD"/>
    <w:rsid w:val="006F0854"/>
    <w:rsid w:val="006F0C20"/>
    <w:rsid w:val="006F0D0D"/>
    <w:rsid w:val="006F0DD9"/>
    <w:rsid w:val="006F0E79"/>
    <w:rsid w:val="006F117F"/>
    <w:rsid w:val="006F13A7"/>
    <w:rsid w:val="006F144F"/>
    <w:rsid w:val="006F155C"/>
    <w:rsid w:val="006F1A01"/>
    <w:rsid w:val="006F2133"/>
    <w:rsid w:val="006F2505"/>
    <w:rsid w:val="006F2800"/>
    <w:rsid w:val="006F28B2"/>
    <w:rsid w:val="006F30D2"/>
    <w:rsid w:val="006F3104"/>
    <w:rsid w:val="006F32CD"/>
    <w:rsid w:val="006F3306"/>
    <w:rsid w:val="006F36C4"/>
    <w:rsid w:val="006F37AF"/>
    <w:rsid w:val="006F39E0"/>
    <w:rsid w:val="006F3A65"/>
    <w:rsid w:val="006F3DA0"/>
    <w:rsid w:val="006F4061"/>
    <w:rsid w:val="006F41AC"/>
    <w:rsid w:val="006F43CD"/>
    <w:rsid w:val="006F446E"/>
    <w:rsid w:val="006F46D2"/>
    <w:rsid w:val="006F513C"/>
    <w:rsid w:val="006F54E8"/>
    <w:rsid w:val="006F571F"/>
    <w:rsid w:val="006F5C7D"/>
    <w:rsid w:val="006F5E2D"/>
    <w:rsid w:val="006F5E70"/>
    <w:rsid w:val="006F6118"/>
    <w:rsid w:val="006F61F8"/>
    <w:rsid w:val="006F6789"/>
    <w:rsid w:val="006F68F6"/>
    <w:rsid w:val="006F70DB"/>
    <w:rsid w:val="006F74EA"/>
    <w:rsid w:val="006F77E7"/>
    <w:rsid w:val="006F7D2B"/>
    <w:rsid w:val="00700017"/>
    <w:rsid w:val="007004C2"/>
    <w:rsid w:val="007007E6"/>
    <w:rsid w:val="007009F7"/>
    <w:rsid w:val="00700A01"/>
    <w:rsid w:val="00701027"/>
    <w:rsid w:val="007012C0"/>
    <w:rsid w:val="007016AF"/>
    <w:rsid w:val="00701A74"/>
    <w:rsid w:val="00701BF9"/>
    <w:rsid w:val="00701EFA"/>
    <w:rsid w:val="00701F0C"/>
    <w:rsid w:val="00702372"/>
    <w:rsid w:val="007023B6"/>
    <w:rsid w:val="00702577"/>
    <w:rsid w:val="0070283F"/>
    <w:rsid w:val="00702C5B"/>
    <w:rsid w:val="00702D4D"/>
    <w:rsid w:val="00702E7F"/>
    <w:rsid w:val="00702FA2"/>
    <w:rsid w:val="00703056"/>
    <w:rsid w:val="00703459"/>
    <w:rsid w:val="0070369E"/>
    <w:rsid w:val="00703820"/>
    <w:rsid w:val="00703BB5"/>
    <w:rsid w:val="00703C0D"/>
    <w:rsid w:val="00703E31"/>
    <w:rsid w:val="007043F8"/>
    <w:rsid w:val="00704676"/>
    <w:rsid w:val="007047E3"/>
    <w:rsid w:val="00704935"/>
    <w:rsid w:val="00704A9A"/>
    <w:rsid w:val="00704C38"/>
    <w:rsid w:val="00704CB9"/>
    <w:rsid w:val="00704CBD"/>
    <w:rsid w:val="00705322"/>
    <w:rsid w:val="00706012"/>
    <w:rsid w:val="00706065"/>
    <w:rsid w:val="0070635D"/>
    <w:rsid w:val="00706390"/>
    <w:rsid w:val="0070646C"/>
    <w:rsid w:val="007067A8"/>
    <w:rsid w:val="007069D6"/>
    <w:rsid w:val="00706A36"/>
    <w:rsid w:val="00706C4B"/>
    <w:rsid w:val="00706E83"/>
    <w:rsid w:val="00707489"/>
    <w:rsid w:val="007075CD"/>
    <w:rsid w:val="00707882"/>
    <w:rsid w:val="007078B4"/>
    <w:rsid w:val="007078C7"/>
    <w:rsid w:val="007079E1"/>
    <w:rsid w:val="00707AAA"/>
    <w:rsid w:val="00707B1D"/>
    <w:rsid w:val="00707B2B"/>
    <w:rsid w:val="00707CC9"/>
    <w:rsid w:val="00707DCB"/>
    <w:rsid w:val="00707EE3"/>
    <w:rsid w:val="00710065"/>
    <w:rsid w:val="00710107"/>
    <w:rsid w:val="007101EF"/>
    <w:rsid w:val="007105D2"/>
    <w:rsid w:val="0071073E"/>
    <w:rsid w:val="00710855"/>
    <w:rsid w:val="00710AB2"/>
    <w:rsid w:val="00710B37"/>
    <w:rsid w:val="00710DC2"/>
    <w:rsid w:val="007112C8"/>
    <w:rsid w:val="007113AF"/>
    <w:rsid w:val="00711462"/>
    <w:rsid w:val="007114D6"/>
    <w:rsid w:val="0071152F"/>
    <w:rsid w:val="00711875"/>
    <w:rsid w:val="00711CB6"/>
    <w:rsid w:val="00711FD1"/>
    <w:rsid w:val="00712148"/>
    <w:rsid w:val="007121F2"/>
    <w:rsid w:val="00712434"/>
    <w:rsid w:val="00712FE6"/>
    <w:rsid w:val="00713096"/>
    <w:rsid w:val="00713110"/>
    <w:rsid w:val="00713317"/>
    <w:rsid w:val="007134AA"/>
    <w:rsid w:val="007139D0"/>
    <w:rsid w:val="00713B7F"/>
    <w:rsid w:val="00713D54"/>
    <w:rsid w:val="00713EEF"/>
    <w:rsid w:val="00714433"/>
    <w:rsid w:val="00714FEA"/>
    <w:rsid w:val="007159E3"/>
    <w:rsid w:val="00715B06"/>
    <w:rsid w:val="00715CED"/>
    <w:rsid w:val="00715D3E"/>
    <w:rsid w:val="00715DED"/>
    <w:rsid w:val="00716263"/>
    <w:rsid w:val="00716313"/>
    <w:rsid w:val="0071687A"/>
    <w:rsid w:val="00716ADF"/>
    <w:rsid w:val="00716D12"/>
    <w:rsid w:val="00716D22"/>
    <w:rsid w:val="00716E53"/>
    <w:rsid w:val="0071722C"/>
    <w:rsid w:val="00717F0E"/>
    <w:rsid w:val="007201E4"/>
    <w:rsid w:val="00720335"/>
    <w:rsid w:val="00720913"/>
    <w:rsid w:val="00720B78"/>
    <w:rsid w:val="00720DE0"/>
    <w:rsid w:val="00720F78"/>
    <w:rsid w:val="007210FB"/>
    <w:rsid w:val="00721627"/>
    <w:rsid w:val="00722509"/>
    <w:rsid w:val="007227FE"/>
    <w:rsid w:val="00722834"/>
    <w:rsid w:val="00722986"/>
    <w:rsid w:val="0072298E"/>
    <w:rsid w:val="00722D13"/>
    <w:rsid w:val="00722E20"/>
    <w:rsid w:val="00722F98"/>
    <w:rsid w:val="007232BF"/>
    <w:rsid w:val="007236C8"/>
    <w:rsid w:val="00723718"/>
    <w:rsid w:val="00723918"/>
    <w:rsid w:val="00723961"/>
    <w:rsid w:val="00723E17"/>
    <w:rsid w:val="00724035"/>
    <w:rsid w:val="00724305"/>
    <w:rsid w:val="0072437F"/>
    <w:rsid w:val="00724530"/>
    <w:rsid w:val="00724552"/>
    <w:rsid w:val="007245EF"/>
    <w:rsid w:val="007247D2"/>
    <w:rsid w:val="00724DF1"/>
    <w:rsid w:val="00724F70"/>
    <w:rsid w:val="007251C7"/>
    <w:rsid w:val="00725838"/>
    <w:rsid w:val="007258F9"/>
    <w:rsid w:val="00725E74"/>
    <w:rsid w:val="00725F15"/>
    <w:rsid w:val="00725F82"/>
    <w:rsid w:val="0072617E"/>
    <w:rsid w:val="00726577"/>
    <w:rsid w:val="00726714"/>
    <w:rsid w:val="00726B71"/>
    <w:rsid w:val="00726C33"/>
    <w:rsid w:val="00727974"/>
    <w:rsid w:val="00727D68"/>
    <w:rsid w:val="00730058"/>
    <w:rsid w:val="00730387"/>
    <w:rsid w:val="007304C7"/>
    <w:rsid w:val="0073050E"/>
    <w:rsid w:val="00730824"/>
    <w:rsid w:val="007309FE"/>
    <w:rsid w:val="00730CE8"/>
    <w:rsid w:val="00731273"/>
    <w:rsid w:val="0073150E"/>
    <w:rsid w:val="007315C2"/>
    <w:rsid w:val="007315FD"/>
    <w:rsid w:val="007316EF"/>
    <w:rsid w:val="007319E0"/>
    <w:rsid w:val="00731A34"/>
    <w:rsid w:val="00731CFE"/>
    <w:rsid w:val="00731E22"/>
    <w:rsid w:val="00731EE5"/>
    <w:rsid w:val="00732307"/>
    <w:rsid w:val="00732999"/>
    <w:rsid w:val="00732E97"/>
    <w:rsid w:val="007331D3"/>
    <w:rsid w:val="0073345F"/>
    <w:rsid w:val="007334F9"/>
    <w:rsid w:val="0073358D"/>
    <w:rsid w:val="0073369D"/>
    <w:rsid w:val="00733973"/>
    <w:rsid w:val="00733E1A"/>
    <w:rsid w:val="007343B2"/>
    <w:rsid w:val="0073441B"/>
    <w:rsid w:val="007346A0"/>
    <w:rsid w:val="007348EF"/>
    <w:rsid w:val="007349B0"/>
    <w:rsid w:val="007350D1"/>
    <w:rsid w:val="00735462"/>
    <w:rsid w:val="007355C9"/>
    <w:rsid w:val="007356E3"/>
    <w:rsid w:val="007358D2"/>
    <w:rsid w:val="00735CCB"/>
    <w:rsid w:val="00736202"/>
    <w:rsid w:val="007368F9"/>
    <w:rsid w:val="00736BF9"/>
    <w:rsid w:val="00736F63"/>
    <w:rsid w:val="007370A6"/>
    <w:rsid w:val="007371A5"/>
    <w:rsid w:val="0073757F"/>
    <w:rsid w:val="00737A30"/>
    <w:rsid w:val="00737C75"/>
    <w:rsid w:val="0074018D"/>
    <w:rsid w:val="0074039D"/>
    <w:rsid w:val="00740689"/>
    <w:rsid w:val="00740AA1"/>
    <w:rsid w:val="00740C35"/>
    <w:rsid w:val="00741413"/>
    <w:rsid w:val="007419BE"/>
    <w:rsid w:val="00741BCC"/>
    <w:rsid w:val="0074295A"/>
    <w:rsid w:val="00742B99"/>
    <w:rsid w:val="00742C38"/>
    <w:rsid w:val="00742DA3"/>
    <w:rsid w:val="0074315D"/>
    <w:rsid w:val="007444BC"/>
    <w:rsid w:val="00744645"/>
    <w:rsid w:val="00744701"/>
    <w:rsid w:val="007448E2"/>
    <w:rsid w:val="00744F0A"/>
    <w:rsid w:val="007451C7"/>
    <w:rsid w:val="0074537E"/>
    <w:rsid w:val="0074547C"/>
    <w:rsid w:val="00745967"/>
    <w:rsid w:val="00746346"/>
    <w:rsid w:val="00746716"/>
    <w:rsid w:val="00746BD8"/>
    <w:rsid w:val="0074710C"/>
    <w:rsid w:val="0074771B"/>
    <w:rsid w:val="00747C06"/>
    <w:rsid w:val="00747E1B"/>
    <w:rsid w:val="00747F49"/>
    <w:rsid w:val="00750D86"/>
    <w:rsid w:val="00750DD0"/>
    <w:rsid w:val="00750FB7"/>
    <w:rsid w:val="0075126E"/>
    <w:rsid w:val="00751707"/>
    <w:rsid w:val="00751752"/>
    <w:rsid w:val="007517EE"/>
    <w:rsid w:val="00751A30"/>
    <w:rsid w:val="0075201C"/>
    <w:rsid w:val="007520EF"/>
    <w:rsid w:val="0075218A"/>
    <w:rsid w:val="00752254"/>
    <w:rsid w:val="007522C7"/>
    <w:rsid w:val="007524EC"/>
    <w:rsid w:val="00752D88"/>
    <w:rsid w:val="00752E7A"/>
    <w:rsid w:val="00753027"/>
    <w:rsid w:val="007531BC"/>
    <w:rsid w:val="0075387C"/>
    <w:rsid w:val="00753B12"/>
    <w:rsid w:val="00753B8D"/>
    <w:rsid w:val="007546DC"/>
    <w:rsid w:val="00754993"/>
    <w:rsid w:val="00754A78"/>
    <w:rsid w:val="00754D82"/>
    <w:rsid w:val="00754DE8"/>
    <w:rsid w:val="00755022"/>
    <w:rsid w:val="00755432"/>
    <w:rsid w:val="007556FD"/>
    <w:rsid w:val="0075581F"/>
    <w:rsid w:val="00755C06"/>
    <w:rsid w:val="00755DB0"/>
    <w:rsid w:val="00755E57"/>
    <w:rsid w:val="00755F88"/>
    <w:rsid w:val="00756116"/>
    <w:rsid w:val="00756458"/>
    <w:rsid w:val="00756547"/>
    <w:rsid w:val="0075691A"/>
    <w:rsid w:val="00756B09"/>
    <w:rsid w:val="00756CE6"/>
    <w:rsid w:val="00756F01"/>
    <w:rsid w:val="00756F1A"/>
    <w:rsid w:val="007571EA"/>
    <w:rsid w:val="007571FF"/>
    <w:rsid w:val="00757678"/>
    <w:rsid w:val="0075772A"/>
    <w:rsid w:val="00757CB8"/>
    <w:rsid w:val="00757D5A"/>
    <w:rsid w:val="007600F8"/>
    <w:rsid w:val="0076010A"/>
    <w:rsid w:val="0076020B"/>
    <w:rsid w:val="00760B48"/>
    <w:rsid w:val="00760BF5"/>
    <w:rsid w:val="00760C7B"/>
    <w:rsid w:val="00760F46"/>
    <w:rsid w:val="007611B5"/>
    <w:rsid w:val="007613B7"/>
    <w:rsid w:val="00761810"/>
    <w:rsid w:val="007619D0"/>
    <w:rsid w:val="00761CD9"/>
    <w:rsid w:val="00761ED3"/>
    <w:rsid w:val="00761EDE"/>
    <w:rsid w:val="00762164"/>
    <w:rsid w:val="0076233F"/>
    <w:rsid w:val="00762442"/>
    <w:rsid w:val="0076249D"/>
    <w:rsid w:val="00762A98"/>
    <w:rsid w:val="00762BE7"/>
    <w:rsid w:val="00762C45"/>
    <w:rsid w:val="00762D7E"/>
    <w:rsid w:val="00762D9F"/>
    <w:rsid w:val="00762FA0"/>
    <w:rsid w:val="00762FE0"/>
    <w:rsid w:val="007631AF"/>
    <w:rsid w:val="0076339A"/>
    <w:rsid w:val="00763873"/>
    <w:rsid w:val="0076399F"/>
    <w:rsid w:val="00763A93"/>
    <w:rsid w:val="00763EA4"/>
    <w:rsid w:val="00763EB2"/>
    <w:rsid w:val="00764036"/>
    <w:rsid w:val="00764450"/>
    <w:rsid w:val="0076494C"/>
    <w:rsid w:val="00764AA1"/>
    <w:rsid w:val="00764B63"/>
    <w:rsid w:val="0076545E"/>
    <w:rsid w:val="0076565B"/>
    <w:rsid w:val="0076582A"/>
    <w:rsid w:val="00765BCF"/>
    <w:rsid w:val="0076609F"/>
    <w:rsid w:val="007662E3"/>
    <w:rsid w:val="007663A0"/>
    <w:rsid w:val="0076664B"/>
    <w:rsid w:val="0076679E"/>
    <w:rsid w:val="007668BE"/>
    <w:rsid w:val="00766AF8"/>
    <w:rsid w:val="00766FA4"/>
    <w:rsid w:val="00767031"/>
    <w:rsid w:val="007670C3"/>
    <w:rsid w:val="00767202"/>
    <w:rsid w:val="00767655"/>
    <w:rsid w:val="007676BC"/>
    <w:rsid w:val="007705ED"/>
    <w:rsid w:val="00770A1C"/>
    <w:rsid w:val="00770B20"/>
    <w:rsid w:val="00771A7F"/>
    <w:rsid w:val="00771B1C"/>
    <w:rsid w:val="00771B52"/>
    <w:rsid w:val="00771C84"/>
    <w:rsid w:val="007720BA"/>
    <w:rsid w:val="007724F9"/>
    <w:rsid w:val="00772522"/>
    <w:rsid w:val="00772561"/>
    <w:rsid w:val="007728CD"/>
    <w:rsid w:val="00772A18"/>
    <w:rsid w:val="00772D72"/>
    <w:rsid w:val="00772E18"/>
    <w:rsid w:val="00773314"/>
    <w:rsid w:val="00773C18"/>
    <w:rsid w:val="00773DD3"/>
    <w:rsid w:val="007742AC"/>
    <w:rsid w:val="007742B8"/>
    <w:rsid w:val="00774DF7"/>
    <w:rsid w:val="00775138"/>
    <w:rsid w:val="007753F3"/>
    <w:rsid w:val="00775433"/>
    <w:rsid w:val="007754F7"/>
    <w:rsid w:val="0077553B"/>
    <w:rsid w:val="00775ECA"/>
    <w:rsid w:val="00775EE5"/>
    <w:rsid w:val="00777086"/>
    <w:rsid w:val="007771A1"/>
    <w:rsid w:val="007771A2"/>
    <w:rsid w:val="007772F5"/>
    <w:rsid w:val="00777463"/>
    <w:rsid w:val="007775D7"/>
    <w:rsid w:val="00777A4E"/>
    <w:rsid w:val="00777C70"/>
    <w:rsid w:val="00777D4F"/>
    <w:rsid w:val="007801AC"/>
    <w:rsid w:val="00780314"/>
    <w:rsid w:val="0078044D"/>
    <w:rsid w:val="007806A7"/>
    <w:rsid w:val="00780761"/>
    <w:rsid w:val="007807F7"/>
    <w:rsid w:val="00780938"/>
    <w:rsid w:val="00780BA7"/>
    <w:rsid w:val="00780CA2"/>
    <w:rsid w:val="00780F91"/>
    <w:rsid w:val="00781240"/>
    <w:rsid w:val="0078144F"/>
    <w:rsid w:val="00781598"/>
    <w:rsid w:val="007815EF"/>
    <w:rsid w:val="0078170C"/>
    <w:rsid w:val="0078173E"/>
    <w:rsid w:val="0078173F"/>
    <w:rsid w:val="007817A4"/>
    <w:rsid w:val="00781AC4"/>
    <w:rsid w:val="00781CFE"/>
    <w:rsid w:val="007821FF"/>
    <w:rsid w:val="007823F9"/>
    <w:rsid w:val="007824AA"/>
    <w:rsid w:val="007824C2"/>
    <w:rsid w:val="007825C1"/>
    <w:rsid w:val="007826EF"/>
    <w:rsid w:val="00782743"/>
    <w:rsid w:val="007827A0"/>
    <w:rsid w:val="00782875"/>
    <w:rsid w:val="00782A52"/>
    <w:rsid w:val="00782A64"/>
    <w:rsid w:val="00782B0E"/>
    <w:rsid w:val="00782CD5"/>
    <w:rsid w:val="00782FF0"/>
    <w:rsid w:val="007832CE"/>
    <w:rsid w:val="00783331"/>
    <w:rsid w:val="00783366"/>
    <w:rsid w:val="0078349C"/>
    <w:rsid w:val="0078366B"/>
    <w:rsid w:val="007837D7"/>
    <w:rsid w:val="00783D4D"/>
    <w:rsid w:val="00783DFE"/>
    <w:rsid w:val="00784638"/>
    <w:rsid w:val="0078468E"/>
    <w:rsid w:val="00784BB6"/>
    <w:rsid w:val="00784C71"/>
    <w:rsid w:val="00785194"/>
    <w:rsid w:val="0078558E"/>
    <w:rsid w:val="007855CC"/>
    <w:rsid w:val="0078584B"/>
    <w:rsid w:val="00785A3D"/>
    <w:rsid w:val="00785C47"/>
    <w:rsid w:val="00786545"/>
    <w:rsid w:val="007865C5"/>
    <w:rsid w:val="0078689A"/>
    <w:rsid w:val="00786E0E"/>
    <w:rsid w:val="00787294"/>
    <w:rsid w:val="00790436"/>
    <w:rsid w:val="0079058A"/>
    <w:rsid w:val="00790754"/>
    <w:rsid w:val="00790B72"/>
    <w:rsid w:val="00790E3B"/>
    <w:rsid w:val="00791223"/>
    <w:rsid w:val="007913B5"/>
    <w:rsid w:val="00791504"/>
    <w:rsid w:val="00791923"/>
    <w:rsid w:val="00791C30"/>
    <w:rsid w:val="00791E17"/>
    <w:rsid w:val="007920C3"/>
    <w:rsid w:val="007926C4"/>
    <w:rsid w:val="0079288F"/>
    <w:rsid w:val="007928C8"/>
    <w:rsid w:val="007928D6"/>
    <w:rsid w:val="00793099"/>
    <w:rsid w:val="007932A5"/>
    <w:rsid w:val="00793877"/>
    <w:rsid w:val="007939D9"/>
    <w:rsid w:val="00793A50"/>
    <w:rsid w:val="00793D17"/>
    <w:rsid w:val="007948F1"/>
    <w:rsid w:val="00794A31"/>
    <w:rsid w:val="00794B7C"/>
    <w:rsid w:val="00794BEE"/>
    <w:rsid w:val="00794EE0"/>
    <w:rsid w:val="007950D2"/>
    <w:rsid w:val="007951C7"/>
    <w:rsid w:val="007951F5"/>
    <w:rsid w:val="007954DA"/>
    <w:rsid w:val="00795726"/>
    <w:rsid w:val="00795C62"/>
    <w:rsid w:val="00796150"/>
    <w:rsid w:val="00796678"/>
    <w:rsid w:val="0079690E"/>
    <w:rsid w:val="00796923"/>
    <w:rsid w:val="00796A2B"/>
    <w:rsid w:val="00796CBF"/>
    <w:rsid w:val="00796E22"/>
    <w:rsid w:val="007970A8"/>
    <w:rsid w:val="00797220"/>
    <w:rsid w:val="00797285"/>
    <w:rsid w:val="00797485"/>
    <w:rsid w:val="00797567"/>
    <w:rsid w:val="00797972"/>
    <w:rsid w:val="00797A6C"/>
    <w:rsid w:val="00797E00"/>
    <w:rsid w:val="007A00ED"/>
    <w:rsid w:val="007A0111"/>
    <w:rsid w:val="007A0269"/>
    <w:rsid w:val="007A0531"/>
    <w:rsid w:val="007A0581"/>
    <w:rsid w:val="007A05CB"/>
    <w:rsid w:val="007A06FB"/>
    <w:rsid w:val="007A081A"/>
    <w:rsid w:val="007A0CBD"/>
    <w:rsid w:val="007A0CED"/>
    <w:rsid w:val="007A0E94"/>
    <w:rsid w:val="007A1246"/>
    <w:rsid w:val="007A181C"/>
    <w:rsid w:val="007A1ADA"/>
    <w:rsid w:val="007A1C7A"/>
    <w:rsid w:val="007A1D64"/>
    <w:rsid w:val="007A1F9C"/>
    <w:rsid w:val="007A205C"/>
    <w:rsid w:val="007A2260"/>
    <w:rsid w:val="007A2384"/>
    <w:rsid w:val="007A25ED"/>
    <w:rsid w:val="007A285F"/>
    <w:rsid w:val="007A2A7A"/>
    <w:rsid w:val="007A2AA3"/>
    <w:rsid w:val="007A2C69"/>
    <w:rsid w:val="007A2CF4"/>
    <w:rsid w:val="007A2EEE"/>
    <w:rsid w:val="007A302B"/>
    <w:rsid w:val="007A3104"/>
    <w:rsid w:val="007A31C0"/>
    <w:rsid w:val="007A31F5"/>
    <w:rsid w:val="007A351A"/>
    <w:rsid w:val="007A35CF"/>
    <w:rsid w:val="007A36DF"/>
    <w:rsid w:val="007A3796"/>
    <w:rsid w:val="007A3D3B"/>
    <w:rsid w:val="007A4119"/>
    <w:rsid w:val="007A417B"/>
    <w:rsid w:val="007A4380"/>
    <w:rsid w:val="007A4382"/>
    <w:rsid w:val="007A4A1D"/>
    <w:rsid w:val="007A4A95"/>
    <w:rsid w:val="007A4FD8"/>
    <w:rsid w:val="007A5281"/>
    <w:rsid w:val="007A537B"/>
    <w:rsid w:val="007A55DB"/>
    <w:rsid w:val="007A5B07"/>
    <w:rsid w:val="007A5B19"/>
    <w:rsid w:val="007A5D16"/>
    <w:rsid w:val="007A62C1"/>
    <w:rsid w:val="007A667E"/>
    <w:rsid w:val="007A6893"/>
    <w:rsid w:val="007A6993"/>
    <w:rsid w:val="007A6FE7"/>
    <w:rsid w:val="007A7172"/>
    <w:rsid w:val="007A71DC"/>
    <w:rsid w:val="007A738A"/>
    <w:rsid w:val="007A77DA"/>
    <w:rsid w:val="007A7B26"/>
    <w:rsid w:val="007A7CC0"/>
    <w:rsid w:val="007B0515"/>
    <w:rsid w:val="007B07D4"/>
    <w:rsid w:val="007B0A1A"/>
    <w:rsid w:val="007B0A8F"/>
    <w:rsid w:val="007B11E2"/>
    <w:rsid w:val="007B1355"/>
    <w:rsid w:val="007B136F"/>
    <w:rsid w:val="007B137E"/>
    <w:rsid w:val="007B1592"/>
    <w:rsid w:val="007B17AA"/>
    <w:rsid w:val="007B1A4E"/>
    <w:rsid w:val="007B1CAD"/>
    <w:rsid w:val="007B1D51"/>
    <w:rsid w:val="007B1F60"/>
    <w:rsid w:val="007B23C8"/>
    <w:rsid w:val="007B2527"/>
    <w:rsid w:val="007B26CA"/>
    <w:rsid w:val="007B26FA"/>
    <w:rsid w:val="007B276A"/>
    <w:rsid w:val="007B27AB"/>
    <w:rsid w:val="007B2890"/>
    <w:rsid w:val="007B2898"/>
    <w:rsid w:val="007B2D58"/>
    <w:rsid w:val="007B30C4"/>
    <w:rsid w:val="007B30F3"/>
    <w:rsid w:val="007B310E"/>
    <w:rsid w:val="007B34E8"/>
    <w:rsid w:val="007B37B2"/>
    <w:rsid w:val="007B3B88"/>
    <w:rsid w:val="007B4161"/>
    <w:rsid w:val="007B4189"/>
    <w:rsid w:val="007B42A6"/>
    <w:rsid w:val="007B45AC"/>
    <w:rsid w:val="007B5129"/>
    <w:rsid w:val="007B57C6"/>
    <w:rsid w:val="007B5968"/>
    <w:rsid w:val="007B607D"/>
    <w:rsid w:val="007B620A"/>
    <w:rsid w:val="007B666C"/>
    <w:rsid w:val="007B6717"/>
    <w:rsid w:val="007B687E"/>
    <w:rsid w:val="007B6A7C"/>
    <w:rsid w:val="007B6A99"/>
    <w:rsid w:val="007B6CD0"/>
    <w:rsid w:val="007B6CF6"/>
    <w:rsid w:val="007B6FBD"/>
    <w:rsid w:val="007B73A2"/>
    <w:rsid w:val="007B755C"/>
    <w:rsid w:val="007B768B"/>
    <w:rsid w:val="007B7860"/>
    <w:rsid w:val="007B79AE"/>
    <w:rsid w:val="007B7C64"/>
    <w:rsid w:val="007B7D7F"/>
    <w:rsid w:val="007B7E81"/>
    <w:rsid w:val="007C0026"/>
    <w:rsid w:val="007C052D"/>
    <w:rsid w:val="007C05E6"/>
    <w:rsid w:val="007C0730"/>
    <w:rsid w:val="007C096A"/>
    <w:rsid w:val="007C1068"/>
    <w:rsid w:val="007C1905"/>
    <w:rsid w:val="007C190F"/>
    <w:rsid w:val="007C1B9A"/>
    <w:rsid w:val="007C1E2B"/>
    <w:rsid w:val="007C295A"/>
    <w:rsid w:val="007C29C9"/>
    <w:rsid w:val="007C2A55"/>
    <w:rsid w:val="007C335F"/>
    <w:rsid w:val="007C3D5E"/>
    <w:rsid w:val="007C3D9B"/>
    <w:rsid w:val="007C43C9"/>
    <w:rsid w:val="007C4597"/>
    <w:rsid w:val="007C4751"/>
    <w:rsid w:val="007C48B4"/>
    <w:rsid w:val="007C4CD1"/>
    <w:rsid w:val="007C51A5"/>
    <w:rsid w:val="007C58A8"/>
    <w:rsid w:val="007C5E69"/>
    <w:rsid w:val="007C5EE2"/>
    <w:rsid w:val="007C62BF"/>
    <w:rsid w:val="007C62DB"/>
    <w:rsid w:val="007C65AA"/>
    <w:rsid w:val="007C751A"/>
    <w:rsid w:val="007C75ED"/>
    <w:rsid w:val="007C7AC5"/>
    <w:rsid w:val="007C7BB0"/>
    <w:rsid w:val="007C7C7A"/>
    <w:rsid w:val="007C7E63"/>
    <w:rsid w:val="007C7F81"/>
    <w:rsid w:val="007D01EE"/>
    <w:rsid w:val="007D0D63"/>
    <w:rsid w:val="007D100F"/>
    <w:rsid w:val="007D1164"/>
    <w:rsid w:val="007D13D5"/>
    <w:rsid w:val="007D174D"/>
    <w:rsid w:val="007D1B09"/>
    <w:rsid w:val="007D1B4F"/>
    <w:rsid w:val="007D1CF3"/>
    <w:rsid w:val="007D1E1D"/>
    <w:rsid w:val="007D20CA"/>
    <w:rsid w:val="007D210C"/>
    <w:rsid w:val="007D24A4"/>
    <w:rsid w:val="007D26A3"/>
    <w:rsid w:val="007D282C"/>
    <w:rsid w:val="007D2D00"/>
    <w:rsid w:val="007D2FC1"/>
    <w:rsid w:val="007D3019"/>
    <w:rsid w:val="007D302F"/>
    <w:rsid w:val="007D30D8"/>
    <w:rsid w:val="007D34E9"/>
    <w:rsid w:val="007D358F"/>
    <w:rsid w:val="007D359D"/>
    <w:rsid w:val="007D36F2"/>
    <w:rsid w:val="007D45D6"/>
    <w:rsid w:val="007D525C"/>
    <w:rsid w:val="007D5381"/>
    <w:rsid w:val="007D53D5"/>
    <w:rsid w:val="007D552F"/>
    <w:rsid w:val="007D56E5"/>
    <w:rsid w:val="007D575E"/>
    <w:rsid w:val="007D58AA"/>
    <w:rsid w:val="007D59B1"/>
    <w:rsid w:val="007D59D7"/>
    <w:rsid w:val="007D5B21"/>
    <w:rsid w:val="007D5F07"/>
    <w:rsid w:val="007D63E1"/>
    <w:rsid w:val="007D643E"/>
    <w:rsid w:val="007D6623"/>
    <w:rsid w:val="007D66AF"/>
    <w:rsid w:val="007D6721"/>
    <w:rsid w:val="007D67C3"/>
    <w:rsid w:val="007D68F6"/>
    <w:rsid w:val="007D6E3E"/>
    <w:rsid w:val="007D6F5E"/>
    <w:rsid w:val="007D70A1"/>
    <w:rsid w:val="007D7590"/>
    <w:rsid w:val="007D772B"/>
    <w:rsid w:val="007D7997"/>
    <w:rsid w:val="007D7A5B"/>
    <w:rsid w:val="007E0048"/>
    <w:rsid w:val="007E01C8"/>
    <w:rsid w:val="007E03D4"/>
    <w:rsid w:val="007E05D3"/>
    <w:rsid w:val="007E07EC"/>
    <w:rsid w:val="007E1A7F"/>
    <w:rsid w:val="007E1B21"/>
    <w:rsid w:val="007E28B5"/>
    <w:rsid w:val="007E2AB7"/>
    <w:rsid w:val="007E2E84"/>
    <w:rsid w:val="007E3776"/>
    <w:rsid w:val="007E3896"/>
    <w:rsid w:val="007E395A"/>
    <w:rsid w:val="007E3B5F"/>
    <w:rsid w:val="007E3D1B"/>
    <w:rsid w:val="007E3E14"/>
    <w:rsid w:val="007E3FED"/>
    <w:rsid w:val="007E45E1"/>
    <w:rsid w:val="007E4D23"/>
    <w:rsid w:val="007E4F11"/>
    <w:rsid w:val="007E5228"/>
    <w:rsid w:val="007E5235"/>
    <w:rsid w:val="007E5326"/>
    <w:rsid w:val="007E53F4"/>
    <w:rsid w:val="007E55F6"/>
    <w:rsid w:val="007E5759"/>
    <w:rsid w:val="007E57BC"/>
    <w:rsid w:val="007E58EA"/>
    <w:rsid w:val="007E5AA7"/>
    <w:rsid w:val="007E5AD0"/>
    <w:rsid w:val="007E5C21"/>
    <w:rsid w:val="007E5C5A"/>
    <w:rsid w:val="007E5DFD"/>
    <w:rsid w:val="007E5E8D"/>
    <w:rsid w:val="007E5EC8"/>
    <w:rsid w:val="007E6B2A"/>
    <w:rsid w:val="007E6C53"/>
    <w:rsid w:val="007E7321"/>
    <w:rsid w:val="007E7329"/>
    <w:rsid w:val="007E751D"/>
    <w:rsid w:val="007E771A"/>
    <w:rsid w:val="007E7ABA"/>
    <w:rsid w:val="007E7EB1"/>
    <w:rsid w:val="007E7FBB"/>
    <w:rsid w:val="007F0233"/>
    <w:rsid w:val="007F09C3"/>
    <w:rsid w:val="007F0B26"/>
    <w:rsid w:val="007F0E42"/>
    <w:rsid w:val="007F10FE"/>
    <w:rsid w:val="007F177E"/>
    <w:rsid w:val="007F189B"/>
    <w:rsid w:val="007F1B42"/>
    <w:rsid w:val="007F1CD1"/>
    <w:rsid w:val="007F24E3"/>
    <w:rsid w:val="007F25ED"/>
    <w:rsid w:val="007F2816"/>
    <w:rsid w:val="007F28F6"/>
    <w:rsid w:val="007F2A61"/>
    <w:rsid w:val="007F2C5C"/>
    <w:rsid w:val="007F2CAD"/>
    <w:rsid w:val="007F2CF0"/>
    <w:rsid w:val="007F34E6"/>
    <w:rsid w:val="007F3564"/>
    <w:rsid w:val="007F3764"/>
    <w:rsid w:val="007F38E1"/>
    <w:rsid w:val="007F3BE7"/>
    <w:rsid w:val="007F3CD8"/>
    <w:rsid w:val="007F3F5A"/>
    <w:rsid w:val="007F40F2"/>
    <w:rsid w:val="007F4590"/>
    <w:rsid w:val="007F4F0C"/>
    <w:rsid w:val="007F50F0"/>
    <w:rsid w:val="007F544E"/>
    <w:rsid w:val="007F5539"/>
    <w:rsid w:val="007F5573"/>
    <w:rsid w:val="007F55FE"/>
    <w:rsid w:val="007F58F4"/>
    <w:rsid w:val="007F5B9A"/>
    <w:rsid w:val="007F6477"/>
    <w:rsid w:val="007F6661"/>
    <w:rsid w:val="007F69E3"/>
    <w:rsid w:val="007F6AE1"/>
    <w:rsid w:val="007F723D"/>
    <w:rsid w:val="007F7371"/>
    <w:rsid w:val="007F7644"/>
    <w:rsid w:val="007F76F8"/>
    <w:rsid w:val="007F7F94"/>
    <w:rsid w:val="0080079C"/>
    <w:rsid w:val="0080081C"/>
    <w:rsid w:val="008008FC"/>
    <w:rsid w:val="00800B49"/>
    <w:rsid w:val="00800F33"/>
    <w:rsid w:val="0080141C"/>
    <w:rsid w:val="008014EA"/>
    <w:rsid w:val="008014ED"/>
    <w:rsid w:val="00801608"/>
    <w:rsid w:val="0080179F"/>
    <w:rsid w:val="00801D98"/>
    <w:rsid w:val="00802752"/>
    <w:rsid w:val="008028CC"/>
    <w:rsid w:val="00802A80"/>
    <w:rsid w:val="00802C86"/>
    <w:rsid w:val="00802E93"/>
    <w:rsid w:val="008030E7"/>
    <w:rsid w:val="0080328F"/>
    <w:rsid w:val="00803DC4"/>
    <w:rsid w:val="00803DCB"/>
    <w:rsid w:val="00803E8C"/>
    <w:rsid w:val="00803F43"/>
    <w:rsid w:val="008040F6"/>
    <w:rsid w:val="00804242"/>
    <w:rsid w:val="008042C6"/>
    <w:rsid w:val="008043E4"/>
    <w:rsid w:val="00804487"/>
    <w:rsid w:val="00804AEF"/>
    <w:rsid w:val="00804CAB"/>
    <w:rsid w:val="00804EEF"/>
    <w:rsid w:val="0080577D"/>
    <w:rsid w:val="008060E8"/>
    <w:rsid w:val="00806291"/>
    <w:rsid w:val="008062CA"/>
    <w:rsid w:val="008062EF"/>
    <w:rsid w:val="008064F3"/>
    <w:rsid w:val="008065DF"/>
    <w:rsid w:val="008068C2"/>
    <w:rsid w:val="00807133"/>
    <w:rsid w:val="00807170"/>
    <w:rsid w:val="0080778B"/>
    <w:rsid w:val="00807A27"/>
    <w:rsid w:val="00807CC3"/>
    <w:rsid w:val="00807E8F"/>
    <w:rsid w:val="00807F2F"/>
    <w:rsid w:val="00810093"/>
    <w:rsid w:val="00810120"/>
    <w:rsid w:val="00810151"/>
    <w:rsid w:val="0081054C"/>
    <w:rsid w:val="00810933"/>
    <w:rsid w:val="00810B92"/>
    <w:rsid w:val="00810C38"/>
    <w:rsid w:val="00810CF1"/>
    <w:rsid w:val="0081107D"/>
    <w:rsid w:val="0081117E"/>
    <w:rsid w:val="00811265"/>
    <w:rsid w:val="0081163A"/>
    <w:rsid w:val="00811BAF"/>
    <w:rsid w:val="008120AA"/>
    <w:rsid w:val="0081217E"/>
    <w:rsid w:val="008121FF"/>
    <w:rsid w:val="008126AB"/>
    <w:rsid w:val="00812766"/>
    <w:rsid w:val="00812A7A"/>
    <w:rsid w:val="00812DE5"/>
    <w:rsid w:val="00813461"/>
    <w:rsid w:val="008135CC"/>
    <w:rsid w:val="0081423A"/>
    <w:rsid w:val="00814313"/>
    <w:rsid w:val="008147A3"/>
    <w:rsid w:val="008147EC"/>
    <w:rsid w:val="00814C2B"/>
    <w:rsid w:val="00814D60"/>
    <w:rsid w:val="00814D64"/>
    <w:rsid w:val="008152AC"/>
    <w:rsid w:val="008154D4"/>
    <w:rsid w:val="00815713"/>
    <w:rsid w:val="008158DF"/>
    <w:rsid w:val="00815933"/>
    <w:rsid w:val="00815AD3"/>
    <w:rsid w:val="0081687A"/>
    <w:rsid w:val="00816AB7"/>
    <w:rsid w:val="00816D59"/>
    <w:rsid w:val="00817002"/>
    <w:rsid w:val="00817414"/>
    <w:rsid w:val="00817744"/>
    <w:rsid w:val="0082006A"/>
    <w:rsid w:val="0082014E"/>
    <w:rsid w:val="0082016E"/>
    <w:rsid w:val="0082055E"/>
    <w:rsid w:val="008205EF"/>
    <w:rsid w:val="00820973"/>
    <w:rsid w:val="008209E8"/>
    <w:rsid w:val="00820BAB"/>
    <w:rsid w:val="00820CEF"/>
    <w:rsid w:val="00820E55"/>
    <w:rsid w:val="00820F19"/>
    <w:rsid w:val="00820FFE"/>
    <w:rsid w:val="008211DE"/>
    <w:rsid w:val="00821408"/>
    <w:rsid w:val="00821972"/>
    <w:rsid w:val="00821A29"/>
    <w:rsid w:val="00821CC6"/>
    <w:rsid w:val="00821DC8"/>
    <w:rsid w:val="00821F62"/>
    <w:rsid w:val="00822071"/>
    <w:rsid w:val="008221F9"/>
    <w:rsid w:val="0082228B"/>
    <w:rsid w:val="00822D5A"/>
    <w:rsid w:val="008238D8"/>
    <w:rsid w:val="00823F27"/>
    <w:rsid w:val="0082412B"/>
    <w:rsid w:val="0082424A"/>
    <w:rsid w:val="008242B6"/>
    <w:rsid w:val="008243F6"/>
    <w:rsid w:val="00824D17"/>
    <w:rsid w:val="00824F90"/>
    <w:rsid w:val="008259B7"/>
    <w:rsid w:val="008259FE"/>
    <w:rsid w:val="00825ACA"/>
    <w:rsid w:val="00825E9A"/>
    <w:rsid w:val="00825F59"/>
    <w:rsid w:val="00826056"/>
    <w:rsid w:val="00826161"/>
    <w:rsid w:val="00826B7A"/>
    <w:rsid w:val="00826BF3"/>
    <w:rsid w:val="00826C2D"/>
    <w:rsid w:val="00826F9A"/>
    <w:rsid w:val="00827005"/>
    <w:rsid w:val="00827A05"/>
    <w:rsid w:val="00830337"/>
    <w:rsid w:val="0083034E"/>
    <w:rsid w:val="00830526"/>
    <w:rsid w:val="008305F8"/>
    <w:rsid w:val="00830979"/>
    <w:rsid w:val="00830B95"/>
    <w:rsid w:val="00830D58"/>
    <w:rsid w:val="0083121B"/>
    <w:rsid w:val="0083155A"/>
    <w:rsid w:val="00831788"/>
    <w:rsid w:val="00831BD1"/>
    <w:rsid w:val="00831C72"/>
    <w:rsid w:val="00831CE0"/>
    <w:rsid w:val="00831E15"/>
    <w:rsid w:val="00831E59"/>
    <w:rsid w:val="00831F78"/>
    <w:rsid w:val="00832366"/>
    <w:rsid w:val="008323FF"/>
    <w:rsid w:val="00832652"/>
    <w:rsid w:val="00832FF9"/>
    <w:rsid w:val="00833311"/>
    <w:rsid w:val="00833680"/>
    <w:rsid w:val="00833962"/>
    <w:rsid w:val="00833A77"/>
    <w:rsid w:val="00833CA6"/>
    <w:rsid w:val="00833F65"/>
    <w:rsid w:val="008341EB"/>
    <w:rsid w:val="008342CD"/>
    <w:rsid w:val="00834467"/>
    <w:rsid w:val="008344A3"/>
    <w:rsid w:val="008348A4"/>
    <w:rsid w:val="008349CC"/>
    <w:rsid w:val="00834A50"/>
    <w:rsid w:val="00834DFE"/>
    <w:rsid w:val="00834FB3"/>
    <w:rsid w:val="0083511B"/>
    <w:rsid w:val="008353D5"/>
    <w:rsid w:val="0083577B"/>
    <w:rsid w:val="008364A3"/>
    <w:rsid w:val="0083678C"/>
    <w:rsid w:val="00836812"/>
    <w:rsid w:val="008368BB"/>
    <w:rsid w:val="00836B42"/>
    <w:rsid w:val="00837462"/>
    <w:rsid w:val="00837477"/>
    <w:rsid w:val="00837B10"/>
    <w:rsid w:val="00837CD0"/>
    <w:rsid w:val="0084004E"/>
    <w:rsid w:val="0084034D"/>
    <w:rsid w:val="0084063B"/>
    <w:rsid w:val="008406A4"/>
    <w:rsid w:val="008407A2"/>
    <w:rsid w:val="008409BC"/>
    <w:rsid w:val="008409FF"/>
    <w:rsid w:val="00840F84"/>
    <w:rsid w:val="00840FCD"/>
    <w:rsid w:val="0084125E"/>
    <w:rsid w:val="00841349"/>
    <w:rsid w:val="008413E7"/>
    <w:rsid w:val="008415C9"/>
    <w:rsid w:val="00841979"/>
    <w:rsid w:val="00841C9A"/>
    <w:rsid w:val="00842168"/>
    <w:rsid w:val="00842390"/>
    <w:rsid w:val="00842413"/>
    <w:rsid w:val="0084275E"/>
    <w:rsid w:val="0084276E"/>
    <w:rsid w:val="0084280C"/>
    <w:rsid w:val="00842869"/>
    <w:rsid w:val="00842F58"/>
    <w:rsid w:val="008437DF"/>
    <w:rsid w:val="00843874"/>
    <w:rsid w:val="00843B06"/>
    <w:rsid w:val="00843BEA"/>
    <w:rsid w:val="00844165"/>
    <w:rsid w:val="00844390"/>
    <w:rsid w:val="00844498"/>
    <w:rsid w:val="00844A96"/>
    <w:rsid w:val="00844DE4"/>
    <w:rsid w:val="00845117"/>
    <w:rsid w:val="008459B4"/>
    <w:rsid w:val="008459DC"/>
    <w:rsid w:val="00845A4B"/>
    <w:rsid w:val="00845C59"/>
    <w:rsid w:val="00845CF7"/>
    <w:rsid w:val="00845FE8"/>
    <w:rsid w:val="008460F6"/>
    <w:rsid w:val="008461E0"/>
    <w:rsid w:val="008463DD"/>
    <w:rsid w:val="008464B2"/>
    <w:rsid w:val="008464CA"/>
    <w:rsid w:val="008465CE"/>
    <w:rsid w:val="00847074"/>
    <w:rsid w:val="008473BD"/>
    <w:rsid w:val="008476DC"/>
    <w:rsid w:val="00847791"/>
    <w:rsid w:val="008479FB"/>
    <w:rsid w:val="00847D3D"/>
    <w:rsid w:val="00847E69"/>
    <w:rsid w:val="00850148"/>
    <w:rsid w:val="008501F3"/>
    <w:rsid w:val="008502F6"/>
    <w:rsid w:val="00850458"/>
    <w:rsid w:val="00850839"/>
    <w:rsid w:val="00850A76"/>
    <w:rsid w:val="00850C40"/>
    <w:rsid w:val="00850E01"/>
    <w:rsid w:val="00850EAC"/>
    <w:rsid w:val="0085133B"/>
    <w:rsid w:val="008513DD"/>
    <w:rsid w:val="008514A2"/>
    <w:rsid w:val="008516B7"/>
    <w:rsid w:val="008517CF"/>
    <w:rsid w:val="0085190E"/>
    <w:rsid w:val="0085198C"/>
    <w:rsid w:val="00851B2E"/>
    <w:rsid w:val="00851BE8"/>
    <w:rsid w:val="00851C71"/>
    <w:rsid w:val="00852214"/>
    <w:rsid w:val="00852344"/>
    <w:rsid w:val="0085281F"/>
    <w:rsid w:val="00852944"/>
    <w:rsid w:val="00852B35"/>
    <w:rsid w:val="00852BFD"/>
    <w:rsid w:val="00852CA3"/>
    <w:rsid w:val="00852DD4"/>
    <w:rsid w:val="00852E18"/>
    <w:rsid w:val="0085315F"/>
    <w:rsid w:val="00853373"/>
    <w:rsid w:val="008533C3"/>
    <w:rsid w:val="00853640"/>
    <w:rsid w:val="0085386E"/>
    <w:rsid w:val="00853B35"/>
    <w:rsid w:val="00853C83"/>
    <w:rsid w:val="00853C96"/>
    <w:rsid w:val="00853D0B"/>
    <w:rsid w:val="008547B0"/>
    <w:rsid w:val="00854913"/>
    <w:rsid w:val="00854B57"/>
    <w:rsid w:val="00854BB8"/>
    <w:rsid w:val="00854DB2"/>
    <w:rsid w:val="00855A60"/>
    <w:rsid w:val="00855E2E"/>
    <w:rsid w:val="00855E9A"/>
    <w:rsid w:val="00856167"/>
    <w:rsid w:val="008563A7"/>
    <w:rsid w:val="008563D4"/>
    <w:rsid w:val="008567D4"/>
    <w:rsid w:val="0085692D"/>
    <w:rsid w:val="00856D72"/>
    <w:rsid w:val="00856F3F"/>
    <w:rsid w:val="00857024"/>
    <w:rsid w:val="0085782F"/>
    <w:rsid w:val="00857995"/>
    <w:rsid w:val="008579C3"/>
    <w:rsid w:val="00857AD4"/>
    <w:rsid w:val="0086011A"/>
    <w:rsid w:val="008606B0"/>
    <w:rsid w:val="008607B6"/>
    <w:rsid w:val="00860A42"/>
    <w:rsid w:val="00860BE9"/>
    <w:rsid w:val="00860C5C"/>
    <w:rsid w:val="0086106E"/>
    <w:rsid w:val="008611EC"/>
    <w:rsid w:val="00861289"/>
    <w:rsid w:val="00861765"/>
    <w:rsid w:val="00861B1E"/>
    <w:rsid w:val="00861CAC"/>
    <w:rsid w:val="00861E55"/>
    <w:rsid w:val="00862146"/>
    <w:rsid w:val="00862246"/>
    <w:rsid w:val="00862423"/>
    <w:rsid w:val="0086266C"/>
    <w:rsid w:val="008628D7"/>
    <w:rsid w:val="00862A0B"/>
    <w:rsid w:val="00862B75"/>
    <w:rsid w:val="00862BF6"/>
    <w:rsid w:val="00862C0B"/>
    <w:rsid w:val="00862F14"/>
    <w:rsid w:val="008632DA"/>
    <w:rsid w:val="008634B1"/>
    <w:rsid w:val="008634C3"/>
    <w:rsid w:val="00863517"/>
    <w:rsid w:val="008638C2"/>
    <w:rsid w:val="00863992"/>
    <w:rsid w:val="00863BA8"/>
    <w:rsid w:val="00863E43"/>
    <w:rsid w:val="00863E9C"/>
    <w:rsid w:val="008641F8"/>
    <w:rsid w:val="008644AF"/>
    <w:rsid w:val="00864827"/>
    <w:rsid w:val="00864908"/>
    <w:rsid w:val="00864910"/>
    <w:rsid w:val="00864BE9"/>
    <w:rsid w:val="00864C70"/>
    <w:rsid w:val="00865052"/>
    <w:rsid w:val="00865594"/>
    <w:rsid w:val="00865A4D"/>
    <w:rsid w:val="00865C3A"/>
    <w:rsid w:val="00865CF8"/>
    <w:rsid w:val="00866077"/>
    <w:rsid w:val="00866A01"/>
    <w:rsid w:val="00867360"/>
    <w:rsid w:val="0086747C"/>
    <w:rsid w:val="008675D9"/>
    <w:rsid w:val="008677C6"/>
    <w:rsid w:val="00867AB4"/>
    <w:rsid w:val="00867B5B"/>
    <w:rsid w:val="00867DEB"/>
    <w:rsid w:val="00867EA2"/>
    <w:rsid w:val="00870202"/>
    <w:rsid w:val="00870598"/>
    <w:rsid w:val="0087081C"/>
    <w:rsid w:val="00870C1D"/>
    <w:rsid w:val="00870DEA"/>
    <w:rsid w:val="0087116E"/>
    <w:rsid w:val="00871220"/>
    <w:rsid w:val="008715B5"/>
    <w:rsid w:val="0087173D"/>
    <w:rsid w:val="00871763"/>
    <w:rsid w:val="00871C2E"/>
    <w:rsid w:val="008720CB"/>
    <w:rsid w:val="00872330"/>
    <w:rsid w:val="008723CD"/>
    <w:rsid w:val="008723F8"/>
    <w:rsid w:val="00872659"/>
    <w:rsid w:val="008726CC"/>
    <w:rsid w:val="0087313E"/>
    <w:rsid w:val="00873478"/>
    <w:rsid w:val="008736F2"/>
    <w:rsid w:val="00873D60"/>
    <w:rsid w:val="00873EFF"/>
    <w:rsid w:val="00874331"/>
    <w:rsid w:val="00874438"/>
    <w:rsid w:val="008747F6"/>
    <w:rsid w:val="00874BDC"/>
    <w:rsid w:val="00874C04"/>
    <w:rsid w:val="00874E49"/>
    <w:rsid w:val="00875158"/>
    <w:rsid w:val="008752D8"/>
    <w:rsid w:val="00875397"/>
    <w:rsid w:val="00875714"/>
    <w:rsid w:val="00875A48"/>
    <w:rsid w:val="00875AA7"/>
    <w:rsid w:val="00875BC5"/>
    <w:rsid w:val="00875DBE"/>
    <w:rsid w:val="00875E74"/>
    <w:rsid w:val="00875F00"/>
    <w:rsid w:val="00876250"/>
    <w:rsid w:val="008762FE"/>
    <w:rsid w:val="0087678F"/>
    <w:rsid w:val="00876E6A"/>
    <w:rsid w:val="008771C1"/>
    <w:rsid w:val="008774DE"/>
    <w:rsid w:val="00877B1A"/>
    <w:rsid w:val="00880262"/>
    <w:rsid w:val="00880270"/>
    <w:rsid w:val="00880300"/>
    <w:rsid w:val="008805CA"/>
    <w:rsid w:val="00880763"/>
    <w:rsid w:val="0088111D"/>
    <w:rsid w:val="008812C6"/>
    <w:rsid w:val="00881D29"/>
    <w:rsid w:val="008822D0"/>
    <w:rsid w:val="008822FA"/>
    <w:rsid w:val="00882334"/>
    <w:rsid w:val="00882726"/>
    <w:rsid w:val="008829BA"/>
    <w:rsid w:val="008837ED"/>
    <w:rsid w:val="00883849"/>
    <w:rsid w:val="00883B6D"/>
    <w:rsid w:val="00883B8F"/>
    <w:rsid w:val="00883F9F"/>
    <w:rsid w:val="0088435E"/>
    <w:rsid w:val="008843DF"/>
    <w:rsid w:val="00884E33"/>
    <w:rsid w:val="008851A5"/>
    <w:rsid w:val="00885284"/>
    <w:rsid w:val="00885377"/>
    <w:rsid w:val="0088537B"/>
    <w:rsid w:val="00885527"/>
    <w:rsid w:val="0088556E"/>
    <w:rsid w:val="00885627"/>
    <w:rsid w:val="00885870"/>
    <w:rsid w:val="008859F7"/>
    <w:rsid w:val="00885BD8"/>
    <w:rsid w:val="00885E0A"/>
    <w:rsid w:val="00885F5E"/>
    <w:rsid w:val="00886073"/>
    <w:rsid w:val="0088614B"/>
    <w:rsid w:val="008861AE"/>
    <w:rsid w:val="0088631D"/>
    <w:rsid w:val="00886629"/>
    <w:rsid w:val="00887750"/>
    <w:rsid w:val="00887C8B"/>
    <w:rsid w:val="00887CE6"/>
    <w:rsid w:val="008911BD"/>
    <w:rsid w:val="00891DB9"/>
    <w:rsid w:val="00891F05"/>
    <w:rsid w:val="00891FFD"/>
    <w:rsid w:val="00892450"/>
    <w:rsid w:val="008926F9"/>
    <w:rsid w:val="00892DBE"/>
    <w:rsid w:val="0089315D"/>
    <w:rsid w:val="0089335D"/>
    <w:rsid w:val="0089338C"/>
    <w:rsid w:val="00893814"/>
    <w:rsid w:val="0089438A"/>
    <w:rsid w:val="00894398"/>
    <w:rsid w:val="0089459B"/>
    <w:rsid w:val="0089499B"/>
    <w:rsid w:val="00894B20"/>
    <w:rsid w:val="00894E5F"/>
    <w:rsid w:val="00894E81"/>
    <w:rsid w:val="00895062"/>
    <w:rsid w:val="008950FD"/>
    <w:rsid w:val="008956C6"/>
    <w:rsid w:val="008957F0"/>
    <w:rsid w:val="00895876"/>
    <w:rsid w:val="008959FC"/>
    <w:rsid w:val="00895FEE"/>
    <w:rsid w:val="0089606E"/>
    <w:rsid w:val="0089616F"/>
    <w:rsid w:val="00896424"/>
    <w:rsid w:val="00896887"/>
    <w:rsid w:val="00896D5B"/>
    <w:rsid w:val="00896DFD"/>
    <w:rsid w:val="00896E4E"/>
    <w:rsid w:val="00896F82"/>
    <w:rsid w:val="00896FC8"/>
    <w:rsid w:val="0089755F"/>
    <w:rsid w:val="008A0204"/>
    <w:rsid w:val="008A03E5"/>
    <w:rsid w:val="008A09DE"/>
    <w:rsid w:val="008A0AB9"/>
    <w:rsid w:val="008A1198"/>
    <w:rsid w:val="008A1466"/>
    <w:rsid w:val="008A154E"/>
    <w:rsid w:val="008A1621"/>
    <w:rsid w:val="008A1666"/>
    <w:rsid w:val="008A17F3"/>
    <w:rsid w:val="008A18CC"/>
    <w:rsid w:val="008A1B7E"/>
    <w:rsid w:val="008A1ED6"/>
    <w:rsid w:val="008A2015"/>
    <w:rsid w:val="008A2249"/>
    <w:rsid w:val="008A2430"/>
    <w:rsid w:val="008A249B"/>
    <w:rsid w:val="008A25A5"/>
    <w:rsid w:val="008A25B9"/>
    <w:rsid w:val="008A2751"/>
    <w:rsid w:val="008A2C3C"/>
    <w:rsid w:val="008A2FE5"/>
    <w:rsid w:val="008A324A"/>
    <w:rsid w:val="008A35BC"/>
    <w:rsid w:val="008A38C3"/>
    <w:rsid w:val="008A3998"/>
    <w:rsid w:val="008A3AA8"/>
    <w:rsid w:val="008A3B00"/>
    <w:rsid w:val="008A3B78"/>
    <w:rsid w:val="008A4523"/>
    <w:rsid w:val="008A4A19"/>
    <w:rsid w:val="008A4A60"/>
    <w:rsid w:val="008A4CCF"/>
    <w:rsid w:val="008A505F"/>
    <w:rsid w:val="008A51D2"/>
    <w:rsid w:val="008A51F5"/>
    <w:rsid w:val="008A5ABA"/>
    <w:rsid w:val="008A5C12"/>
    <w:rsid w:val="008A5F6F"/>
    <w:rsid w:val="008A5F89"/>
    <w:rsid w:val="008A6502"/>
    <w:rsid w:val="008A6AA0"/>
    <w:rsid w:val="008A6AFA"/>
    <w:rsid w:val="008A6B74"/>
    <w:rsid w:val="008A6B75"/>
    <w:rsid w:val="008A6EB1"/>
    <w:rsid w:val="008A6F40"/>
    <w:rsid w:val="008A71C2"/>
    <w:rsid w:val="008A734D"/>
    <w:rsid w:val="008A78FE"/>
    <w:rsid w:val="008A7F75"/>
    <w:rsid w:val="008B01D4"/>
    <w:rsid w:val="008B027B"/>
    <w:rsid w:val="008B0292"/>
    <w:rsid w:val="008B036D"/>
    <w:rsid w:val="008B03C8"/>
    <w:rsid w:val="008B03D8"/>
    <w:rsid w:val="008B0660"/>
    <w:rsid w:val="008B1296"/>
    <w:rsid w:val="008B1311"/>
    <w:rsid w:val="008B1370"/>
    <w:rsid w:val="008B1510"/>
    <w:rsid w:val="008B19FD"/>
    <w:rsid w:val="008B1D08"/>
    <w:rsid w:val="008B1E63"/>
    <w:rsid w:val="008B2356"/>
    <w:rsid w:val="008B28CF"/>
    <w:rsid w:val="008B2903"/>
    <w:rsid w:val="008B2956"/>
    <w:rsid w:val="008B2BCA"/>
    <w:rsid w:val="008B3240"/>
    <w:rsid w:val="008B37F8"/>
    <w:rsid w:val="008B45BA"/>
    <w:rsid w:val="008B48DE"/>
    <w:rsid w:val="008B501C"/>
    <w:rsid w:val="008B51C0"/>
    <w:rsid w:val="008B5382"/>
    <w:rsid w:val="008B561D"/>
    <w:rsid w:val="008B568F"/>
    <w:rsid w:val="008B5737"/>
    <w:rsid w:val="008B574C"/>
    <w:rsid w:val="008B5ACF"/>
    <w:rsid w:val="008B5D6F"/>
    <w:rsid w:val="008B5DD8"/>
    <w:rsid w:val="008B64E9"/>
    <w:rsid w:val="008B6663"/>
    <w:rsid w:val="008B6C64"/>
    <w:rsid w:val="008B6CE1"/>
    <w:rsid w:val="008B6FD5"/>
    <w:rsid w:val="008B70CC"/>
    <w:rsid w:val="008B71E0"/>
    <w:rsid w:val="008B7302"/>
    <w:rsid w:val="008B7548"/>
    <w:rsid w:val="008B7D50"/>
    <w:rsid w:val="008C0182"/>
    <w:rsid w:val="008C0651"/>
    <w:rsid w:val="008C1567"/>
    <w:rsid w:val="008C15F9"/>
    <w:rsid w:val="008C1849"/>
    <w:rsid w:val="008C1868"/>
    <w:rsid w:val="008C1BCA"/>
    <w:rsid w:val="008C258F"/>
    <w:rsid w:val="008C2AD4"/>
    <w:rsid w:val="008C2B30"/>
    <w:rsid w:val="008C2BEA"/>
    <w:rsid w:val="008C2DF8"/>
    <w:rsid w:val="008C30D6"/>
    <w:rsid w:val="008C320F"/>
    <w:rsid w:val="008C3475"/>
    <w:rsid w:val="008C37D2"/>
    <w:rsid w:val="008C3E19"/>
    <w:rsid w:val="008C4196"/>
    <w:rsid w:val="008C4591"/>
    <w:rsid w:val="008C48D4"/>
    <w:rsid w:val="008C4B36"/>
    <w:rsid w:val="008C5043"/>
    <w:rsid w:val="008C57CB"/>
    <w:rsid w:val="008C580D"/>
    <w:rsid w:val="008C59EB"/>
    <w:rsid w:val="008C5AD5"/>
    <w:rsid w:val="008C5B36"/>
    <w:rsid w:val="008C5F0D"/>
    <w:rsid w:val="008C6067"/>
    <w:rsid w:val="008C60AC"/>
    <w:rsid w:val="008C626A"/>
    <w:rsid w:val="008C62C9"/>
    <w:rsid w:val="008C6352"/>
    <w:rsid w:val="008C6988"/>
    <w:rsid w:val="008C6A5D"/>
    <w:rsid w:val="008C6EAA"/>
    <w:rsid w:val="008C6EE8"/>
    <w:rsid w:val="008C7112"/>
    <w:rsid w:val="008C7126"/>
    <w:rsid w:val="008C7653"/>
    <w:rsid w:val="008C77C8"/>
    <w:rsid w:val="008C77D8"/>
    <w:rsid w:val="008C7822"/>
    <w:rsid w:val="008C7AAA"/>
    <w:rsid w:val="008C7DAA"/>
    <w:rsid w:val="008C7ECE"/>
    <w:rsid w:val="008D00AB"/>
    <w:rsid w:val="008D03AD"/>
    <w:rsid w:val="008D0501"/>
    <w:rsid w:val="008D07A0"/>
    <w:rsid w:val="008D0B43"/>
    <w:rsid w:val="008D0E96"/>
    <w:rsid w:val="008D0F0F"/>
    <w:rsid w:val="008D10C8"/>
    <w:rsid w:val="008D1628"/>
    <w:rsid w:val="008D17F5"/>
    <w:rsid w:val="008D1941"/>
    <w:rsid w:val="008D1C3D"/>
    <w:rsid w:val="008D1CBE"/>
    <w:rsid w:val="008D1DFE"/>
    <w:rsid w:val="008D1EDF"/>
    <w:rsid w:val="008D1FB4"/>
    <w:rsid w:val="008D206D"/>
    <w:rsid w:val="008D28F0"/>
    <w:rsid w:val="008D2C68"/>
    <w:rsid w:val="008D3063"/>
    <w:rsid w:val="008D3504"/>
    <w:rsid w:val="008D3893"/>
    <w:rsid w:val="008D3E47"/>
    <w:rsid w:val="008D413B"/>
    <w:rsid w:val="008D47A3"/>
    <w:rsid w:val="008D49A6"/>
    <w:rsid w:val="008D4AE0"/>
    <w:rsid w:val="008D4B6E"/>
    <w:rsid w:val="008D4EE3"/>
    <w:rsid w:val="008D548C"/>
    <w:rsid w:val="008D5711"/>
    <w:rsid w:val="008D579A"/>
    <w:rsid w:val="008D59B2"/>
    <w:rsid w:val="008D6030"/>
    <w:rsid w:val="008D610C"/>
    <w:rsid w:val="008D669E"/>
    <w:rsid w:val="008D6BA6"/>
    <w:rsid w:val="008D6CAC"/>
    <w:rsid w:val="008D7222"/>
    <w:rsid w:val="008D7305"/>
    <w:rsid w:val="008D73BF"/>
    <w:rsid w:val="008D7436"/>
    <w:rsid w:val="008D75C5"/>
    <w:rsid w:val="008D7C94"/>
    <w:rsid w:val="008D7D7F"/>
    <w:rsid w:val="008D7F71"/>
    <w:rsid w:val="008E00FF"/>
    <w:rsid w:val="008E02CB"/>
    <w:rsid w:val="008E0475"/>
    <w:rsid w:val="008E0925"/>
    <w:rsid w:val="008E0E12"/>
    <w:rsid w:val="008E1301"/>
    <w:rsid w:val="008E1394"/>
    <w:rsid w:val="008E1788"/>
    <w:rsid w:val="008E1894"/>
    <w:rsid w:val="008E1A18"/>
    <w:rsid w:val="008E1A97"/>
    <w:rsid w:val="008E1C4C"/>
    <w:rsid w:val="008E1CFF"/>
    <w:rsid w:val="008E1D3D"/>
    <w:rsid w:val="008E1F47"/>
    <w:rsid w:val="008E1FFA"/>
    <w:rsid w:val="008E21AE"/>
    <w:rsid w:val="008E21CA"/>
    <w:rsid w:val="008E28A3"/>
    <w:rsid w:val="008E28F8"/>
    <w:rsid w:val="008E29E4"/>
    <w:rsid w:val="008E2A22"/>
    <w:rsid w:val="008E2D4E"/>
    <w:rsid w:val="008E30EF"/>
    <w:rsid w:val="008E3971"/>
    <w:rsid w:val="008E3BE8"/>
    <w:rsid w:val="008E3CE4"/>
    <w:rsid w:val="008E4A5D"/>
    <w:rsid w:val="008E4B79"/>
    <w:rsid w:val="008E4D8C"/>
    <w:rsid w:val="008E4E9E"/>
    <w:rsid w:val="008E4F22"/>
    <w:rsid w:val="008E527F"/>
    <w:rsid w:val="008E52FD"/>
    <w:rsid w:val="008E5B64"/>
    <w:rsid w:val="008E5E59"/>
    <w:rsid w:val="008E5F71"/>
    <w:rsid w:val="008E6217"/>
    <w:rsid w:val="008E6400"/>
    <w:rsid w:val="008E6525"/>
    <w:rsid w:val="008E668A"/>
    <w:rsid w:val="008E6A9A"/>
    <w:rsid w:val="008E6D97"/>
    <w:rsid w:val="008E7110"/>
    <w:rsid w:val="008E78AD"/>
    <w:rsid w:val="008E7B1D"/>
    <w:rsid w:val="008E7E70"/>
    <w:rsid w:val="008E7FB2"/>
    <w:rsid w:val="008F000C"/>
    <w:rsid w:val="008F01D9"/>
    <w:rsid w:val="008F04A6"/>
    <w:rsid w:val="008F05E2"/>
    <w:rsid w:val="008F07F5"/>
    <w:rsid w:val="008F092B"/>
    <w:rsid w:val="008F0E70"/>
    <w:rsid w:val="008F134A"/>
    <w:rsid w:val="008F13F1"/>
    <w:rsid w:val="008F1498"/>
    <w:rsid w:val="008F14FA"/>
    <w:rsid w:val="008F19FD"/>
    <w:rsid w:val="008F1B17"/>
    <w:rsid w:val="008F233E"/>
    <w:rsid w:val="008F235A"/>
    <w:rsid w:val="008F26C8"/>
    <w:rsid w:val="008F2F33"/>
    <w:rsid w:val="008F3147"/>
    <w:rsid w:val="008F3175"/>
    <w:rsid w:val="008F3187"/>
    <w:rsid w:val="008F33E3"/>
    <w:rsid w:val="008F34E8"/>
    <w:rsid w:val="008F36B2"/>
    <w:rsid w:val="008F3841"/>
    <w:rsid w:val="008F3999"/>
    <w:rsid w:val="008F3B69"/>
    <w:rsid w:val="008F41F7"/>
    <w:rsid w:val="008F453A"/>
    <w:rsid w:val="008F48FC"/>
    <w:rsid w:val="008F4F60"/>
    <w:rsid w:val="008F51EF"/>
    <w:rsid w:val="008F52B2"/>
    <w:rsid w:val="008F53E4"/>
    <w:rsid w:val="008F5708"/>
    <w:rsid w:val="008F5901"/>
    <w:rsid w:val="008F5C8A"/>
    <w:rsid w:val="008F5E59"/>
    <w:rsid w:val="008F61BE"/>
    <w:rsid w:val="008F6752"/>
    <w:rsid w:val="008F68B2"/>
    <w:rsid w:val="008F6B68"/>
    <w:rsid w:val="008F7C5B"/>
    <w:rsid w:val="008F7D44"/>
    <w:rsid w:val="00900005"/>
    <w:rsid w:val="009001DF"/>
    <w:rsid w:val="009001F7"/>
    <w:rsid w:val="0090024F"/>
    <w:rsid w:val="009002D2"/>
    <w:rsid w:val="00900FCF"/>
    <w:rsid w:val="00901041"/>
    <w:rsid w:val="00901148"/>
    <w:rsid w:val="009014A6"/>
    <w:rsid w:val="00901902"/>
    <w:rsid w:val="0090194A"/>
    <w:rsid w:val="009019AA"/>
    <w:rsid w:val="00901D3C"/>
    <w:rsid w:val="009020B9"/>
    <w:rsid w:val="009020F5"/>
    <w:rsid w:val="0090230D"/>
    <w:rsid w:val="00902833"/>
    <w:rsid w:val="00902B83"/>
    <w:rsid w:val="00902FCC"/>
    <w:rsid w:val="0090307D"/>
    <w:rsid w:val="00903121"/>
    <w:rsid w:val="009036BD"/>
    <w:rsid w:val="00903DE5"/>
    <w:rsid w:val="009041F0"/>
    <w:rsid w:val="00904556"/>
    <w:rsid w:val="00904564"/>
    <w:rsid w:val="0090463F"/>
    <w:rsid w:val="00904A60"/>
    <w:rsid w:val="00904ABD"/>
    <w:rsid w:val="00904B6A"/>
    <w:rsid w:val="00904B9A"/>
    <w:rsid w:val="00904EC4"/>
    <w:rsid w:val="009050CE"/>
    <w:rsid w:val="00905A07"/>
    <w:rsid w:val="00905A7E"/>
    <w:rsid w:val="00905BDD"/>
    <w:rsid w:val="00905EBD"/>
    <w:rsid w:val="0090609A"/>
    <w:rsid w:val="00906113"/>
    <w:rsid w:val="00906749"/>
    <w:rsid w:val="00906C67"/>
    <w:rsid w:val="00906F32"/>
    <w:rsid w:val="00906FFE"/>
    <w:rsid w:val="009070A6"/>
    <w:rsid w:val="009073F9"/>
    <w:rsid w:val="009077E5"/>
    <w:rsid w:val="00907985"/>
    <w:rsid w:val="00907A74"/>
    <w:rsid w:val="00907AD1"/>
    <w:rsid w:val="00907F75"/>
    <w:rsid w:val="0091024B"/>
    <w:rsid w:val="00910498"/>
    <w:rsid w:val="0091068D"/>
    <w:rsid w:val="0091081B"/>
    <w:rsid w:val="00910B06"/>
    <w:rsid w:val="00910C10"/>
    <w:rsid w:val="00910CE3"/>
    <w:rsid w:val="00910EA2"/>
    <w:rsid w:val="00910EA5"/>
    <w:rsid w:val="009111C1"/>
    <w:rsid w:val="00911539"/>
    <w:rsid w:val="00911AAA"/>
    <w:rsid w:val="00911ADD"/>
    <w:rsid w:val="00911E8C"/>
    <w:rsid w:val="009121B7"/>
    <w:rsid w:val="009126C8"/>
    <w:rsid w:val="009129DE"/>
    <w:rsid w:val="00912B74"/>
    <w:rsid w:val="00912B86"/>
    <w:rsid w:val="00912C9E"/>
    <w:rsid w:val="00913081"/>
    <w:rsid w:val="009135BC"/>
    <w:rsid w:val="009138A9"/>
    <w:rsid w:val="00913DF4"/>
    <w:rsid w:val="00913F66"/>
    <w:rsid w:val="0091408B"/>
    <w:rsid w:val="009144E8"/>
    <w:rsid w:val="00914B20"/>
    <w:rsid w:val="00914DC5"/>
    <w:rsid w:val="00914EA5"/>
    <w:rsid w:val="00915408"/>
    <w:rsid w:val="00915414"/>
    <w:rsid w:val="00915451"/>
    <w:rsid w:val="009154B0"/>
    <w:rsid w:val="009158C2"/>
    <w:rsid w:val="00915E0E"/>
    <w:rsid w:val="00915F88"/>
    <w:rsid w:val="00916886"/>
    <w:rsid w:val="00916B03"/>
    <w:rsid w:val="00916C32"/>
    <w:rsid w:val="00916EE8"/>
    <w:rsid w:val="009170CE"/>
    <w:rsid w:val="0091712F"/>
    <w:rsid w:val="0091741E"/>
    <w:rsid w:val="009176F5"/>
    <w:rsid w:val="00917AA5"/>
    <w:rsid w:val="00917DB1"/>
    <w:rsid w:val="00920004"/>
    <w:rsid w:val="009201AF"/>
    <w:rsid w:val="00920A10"/>
    <w:rsid w:val="00920AF7"/>
    <w:rsid w:val="00921094"/>
    <w:rsid w:val="00921592"/>
    <w:rsid w:val="009219A0"/>
    <w:rsid w:val="00921A5F"/>
    <w:rsid w:val="00921A69"/>
    <w:rsid w:val="00921B2F"/>
    <w:rsid w:val="00922030"/>
    <w:rsid w:val="0092230A"/>
    <w:rsid w:val="0092275A"/>
    <w:rsid w:val="00922F37"/>
    <w:rsid w:val="0092305B"/>
    <w:rsid w:val="009230EF"/>
    <w:rsid w:val="00923137"/>
    <w:rsid w:val="0092319A"/>
    <w:rsid w:val="009231D1"/>
    <w:rsid w:val="0092399E"/>
    <w:rsid w:val="00923D78"/>
    <w:rsid w:val="00923D8D"/>
    <w:rsid w:val="00923DE9"/>
    <w:rsid w:val="00923EEE"/>
    <w:rsid w:val="00923F58"/>
    <w:rsid w:val="009247AD"/>
    <w:rsid w:val="009248AD"/>
    <w:rsid w:val="00924907"/>
    <w:rsid w:val="009249CE"/>
    <w:rsid w:val="00924EA8"/>
    <w:rsid w:val="009250C0"/>
    <w:rsid w:val="0092511E"/>
    <w:rsid w:val="00925521"/>
    <w:rsid w:val="009255D6"/>
    <w:rsid w:val="009257CF"/>
    <w:rsid w:val="00925CDE"/>
    <w:rsid w:val="00925EDA"/>
    <w:rsid w:val="00925F87"/>
    <w:rsid w:val="00926139"/>
    <w:rsid w:val="00926855"/>
    <w:rsid w:val="00926B7F"/>
    <w:rsid w:val="00926C6D"/>
    <w:rsid w:val="0092723A"/>
    <w:rsid w:val="00927335"/>
    <w:rsid w:val="00927394"/>
    <w:rsid w:val="00927595"/>
    <w:rsid w:val="00927695"/>
    <w:rsid w:val="00927B80"/>
    <w:rsid w:val="00927E16"/>
    <w:rsid w:val="00927F2F"/>
    <w:rsid w:val="009301C3"/>
    <w:rsid w:val="009302CE"/>
    <w:rsid w:val="009303FB"/>
    <w:rsid w:val="00930419"/>
    <w:rsid w:val="00930472"/>
    <w:rsid w:val="009304C8"/>
    <w:rsid w:val="00930537"/>
    <w:rsid w:val="009308ED"/>
    <w:rsid w:val="00930BC0"/>
    <w:rsid w:val="00930F75"/>
    <w:rsid w:val="0093177A"/>
    <w:rsid w:val="00931888"/>
    <w:rsid w:val="00931E3C"/>
    <w:rsid w:val="00931F77"/>
    <w:rsid w:val="00932205"/>
    <w:rsid w:val="0093243E"/>
    <w:rsid w:val="009325E5"/>
    <w:rsid w:val="00932883"/>
    <w:rsid w:val="00932A42"/>
    <w:rsid w:val="00932B09"/>
    <w:rsid w:val="00932E44"/>
    <w:rsid w:val="009333B1"/>
    <w:rsid w:val="0093356A"/>
    <w:rsid w:val="009335EA"/>
    <w:rsid w:val="00933616"/>
    <w:rsid w:val="00933A7C"/>
    <w:rsid w:val="00933D79"/>
    <w:rsid w:val="00933DD8"/>
    <w:rsid w:val="0093432C"/>
    <w:rsid w:val="0093483F"/>
    <w:rsid w:val="009359E3"/>
    <w:rsid w:val="00936382"/>
    <w:rsid w:val="00936738"/>
    <w:rsid w:val="00936A09"/>
    <w:rsid w:val="00936DAE"/>
    <w:rsid w:val="00937002"/>
    <w:rsid w:val="0093708B"/>
    <w:rsid w:val="009370E6"/>
    <w:rsid w:val="0093743D"/>
    <w:rsid w:val="0093784A"/>
    <w:rsid w:val="00937B84"/>
    <w:rsid w:val="00937BC4"/>
    <w:rsid w:val="00937D55"/>
    <w:rsid w:val="00937EE0"/>
    <w:rsid w:val="0094013B"/>
    <w:rsid w:val="009408FE"/>
    <w:rsid w:val="00940950"/>
    <w:rsid w:val="00940F01"/>
    <w:rsid w:val="009415E8"/>
    <w:rsid w:val="00941639"/>
    <w:rsid w:val="00941690"/>
    <w:rsid w:val="00941A1D"/>
    <w:rsid w:val="00941C38"/>
    <w:rsid w:val="00941CB0"/>
    <w:rsid w:val="00942313"/>
    <w:rsid w:val="0094246A"/>
    <w:rsid w:val="00942B1B"/>
    <w:rsid w:val="00942EAA"/>
    <w:rsid w:val="00942F8B"/>
    <w:rsid w:val="00943419"/>
    <w:rsid w:val="00943971"/>
    <w:rsid w:val="00943A2C"/>
    <w:rsid w:val="00943E55"/>
    <w:rsid w:val="009445B0"/>
    <w:rsid w:val="00944B46"/>
    <w:rsid w:val="00944DCC"/>
    <w:rsid w:val="00944F23"/>
    <w:rsid w:val="009450FE"/>
    <w:rsid w:val="00945157"/>
    <w:rsid w:val="009452AC"/>
    <w:rsid w:val="00945485"/>
    <w:rsid w:val="009455BD"/>
    <w:rsid w:val="00945C32"/>
    <w:rsid w:val="00945C8F"/>
    <w:rsid w:val="00946201"/>
    <w:rsid w:val="0094644F"/>
    <w:rsid w:val="00946652"/>
    <w:rsid w:val="009466D3"/>
    <w:rsid w:val="00946979"/>
    <w:rsid w:val="00946B57"/>
    <w:rsid w:val="00946FAD"/>
    <w:rsid w:val="00947474"/>
    <w:rsid w:val="009479F8"/>
    <w:rsid w:val="009506E2"/>
    <w:rsid w:val="009509C8"/>
    <w:rsid w:val="00950B2E"/>
    <w:rsid w:val="00950BBD"/>
    <w:rsid w:val="00950FCF"/>
    <w:rsid w:val="00951270"/>
    <w:rsid w:val="009512B8"/>
    <w:rsid w:val="0095163A"/>
    <w:rsid w:val="009516F6"/>
    <w:rsid w:val="00951AEB"/>
    <w:rsid w:val="00951D1C"/>
    <w:rsid w:val="00951D23"/>
    <w:rsid w:val="00951EBA"/>
    <w:rsid w:val="00952093"/>
    <w:rsid w:val="0095215B"/>
    <w:rsid w:val="00952429"/>
    <w:rsid w:val="00952EAD"/>
    <w:rsid w:val="009530E5"/>
    <w:rsid w:val="0095328E"/>
    <w:rsid w:val="009536FC"/>
    <w:rsid w:val="009541D7"/>
    <w:rsid w:val="0095426A"/>
    <w:rsid w:val="009543BB"/>
    <w:rsid w:val="00954BD6"/>
    <w:rsid w:val="00954CEC"/>
    <w:rsid w:val="00954D87"/>
    <w:rsid w:val="00954E59"/>
    <w:rsid w:val="00955CBA"/>
    <w:rsid w:val="00955FB5"/>
    <w:rsid w:val="009563C0"/>
    <w:rsid w:val="009564C9"/>
    <w:rsid w:val="00956787"/>
    <w:rsid w:val="00956896"/>
    <w:rsid w:val="009576F1"/>
    <w:rsid w:val="0095773C"/>
    <w:rsid w:val="00957C1B"/>
    <w:rsid w:val="00957E8B"/>
    <w:rsid w:val="009604C4"/>
    <w:rsid w:val="009606D0"/>
    <w:rsid w:val="00960D74"/>
    <w:rsid w:val="00960E47"/>
    <w:rsid w:val="00960F7D"/>
    <w:rsid w:val="0096120C"/>
    <w:rsid w:val="009613A2"/>
    <w:rsid w:val="0096141C"/>
    <w:rsid w:val="009619B4"/>
    <w:rsid w:val="00961DE1"/>
    <w:rsid w:val="00961E9C"/>
    <w:rsid w:val="00962D1B"/>
    <w:rsid w:val="00962E14"/>
    <w:rsid w:val="00962EC1"/>
    <w:rsid w:val="009636B9"/>
    <w:rsid w:val="0096393C"/>
    <w:rsid w:val="00963BFD"/>
    <w:rsid w:val="00963D9E"/>
    <w:rsid w:val="00964089"/>
    <w:rsid w:val="0096410E"/>
    <w:rsid w:val="009645AC"/>
    <w:rsid w:val="00964A1F"/>
    <w:rsid w:val="00964ABF"/>
    <w:rsid w:val="00964AD7"/>
    <w:rsid w:val="00965143"/>
    <w:rsid w:val="00965485"/>
    <w:rsid w:val="00965619"/>
    <w:rsid w:val="00965B0F"/>
    <w:rsid w:val="00965BEA"/>
    <w:rsid w:val="00965CAD"/>
    <w:rsid w:val="0096602B"/>
    <w:rsid w:val="0096632F"/>
    <w:rsid w:val="00966805"/>
    <w:rsid w:val="00966B88"/>
    <w:rsid w:val="00966CDD"/>
    <w:rsid w:val="00966E54"/>
    <w:rsid w:val="009670AF"/>
    <w:rsid w:val="00967A79"/>
    <w:rsid w:val="00967B9C"/>
    <w:rsid w:val="00967FA1"/>
    <w:rsid w:val="009700C9"/>
    <w:rsid w:val="00970BD9"/>
    <w:rsid w:val="00970EA4"/>
    <w:rsid w:val="00970FBB"/>
    <w:rsid w:val="00971A17"/>
    <w:rsid w:val="00971B9B"/>
    <w:rsid w:val="00971D85"/>
    <w:rsid w:val="00971DF9"/>
    <w:rsid w:val="00971FA1"/>
    <w:rsid w:val="009720E3"/>
    <w:rsid w:val="00972CB8"/>
    <w:rsid w:val="009737F5"/>
    <w:rsid w:val="009738BA"/>
    <w:rsid w:val="00973E07"/>
    <w:rsid w:val="00973F66"/>
    <w:rsid w:val="009741D8"/>
    <w:rsid w:val="009742F3"/>
    <w:rsid w:val="0097466B"/>
    <w:rsid w:val="00974945"/>
    <w:rsid w:val="009753A8"/>
    <w:rsid w:val="009755AB"/>
    <w:rsid w:val="009757D5"/>
    <w:rsid w:val="00975838"/>
    <w:rsid w:val="00975A3C"/>
    <w:rsid w:val="00975B97"/>
    <w:rsid w:val="00975F13"/>
    <w:rsid w:val="00975F49"/>
    <w:rsid w:val="0097696C"/>
    <w:rsid w:val="00977014"/>
    <w:rsid w:val="009776FA"/>
    <w:rsid w:val="00977772"/>
    <w:rsid w:val="00977846"/>
    <w:rsid w:val="00977993"/>
    <w:rsid w:val="00977DB5"/>
    <w:rsid w:val="00977FA5"/>
    <w:rsid w:val="0098015A"/>
    <w:rsid w:val="00980351"/>
    <w:rsid w:val="009805A7"/>
    <w:rsid w:val="009806CA"/>
    <w:rsid w:val="00980AD3"/>
    <w:rsid w:val="00980F0B"/>
    <w:rsid w:val="00980F0D"/>
    <w:rsid w:val="0098158D"/>
    <w:rsid w:val="009819D9"/>
    <w:rsid w:val="00981CAE"/>
    <w:rsid w:val="00981FA8"/>
    <w:rsid w:val="00982088"/>
    <w:rsid w:val="00982125"/>
    <w:rsid w:val="00982358"/>
    <w:rsid w:val="009823D9"/>
    <w:rsid w:val="0098253B"/>
    <w:rsid w:val="009829B9"/>
    <w:rsid w:val="00982B6F"/>
    <w:rsid w:val="00983235"/>
    <w:rsid w:val="009834B4"/>
    <w:rsid w:val="00983A0A"/>
    <w:rsid w:val="00983AB5"/>
    <w:rsid w:val="00983DCF"/>
    <w:rsid w:val="00983EFD"/>
    <w:rsid w:val="009841FC"/>
    <w:rsid w:val="009844F1"/>
    <w:rsid w:val="009845C8"/>
    <w:rsid w:val="00984682"/>
    <w:rsid w:val="009847AA"/>
    <w:rsid w:val="00984A6C"/>
    <w:rsid w:val="00984D4C"/>
    <w:rsid w:val="009850A0"/>
    <w:rsid w:val="009857EF"/>
    <w:rsid w:val="00985AC6"/>
    <w:rsid w:val="00985C96"/>
    <w:rsid w:val="00985D98"/>
    <w:rsid w:val="00985FC0"/>
    <w:rsid w:val="00986069"/>
    <w:rsid w:val="0098611D"/>
    <w:rsid w:val="00986219"/>
    <w:rsid w:val="009862FF"/>
    <w:rsid w:val="009863EF"/>
    <w:rsid w:val="009864AE"/>
    <w:rsid w:val="00987212"/>
    <w:rsid w:val="0098735C"/>
    <w:rsid w:val="0098758E"/>
    <w:rsid w:val="0098777E"/>
    <w:rsid w:val="00987A14"/>
    <w:rsid w:val="00987BA7"/>
    <w:rsid w:val="0099003A"/>
    <w:rsid w:val="009901AA"/>
    <w:rsid w:val="009908F4"/>
    <w:rsid w:val="009909F9"/>
    <w:rsid w:val="00990BDA"/>
    <w:rsid w:val="00990C0A"/>
    <w:rsid w:val="00990DDE"/>
    <w:rsid w:val="00990F7C"/>
    <w:rsid w:val="00990FB6"/>
    <w:rsid w:val="0099114E"/>
    <w:rsid w:val="00991222"/>
    <w:rsid w:val="0099158E"/>
    <w:rsid w:val="00991685"/>
    <w:rsid w:val="00991B1A"/>
    <w:rsid w:val="00991D8D"/>
    <w:rsid w:val="00991F38"/>
    <w:rsid w:val="00992041"/>
    <w:rsid w:val="00992179"/>
    <w:rsid w:val="009921E7"/>
    <w:rsid w:val="0099264D"/>
    <w:rsid w:val="0099264F"/>
    <w:rsid w:val="00992802"/>
    <w:rsid w:val="009928C6"/>
    <w:rsid w:val="0099295A"/>
    <w:rsid w:val="0099298A"/>
    <w:rsid w:val="0099308D"/>
    <w:rsid w:val="009936A7"/>
    <w:rsid w:val="00993B80"/>
    <w:rsid w:val="0099409E"/>
    <w:rsid w:val="00994274"/>
    <w:rsid w:val="00994305"/>
    <w:rsid w:val="00994653"/>
    <w:rsid w:val="0099474E"/>
    <w:rsid w:val="0099479A"/>
    <w:rsid w:val="009948F1"/>
    <w:rsid w:val="00994994"/>
    <w:rsid w:val="00994F80"/>
    <w:rsid w:val="009954E6"/>
    <w:rsid w:val="0099575D"/>
    <w:rsid w:val="009957CB"/>
    <w:rsid w:val="00995A25"/>
    <w:rsid w:val="00995D20"/>
    <w:rsid w:val="00995F1F"/>
    <w:rsid w:val="009960AB"/>
    <w:rsid w:val="009963C4"/>
    <w:rsid w:val="00996749"/>
    <w:rsid w:val="00996941"/>
    <w:rsid w:val="00996A2F"/>
    <w:rsid w:val="00996A69"/>
    <w:rsid w:val="00996AEE"/>
    <w:rsid w:val="00996B53"/>
    <w:rsid w:val="009971B9"/>
    <w:rsid w:val="00997417"/>
    <w:rsid w:val="009975F5"/>
    <w:rsid w:val="0099784D"/>
    <w:rsid w:val="00997FC7"/>
    <w:rsid w:val="009A0B64"/>
    <w:rsid w:val="009A0CB3"/>
    <w:rsid w:val="009A0F21"/>
    <w:rsid w:val="009A1321"/>
    <w:rsid w:val="009A1563"/>
    <w:rsid w:val="009A1A81"/>
    <w:rsid w:val="009A1E4F"/>
    <w:rsid w:val="009A21E2"/>
    <w:rsid w:val="009A21E3"/>
    <w:rsid w:val="009A268F"/>
    <w:rsid w:val="009A2A18"/>
    <w:rsid w:val="009A2D03"/>
    <w:rsid w:val="009A343A"/>
    <w:rsid w:val="009A3822"/>
    <w:rsid w:val="009A38D3"/>
    <w:rsid w:val="009A39A8"/>
    <w:rsid w:val="009A39DC"/>
    <w:rsid w:val="009A3F27"/>
    <w:rsid w:val="009A40D7"/>
    <w:rsid w:val="009A42A9"/>
    <w:rsid w:val="009A43FC"/>
    <w:rsid w:val="009A46E9"/>
    <w:rsid w:val="009A4965"/>
    <w:rsid w:val="009A4A80"/>
    <w:rsid w:val="009A4BC8"/>
    <w:rsid w:val="009A4EE2"/>
    <w:rsid w:val="009A4FEB"/>
    <w:rsid w:val="009A5035"/>
    <w:rsid w:val="009A5115"/>
    <w:rsid w:val="009A52B5"/>
    <w:rsid w:val="009A531C"/>
    <w:rsid w:val="009A5753"/>
    <w:rsid w:val="009A57EB"/>
    <w:rsid w:val="009A6437"/>
    <w:rsid w:val="009A6465"/>
    <w:rsid w:val="009A65B0"/>
    <w:rsid w:val="009A6612"/>
    <w:rsid w:val="009A67A3"/>
    <w:rsid w:val="009A68C8"/>
    <w:rsid w:val="009A699B"/>
    <w:rsid w:val="009A6CA4"/>
    <w:rsid w:val="009A7168"/>
    <w:rsid w:val="009A71BC"/>
    <w:rsid w:val="009A73EF"/>
    <w:rsid w:val="009A7BA5"/>
    <w:rsid w:val="009B103D"/>
    <w:rsid w:val="009B1313"/>
    <w:rsid w:val="009B134F"/>
    <w:rsid w:val="009B1569"/>
    <w:rsid w:val="009B162D"/>
    <w:rsid w:val="009B180C"/>
    <w:rsid w:val="009B2036"/>
    <w:rsid w:val="009B23D4"/>
    <w:rsid w:val="009B2D58"/>
    <w:rsid w:val="009B2E91"/>
    <w:rsid w:val="009B3624"/>
    <w:rsid w:val="009B3E75"/>
    <w:rsid w:val="009B3EBA"/>
    <w:rsid w:val="009B3EFA"/>
    <w:rsid w:val="009B42F4"/>
    <w:rsid w:val="009B4A9B"/>
    <w:rsid w:val="009B5039"/>
    <w:rsid w:val="009B570F"/>
    <w:rsid w:val="009B585F"/>
    <w:rsid w:val="009B6A33"/>
    <w:rsid w:val="009B6DDA"/>
    <w:rsid w:val="009B6E04"/>
    <w:rsid w:val="009B6EBC"/>
    <w:rsid w:val="009B7413"/>
    <w:rsid w:val="009B74CB"/>
    <w:rsid w:val="009B7606"/>
    <w:rsid w:val="009B7A84"/>
    <w:rsid w:val="009B7A96"/>
    <w:rsid w:val="009B7ACB"/>
    <w:rsid w:val="009B7BF3"/>
    <w:rsid w:val="009B7C85"/>
    <w:rsid w:val="009B7E02"/>
    <w:rsid w:val="009B7E22"/>
    <w:rsid w:val="009B7F90"/>
    <w:rsid w:val="009B7FD9"/>
    <w:rsid w:val="009C04E9"/>
    <w:rsid w:val="009C08B7"/>
    <w:rsid w:val="009C09B8"/>
    <w:rsid w:val="009C0B9A"/>
    <w:rsid w:val="009C0D95"/>
    <w:rsid w:val="009C0ED1"/>
    <w:rsid w:val="009C0F3A"/>
    <w:rsid w:val="009C1633"/>
    <w:rsid w:val="009C1655"/>
    <w:rsid w:val="009C17C5"/>
    <w:rsid w:val="009C17E2"/>
    <w:rsid w:val="009C181F"/>
    <w:rsid w:val="009C1AD6"/>
    <w:rsid w:val="009C202A"/>
    <w:rsid w:val="009C2214"/>
    <w:rsid w:val="009C239A"/>
    <w:rsid w:val="009C25A4"/>
    <w:rsid w:val="009C2E53"/>
    <w:rsid w:val="009C3130"/>
    <w:rsid w:val="009C34BB"/>
    <w:rsid w:val="009C3668"/>
    <w:rsid w:val="009C36AB"/>
    <w:rsid w:val="009C387F"/>
    <w:rsid w:val="009C3BC4"/>
    <w:rsid w:val="009C404D"/>
    <w:rsid w:val="009C42BD"/>
    <w:rsid w:val="009C42D6"/>
    <w:rsid w:val="009C489D"/>
    <w:rsid w:val="009C4A1B"/>
    <w:rsid w:val="009C4AE7"/>
    <w:rsid w:val="009C4CDB"/>
    <w:rsid w:val="009C4DC8"/>
    <w:rsid w:val="009C4ECF"/>
    <w:rsid w:val="009C539E"/>
    <w:rsid w:val="009C53E7"/>
    <w:rsid w:val="009C610F"/>
    <w:rsid w:val="009C659F"/>
    <w:rsid w:val="009C65A2"/>
    <w:rsid w:val="009C673A"/>
    <w:rsid w:val="009C6DB8"/>
    <w:rsid w:val="009C6EA2"/>
    <w:rsid w:val="009C6ECF"/>
    <w:rsid w:val="009C70D8"/>
    <w:rsid w:val="009C73E3"/>
    <w:rsid w:val="009C7615"/>
    <w:rsid w:val="009C77BF"/>
    <w:rsid w:val="009C7959"/>
    <w:rsid w:val="009C7AE3"/>
    <w:rsid w:val="009C7C37"/>
    <w:rsid w:val="009C7CDD"/>
    <w:rsid w:val="009D0196"/>
    <w:rsid w:val="009D03AC"/>
    <w:rsid w:val="009D0DB2"/>
    <w:rsid w:val="009D0FD1"/>
    <w:rsid w:val="009D1077"/>
    <w:rsid w:val="009D11E4"/>
    <w:rsid w:val="009D1A78"/>
    <w:rsid w:val="009D1AA9"/>
    <w:rsid w:val="009D1BD6"/>
    <w:rsid w:val="009D2210"/>
    <w:rsid w:val="009D23A2"/>
    <w:rsid w:val="009D2484"/>
    <w:rsid w:val="009D2529"/>
    <w:rsid w:val="009D262A"/>
    <w:rsid w:val="009D29C9"/>
    <w:rsid w:val="009D2B03"/>
    <w:rsid w:val="009D2F81"/>
    <w:rsid w:val="009D302B"/>
    <w:rsid w:val="009D343D"/>
    <w:rsid w:val="009D3502"/>
    <w:rsid w:val="009D39D6"/>
    <w:rsid w:val="009D3BF0"/>
    <w:rsid w:val="009D3F97"/>
    <w:rsid w:val="009D4309"/>
    <w:rsid w:val="009D4C9F"/>
    <w:rsid w:val="009D4D90"/>
    <w:rsid w:val="009D4F2F"/>
    <w:rsid w:val="009D4F93"/>
    <w:rsid w:val="009D5081"/>
    <w:rsid w:val="009D53F2"/>
    <w:rsid w:val="009D5747"/>
    <w:rsid w:val="009D5986"/>
    <w:rsid w:val="009D5F65"/>
    <w:rsid w:val="009D62D9"/>
    <w:rsid w:val="009D6576"/>
    <w:rsid w:val="009D65A0"/>
    <w:rsid w:val="009D65C9"/>
    <w:rsid w:val="009D6A08"/>
    <w:rsid w:val="009D6AC0"/>
    <w:rsid w:val="009D6CBA"/>
    <w:rsid w:val="009D6D69"/>
    <w:rsid w:val="009D6E07"/>
    <w:rsid w:val="009D7162"/>
    <w:rsid w:val="009D7226"/>
    <w:rsid w:val="009D73E3"/>
    <w:rsid w:val="009D7A5B"/>
    <w:rsid w:val="009D7DCA"/>
    <w:rsid w:val="009D7E2C"/>
    <w:rsid w:val="009E00F5"/>
    <w:rsid w:val="009E05A1"/>
    <w:rsid w:val="009E0E64"/>
    <w:rsid w:val="009E1113"/>
    <w:rsid w:val="009E15BA"/>
    <w:rsid w:val="009E17B4"/>
    <w:rsid w:val="009E17D9"/>
    <w:rsid w:val="009E1A69"/>
    <w:rsid w:val="009E1B6C"/>
    <w:rsid w:val="009E25D4"/>
    <w:rsid w:val="009E3284"/>
    <w:rsid w:val="009E3321"/>
    <w:rsid w:val="009E33BA"/>
    <w:rsid w:val="009E33D7"/>
    <w:rsid w:val="009E34F2"/>
    <w:rsid w:val="009E35A8"/>
    <w:rsid w:val="009E3BC7"/>
    <w:rsid w:val="009E3C8F"/>
    <w:rsid w:val="009E3CEB"/>
    <w:rsid w:val="009E425A"/>
    <w:rsid w:val="009E4E20"/>
    <w:rsid w:val="009E505F"/>
    <w:rsid w:val="009E57F4"/>
    <w:rsid w:val="009E5815"/>
    <w:rsid w:val="009E5F03"/>
    <w:rsid w:val="009E6094"/>
    <w:rsid w:val="009E610F"/>
    <w:rsid w:val="009E61EB"/>
    <w:rsid w:val="009E6753"/>
    <w:rsid w:val="009E688A"/>
    <w:rsid w:val="009E692D"/>
    <w:rsid w:val="009E6DDC"/>
    <w:rsid w:val="009E6EA8"/>
    <w:rsid w:val="009E6F32"/>
    <w:rsid w:val="009E717D"/>
    <w:rsid w:val="009E72CB"/>
    <w:rsid w:val="009E73F1"/>
    <w:rsid w:val="009F0591"/>
    <w:rsid w:val="009F08BF"/>
    <w:rsid w:val="009F0C2B"/>
    <w:rsid w:val="009F1158"/>
    <w:rsid w:val="009F12F9"/>
    <w:rsid w:val="009F132D"/>
    <w:rsid w:val="009F14D4"/>
    <w:rsid w:val="009F1C65"/>
    <w:rsid w:val="009F1E95"/>
    <w:rsid w:val="009F222F"/>
    <w:rsid w:val="009F22C2"/>
    <w:rsid w:val="009F22CF"/>
    <w:rsid w:val="009F232F"/>
    <w:rsid w:val="009F289B"/>
    <w:rsid w:val="009F2CA6"/>
    <w:rsid w:val="009F3357"/>
    <w:rsid w:val="009F3547"/>
    <w:rsid w:val="009F364B"/>
    <w:rsid w:val="009F36EC"/>
    <w:rsid w:val="009F384E"/>
    <w:rsid w:val="009F3959"/>
    <w:rsid w:val="009F39E6"/>
    <w:rsid w:val="009F4104"/>
    <w:rsid w:val="009F456B"/>
    <w:rsid w:val="009F48DF"/>
    <w:rsid w:val="009F4B97"/>
    <w:rsid w:val="009F4E0F"/>
    <w:rsid w:val="009F5110"/>
    <w:rsid w:val="009F5237"/>
    <w:rsid w:val="009F52C6"/>
    <w:rsid w:val="009F54BA"/>
    <w:rsid w:val="009F5576"/>
    <w:rsid w:val="009F56AB"/>
    <w:rsid w:val="009F57AF"/>
    <w:rsid w:val="009F58DF"/>
    <w:rsid w:val="009F5D01"/>
    <w:rsid w:val="009F5D02"/>
    <w:rsid w:val="009F5DF3"/>
    <w:rsid w:val="009F6117"/>
    <w:rsid w:val="009F6150"/>
    <w:rsid w:val="009F6229"/>
    <w:rsid w:val="009F622D"/>
    <w:rsid w:val="009F6536"/>
    <w:rsid w:val="009F65D3"/>
    <w:rsid w:val="009F66E8"/>
    <w:rsid w:val="009F6701"/>
    <w:rsid w:val="009F68F0"/>
    <w:rsid w:val="009F6930"/>
    <w:rsid w:val="009F6E86"/>
    <w:rsid w:val="009F7293"/>
    <w:rsid w:val="009F739F"/>
    <w:rsid w:val="009F7437"/>
    <w:rsid w:val="009F7512"/>
    <w:rsid w:val="009F7748"/>
    <w:rsid w:val="009F7857"/>
    <w:rsid w:val="009F7B53"/>
    <w:rsid w:val="00A00685"/>
    <w:rsid w:val="00A008B2"/>
    <w:rsid w:val="00A00AD7"/>
    <w:rsid w:val="00A00E13"/>
    <w:rsid w:val="00A00FFC"/>
    <w:rsid w:val="00A0182E"/>
    <w:rsid w:val="00A018E6"/>
    <w:rsid w:val="00A01900"/>
    <w:rsid w:val="00A01AE7"/>
    <w:rsid w:val="00A01AF6"/>
    <w:rsid w:val="00A01F60"/>
    <w:rsid w:val="00A02024"/>
    <w:rsid w:val="00A021A1"/>
    <w:rsid w:val="00A02947"/>
    <w:rsid w:val="00A02A36"/>
    <w:rsid w:val="00A02B12"/>
    <w:rsid w:val="00A031EE"/>
    <w:rsid w:val="00A03714"/>
    <w:rsid w:val="00A03768"/>
    <w:rsid w:val="00A037A8"/>
    <w:rsid w:val="00A037CA"/>
    <w:rsid w:val="00A039C8"/>
    <w:rsid w:val="00A03A80"/>
    <w:rsid w:val="00A03B4E"/>
    <w:rsid w:val="00A03DFB"/>
    <w:rsid w:val="00A04005"/>
    <w:rsid w:val="00A04ADC"/>
    <w:rsid w:val="00A04C02"/>
    <w:rsid w:val="00A04F2A"/>
    <w:rsid w:val="00A04F30"/>
    <w:rsid w:val="00A05612"/>
    <w:rsid w:val="00A05749"/>
    <w:rsid w:val="00A05DBE"/>
    <w:rsid w:val="00A05F76"/>
    <w:rsid w:val="00A05FF8"/>
    <w:rsid w:val="00A067BF"/>
    <w:rsid w:val="00A06999"/>
    <w:rsid w:val="00A06ABB"/>
    <w:rsid w:val="00A06AD0"/>
    <w:rsid w:val="00A06C25"/>
    <w:rsid w:val="00A07088"/>
    <w:rsid w:val="00A070AF"/>
    <w:rsid w:val="00A0751F"/>
    <w:rsid w:val="00A075DE"/>
    <w:rsid w:val="00A076CB"/>
    <w:rsid w:val="00A077BA"/>
    <w:rsid w:val="00A07AF7"/>
    <w:rsid w:val="00A07B61"/>
    <w:rsid w:val="00A10573"/>
    <w:rsid w:val="00A10FDB"/>
    <w:rsid w:val="00A1156A"/>
    <w:rsid w:val="00A11AD2"/>
    <w:rsid w:val="00A11F58"/>
    <w:rsid w:val="00A12016"/>
    <w:rsid w:val="00A12059"/>
    <w:rsid w:val="00A122AA"/>
    <w:rsid w:val="00A122E1"/>
    <w:rsid w:val="00A1242F"/>
    <w:rsid w:val="00A127A9"/>
    <w:rsid w:val="00A12938"/>
    <w:rsid w:val="00A12C70"/>
    <w:rsid w:val="00A12CE4"/>
    <w:rsid w:val="00A1328C"/>
    <w:rsid w:val="00A13377"/>
    <w:rsid w:val="00A135B0"/>
    <w:rsid w:val="00A13621"/>
    <w:rsid w:val="00A13671"/>
    <w:rsid w:val="00A139D2"/>
    <w:rsid w:val="00A13D50"/>
    <w:rsid w:val="00A1400A"/>
    <w:rsid w:val="00A14085"/>
    <w:rsid w:val="00A141FA"/>
    <w:rsid w:val="00A1429A"/>
    <w:rsid w:val="00A14370"/>
    <w:rsid w:val="00A146D1"/>
    <w:rsid w:val="00A14D51"/>
    <w:rsid w:val="00A14E04"/>
    <w:rsid w:val="00A15012"/>
    <w:rsid w:val="00A1506E"/>
    <w:rsid w:val="00A150E9"/>
    <w:rsid w:val="00A1514F"/>
    <w:rsid w:val="00A152D9"/>
    <w:rsid w:val="00A15539"/>
    <w:rsid w:val="00A15544"/>
    <w:rsid w:val="00A1556E"/>
    <w:rsid w:val="00A15EDA"/>
    <w:rsid w:val="00A162F2"/>
    <w:rsid w:val="00A16583"/>
    <w:rsid w:val="00A16D1B"/>
    <w:rsid w:val="00A16EEB"/>
    <w:rsid w:val="00A1706F"/>
    <w:rsid w:val="00A17435"/>
    <w:rsid w:val="00A17883"/>
    <w:rsid w:val="00A179E2"/>
    <w:rsid w:val="00A200E6"/>
    <w:rsid w:val="00A20330"/>
    <w:rsid w:val="00A203F9"/>
    <w:rsid w:val="00A205F5"/>
    <w:rsid w:val="00A20838"/>
    <w:rsid w:val="00A20857"/>
    <w:rsid w:val="00A20F23"/>
    <w:rsid w:val="00A21351"/>
    <w:rsid w:val="00A215A1"/>
    <w:rsid w:val="00A217AB"/>
    <w:rsid w:val="00A21B72"/>
    <w:rsid w:val="00A21B97"/>
    <w:rsid w:val="00A21BAC"/>
    <w:rsid w:val="00A221B4"/>
    <w:rsid w:val="00A2235E"/>
    <w:rsid w:val="00A224D2"/>
    <w:rsid w:val="00A2275D"/>
    <w:rsid w:val="00A228E9"/>
    <w:rsid w:val="00A22CC9"/>
    <w:rsid w:val="00A22D11"/>
    <w:rsid w:val="00A22EC6"/>
    <w:rsid w:val="00A23099"/>
    <w:rsid w:val="00A23470"/>
    <w:rsid w:val="00A23559"/>
    <w:rsid w:val="00A23C96"/>
    <w:rsid w:val="00A23E9B"/>
    <w:rsid w:val="00A24133"/>
    <w:rsid w:val="00A2458D"/>
    <w:rsid w:val="00A245F3"/>
    <w:rsid w:val="00A24784"/>
    <w:rsid w:val="00A24B48"/>
    <w:rsid w:val="00A24F53"/>
    <w:rsid w:val="00A24F6F"/>
    <w:rsid w:val="00A2511D"/>
    <w:rsid w:val="00A2514B"/>
    <w:rsid w:val="00A25189"/>
    <w:rsid w:val="00A25220"/>
    <w:rsid w:val="00A255A1"/>
    <w:rsid w:val="00A25694"/>
    <w:rsid w:val="00A25ABE"/>
    <w:rsid w:val="00A25CA5"/>
    <w:rsid w:val="00A260B9"/>
    <w:rsid w:val="00A2611F"/>
    <w:rsid w:val="00A2640B"/>
    <w:rsid w:val="00A26418"/>
    <w:rsid w:val="00A2645A"/>
    <w:rsid w:val="00A26CA1"/>
    <w:rsid w:val="00A26CAE"/>
    <w:rsid w:val="00A26CE0"/>
    <w:rsid w:val="00A26E88"/>
    <w:rsid w:val="00A2716C"/>
    <w:rsid w:val="00A27245"/>
    <w:rsid w:val="00A27384"/>
    <w:rsid w:val="00A274B1"/>
    <w:rsid w:val="00A27656"/>
    <w:rsid w:val="00A2783B"/>
    <w:rsid w:val="00A278C2"/>
    <w:rsid w:val="00A278ED"/>
    <w:rsid w:val="00A27F34"/>
    <w:rsid w:val="00A3013F"/>
    <w:rsid w:val="00A30214"/>
    <w:rsid w:val="00A30262"/>
    <w:rsid w:val="00A306A3"/>
    <w:rsid w:val="00A306C7"/>
    <w:rsid w:val="00A30851"/>
    <w:rsid w:val="00A308F7"/>
    <w:rsid w:val="00A30A4C"/>
    <w:rsid w:val="00A30B15"/>
    <w:rsid w:val="00A30CDE"/>
    <w:rsid w:val="00A30F44"/>
    <w:rsid w:val="00A31230"/>
    <w:rsid w:val="00A313C7"/>
    <w:rsid w:val="00A314D6"/>
    <w:rsid w:val="00A316C7"/>
    <w:rsid w:val="00A318CD"/>
    <w:rsid w:val="00A31C08"/>
    <w:rsid w:val="00A32115"/>
    <w:rsid w:val="00A321D8"/>
    <w:rsid w:val="00A323E0"/>
    <w:rsid w:val="00A323F8"/>
    <w:rsid w:val="00A324E6"/>
    <w:rsid w:val="00A32976"/>
    <w:rsid w:val="00A32AD5"/>
    <w:rsid w:val="00A3398C"/>
    <w:rsid w:val="00A33C06"/>
    <w:rsid w:val="00A33D0C"/>
    <w:rsid w:val="00A33ECF"/>
    <w:rsid w:val="00A3497D"/>
    <w:rsid w:val="00A34C1B"/>
    <w:rsid w:val="00A34DC1"/>
    <w:rsid w:val="00A35099"/>
    <w:rsid w:val="00A35624"/>
    <w:rsid w:val="00A356D0"/>
    <w:rsid w:val="00A36117"/>
    <w:rsid w:val="00A36550"/>
    <w:rsid w:val="00A367F4"/>
    <w:rsid w:val="00A36A27"/>
    <w:rsid w:val="00A36DBE"/>
    <w:rsid w:val="00A36E14"/>
    <w:rsid w:val="00A36EFB"/>
    <w:rsid w:val="00A36F86"/>
    <w:rsid w:val="00A370BA"/>
    <w:rsid w:val="00A372A8"/>
    <w:rsid w:val="00A373C8"/>
    <w:rsid w:val="00A373EE"/>
    <w:rsid w:val="00A37DA4"/>
    <w:rsid w:val="00A37EB8"/>
    <w:rsid w:val="00A37F3A"/>
    <w:rsid w:val="00A4010C"/>
    <w:rsid w:val="00A40BC5"/>
    <w:rsid w:val="00A40BEE"/>
    <w:rsid w:val="00A40CE5"/>
    <w:rsid w:val="00A40F02"/>
    <w:rsid w:val="00A4108A"/>
    <w:rsid w:val="00A41091"/>
    <w:rsid w:val="00A410F6"/>
    <w:rsid w:val="00A41353"/>
    <w:rsid w:val="00A41628"/>
    <w:rsid w:val="00A41808"/>
    <w:rsid w:val="00A41944"/>
    <w:rsid w:val="00A42314"/>
    <w:rsid w:val="00A423D0"/>
    <w:rsid w:val="00A42994"/>
    <w:rsid w:val="00A42C4A"/>
    <w:rsid w:val="00A43068"/>
    <w:rsid w:val="00A43169"/>
    <w:rsid w:val="00A432AF"/>
    <w:rsid w:val="00A43378"/>
    <w:rsid w:val="00A43532"/>
    <w:rsid w:val="00A43911"/>
    <w:rsid w:val="00A43C72"/>
    <w:rsid w:val="00A43D37"/>
    <w:rsid w:val="00A44351"/>
    <w:rsid w:val="00A446BB"/>
    <w:rsid w:val="00A4486E"/>
    <w:rsid w:val="00A44AA9"/>
    <w:rsid w:val="00A44AE3"/>
    <w:rsid w:val="00A44C61"/>
    <w:rsid w:val="00A44F3C"/>
    <w:rsid w:val="00A457FA"/>
    <w:rsid w:val="00A457FC"/>
    <w:rsid w:val="00A45D1E"/>
    <w:rsid w:val="00A45E22"/>
    <w:rsid w:val="00A45FC3"/>
    <w:rsid w:val="00A46DB3"/>
    <w:rsid w:val="00A470DE"/>
    <w:rsid w:val="00A47B80"/>
    <w:rsid w:val="00A47EDC"/>
    <w:rsid w:val="00A47FD4"/>
    <w:rsid w:val="00A5000F"/>
    <w:rsid w:val="00A5029F"/>
    <w:rsid w:val="00A502CD"/>
    <w:rsid w:val="00A502FB"/>
    <w:rsid w:val="00A50446"/>
    <w:rsid w:val="00A505E6"/>
    <w:rsid w:val="00A509A8"/>
    <w:rsid w:val="00A5107F"/>
    <w:rsid w:val="00A511E2"/>
    <w:rsid w:val="00A51251"/>
    <w:rsid w:val="00A5130C"/>
    <w:rsid w:val="00A5134B"/>
    <w:rsid w:val="00A51426"/>
    <w:rsid w:val="00A514C5"/>
    <w:rsid w:val="00A515E5"/>
    <w:rsid w:val="00A515F4"/>
    <w:rsid w:val="00A519AB"/>
    <w:rsid w:val="00A51CEB"/>
    <w:rsid w:val="00A51E39"/>
    <w:rsid w:val="00A521C4"/>
    <w:rsid w:val="00A5278C"/>
    <w:rsid w:val="00A52B23"/>
    <w:rsid w:val="00A53133"/>
    <w:rsid w:val="00A536A6"/>
    <w:rsid w:val="00A53A0D"/>
    <w:rsid w:val="00A53A2A"/>
    <w:rsid w:val="00A53AF6"/>
    <w:rsid w:val="00A53D09"/>
    <w:rsid w:val="00A5424A"/>
    <w:rsid w:val="00A54399"/>
    <w:rsid w:val="00A54745"/>
    <w:rsid w:val="00A547A7"/>
    <w:rsid w:val="00A54830"/>
    <w:rsid w:val="00A54930"/>
    <w:rsid w:val="00A550F4"/>
    <w:rsid w:val="00A553B6"/>
    <w:rsid w:val="00A55655"/>
    <w:rsid w:val="00A5585F"/>
    <w:rsid w:val="00A55F5A"/>
    <w:rsid w:val="00A5689F"/>
    <w:rsid w:val="00A5690B"/>
    <w:rsid w:val="00A56CE6"/>
    <w:rsid w:val="00A56DBB"/>
    <w:rsid w:val="00A57043"/>
    <w:rsid w:val="00A571D0"/>
    <w:rsid w:val="00A5760B"/>
    <w:rsid w:val="00A576C8"/>
    <w:rsid w:val="00A57A51"/>
    <w:rsid w:val="00A57D8F"/>
    <w:rsid w:val="00A57FD0"/>
    <w:rsid w:val="00A60085"/>
    <w:rsid w:val="00A60334"/>
    <w:rsid w:val="00A603D4"/>
    <w:rsid w:val="00A607E6"/>
    <w:rsid w:val="00A60BF3"/>
    <w:rsid w:val="00A60C66"/>
    <w:rsid w:val="00A60CD8"/>
    <w:rsid w:val="00A60D0E"/>
    <w:rsid w:val="00A60DCE"/>
    <w:rsid w:val="00A60E81"/>
    <w:rsid w:val="00A610D4"/>
    <w:rsid w:val="00A615DC"/>
    <w:rsid w:val="00A61899"/>
    <w:rsid w:val="00A61C57"/>
    <w:rsid w:val="00A61EC1"/>
    <w:rsid w:val="00A61F6B"/>
    <w:rsid w:val="00A621DE"/>
    <w:rsid w:val="00A6225C"/>
    <w:rsid w:val="00A623B3"/>
    <w:rsid w:val="00A6240E"/>
    <w:rsid w:val="00A62509"/>
    <w:rsid w:val="00A625B4"/>
    <w:rsid w:val="00A62677"/>
    <w:rsid w:val="00A626D6"/>
    <w:rsid w:val="00A627D3"/>
    <w:rsid w:val="00A628F0"/>
    <w:rsid w:val="00A62B41"/>
    <w:rsid w:val="00A62C29"/>
    <w:rsid w:val="00A62DBC"/>
    <w:rsid w:val="00A62E44"/>
    <w:rsid w:val="00A63157"/>
    <w:rsid w:val="00A635D0"/>
    <w:rsid w:val="00A63748"/>
    <w:rsid w:val="00A637BC"/>
    <w:rsid w:val="00A638E9"/>
    <w:rsid w:val="00A63E31"/>
    <w:rsid w:val="00A63F11"/>
    <w:rsid w:val="00A63F61"/>
    <w:rsid w:val="00A646A5"/>
    <w:rsid w:val="00A646C5"/>
    <w:rsid w:val="00A64724"/>
    <w:rsid w:val="00A6477A"/>
    <w:rsid w:val="00A64AC4"/>
    <w:rsid w:val="00A64B7E"/>
    <w:rsid w:val="00A65514"/>
    <w:rsid w:val="00A65B3F"/>
    <w:rsid w:val="00A65F0D"/>
    <w:rsid w:val="00A6635B"/>
    <w:rsid w:val="00A6637E"/>
    <w:rsid w:val="00A66E3F"/>
    <w:rsid w:val="00A66EF9"/>
    <w:rsid w:val="00A67147"/>
    <w:rsid w:val="00A6761C"/>
    <w:rsid w:val="00A6788F"/>
    <w:rsid w:val="00A67BD4"/>
    <w:rsid w:val="00A67F45"/>
    <w:rsid w:val="00A7024C"/>
    <w:rsid w:val="00A703E7"/>
    <w:rsid w:val="00A70496"/>
    <w:rsid w:val="00A7061A"/>
    <w:rsid w:val="00A70689"/>
    <w:rsid w:val="00A71362"/>
    <w:rsid w:val="00A7142F"/>
    <w:rsid w:val="00A717D3"/>
    <w:rsid w:val="00A71890"/>
    <w:rsid w:val="00A71AED"/>
    <w:rsid w:val="00A71F0D"/>
    <w:rsid w:val="00A721D9"/>
    <w:rsid w:val="00A722BF"/>
    <w:rsid w:val="00A7244B"/>
    <w:rsid w:val="00A72561"/>
    <w:rsid w:val="00A72740"/>
    <w:rsid w:val="00A727FB"/>
    <w:rsid w:val="00A7289E"/>
    <w:rsid w:val="00A72FF7"/>
    <w:rsid w:val="00A73121"/>
    <w:rsid w:val="00A73466"/>
    <w:rsid w:val="00A734C6"/>
    <w:rsid w:val="00A739DB"/>
    <w:rsid w:val="00A739FE"/>
    <w:rsid w:val="00A73AAD"/>
    <w:rsid w:val="00A73CAB"/>
    <w:rsid w:val="00A73EBE"/>
    <w:rsid w:val="00A7403D"/>
    <w:rsid w:val="00A7418D"/>
    <w:rsid w:val="00A7427A"/>
    <w:rsid w:val="00A74528"/>
    <w:rsid w:val="00A74873"/>
    <w:rsid w:val="00A74A13"/>
    <w:rsid w:val="00A74F3B"/>
    <w:rsid w:val="00A74F51"/>
    <w:rsid w:val="00A75133"/>
    <w:rsid w:val="00A752A0"/>
    <w:rsid w:val="00A752D3"/>
    <w:rsid w:val="00A75482"/>
    <w:rsid w:val="00A7565B"/>
    <w:rsid w:val="00A758CC"/>
    <w:rsid w:val="00A75AFD"/>
    <w:rsid w:val="00A75B8C"/>
    <w:rsid w:val="00A76359"/>
    <w:rsid w:val="00A76806"/>
    <w:rsid w:val="00A769AA"/>
    <w:rsid w:val="00A769D2"/>
    <w:rsid w:val="00A76B2D"/>
    <w:rsid w:val="00A76CDA"/>
    <w:rsid w:val="00A76EA6"/>
    <w:rsid w:val="00A76F35"/>
    <w:rsid w:val="00A76FAD"/>
    <w:rsid w:val="00A7737D"/>
    <w:rsid w:val="00A775E5"/>
    <w:rsid w:val="00A77789"/>
    <w:rsid w:val="00A778CE"/>
    <w:rsid w:val="00A7794A"/>
    <w:rsid w:val="00A77B09"/>
    <w:rsid w:val="00A77C7A"/>
    <w:rsid w:val="00A77DD8"/>
    <w:rsid w:val="00A77E05"/>
    <w:rsid w:val="00A77F13"/>
    <w:rsid w:val="00A80178"/>
    <w:rsid w:val="00A80298"/>
    <w:rsid w:val="00A80353"/>
    <w:rsid w:val="00A80459"/>
    <w:rsid w:val="00A804DF"/>
    <w:rsid w:val="00A80789"/>
    <w:rsid w:val="00A80A52"/>
    <w:rsid w:val="00A80AF5"/>
    <w:rsid w:val="00A80B79"/>
    <w:rsid w:val="00A80BE4"/>
    <w:rsid w:val="00A81507"/>
    <w:rsid w:val="00A8165A"/>
    <w:rsid w:val="00A81A0C"/>
    <w:rsid w:val="00A81A2F"/>
    <w:rsid w:val="00A81B09"/>
    <w:rsid w:val="00A81BEB"/>
    <w:rsid w:val="00A81DD2"/>
    <w:rsid w:val="00A8222C"/>
    <w:rsid w:val="00A82467"/>
    <w:rsid w:val="00A827BD"/>
    <w:rsid w:val="00A8284D"/>
    <w:rsid w:val="00A82C1B"/>
    <w:rsid w:val="00A82E27"/>
    <w:rsid w:val="00A82F07"/>
    <w:rsid w:val="00A83786"/>
    <w:rsid w:val="00A83E85"/>
    <w:rsid w:val="00A83EC4"/>
    <w:rsid w:val="00A84051"/>
    <w:rsid w:val="00A84265"/>
    <w:rsid w:val="00A84301"/>
    <w:rsid w:val="00A84396"/>
    <w:rsid w:val="00A84457"/>
    <w:rsid w:val="00A84598"/>
    <w:rsid w:val="00A84885"/>
    <w:rsid w:val="00A84988"/>
    <w:rsid w:val="00A84B75"/>
    <w:rsid w:val="00A84F05"/>
    <w:rsid w:val="00A84FC5"/>
    <w:rsid w:val="00A85058"/>
    <w:rsid w:val="00A858DF"/>
    <w:rsid w:val="00A86506"/>
    <w:rsid w:val="00A86669"/>
    <w:rsid w:val="00A867A3"/>
    <w:rsid w:val="00A86B25"/>
    <w:rsid w:val="00A86EAA"/>
    <w:rsid w:val="00A8715A"/>
    <w:rsid w:val="00A87589"/>
    <w:rsid w:val="00A87763"/>
    <w:rsid w:val="00A87B6B"/>
    <w:rsid w:val="00A90398"/>
    <w:rsid w:val="00A9047E"/>
    <w:rsid w:val="00A907A8"/>
    <w:rsid w:val="00A90B88"/>
    <w:rsid w:val="00A90F5C"/>
    <w:rsid w:val="00A91046"/>
    <w:rsid w:val="00A917CE"/>
    <w:rsid w:val="00A9188E"/>
    <w:rsid w:val="00A91967"/>
    <w:rsid w:val="00A928E9"/>
    <w:rsid w:val="00A92969"/>
    <w:rsid w:val="00A92CCA"/>
    <w:rsid w:val="00A93F0E"/>
    <w:rsid w:val="00A94149"/>
    <w:rsid w:val="00A943B4"/>
    <w:rsid w:val="00A944C8"/>
    <w:rsid w:val="00A953D8"/>
    <w:rsid w:val="00A95944"/>
    <w:rsid w:val="00A959E1"/>
    <w:rsid w:val="00A95BC4"/>
    <w:rsid w:val="00A960CE"/>
    <w:rsid w:val="00A96165"/>
    <w:rsid w:val="00A96193"/>
    <w:rsid w:val="00A9629E"/>
    <w:rsid w:val="00A966B8"/>
    <w:rsid w:val="00A96A6F"/>
    <w:rsid w:val="00A96B19"/>
    <w:rsid w:val="00A96CAD"/>
    <w:rsid w:val="00A96E5F"/>
    <w:rsid w:val="00A9704E"/>
    <w:rsid w:val="00A972E2"/>
    <w:rsid w:val="00A973F7"/>
    <w:rsid w:val="00A9750B"/>
    <w:rsid w:val="00A97B29"/>
    <w:rsid w:val="00A97E7A"/>
    <w:rsid w:val="00AA00C4"/>
    <w:rsid w:val="00AA01F9"/>
    <w:rsid w:val="00AA0264"/>
    <w:rsid w:val="00AA02ED"/>
    <w:rsid w:val="00AA0640"/>
    <w:rsid w:val="00AA0668"/>
    <w:rsid w:val="00AA0833"/>
    <w:rsid w:val="00AA0A86"/>
    <w:rsid w:val="00AA0BB9"/>
    <w:rsid w:val="00AA0C32"/>
    <w:rsid w:val="00AA0CB5"/>
    <w:rsid w:val="00AA0F7B"/>
    <w:rsid w:val="00AA10A0"/>
    <w:rsid w:val="00AA111F"/>
    <w:rsid w:val="00AA1445"/>
    <w:rsid w:val="00AA1F70"/>
    <w:rsid w:val="00AA2AD8"/>
    <w:rsid w:val="00AA30EC"/>
    <w:rsid w:val="00AA3350"/>
    <w:rsid w:val="00AA337E"/>
    <w:rsid w:val="00AA34B2"/>
    <w:rsid w:val="00AA35FE"/>
    <w:rsid w:val="00AA3734"/>
    <w:rsid w:val="00AA3A0B"/>
    <w:rsid w:val="00AA3CF4"/>
    <w:rsid w:val="00AA3E2F"/>
    <w:rsid w:val="00AA3EAF"/>
    <w:rsid w:val="00AA3EE1"/>
    <w:rsid w:val="00AA4119"/>
    <w:rsid w:val="00AA4146"/>
    <w:rsid w:val="00AA414C"/>
    <w:rsid w:val="00AA41C6"/>
    <w:rsid w:val="00AA4333"/>
    <w:rsid w:val="00AA47C9"/>
    <w:rsid w:val="00AA4E3B"/>
    <w:rsid w:val="00AA5249"/>
    <w:rsid w:val="00AA524D"/>
    <w:rsid w:val="00AA53D0"/>
    <w:rsid w:val="00AA5409"/>
    <w:rsid w:val="00AA5510"/>
    <w:rsid w:val="00AA558B"/>
    <w:rsid w:val="00AA59E1"/>
    <w:rsid w:val="00AA5BAB"/>
    <w:rsid w:val="00AA5E17"/>
    <w:rsid w:val="00AA5EB7"/>
    <w:rsid w:val="00AA5FD2"/>
    <w:rsid w:val="00AA638C"/>
    <w:rsid w:val="00AA65F2"/>
    <w:rsid w:val="00AA7068"/>
    <w:rsid w:val="00AA7131"/>
    <w:rsid w:val="00AA719D"/>
    <w:rsid w:val="00AA71CF"/>
    <w:rsid w:val="00AA747B"/>
    <w:rsid w:val="00AA750F"/>
    <w:rsid w:val="00AA798E"/>
    <w:rsid w:val="00AA79AD"/>
    <w:rsid w:val="00AA7B91"/>
    <w:rsid w:val="00AA7C9B"/>
    <w:rsid w:val="00AB0189"/>
    <w:rsid w:val="00AB027A"/>
    <w:rsid w:val="00AB029E"/>
    <w:rsid w:val="00AB09A0"/>
    <w:rsid w:val="00AB0DE6"/>
    <w:rsid w:val="00AB130D"/>
    <w:rsid w:val="00AB13B9"/>
    <w:rsid w:val="00AB1401"/>
    <w:rsid w:val="00AB1450"/>
    <w:rsid w:val="00AB1734"/>
    <w:rsid w:val="00AB18E9"/>
    <w:rsid w:val="00AB1BAE"/>
    <w:rsid w:val="00AB1D65"/>
    <w:rsid w:val="00AB262D"/>
    <w:rsid w:val="00AB264F"/>
    <w:rsid w:val="00AB2807"/>
    <w:rsid w:val="00AB2961"/>
    <w:rsid w:val="00AB2B60"/>
    <w:rsid w:val="00AB2C2B"/>
    <w:rsid w:val="00AB2FA6"/>
    <w:rsid w:val="00AB3359"/>
    <w:rsid w:val="00AB3381"/>
    <w:rsid w:val="00AB3478"/>
    <w:rsid w:val="00AB35DD"/>
    <w:rsid w:val="00AB38F0"/>
    <w:rsid w:val="00AB392B"/>
    <w:rsid w:val="00AB3959"/>
    <w:rsid w:val="00AB3CD9"/>
    <w:rsid w:val="00AB3D6E"/>
    <w:rsid w:val="00AB45A0"/>
    <w:rsid w:val="00AB49AA"/>
    <w:rsid w:val="00AB4C5D"/>
    <w:rsid w:val="00AB4EEF"/>
    <w:rsid w:val="00AB5485"/>
    <w:rsid w:val="00AB5569"/>
    <w:rsid w:val="00AB57A7"/>
    <w:rsid w:val="00AB5B2B"/>
    <w:rsid w:val="00AB5F49"/>
    <w:rsid w:val="00AB646A"/>
    <w:rsid w:val="00AB66AC"/>
    <w:rsid w:val="00AB6950"/>
    <w:rsid w:val="00AB6CA8"/>
    <w:rsid w:val="00AB6EFF"/>
    <w:rsid w:val="00AB71B1"/>
    <w:rsid w:val="00AB7312"/>
    <w:rsid w:val="00AB7534"/>
    <w:rsid w:val="00AB7588"/>
    <w:rsid w:val="00AB7763"/>
    <w:rsid w:val="00AB78B2"/>
    <w:rsid w:val="00AB7F10"/>
    <w:rsid w:val="00AC0229"/>
    <w:rsid w:val="00AC0240"/>
    <w:rsid w:val="00AC051C"/>
    <w:rsid w:val="00AC056A"/>
    <w:rsid w:val="00AC07B4"/>
    <w:rsid w:val="00AC0BCA"/>
    <w:rsid w:val="00AC12C8"/>
    <w:rsid w:val="00AC1363"/>
    <w:rsid w:val="00AC1381"/>
    <w:rsid w:val="00AC17BB"/>
    <w:rsid w:val="00AC2199"/>
    <w:rsid w:val="00AC2599"/>
    <w:rsid w:val="00AC25E6"/>
    <w:rsid w:val="00AC2BB7"/>
    <w:rsid w:val="00AC33F6"/>
    <w:rsid w:val="00AC3462"/>
    <w:rsid w:val="00AC35C9"/>
    <w:rsid w:val="00AC36A4"/>
    <w:rsid w:val="00AC39C2"/>
    <w:rsid w:val="00AC3A7A"/>
    <w:rsid w:val="00AC4624"/>
    <w:rsid w:val="00AC46E1"/>
    <w:rsid w:val="00AC4ADF"/>
    <w:rsid w:val="00AC4B96"/>
    <w:rsid w:val="00AC4D32"/>
    <w:rsid w:val="00AC4E64"/>
    <w:rsid w:val="00AC5399"/>
    <w:rsid w:val="00AC56B6"/>
    <w:rsid w:val="00AC5700"/>
    <w:rsid w:val="00AC573D"/>
    <w:rsid w:val="00AC5A8D"/>
    <w:rsid w:val="00AC5BBE"/>
    <w:rsid w:val="00AC6114"/>
    <w:rsid w:val="00AC638C"/>
    <w:rsid w:val="00AC63B4"/>
    <w:rsid w:val="00AC673A"/>
    <w:rsid w:val="00AC680F"/>
    <w:rsid w:val="00AC68A7"/>
    <w:rsid w:val="00AC6BA8"/>
    <w:rsid w:val="00AC6C12"/>
    <w:rsid w:val="00AC6DE0"/>
    <w:rsid w:val="00AC71A9"/>
    <w:rsid w:val="00AC77B9"/>
    <w:rsid w:val="00AC7C6E"/>
    <w:rsid w:val="00AC7CAC"/>
    <w:rsid w:val="00AC7D29"/>
    <w:rsid w:val="00AC7E3B"/>
    <w:rsid w:val="00AC7E98"/>
    <w:rsid w:val="00AD04AE"/>
    <w:rsid w:val="00AD0E35"/>
    <w:rsid w:val="00AD0F0A"/>
    <w:rsid w:val="00AD0F9A"/>
    <w:rsid w:val="00AD109E"/>
    <w:rsid w:val="00AD190A"/>
    <w:rsid w:val="00AD1E2D"/>
    <w:rsid w:val="00AD2000"/>
    <w:rsid w:val="00AD20B2"/>
    <w:rsid w:val="00AD20E2"/>
    <w:rsid w:val="00AD2338"/>
    <w:rsid w:val="00AD2773"/>
    <w:rsid w:val="00AD2EEE"/>
    <w:rsid w:val="00AD2FB7"/>
    <w:rsid w:val="00AD3572"/>
    <w:rsid w:val="00AD37E1"/>
    <w:rsid w:val="00AD3B3A"/>
    <w:rsid w:val="00AD3BD9"/>
    <w:rsid w:val="00AD436F"/>
    <w:rsid w:val="00AD4483"/>
    <w:rsid w:val="00AD4C3E"/>
    <w:rsid w:val="00AD4EFB"/>
    <w:rsid w:val="00AD5602"/>
    <w:rsid w:val="00AD565B"/>
    <w:rsid w:val="00AD5740"/>
    <w:rsid w:val="00AD57A1"/>
    <w:rsid w:val="00AD5B03"/>
    <w:rsid w:val="00AD5B7B"/>
    <w:rsid w:val="00AD5C61"/>
    <w:rsid w:val="00AD5E6F"/>
    <w:rsid w:val="00AD5EEC"/>
    <w:rsid w:val="00AD63C8"/>
    <w:rsid w:val="00AD681A"/>
    <w:rsid w:val="00AD6C0F"/>
    <w:rsid w:val="00AD6C2A"/>
    <w:rsid w:val="00AD6D68"/>
    <w:rsid w:val="00AD6ECE"/>
    <w:rsid w:val="00AD6F53"/>
    <w:rsid w:val="00AD7352"/>
    <w:rsid w:val="00AD73BB"/>
    <w:rsid w:val="00AD74E4"/>
    <w:rsid w:val="00AD7577"/>
    <w:rsid w:val="00AD7789"/>
    <w:rsid w:val="00AD78D4"/>
    <w:rsid w:val="00AD7C05"/>
    <w:rsid w:val="00AD7EB6"/>
    <w:rsid w:val="00AD7FE8"/>
    <w:rsid w:val="00AE0048"/>
    <w:rsid w:val="00AE0B82"/>
    <w:rsid w:val="00AE0BA8"/>
    <w:rsid w:val="00AE0BFA"/>
    <w:rsid w:val="00AE0DCF"/>
    <w:rsid w:val="00AE0F15"/>
    <w:rsid w:val="00AE0F56"/>
    <w:rsid w:val="00AE14BB"/>
    <w:rsid w:val="00AE1580"/>
    <w:rsid w:val="00AE182F"/>
    <w:rsid w:val="00AE18A5"/>
    <w:rsid w:val="00AE1B7C"/>
    <w:rsid w:val="00AE1DD7"/>
    <w:rsid w:val="00AE28D8"/>
    <w:rsid w:val="00AE290F"/>
    <w:rsid w:val="00AE2D20"/>
    <w:rsid w:val="00AE2E76"/>
    <w:rsid w:val="00AE2F23"/>
    <w:rsid w:val="00AE342D"/>
    <w:rsid w:val="00AE356F"/>
    <w:rsid w:val="00AE358D"/>
    <w:rsid w:val="00AE3696"/>
    <w:rsid w:val="00AE3908"/>
    <w:rsid w:val="00AE391E"/>
    <w:rsid w:val="00AE3999"/>
    <w:rsid w:val="00AE39E1"/>
    <w:rsid w:val="00AE3A3C"/>
    <w:rsid w:val="00AE3D9E"/>
    <w:rsid w:val="00AE3E51"/>
    <w:rsid w:val="00AE4002"/>
    <w:rsid w:val="00AE40F7"/>
    <w:rsid w:val="00AE44B3"/>
    <w:rsid w:val="00AE471D"/>
    <w:rsid w:val="00AE47C4"/>
    <w:rsid w:val="00AE4DF9"/>
    <w:rsid w:val="00AE5044"/>
    <w:rsid w:val="00AE50C0"/>
    <w:rsid w:val="00AE53BB"/>
    <w:rsid w:val="00AE56E0"/>
    <w:rsid w:val="00AE656E"/>
    <w:rsid w:val="00AE6AE5"/>
    <w:rsid w:val="00AE6D4B"/>
    <w:rsid w:val="00AE73E9"/>
    <w:rsid w:val="00AE75F9"/>
    <w:rsid w:val="00AE7666"/>
    <w:rsid w:val="00AE794B"/>
    <w:rsid w:val="00AE7C98"/>
    <w:rsid w:val="00AE7E21"/>
    <w:rsid w:val="00AE7F5C"/>
    <w:rsid w:val="00AF01DD"/>
    <w:rsid w:val="00AF0476"/>
    <w:rsid w:val="00AF06E4"/>
    <w:rsid w:val="00AF076F"/>
    <w:rsid w:val="00AF0868"/>
    <w:rsid w:val="00AF095A"/>
    <w:rsid w:val="00AF0AD2"/>
    <w:rsid w:val="00AF11B3"/>
    <w:rsid w:val="00AF19F8"/>
    <w:rsid w:val="00AF2311"/>
    <w:rsid w:val="00AF23DD"/>
    <w:rsid w:val="00AF251E"/>
    <w:rsid w:val="00AF27AA"/>
    <w:rsid w:val="00AF2B42"/>
    <w:rsid w:val="00AF2C19"/>
    <w:rsid w:val="00AF2D1D"/>
    <w:rsid w:val="00AF2F58"/>
    <w:rsid w:val="00AF3468"/>
    <w:rsid w:val="00AF346E"/>
    <w:rsid w:val="00AF3802"/>
    <w:rsid w:val="00AF3AEF"/>
    <w:rsid w:val="00AF3BD5"/>
    <w:rsid w:val="00AF3C81"/>
    <w:rsid w:val="00AF3CC6"/>
    <w:rsid w:val="00AF3F6A"/>
    <w:rsid w:val="00AF4972"/>
    <w:rsid w:val="00AF4CD6"/>
    <w:rsid w:val="00AF4DA5"/>
    <w:rsid w:val="00AF5711"/>
    <w:rsid w:val="00AF5833"/>
    <w:rsid w:val="00AF59B1"/>
    <w:rsid w:val="00AF5C54"/>
    <w:rsid w:val="00AF5C5B"/>
    <w:rsid w:val="00AF5D43"/>
    <w:rsid w:val="00AF6128"/>
    <w:rsid w:val="00AF6380"/>
    <w:rsid w:val="00AF658C"/>
    <w:rsid w:val="00AF67B0"/>
    <w:rsid w:val="00AF6888"/>
    <w:rsid w:val="00AF6A67"/>
    <w:rsid w:val="00AF6CA5"/>
    <w:rsid w:val="00AF6D0C"/>
    <w:rsid w:val="00AF6E9D"/>
    <w:rsid w:val="00AF717F"/>
    <w:rsid w:val="00AF7301"/>
    <w:rsid w:val="00AF75DA"/>
    <w:rsid w:val="00AF7D91"/>
    <w:rsid w:val="00B00692"/>
    <w:rsid w:val="00B00739"/>
    <w:rsid w:val="00B008AC"/>
    <w:rsid w:val="00B0092E"/>
    <w:rsid w:val="00B00D11"/>
    <w:rsid w:val="00B00EAC"/>
    <w:rsid w:val="00B013A5"/>
    <w:rsid w:val="00B0184E"/>
    <w:rsid w:val="00B018CA"/>
    <w:rsid w:val="00B019F2"/>
    <w:rsid w:val="00B01CE9"/>
    <w:rsid w:val="00B027ED"/>
    <w:rsid w:val="00B02A25"/>
    <w:rsid w:val="00B02A52"/>
    <w:rsid w:val="00B02B60"/>
    <w:rsid w:val="00B02CE8"/>
    <w:rsid w:val="00B02EAF"/>
    <w:rsid w:val="00B02EBB"/>
    <w:rsid w:val="00B032A5"/>
    <w:rsid w:val="00B0383D"/>
    <w:rsid w:val="00B0387D"/>
    <w:rsid w:val="00B039F8"/>
    <w:rsid w:val="00B04568"/>
    <w:rsid w:val="00B046E8"/>
    <w:rsid w:val="00B047A4"/>
    <w:rsid w:val="00B04D82"/>
    <w:rsid w:val="00B04E2F"/>
    <w:rsid w:val="00B04FE5"/>
    <w:rsid w:val="00B05296"/>
    <w:rsid w:val="00B05519"/>
    <w:rsid w:val="00B05664"/>
    <w:rsid w:val="00B0580C"/>
    <w:rsid w:val="00B05A8D"/>
    <w:rsid w:val="00B05DBF"/>
    <w:rsid w:val="00B066BD"/>
    <w:rsid w:val="00B06ABF"/>
    <w:rsid w:val="00B07069"/>
    <w:rsid w:val="00B074F9"/>
    <w:rsid w:val="00B076CD"/>
    <w:rsid w:val="00B07D67"/>
    <w:rsid w:val="00B07F6B"/>
    <w:rsid w:val="00B100BE"/>
    <w:rsid w:val="00B10340"/>
    <w:rsid w:val="00B10570"/>
    <w:rsid w:val="00B10AAB"/>
    <w:rsid w:val="00B10AD2"/>
    <w:rsid w:val="00B10B33"/>
    <w:rsid w:val="00B10D2B"/>
    <w:rsid w:val="00B10E33"/>
    <w:rsid w:val="00B10EB8"/>
    <w:rsid w:val="00B110CD"/>
    <w:rsid w:val="00B11939"/>
    <w:rsid w:val="00B11D8B"/>
    <w:rsid w:val="00B12AC4"/>
    <w:rsid w:val="00B13205"/>
    <w:rsid w:val="00B1324C"/>
    <w:rsid w:val="00B13780"/>
    <w:rsid w:val="00B138B4"/>
    <w:rsid w:val="00B13BB1"/>
    <w:rsid w:val="00B13F30"/>
    <w:rsid w:val="00B13FB7"/>
    <w:rsid w:val="00B145A1"/>
    <w:rsid w:val="00B14A9E"/>
    <w:rsid w:val="00B14BBF"/>
    <w:rsid w:val="00B14DBE"/>
    <w:rsid w:val="00B1512E"/>
    <w:rsid w:val="00B153BD"/>
    <w:rsid w:val="00B15446"/>
    <w:rsid w:val="00B1558E"/>
    <w:rsid w:val="00B155C5"/>
    <w:rsid w:val="00B15CC5"/>
    <w:rsid w:val="00B15E8B"/>
    <w:rsid w:val="00B15E96"/>
    <w:rsid w:val="00B162EA"/>
    <w:rsid w:val="00B16557"/>
    <w:rsid w:val="00B166A8"/>
    <w:rsid w:val="00B16838"/>
    <w:rsid w:val="00B16924"/>
    <w:rsid w:val="00B16945"/>
    <w:rsid w:val="00B16AA9"/>
    <w:rsid w:val="00B17019"/>
    <w:rsid w:val="00B17169"/>
    <w:rsid w:val="00B17C02"/>
    <w:rsid w:val="00B17CC1"/>
    <w:rsid w:val="00B20131"/>
    <w:rsid w:val="00B20664"/>
    <w:rsid w:val="00B2077B"/>
    <w:rsid w:val="00B207A5"/>
    <w:rsid w:val="00B20D69"/>
    <w:rsid w:val="00B20DF1"/>
    <w:rsid w:val="00B211AB"/>
    <w:rsid w:val="00B2147B"/>
    <w:rsid w:val="00B214D8"/>
    <w:rsid w:val="00B2150D"/>
    <w:rsid w:val="00B216C5"/>
    <w:rsid w:val="00B219F8"/>
    <w:rsid w:val="00B21A9F"/>
    <w:rsid w:val="00B21D68"/>
    <w:rsid w:val="00B21ECB"/>
    <w:rsid w:val="00B21EF9"/>
    <w:rsid w:val="00B21FC8"/>
    <w:rsid w:val="00B225D8"/>
    <w:rsid w:val="00B22DBD"/>
    <w:rsid w:val="00B23291"/>
    <w:rsid w:val="00B23292"/>
    <w:rsid w:val="00B234BD"/>
    <w:rsid w:val="00B2369D"/>
    <w:rsid w:val="00B238C6"/>
    <w:rsid w:val="00B23A85"/>
    <w:rsid w:val="00B23CD9"/>
    <w:rsid w:val="00B23E66"/>
    <w:rsid w:val="00B23FB0"/>
    <w:rsid w:val="00B24754"/>
    <w:rsid w:val="00B24812"/>
    <w:rsid w:val="00B249D0"/>
    <w:rsid w:val="00B24A46"/>
    <w:rsid w:val="00B24AD9"/>
    <w:rsid w:val="00B25002"/>
    <w:rsid w:val="00B250AF"/>
    <w:rsid w:val="00B251F0"/>
    <w:rsid w:val="00B25F41"/>
    <w:rsid w:val="00B260F8"/>
    <w:rsid w:val="00B26CE3"/>
    <w:rsid w:val="00B26D34"/>
    <w:rsid w:val="00B273A9"/>
    <w:rsid w:val="00B27A3D"/>
    <w:rsid w:val="00B27A4D"/>
    <w:rsid w:val="00B27B6B"/>
    <w:rsid w:val="00B27CED"/>
    <w:rsid w:val="00B300D5"/>
    <w:rsid w:val="00B30216"/>
    <w:rsid w:val="00B3097B"/>
    <w:rsid w:val="00B30C28"/>
    <w:rsid w:val="00B3103C"/>
    <w:rsid w:val="00B3149B"/>
    <w:rsid w:val="00B31D29"/>
    <w:rsid w:val="00B31D5F"/>
    <w:rsid w:val="00B31DED"/>
    <w:rsid w:val="00B3206C"/>
    <w:rsid w:val="00B32120"/>
    <w:rsid w:val="00B3248E"/>
    <w:rsid w:val="00B32BFA"/>
    <w:rsid w:val="00B32CDA"/>
    <w:rsid w:val="00B32FC5"/>
    <w:rsid w:val="00B32FEC"/>
    <w:rsid w:val="00B3320D"/>
    <w:rsid w:val="00B335D5"/>
    <w:rsid w:val="00B33705"/>
    <w:rsid w:val="00B33918"/>
    <w:rsid w:val="00B33A27"/>
    <w:rsid w:val="00B33FF2"/>
    <w:rsid w:val="00B34308"/>
    <w:rsid w:val="00B3450E"/>
    <w:rsid w:val="00B3463A"/>
    <w:rsid w:val="00B34A52"/>
    <w:rsid w:val="00B34D26"/>
    <w:rsid w:val="00B34D8B"/>
    <w:rsid w:val="00B35218"/>
    <w:rsid w:val="00B355CF"/>
    <w:rsid w:val="00B35835"/>
    <w:rsid w:val="00B35A63"/>
    <w:rsid w:val="00B35E90"/>
    <w:rsid w:val="00B36426"/>
    <w:rsid w:val="00B3652C"/>
    <w:rsid w:val="00B3673D"/>
    <w:rsid w:val="00B3695E"/>
    <w:rsid w:val="00B36BDB"/>
    <w:rsid w:val="00B36BDF"/>
    <w:rsid w:val="00B3750E"/>
    <w:rsid w:val="00B3757A"/>
    <w:rsid w:val="00B375F5"/>
    <w:rsid w:val="00B37652"/>
    <w:rsid w:val="00B37712"/>
    <w:rsid w:val="00B37844"/>
    <w:rsid w:val="00B37A12"/>
    <w:rsid w:val="00B37B66"/>
    <w:rsid w:val="00B37B90"/>
    <w:rsid w:val="00B37EDE"/>
    <w:rsid w:val="00B40037"/>
    <w:rsid w:val="00B4026F"/>
    <w:rsid w:val="00B403C3"/>
    <w:rsid w:val="00B409E8"/>
    <w:rsid w:val="00B40B0D"/>
    <w:rsid w:val="00B41019"/>
    <w:rsid w:val="00B4123D"/>
    <w:rsid w:val="00B41EBD"/>
    <w:rsid w:val="00B41F7E"/>
    <w:rsid w:val="00B42359"/>
    <w:rsid w:val="00B4236A"/>
    <w:rsid w:val="00B423BC"/>
    <w:rsid w:val="00B4255B"/>
    <w:rsid w:val="00B426B6"/>
    <w:rsid w:val="00B42C5A"/>
    <w:rsid w:val="00B435B7"/>
    <w:rsid w:val="00B435D2"/>
    <w:rsid w:val="00B43678"/>
    <w:rsid w:val="00B436AE"/>
    <w:rsid w:val="00B4373D"/>
    <w:rsid w:val="00B43883"/>
    <w:rsid w:val="00B43C25"/>
    <w:rsid w:val="00B44383"/>
    <w:rsid w:val="00B44595"/>
    <w:rsid w:val="00B448A0"/>
    <w:rsid w:val="00B448EC"/>
    <w:rsid w:val="00B44C43"/>
    <w:rsid w:val="00B44D64"/>
    <w:rsid w:val="00B45288"/>
    <w:rsid w:val="00B45C6D"/>
    <w:rsid w:val="00B462C6"/>
    <w:rsid w:val="00B46811"/>
    <w:rsid w:val="00B46859"/>
    <w:rsid w:val="00B46CCA"/>
    <w:rsid w:val="00B46D59"/>
    <w:rsid w:val="00B46FD9"/>
    <w:rsid w:val="00B47690"/>
    <w:rsid w:val="00B476BC"/>
    <w:rsid w:val="00B47B6A"/>
    <w:rsid w:val="00B47E7F"/>
    <w:rsid w:val="00B47E94"/>
    <w:rsid w:val="00B504B9"/>
    <w:rsid w:val="00B5078E"/>
    <w:rsid w:val="00B50961"/>
    <w:rsid w:val="00B50972"/>
    <w:rsid w:val="00B50D18"/>
    <w:rsid w:val="00B50EBB"/>
    <w:rsid w:val="00B512CA"/>
    <w:rsid w:val="00B51303"/>
    <w:rsid w:val="00B51403"/>
    <w:rsid w:val="00B515B9"/>
    <w:rsid w:val="00B51791"/>
    <w:rsid w:val="00B517B3"/>
    <w:rsid w:val="00B5187B"/>
    <w:rsid w:val="00B51FFC"/>
    <w:rsid w:val="00B52337"/>
    <w:rsid w:val="00B5242D"/>
    <w:rsid w:val="00B524FD"/>
    <w:rsid w:val="00B5271A"/>
    <w:rsid w:val="00B52C3B"/>
    <w:rsid w:val="00B52E71"/>
    <w:rsid w:val="00B530A8"/>
    <w:rsid w:val="00B53478"/>
    <w:rsid w:val="00B53587"/>
    <w:rsid w:val="00B53813"/>
    <w:rsid w:val="00B539EE"/>
    <w:rsid w:val="00B53E79"/>
    <w:rsid w:val="00B53FA4"/>
    <w:rsid w:val="00B540DD"/>
    <w:rsid w:val="00B54780"/>
    <w:rsid w:val="00B54861"/>
    <w:rsid w:val="00B54AFB"/>
    <w:rsid w:val="00B54C97"/>
    <w:rsid w:val="00B54E35"/>
    <w:rsid w:val="00B55245"/>
    <w:rsid w:val="00B554BA"/>
    <w:rsid w:val="00B55A00"/>
    <w:rsid w:val="00B55C30"/>
    <w:rsid w:val="00B5652C"/>
    <w:rsid w:val="00B56584"/>
    <w:rsid w:val="00B56634"/>
    <w:rsid w:val="00B567FE"/>
    <w:rsid w:val="00B56D7F"/>
    <w:rsid w:val="00B56E02"/>
    <w:rsid w:val="00B57319"/>
    <w:rsid w:val="00B57BA8"/>
    <w:rsid w:val="00B57C45"/>
    <w:rsid w:val="00B57D10"/>
    <w:rsid w:val="00B57DE7"/>
    <w:rsid w:val="00B57F11"/>
    <w:rsid w:val="00B601E7"/>
    <w:rsid w:val="00B60628"/>
    <w:rsid w:val="00B6066E"/>
    <w:rsid w:val="00B6079F"/>
    <w:rsid w:val="00B60A7A"/>
    <w:rsid w:val="00B614FF"/>
    <w:rsid w:val="00B621ED"/>
    <w:rsid w:val="00B6237B"/>
    <w:rsid w:val="00B624B8"/>
    <w:rsid w:val="00B626F3"/>
    <w:rsid w:val="00B628A0"/>
    <w:rsid w:val="00B62921"/>
    <w:rsid w:val="00B62BC2"/>
    <w:rsid w:val="00B62C50"/>
    <w:rsid w:val="00B62DF9"/>
    <w:rsid w:val="00B62E03"/>
    <w:rsid w:val="00B630FC"/>
    <w:rsid w:val="00B632DE"/>
    <w:rsid w:val="00B632E9"/>
    <w:rsid w:val="00B63AB2"/>
    <w:rsid w:val="00B63BA0"/>
    <w:rsid w:val="00B63E65"/>
    <w:rsid w:val="00B63FB4"/>
    <w:rsid w:val="00B64112"/>
    <w:rsid w:val="00B6425A"/>
    <w:rsid w:val="00B64424"/>
    <w:rsid w:val="00B646F0"/>
    <w:rsid w:val="00B649EC"/>
    <w:rsid w:val="00B64D61"/>
    <w:rsid w:val="00B651B4"/>
    <w:rsid w:val="00B654C2"/>
    <w:rsid w:val="00B65828"/>
    <w:rsid w:val="00B6585E"/>
    <w:rsid w:val="00B65DDE"/>
    <w:rsid w:val="00B6649C"/>
    <w:rsid w:val="00B6650A"/>
    <w:rsid w:val="00B66550"/>
    <w:rsid w:val="00B66745"/>
    <w:rsid w:val="00B668CE"/>
    <w:rsid w:val="00B6692E"/>
    <w:rsid w:val="00B669FC"/>
    <w:rsid w:val="00B673C0"/>
    <w:rsid w:val="00B67543"/>
    <w:rsid w:val="00B67619"/>
    <w:rsid w:val="00B679D2"/>
    <w:rsid w:val="00B70164"/>
    <w:rsid w:val="00B702A4"/>
    <w:rsid w:val="00B704A5"/>
    <w:rsid w:val="00B70DF4"/>
    <w:rsid w:val="00B70FB3"/>
    <w:rsid w:val="00B7102C"/>
    <w:rsid w:val="00B712B9"/>
    <w:rsid w:val="00B71340"/>
    <w:rsid w:val="00B7136A"/>
    <w:rsid w:val="00B71ABE"/>
    <w:rsid w:val="00B72A81"/>
    <w:rsid w:val="00B72AA9"/>
    <w:rsid w:val="00B72ADE"/>
    <w:rsid w:val="00B72E1E"/>
    <w:rsid w:val="00B72F0D"/>
    <w:rsid w:val="00B733FF"/>
    <w:rsid w:val="00B735C8"/>
    <w:rsid w:val="00B73A36"/>
    <w:rsid w:val="00B73A3D"/>
    <w:rsid w:val="00B73A55"/>
    <w:rsid w:val="00B73DAD"/>
    <w:rsid w:val="00B74169"/>
    <w:rsid w:val="00B7431C"/>
    <w:rsid w:val="00B744C5"/>
    <w:rsid w:val="00B7487F"/>
    <w:rsid w:val="00B748CF"/>
    <w:rsid w:val="00B749AB"/>
    <w:rsid w:val="00B74C48"/>
    <w:rsid w:val="00B74F01"/>
    <w:rsid w:val="00B74FC4"/>
    <w:rsid w:val="00B75161"/>
    <w:rsid w:val="00B7563F"/>
    <w:rsid w:val="00B756E4"/>
    <w:rsid w:val="00B756E5"/>
    <w:rsid w:val="00B75707"/>
    <w:rsid w:val="00B757AA"/>
    <w:rsid w:val="00B7588F"/>
    <w:rsid w:val="00B75BB8"/>
    <w:rsid w:val="00B7610C"/>
    <w:rsid w:val="00B763F0"/>
    <w:rsid w:val="00B76712"/>
    <w:rsid w:val="00B7686B"/>
    <w:rsid w:val="00B76A33"/>
    <w:rsid w:val="00B76C2B"/>
    <w:rsid w:val="00B76F4E"/>
    <w:rsid w:val="00B7707A"/>
    <w:rsid w:val="00B77315"/>
    <w:rsid w:val="00B775C7"/>
    <w:rsid w:val="00B77A36"/>
    <w:rsid w:val="00B77B33"/>
    <w:rsid w:val="00B77F19"/>
    <w:rsid w:val="00B8006E"/>
    <w:rsid w:val="00B807E7"/>
    <w:rsid w:val="00B81060"/>
    <w:rsid w:val="00B810B8"/>
    <w:rsid w:val="00B813AE"/>
    <w:rsid w:val="00B81A2A"/>
    <w:rsid w:val="00B81D29"/>
    <w:rsid w:val="00B81E47"/>
    <w:rsid w:val="00B8222B"/>
    <w:rsid w:val="00B82264"/>
    <w:rsid w:val="00B827C7"/>
    <w:rsid w:val="00B829D9"/>
    <w:rsid w:val="00B82B8F"/>
    <w:rsid w:val="00B82C93"/>
    <w:rsid w:val="00B82D53"/>
    <w:rsid w:val="00B82E48"/>
    <w:rsid w:val="00B83BC7"/>
    <w:rsid w:val="00B83C2E"/>
    <w:rsid w:val="00B83F29"/>
    <w:rsid w:val="00B83F4B"/>
    <w:rsid w:val="00B84B7C"/>
    <w:rsid w:val="00B84E07"/>
    <w:rsid w:val="00B84E59"/>
    <w:rsid w:val="00B8534A"/>
    <w:rsid w:val="00B8574E"/>
    <w:rsid w:val="00B85AEE"/>
    <w:rsid w:val="00B85FE2"/>
    <w:rsid w:val="00B86573"/>
    <w:rsid w:val="00B86732"/>
    <w:rsid w:val="00B86C78"/>
    <w:rsid w:val="00B86C85"/>
    <w:rsid w:val="00B86D11"/>
    <w:rsid w:val="00B87372"/>
    <w:rsid w:val="00B875A4"/>
    <w:rsid w:val="00B877F4"/>
    <w:rsid w:val="00B8797F"/>
    <w:rsid w:val="00B904C1"/>
    <w:rsid w:val="00B90634"/>
    <w:rsid w:val="00B90C2E"/>
    <w:rsid w:val="00B90E19"/>
    <w:rsid w:val="00B91025"/>
    <w:rsid w:val="00B91559"/>
    <w:rsid w:val="00B91F6F"/>
    <w:rsid w:val="00B9207A"/>
    <w:rsid w:val="00B92123"/>
    <w:rsid w:val="00B921EE"/>
    <w:rsid w:val="00B928D9"/>
    <w:rsid w:val="00B929BC"/>
    <w:rsid w:val="00B929EC"/>
    <w:rsid w:val="00B92C64"/>
    <w:rsid w:val="00B939BA"/>
    <w:rsid w:val="00B93D00"/>
    <w:rsid w:val="00B9405C"/>
    <w:rsid w:val="00B940DF"/>
    <w:rsid w:val="00B940E7"/>
    <w:rsid w:val="00B94169"/>
    <w:rsid w:val="00B9454B"/>
    <w:rsid w:val="00B9464D"/>
    <w:rsid w:val="00B94E27"/>
    <w:rsid w:val="00B9523A"/>
    <w:rsid w:val="00B95A01"/>
    <w:rsid w:val="00B95AA9"/>
    <w:rsid w:val="00B95BBB"/>
    <w:rsid w:val="00B960D7"/>
    <w:rsid w:val="00B961BC"/>
    <w:rsid w:val="00B9633D"/>
    <w:rsid w:val="00B96484"/>
    <w:rsid w:val="00B968FE"/>
    <w:rsid w:val="00B96EAE"/>
    <w:rsid w:val="00B97465"/>
    <w:rsid w:val="00B97535"/>
    <w:rsid w:val="00B9787D"/>
    <w:rsid w:val="00BA004D"/>
    <w:rsid w:val="00BA019D"/>
    <w:rsid w:val="00BA058B"/>
    <w:rsid w:val="00BA0C4C"/>
    <w:rsid w:val="00BA138D"/>
    <w:rsid w:val="00BA18B0"/>
    <w:rsid w:val="00BA1976"/>
    <w:rsid w:val="00BA1A89"/>
    <w:rsid w:val="00BA1BDA"/>
    <w:rsid w:val="00BA1C9F"/>
    <w:rsid w:val="00BA21DB"/>
    <w:rsid w:val="00BA22CB"/>
    <w:rsid w:val="00BA2532"/>
    <w:rsid w:val="00BA2B89"/>
    <w:rsid w:val="00BA3404"/>
    <w:rsid w:val="00BA3458"/>
    <w:rsid w:val="00BA36DD"/>
    <w:rsid w:val="00BA38C8"/>
    <w:rsid w:val="00BA38E4"/>
    <w:rsid w:val="00BA39F7"/>
    <w:rsid w:val="00BA3A6C"/>
    <w:rsid w:val="00BA3B00"/>
    <w:rsid w:val="00BA3D82"/>
    <w:rsid w:val="00BA4029"/>
    <w:rsid w:val="00BA43F7"/>
    <w:rsid w:val="00BA459C"/>
    <w:rsid w:val="00BA46B2"/>
    <w:rsid w:val="00BA4DD2"/>
    <w:rsid w:val="00BA4E72"/>
    <w:rsid w:val="00BA4FFE"/>
    <w:rsid w:val="00BA5629"/>
    <w:rsid w:val="00BA57B2"/>
    <w:rsid w:val="00BA5990"/>
    <w:rsid w:val="00BA5A5C"/>
    <w:rsid w:val="00BA5A99"/>
    <w:rsid w:val="00BA5D78"/>
    <w:rsid w:val="00BA6262"/>
    <w:rsid w:val="00BA67F1"/>
    <w:rsid w:val="00BA68E1"/>
    <w:rsid w:val="00BA6E60"/>
    <w:rsid w:val="00BA7842"/>
    <w:rsid w:val="00BA7CBF"/>
    <w:rsid w:val="00BA7F96"/>
    <w:rsid w:val="00BB061C"/>
    <w:rsid w:val="00BB0BE4"/>
    <w:rsid w:val="00BB1184"/>
    <w:rsid w:val="00BB1275"/>
    <w:rsid w:val="00BB1900"/>
    <w:rsid w:val="00BB1A63"/>
    <w:rsid w:val="00BB1A8F"/>
    <w:rsid w:val="00BB1B9B"/>
    <w:rsid w:val="00BB1E50"/>
    <w:rsid w:val="00BB21BC"/>
    <w:rsid w:val="00BB22F7"/>
    <w:rsid w:val="00BB2391"/>
    <w:rsid w:val="00BB2DBA"/>
    <w:rsid w:val="00BB36D8"/>
    <w:rsid w:val="00BB3D4C"/>
    <w:rsid w:val="00BB3D8E"/>
    <w:rsid w:val="00BB437B"/>
    <w:rsid w:val="00BB4883"/>
    <w:rsid w:val="00BB4A08"/>
    <w:rsid w:val="00BB4ACF"/>
    <w:rsid w:val="00BB5C41"/>
    <w:rsid w:val="00BB61CE"/>
    <w:rsid w:val="00BB6868"/>
    <w:rsid w:val="00BB6948"/>
    <w:rsid w:val="00BB69C2"/>
    <w:rsid w:val="00BB69EA"/>
    <w:rsid w:val="00BB6AE9"/>
    <w:rsid w:val="00BB6C8A"/>
    <w:rsid w:val="00BB6CD3"/>
    <w:rsid w:val="00BB7727"/>
    <w:rsid w:val="00BB794E"/>
    <w:rsid w:val="00BB7A0C"/>
    <w:rsid w:val="00BB7A3D"/>
    <w:rsid w:val="00BB7AEC"/>
    <w:rsid w:val="00BB7D8A"/>
    <w:rsid w:val="00BB7E96"/>
    <w:rsid w:val="00BC015A"/>
    <w:rsid w:val="00BC03FF"/>
    <w:rsid w:val="00BC0438"/>
    <w:rsid w:val="00BC0463"/>
    <w:rsid w:val="00BC059A"/>
    <w:rsid w:val="00BC0703"/>
    <w:rsid w:val="00BC0AAF"/>
    <w:rsid w:val="00BC0E95"/>
    <w:rsid w:val="00BC0FAE"/>
    <w:rsid w:val="00BC0FCA"/>
    <w:rsid w:val="00BC14BE"/>
    <w:rsid w:val="00BC187B"/>
    <w:rsid w:val="00BC1B45"/>
    <w:rsid w:val="00BC1B8F"/>
    <w:rsid w:val="00BC1DBF"/>
    <w:rsid w:val="00BC1EE9"/>
    <w:rsid w:val="00BC1FC8"/>
    <w:rsid w:val="00BC2283"/>
    <w:rsid w:val="00BC291C"/>
    <w:rsid w:val="00BC2B03"/>
    <w:rsid w:val="00BC2F1E"/>
    <w:rsid w:val="00BC322F"/>
    <w:rsid w:val="00BC34BE"/>
    <w:rsid w:val="00BC35AC"/>
    <w:rsid w:val="00BC3791"/>
    <w:rsid w:val="00BC3A84"/>
    <w:rsid w:val="00BC3BBE"/>
    <w:rsid w:val="00BC3DB8"/>
    <w:rsid w:val="00BC3F17"/>
    <w:rsid w:val="00BC3F78"/>
    <w:rsid w:val="00BC3FFD"/>
    <w:rsid w:val="00BC40C1"/>
    <w:rsid w:val="00BC4150"/>
    <w:rsid w:val="00BC45BE"/>
    <w:rsid w:val="00BC4705"/>
    <w:rsid w:val="00BC48AB"/>
    <w:rsid w:val="00BC48C6"/>
    <w:rsid w:val="00BC4DD4"/>
    <w:rsid w:val="00BC4E91"/>
    <w:rsid w:val="00BC51BC"/>
    <w:rsid w:val="00BC5219"/>
    <w:rsid w:val="00BC55F5"/>
    <w:rsid w:val="00BC5946"/>
    <w:rsid w:val="00BC59CE"/>
    <w:rsid w:val="00BC5F0A"/>
    <w:rsid w:val="00BC613A"/>
    <w:rsid w:val="00BC6378"/>
    <w:rsid w:val="00BC64BF"/>
    <w:rsid w:val="00BC678E"/>
    <w:rsid w:val="00BC68C2"/>
    <w:rsid w:val="00BC6A08"/>
    <w:rsid w:val="00BC6AEB"/>
    <w:rsid w:val="00BC73AE"/>
    <w:rsid w:val="00BC768B"/>
    <w:rsid w:val="00BC772A"/>
    <w:rsid w:val="00BC7829"/>
    <w:rsid w:val="00BC7868"/>
    <w:rsid w:val="00BC788D"/>
    <w:rsid w:val="00BC7BAB"/>
    <w:rsid w:val="00BC7D17"/>
    <w:rsid w:val="00BD01D8"/>
    <w:rsid w:val="00BD023D"/>
    <w:rsid w:val="00BD03BA"/>
    <w:rsid w:val="00BD088E"/>
    <w:rsid w:val="00BD0B76"/>
    <w:rsid w:val="00BD0FE9"/>
    <w:rsid w:val="00BD150B"/>
    <w:rsid w:val="00BD1704"/>
    <w:rsid w:val="00BD18A7"/>
    <w:rsid w:val="00BD1907"/>
    <w:rsid w:val="00BD209D"/>
    <w:rsid w:val="00BD2180"/>
    <w:rsid w:val="00BD2400"/>
    <w:rsid w:val="00BD2493"/>
    <w:rsid w:val="00BD2972"/>
    <w:rsid w:val="00BD2980"/>
    <w:rsid w:val="00BD2B0C"/>
    <w:rsid w:val="00BD2C18"/>
    <w:rsid w:val="00BD2E0F"/>
    <w:rsid w:val="00BD3144"/>
    <w:rsid w:val="00BD383D"/>
    <w:rsid w:val="00BD3A76"/>
    <w:rsid w:val="00BD3C42"/>
    <w:rsid w:val="00BD3CD4"/>
    <w:rsid w:val="00BD3D66"/>
    <w:rsid w:val="00BD4511"/>
    <w:rsid w:val="00BD4556"/>
    <w:rsid w:val="00BD4710"/>
    <w:rsid w:val="00BD490C"/>
    <w:rsid w:val="00BD4A1B"/>
    <w:rsid w:val="00BD4BBA"/>
    <w:rsid w:val="00BD5627"/>
    <w:rsid w:val="00BD579A"/>
    <w:rsid w:val="00BD6143"/>
    <w:rsid w:val="00BD61C4"/>
    <w:rsid w:val="00BD677D"/>
    <w:rsid w:val="00BD6A64"/>
    <w:rsid w:val="00BD7657"/>
    <w:rsid w:val="00BD766F"/>
    <w:rsid w:val="00BD7731"/>
    <w:rsid w:val="00BD7CA0"/>
    <w:rsid w:val="00BD7E9E"/>
    <w:rsid w:val="00BE0272"/>
    <w:rsid w:val="00BE0A0D"/>
    <w:rsid w:val="00BE0A46"/>
    <w:rsid w:val="00BE0D14"/>
    <w:rsid w:val="00BE1089"/>
    <w:rsid w:val="00BE1215"/>
    <w:rsid w:val="00BE152A"/>
    <w:rsid w:val="00BE1855"/>
    <w:rsid w:val="00BE1AE5"/>
    <w:rsid w:val="00BE1EA8"/>
    <w:rsid w:val="00BE1EC5"/>
    <w:rsid w:val="00BE2469"/>
    <w:rsid w:val="00BE2528"/>
    <w:rsid w:val="00BE2816"/>
    <w:rsid w:val="00BE29EB"/>
    <w:rsid w:val="00BE2A46"/>
    <w:rsid w:val="00BE2C7F"/>
    <w:rsid w:val="00BE2CCB"/>
    <w:rsid w:val="00BE3504"/>
    <w:rsid w:val="00BE3A7B"/>
    <w:rsid w:val="00BE3D22"/>
    <w:rsid w:val="00BE3D84"/>
    <w:rsid w:val="00BE3EA4"/>
    <w:rsid w:val="00BE40B7"/>
    <w:rsid w:val="00BE41BD"/>
    <w:rsid w:val="00BE431D"/>
    <w:rsid w:val="00BE46BD"/>
    <w:rsid w:val="00BE4A44"/>
    <w:rsid w:val="00BE4D0D"/>
    <w:rsid w:val="00BE4E1D"/>
    <w:rsid w:val="00BE5240"/>
    <w:rsid w:val="00BE5542"/>
    <w:rsid w:val="00BE55AA"/>
    <w:rsid w:val="00BE5C16"/>
    <w:rsid w:val="00BE5C3F"/>
    <w:rsid w:val="00BE5FB1"/>
    <w:rsid w:val="00BE6206"/>
    <w:rsid w:val="00BE63A0"/>
    <w:rsid w:val="00BE6579"/>
    <w:rsid w:val="00BE6782"/>
    <w:rsid w:val="00BE6A12"/>
    <w:rsid w:val="00BE6AA9"/>
    <w:rsid w:val="00BE6C2A"/>
    <w:rsid w:val="00BE6C7B"/>
    <w:rsid w:val="00BE6F7E"/>
    <w:rsid w:val="00BE7008"/>
    <w:rsid w:val="00BE7364"/>
    <w:rsid w:val="00BE7503"/>
    <w:rsid w:val="00BE782C"/>
    <w:rsid w:val="00BE7B17"/>
    <w:rsid w:val="00BE7ED9"/>
    <w:rsid w:val="00BF0137"/>
    <w:rsid w:val="00BF08EE"/>
    <w:rsid w:val="00BF0BD8"/>
    <w:rsid w:val="00BF12A4"/>
    <w:rsid w:val="00BF1575"/>
    <w:rsid w:val="00BF158D"/>
    <w:rsid w:val="00BF15BA"/>
    <w:rsid w:val="00BF1713"/>
    <w:rsid w:val="00BF1771"/>
    <w:rsid w:val="00BF1986"/>
    <w:rsid w:val="00BF1BBE"/>
    <w:rsid w:val="00BF1CB1"/>
    <w:rsid w:val="00BF1D2B"/>
    <w:rsid w:val="00BF1DE9"/>
    <w:rsid w:val="00BF2002"/>
    <w:rsid w:val="00BF2354"/>
    <w:rsid w:val="00BF2556"/>
    <w:rsid w:val="00BF2B41"/>
    <w:rsid w:val="00BF2E87"/>
    <w:rsid w:val="00BF2F0E"/>
    <w:rsid w:val="00BF2F5F"/>
    <w:rsid w:val="00BF2F95"/>
    <w:rsid w:val="00BF3E3B"/>
    <w:rsid w:val="00BF4078"/>
    <w:rsid w:val="00BF4608"/>
    <w:rsid w:val="00BF479A"/>
    <w:rsid w:val="00BF4CA2"/>
    <w:rsid w:val="00BF4D0B"/>
    <w:rsid w:val="00BF4F01"/>
    <w:rsid w:val="00BF4F81"/>
    <w:rsid w:val="00BF52E1"/>
    <w:rsid w:val="00BF5368"/>
    <w:rsid w:val="00BF55FF"/>
    <w:rsid w:val="00BF56CC"/>
    <w:rsid w:val="00BF5739"/>
    <w:rsid w:val="00BF5889"/>
    <w:rsid w:val="00BF594E"/>
    <w:rsid w:val="00BF59CD"/>
    <w:rsid w:val="00BF63DC"/>
    <w:rsid w:val="00BF6663"/>
    <w:rsid w:val="00BF6722"/>
    <w:rsid w:val="00BF68E0"/>
    <w:rsid w:val="00BF6BB4"/>
    <w:rsid w:val="00BF6E99"/>
    <w:rsid w:val="00BF6F54"/>
    <w:rsid w:val="00BF6FEC"/>
    <w:rsid w:val="00BF701B"/>
    <w:rsid w:val="00BF702B"/>
    <w:rsid w:val="00BF7524"/>
    <w:rsid w:val="00BF7792"/>
    <w:rsid w:val="00BF7900"/>
    <w:rsid w:val="00BF7A9B"/>
    <w:rsid w:val="00BF7BDB"/>
    <w:rsid w:val="00C008D2"/>
    <w:rsid w:val="00C009AF"/>
    <w:rsid w:val="00C00A57"/>
    <w:rsid w:val="00C00EFA"/>
    <w:rsid w:val="00C013C3"/>
    <w:rsid w:val="00C0144E"/>
    <w:rsid w:val="00C01678"/>
    <w:rsid w:val="00C01E82"/>
    <w:rsid w:val="00C01F5F"/>
    <w:rsid w:val="00C02065"/>
    <w:rsid w:val="00C02416"/>
    <w:rsid w:val="00C02585"/>
    <w:rsid w:val="00C0284A"/>
    <w:rsid w:val="00C028A0"/>
    <w:rsid w:val="00C02C54"/>
    <w:rsid w:val="00C02F18"/>
    <w:rsid w:val="00C0317B"/>
    <w:rsid w:val="00C031D2"/>
    <w:rsid w:val="00C0320C"/>
    <w:rsid w:val="00C0323B"/>
    <w:rsid w:val="00C03372"/>
    <w:rsid w:val="00C034E3"/>
    <w:rsid w:val="00C035C2"/>
    <w:rsid w:val="00C03605"/>
    <w:rsid w:val="00C03FA9"/>
    <w:rsid w:val="00C041D0"/>
    <w:rsid w:val="00C04630"/>
    <w:rsid w:val="00C04AAE"/>
    <w:rsid w:val="00C04B8A"/>
    <w:rsid w:val="00C04D60"/>
    <w:rsid w:val="00C04FD8"/>
    <w:rsid w:val="00C05430"/>
    <w:rsid w:val="00C05483"/>
    <w:rsid w:val="00C055E0"/>
    <w:rsid w:val="00C05618"/>
    <w:rsid w:val="00C0563C"/>
    <w:rsid w:val="00C05766"/>
    <w:rsid w:val="00C0581A"/>
    <w:rsid w:val="00C05FE2"/>
    <w:rsid w:val="00C062D4"/>
    <w:rsid w:val="00C06425"/>
    <w:rsid w:val="00C066EF"/>
    <w:rsid w:val="00C06A42"/>
    <w:rsid w:val="00C06C17"/>
    <w:rsid w:val="00C06CA1"/>
    <w:rsid w:val="00C06EAA"/>
    <w:rsid w:val="00C0701B"/>
    <w:rsid w:val="00C0701C"/>
    <w:rsid w:val="00C073F4"/>
    <w:rsid w:val="00C078D5"/>
    <w:rsid w:val="00C07AC4"/>
    <w:rsid w:val="00C07B22"/>
    <w:rsid w:val="00C07CFE"/>
    <w:rsid w:val="00C10567"/>
    <w:rsid w:val="00C1079E"/>
    <w:rsid w:val="00C1086B"/>
    <w:rsid w:val="00C108C2"/>
    <w:rsid w:val="00C11084"/>
    <w:rsid w:val="00C110B3"/>
    <w:rsid w:val="00C11374"/>
    <w:rsid w:val="00C11BC4"/>
    <w:rsid w:val="00C11D15"/>
    <w:rsid w:val="00C11DC3"/>
    <w:rsid w:val="00C11DF3"/>
    <w:rsid w:val="00C11ECD"/>
    <w:rsid w:val="00C121ED"/>
    <w:rsid w:val="00C122F7"/>
    <w:rsid w:val="00C12357"/>
    <w:rsid w:val="00C1246A"/>
    <w:rsid w:val="00C127A7"/>
    <w:rsid w:val="00C12901"/>
    <w:rsid w:val="00C12A54"/>
    <w:rsid w:val="00C12B69"/>
    <w:rsid w:val="00C12C26"/>
    <w:rsid w:val="00C133CF"/>
    <w:rsid w:val="00C1344F"/>
    <w:rsid w:val="00C13908"/>
    <w:rsid w:val="00C1395C"/>
    <w:rsid w:val="00C139C5"/>
    <w:rsid w:val="00C13C44"/>
    <w:rsid w:val="00C13E94"/>
    <w:rsid w:val="00C14120"/>
    <w:rsid w:val="00C14306"/>
    <w:rsid w:val="00C14699"/>
    <w:rsid w:val="00C148E6"/>
    <w:rsid w:val="00C14917"/>
    <w:rsid w:val="00C14DA6"/>
    <w:rsid w:val="00C14FCB"/>
    <w:rsid w:val="00C15020"/>
    <w:rsid w:val="00C15AA7"/>
    <w:rsid w:val="00C15B87"/>
    <w:rsid w:val="00C15CF5"/>
    <w:rsid w:val="00C15D7E"/>
    <w:rsid w:val="00C16311"/>
    <w:rsid w:val="00C163CB"/>
    <w:rsid w:val="00C1644D"/>
    <w:rsid w:val="00C167AF"/>
    <w:rsid w:val="00C16E9B"/>
    <w:rsid w:val="00C17131"/>
    <w:rsid w:val="00C175CF"/>
    <w:rsid w:val="00C17DFF"/>
    <w:rsid w:val="00C17F53"/>
    <w:rsid w:val="00C201C1"/>
    <w:rsid w:val="00C208EA"/>
    <w:rsid w:val="00C20E78"/>
    <w:rsid w:val="00C20EDE"/>
    <w:rsid w:val="00C20F3A"/>
    <w:rsid w:val="00C210AB"/>
    <w:rsid w:val="00C211F5"/>
    <w:rsid w:val="00C214A0"/>
    <w:rsid w:val="00C21B33"/>
    <w:rsid w:val="00C21DCE"/>
    <w:rsid w:val="00C21E26"/>
    <w:rsid w:val="00C21E6E"/>
    <w:rsid w:val="00C21F99"/>
    <w:rsid w:val="00C2227E"/>
    <w:rsid w:val="00C22474"/>
    <w:rsid w:val="00C22569"/>
    <w:rsid w:val="00C226FA"/>
    <w:rsid w:val="00C22817"/>
    <w:rsid w:val="00C22DF9"/>
    <w:rsid w:val="00C22E24"/>
    <w:rsid w:val="00C22F8A"/>
    <w:rsid w:val="00C22FDA"/>
    <w:rsid w:val="00C231FF"/>
    <w:rsid w:val="00C237B9"/>
    <w:rsid w:val="00C239AA"/>
    <w:rsid w:val="00C24338"/>
    <w:rsid w:val="00C246ED"/>
    <w:rsid w:val="00C24726"/>
    <w:rsid w:val="00C24ABB"/>
    <w:rsid w:val="00C24E67"/>
    <w:rsid w:val="00C25447"/>
    <w:rsid w:val="00C2546A"/>
    <w:rsid w:val="00C254B2"/>
    <w:rsid w:val="00C25A29"/>
    <w:rsid w:val="00C25C1A"/>
    <w:rsid w:val="00C263FD"/>
    <w:rsid w:val="00C267AA"/>
    <w:rsid w:val="00C26B8B"/>
    <w:rsid w:val="00C26CC1"/>
    <w:rsid w:val="00C26D1C"/>
    <w:rsid w:val="00C26DBC"/>
    <w:rsid w:val="00C26F5E"/>
    <w:rsid w:val="00C26FCF"/>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6A4"/>
    <w:rsid w:val="00C31756"/>
    <w:rsid w:val="00C318FA"/>
    <w:rsid w:val="00C31947"/>
    <w:rsid w:val="00C31AED"/>
    <w:rsid w:val="00C31C37"/>
    <w:rsid w:val="00C31C40"/>
    <w:rsid w:val="00C31F96"/>
    <w:rsid w:val="00C32332"/>
    <w:rsid w:val="00C32375"/>
    <w:rsid w:val="00C323BC"/>
    <w:rsid w:val="00C32401"/>
    <w:rsid w:val="00C32A79"/>
    <w:rsid w:val="00C32B9A"/>
    <w:rsid w:val="00C32C36"/>
    <w:rsid w:val="00C32C69"/>
    <w:rsid w:val="00C32D48"/>
    <w:rsid w:val="00C32E74"/>
    <w:rsid w:val="00C33175"/>
    <w:rsid w:val="00C332D7"/>
    <w:rsid w:val="00C33405"/>
    <w:rsid w:val="00C33557"/>
    <w:rsid w:val="00C336E1"/>
    <w:rsid w:val="00C337DF"/>
    <w:rsid w:val="00C3384D"/>
    <w:rsid w:val="00C33D23"/>
    <w:rsid w:val="00C34034"/>
    <w:rsid w:val="00C3462F"/>
    <w:rsid w:val="00C34702"/>
    <w:rsid w:val="00C34C86"/>
    <w:rsid w:val="00C35A0E"/>
    <w:rsid w:val="00C35BC6"/>
    <w:rsid w:val="00C35D41"/>
    <w:rsid w:val="00C361A8"/>
    <w:rsid w:val="00C36471"/>
    <w:rsid w:val="00C36C95"/>
    <w:rsid w:val="00C36CA0"/>
    <w:rsid w:val="00C36F48"/>
    <w:rsid w:val="00C36FCC"/>
    <w:rsid w:val="00C36FED"/>
    <w:rsid w:val="00C370CA"/>
    <w:rsid w:val="00C37768"/>
    <w:rsid w:val="00C37AB4"/>
    <w:rsid w:val="00C405F6"/>
    <w:rsid w:val="00C40CF8"/>
    <w:rsid w:val="00C41204"/>
    <w:rsid w:val="00C41274"/>
    <w:rsid w:val="00C41370"/>
    <w:rsid w:val="00C413D9"/>
    <w:rsid w:val="00C41693"/>
    <w:rsid w:val="00C419B0"/>
    <w:rsid w:val="00C419EC"/>
    <w:rsid w:val="00C41BDE"/>
    <w:rsid w:val="00C41E8C"/>
    <w:rsid w:val="00C41F5E"/>
    <w:rsid w:val="00C4232E"/>
    <w:rsid w:val="00C42360"/>
    <w:rsid w:val="00C423C7"/>
    <w:rsid w:val="00C4279E"/>
    <w:rsid w:val="00C42A14"/>
    <w:rsid w:val="00C42E37"/>
    <w:rsid w:val="00C430F5"/>
    <w:rsid w:val="00C43422"/>
    <w:rsid w:val="00C4376C"/>
    <w:rsid w:val="00C43778"/>
    <w:rsid w:val="00C43C51"/>
    <w:rsid w:val="00C43E90"/>
    <w:rsid w:val="00C43F30"/>
    <w:rsid w:val="00C43F9B"/>
    <w:rsid w:val="00C440C3"/>
    <w:rsid w:val="00C44247"/>
    <w:rsid w:val="00C4450B"/>
    <w:rsid w:val="00C44555"/>
    <w:rsid w:val="00C451C8"/>
    <w:rsid w:val="00C45217"/>
    <w:rsid w:val="00C45237"/>
    <w:rsid w:val="00C453DB"/>
    <w:rsid w:val="00C45525"/>
    <w:rsid w:val="00C45EAD"/>
    <w:rsid w:val="00C4649B"/>
    <w:rsid w:val="00C46C46"/>
    <w:rsid w:val="00C46F81"/>
    <w:rsid w:val="00C473F0"/>
    <w:rsid w:val="00C474DC"/>
    <w:rsid w:val="00C47672"/>
    <w:rsid w:val="00C478B9"/>
    <w:rsid w:val="00C479D7"/>
    <w:rsid w:val="00C479EF"/>
    <w:rsid w:val="00C47A91"/>
    <w:rsid w:val="00C47D06"/>
    <w:rsid w:val="00C50621"/>
    <w:rsid w:val="00C50816"/>
    <w:rsid w:val="00C5096E"/>
    <w:rsid w:val="00C50C2A"/>
    <w:rsid w:val="00C50D17"/>
    <w:rsid w:val="00C50D22"/>
    <w:rsid w:val="00C50D63"/>
    <w:rsid w:val="00C50E39"/>
    <w:rsid w:val="00C51262"/>
    <w:rsid w:val="00C51951"/>
    <w:rsid w:val="00C52019"/>
    <w:rsid w:val="00C52058"/>
    <w:rsid w:val="00C5205D"/>
    <w:rsid w:val="00C5238C"/>
    <w:rsid w:val="00C52486"/>
    <w:rsid w:val="00C52725"/>
    <w:rsid w:val="00C52A54"/>
    <w:rsid w:val="00C537E2"/>
    <w:rsid w:val="00C542ED"/>
    <w:rsid w:val="00C5468A"/>
    <w:rsid w:val="00C54CAB"/>
    <w:rsid w:val="00C550D6"/>
    <w:rsid w:val="00C5516B"/>
    <w:rsid w:val="00C5516C"/>
    <w:rsid w:val="00C55368"/>
    <w:rsid w:val="00C55615"/>
    <w:rsid w:val="00C5573D"/>
    <w:rsid w:val="00C55998"/>
    <w:rsid w:val="00C55FAD"/>
    <w:rsid w:val="00C562D4"/>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507"/>
    <w:rsid w:val="00C605DE"/>
    <w:rsid w:val="00C607A9"/>
    <w:rsid w:val="00C60A0B"/>
    <w:rsid w:val="00C60E00"/>
    <w:rsid w:val="00C61347"/>
    <w:rsid w:val="00C61475"/>
    <w:rsid w:val="00C61670"/>
    <w:rsid w:val="00C617BE"/>
    <w:rsid w:val="00C6182E"/>
    <w:rsid w:val="00C61A90"/>
    <w:rsid w:val="00C61D8F"/>
    <w:rsid w:val="00C62BC6"/>
    <w:rsid w:val="00C62F59"/>
    <w:rsid w:val="00C6309E"/>
    <w:rsid w:val="00C6345F"/>
    <w:rsid w:val="00C636C3"/>
    <w:rsid w:val="00C63B43"/>
    <w:rsid w:val="00C644F1"/>
    <w:rsid w:val="00C64CB5"/>
    <w:rsid w:val="00C64D99"/>
    <w:rsid w:val="00C64F30"/>
    <w:rsid w:val="00C6522F"/>
    <w:rsid w:val="00C652EE"/>
    <w:rsid w:val="00C65466"/>
    <w:rsid w:val="00C65776"/>
    <w:rsid w:val="00C65A3A"/>
    <w:rsid w:val="00C65AD1"/>
    <w:rsid w:val="00C65B85"/>
    <w:rsid w:val="00C65CF2"/>
    <w:rsid w:val="00C65ED9"/>
    <w:rsid w:val="00C660A0"/>
    <w:rsid w:val="00C664E7"/>
    <w:rsid w:val="00C6666F"/>
    <w:rsid w:val="00C668BD"/>
    <w:rsid w:val="00C66B33"/>
    <w:rsid w:val="00C66BA4"/>
    <w:rsid w:val="00C67260"/>
    <w:rsid w:val="00C677FD"/>
    <w:rsid w:val="00C67F0C"/>
    <w:rsid w:val="00C70004"/>
    <w:rsid w:val="00C7053D"/>
    <w:rsid w:val="00C7087A"/>
    <w:rsid w:val="00C70DEA"/>
    <w:rsid w:val="00C71658"/>
    <w:rsid w:val="00C71830"/>
    <w:rsid w:val="00C71C7C"/>
    <w:rsid w:val="00C71CF5"/>
    <w:rsid w:val="00C72020"/>
    <w:rsid w:val="00C72062"/>
    <w:rsid w:val="00C723F1"/>
    <w:rsid w:val="00C7241D"/>
    <w:rsid w:val="00C725F5"/>
    <w:rsid w:val="00C726B6"/>
    <w:rsid w:val="00C72820"/>
    <w:rsid w:val="00C72CA8"/>
    <w:rsid w:val="00C73D1F"/>
    <w:rsid w:val="00C749B3"/>
    <w:rsid w:val="00C74E42"/>
    <w:rsid w:val="00C75439"/>
    <w:rsid w:val="00C7563D"/>
    <w:rsid w:val="00C757F2"/>
    <w:rsid w:val="00C75985"/>
    <w:rsid w:val="00C75E03"/>
    <w:rsid w:val="00C75EDF"/>
    <w:rsid w:val="00C76004"/>
    <w:rsid w:val="00C76221"/>
    <w:rsid w:val="00C76245"/>
    <w:rsid w:val="00C76356"/>
    <w:rsid w:val="00C763AB"/>
    <w:rsid w:val="00C76734"/>
    <w:rsid w:val="00C76BC0"/>
    <w:rsid w:val="00C77481"/>
    <w:rsid w:val="00C77503"/>
    <w:rsid w:val="00C778B9"/>
    <w:rsid w:val="00C7790A"/>
    <w:rsid w:val="00C77BA6"/>
    <w:rsid w:val="00C77BE5"/>
    <w:rsid w:val="00C77E1E"/>
    <w:rsid w:val="00C77E4C"/>
    <w:rsid w:val="00C80072"/>
    <w:rsid w:val="00C801C3"/>
    <w:rsid w:val="00C802B3"/>
    <w:rsid w:val="00C809D6"/>
    <w:rsid w:val="00C80AB7"/>
    <w:rsid w:val="00C80CBC"/>
    <w:rsid w:val="00C81106"/>
    <w:rsid w:val="00C81140"/>
    <w:rsid w:val="00C81180"/>
    <w:rsid w:val="00C816F1"/>
    <w:rsid w:val="00C8178F"/>
    <w:rsid w:val="00C81AC1"/>
    <w:rsid w:val="00C81CB7"/>
    <w:rsid w:val="00C826EE"/>
    <w:rsid w:val="00C827FE"/>
    <w:rsid w:val="00C829DA"/>
    <w:rsid w:val="00C82D85"/>
    <w:rsid w:val="00C82DCA"/>
    <w:rsid w:val="00C82E03"/>
    <w:rsid w:val="00C82F60"/>
    <w:rsid w:val="00C83068"/>
    <w:rsid w:val="00C831AF"/>
    <w:rsid w:val="00C831DF"/>
    <w:rsid w:val="00C83861"/>
    <w:rsid w:val="00C83A0F"/>
    <w:rsid w:val="00C83C3E"/>
    <w:rsid w:val="00C83D3B"/>
    <w:rsid w:val="00C8423D"/>
    <w:rsid w:val="00C8447F"/>
    <w:rsid w:val="00C84797"/>
    <w:rsid w:val="00C8496E"/>
    <w:rsid w:val="00C84AC5"/>
    <w:rsid w:val="00C84D66"/>
    <w:rsid w:val="00C84EE8"/>
    <w:rsid w:val="00C85490"/>
    <w:rsid w:val="00C8550B"/>
    <w:rsid w:val="00C85606"/>
    <w:rsid w:val="00C859BA"/>
    <w:rsid w:val="00C85C22"/>
    <w:rsid w:val="00C86003"/>
    <w:rsid w:val="00C860FF"/>
    <w:rsid w:val="00C8610A"/>
    <w:rsid w:val="00C864F2"/>
    <w:rsid w:val="00C86927"/>
    <w:rsid w:val="00C869B4"/>
    <w:rsid w:val="00C86BC2"/>
    <w:rsid w:val="00C86D6A"/>
    <w:rsid w:val="00C86EAA"/>
    <w:rsid w:val="00C86ED7"/>
    <w:rsid w:val="00C8747B"/>
    <w:rsid w:val="00C90103"/>
    <w:rsid w:val="00C901CE"/>
    <w:rsid w:val="00C9022C"/>
    <w:rsid w:val="00C90322"/>
    <w:rsid w:val="00C90BF8"/>
    <w:rsid w:val="00C90E1B"/>
    <w:rsid w:val="00C90F76"/>
    <w:rsid w:val="00C91552"/>
    <w:rsid w:val="00C9235E"/>
    <w:rsid w:val="00C923B8"/>
    <w:rsid w:val="00C92578"/>
    <w:rsid w:val="00C9279B"/>
    <w:rsid w:val="00C92CC6"/>
    <w:rsid w:val="00C932E3"/>
    <w:rsid w:val="00C9384E"/>
    <w:rsid w:val="00C938EB"/>
    <w:rsid w:val="00C939F2"/>
    <w:rsid w:val="00C93BDC"/>
    <w:rsid w:val="00C94086"/>
    <w:rsid w:val="00C94152"/>
    <w:rsid w:val="00C9435A"/>
    <w:rsid w:val="00C9451D"/>
    <w:rsid w:val="00C94664"/>
    <w:rsid w:val="00C946E5"/>
    <w:rsid w:val="00C948D6"/>
    <w:rsid w:val="00C949D7"/>
    <w:rsid w:val="00C94BFF"/>
    <w:rsid w:val="00C94DB0"/>
    <w:rsid w:val="00C94EFE"/>
    <w:rsid w:val="00C94F1A"/>
    <w:rsid w:val="00C95635"/>
    <w:rsid w:val="00C9568B"/>
    <w:rsid w:val="00C956BC"/>
    <w:rsid w:val="00C95CC2"/>
    <w:rsid w:val="00C95E0F"/>
    <w:rsid w:val="00C961CD"/>
    <w:rsid w:val="00C96234"/>
    <w:rsid w:val="00C9631A"/>
    <w:rsid w:val="00C9638C"/>
    <w:rsid w:val="00C9648A"/>
    <w:rsid w:val="00C969C6"/>
    <w:rsid w:val="00C96C40"/>
    <w:rsid w:val="00C96DB7"/>
    <w:rsid w:val="00C97367"/>
    <w:rsid w:val="00C97807"/>
    <w:rsid w:val="00C97C4B"/>
    <w:rsid w:val="00C97DB0"/>
    <w:rsid w:val="00C97F38"/>
    <w:rsid w:val="00C97FB7"/>
    <w:rsid w:val="00CA0144"/>
    <w:rsid w:val="00CA0538"/>
    <w:rsid w:val="00CA096B"/>
    <w:rsid w:val="00CA0F46"/>
    <w:rsid w:val="00CA18A1"/>
    <w:rsid w:val="00CA1C43"/>
    <w:rsid w:val="00CA1D04"/>
    <w:rsid w:val="00CA211D"/>
    <w:rsid w:val="00CA22DE"/>
    <w:rsid w:val="00CA259B"/>
    <w:rsid w:val="00CA26DE"/>
    <w:rsid w:val="00CA2B74"/>
    <w:rsid w:val="00CA332E"/>
    <w:rsid w:val="00CA345A"/>
    <w:rsid w:val="00CA3771"/>
    <w:rsid w:val="00CA38F8"/>
    <w:rsid w:val="00CA390C"/>
    <w:rsid w:val="00CA393D"/>
    <w:rsid w:val="00CA3D16"/>
    <w:rsid w:val="00CA3D96"/>
    <w:rsid w:val="00CA4010"/>
    <w:rsid w:val="00CA438C"/>
    <w:rsid w:val="00CA45F2"/>
    <w:rsid w:val="00CA47D3"/>
    <w:rsid w:val="00CA4BF8"/>
    <w:rsid w:val="00CA4E24"/>
    <w:rsid w:val="00CA5036"/>
    <w:rsid w:val="00CA50C9"/>
    <w:rsid w:val="00CA56C1"/>
    <w:rsid w:val="00CA596D"/>
    <w:rsid w:val="00CA60EC"/>
    <w:rsid w:val="00CA64D4"/>
    <w:rsid w:val="00CA66DB"/>
    <w:rsid w:val="00CA6A75"/>
    <w:rsid w:val="00CA6F13"/>
    <w:rsid w:val="00CA7608"/>
    <w:rsid w:val="00CA784D"/>
    <w:rsid w:val="00CB0126"/>
    <w:rsid w:val="00CB0363"/>
    <w:rsid w:val="00CB0665"/>
    <w:rsid w:val="00CB06AD"/>
    <w:rsid w:val="00CB06CB"/>
    <w:rsid w:val="00CB08B0"/>
    <w:rsid w:val="00CB09AA"/>
    <w:rsid w:val="00CB0E0F"/>
    <w:rsid w:val="00CB0E70"/>
    <w:rsid w:val="00CB1025"/>
    <w:rsid w:val="00CB105F"/>
    <w:rsid w:val="00CB129B"/>
    <w:rsid w:val="00CB1597"/>
    <w:rsid w:val="00CB1E64"/>
    <w:rsid w:val="00CB1F62"/>
    <w:rsid w:val="00CB2111"/>
    <w:rsid w:val="00CB23E4"/>
    <w:rsid w:val="00CB24E9"/>
    <w:rsid w:val="00CB2575"/>
    <w:rsid w:val="00CB2964"/>
    <w:rsid w:val="00CB2BAB"/>
    <w:rsid w:val="00CB2F83"/>
    <w:rsid w:val="00CB2FC2"/>
    <w:rsid w:val="00CB325B"/>
    <w:rsid w:val="00CB3286"/>
    <w:rsid w:val="00CB346F"/>
    <w:rsid w:val="00CB3841"/>
    <w:rsid w:val="00CB3996"/>
    <w:rsid w:val="00CB3D51"/>
    <w:rsid w:val="00CB3DC2"/>
    <w:rsid w:val="00CB3F2E"/>
    <w:rsid w:val="00CB47B0"/>
    <w:rsid w:val="00CB4B15"/>
    <w:rsid w:val="00CB4F35"/>
    <w:rsid w:val="00CB4FE2"/>
    <w:rsid w:val="00CB53AF"/>
    <w:rsid w:val="00CB5731"/>
    <w:rsid w:val="00CB5803"/>
    <w:rsid w:val="00CB5C5E"/>
    <w:rsid w:val="00CB61E1"/>
    <w:rsid w:val="00CB63DB"/>
    <w:rsid w:val="00CB667E"/>
    <w:rsid w:val="00CB6AE7"/>
    <w:rsid w:val="00CB6E47"/>
    <w:rsid w:val="00CB6F82"/>
    <w:rsid w:val="00CB6FB4"/>
    <w:rsid w:val="00CB71DF"/>
    <w:rsid w:val="00CB7383"/>
    <w:rsid w:val="00CB78CD"/>
    <w:rsid w:val="00CB7AC1"/>
    <w:rsid w:val="00CC00BB"/>
    <w:rsid w:val="00CC01B9"/>
    <w:rsid w:val="00CC0791"/>
    <w:rsid w:val="00CC0C43"/>
    <w:rsid w:val="00CC128F"/>
    <w:rsid w:val="00CC148B"/>
    <w:rsid w:val="00CC14A5"/>
    <w:rsid w:val="00CC1738"/>
    <w:rsid w:val="00CC18D3"/>
    <w:rsid w:val="00CC18DC"/>
    <w:rsid w:val="00CC1991"/>
    <w:rsid w:val="00CC19FE"/>
    <w:rsid w:val="00CC1C4D"/>
    <w:rsid w:val="00CC1DE5"/>
    <w:rsid w:val="00CC1FB5"/>
    <w:rsid w:val="00CC2520"/>
    <w:rsid w:val="00CC2576"/>
    <w:rsid w:val="00CC26D0"/>
    <w:rsid w:val="00CC2949"/>
    <w:rsid w:val="00CC2ED9"/>
    <w:rsid w:val="00CC3A23"/>
    <w:rsid w:val="00CC3AF9"/>
    <w:rsid w:val="00CC3B76"/>
    <w:rsid w:val="00CC3E1E"/>
    <w:rsid w:val="00CC4048"/>
    <w:rsid w:val="00CC406C"/>
    <w:rsid w:val="00CC414A"/>
    <w:rsid w:val="00CC44FD"/>
    <w:rsid w:val="00CC4620"/>
    <w:rsid w:val="00CC48BD"/>
    <w:rsid w:val="00CC48FC"/>
    <w:rsid w:val="00CC4F94"/>
    <w:rsid w:val="00CC5199"/>
    <w:rsid w:val="00CC540A"/>
    <w:rsid w:val="00CC5500"/>
    <w:rsid w:val="00CC5CAA"/>
    <w:rsid w:val="00CC609D"/>
    <w:rsid w:val="00CC60B2"/>
    <w:rsid w:val="00CC61D8"/>
    <w:rsid w:val="00CC647E"/>
    <w:rsid w:val="00CC65EE"/>
    <w:rsid w:val="00CC66B5"/>
    <w:rsid w:val="00CC6703"/>
    <w:rsid w:val="00CC6995"/>
    <w:rsid w:val="00CC6EA8"/>
    <w:rsid w:val="00CC72E5"/>
    <w:rsid w:val="00CC7559"/>
    <w:rsid w:val="00CC79D0"/>
    <w:rsid w:val="00CC7E16"/>
    <w:rsid w:val="00CD0147"/>
    <w:rsid w:val="00CD0238"/>
    <w:rsid w:val="00CD076B"/>
    <w:rsid w:val="00CD0866"/>
    <w:rsid w:val="00CD0A2E"/>
    <w:rsid w:val="00CD0F06"/>
    <w:rsid w:val="00CD1128"/>
    <w:rsid w:val="00CD120E"/>
    <w:rsid w:val="00CD1229"/>
    <w:rsid w:val="00CD1408"/>
    <w:rsid w:val="00CD177C"/>
    <w:rsid w:val="00CD17F5"/>
    <w:rsid w:val="00CD18CC"/>
    <w:rsid w:val="00CD1C15"/>
    <w:rsid w:val="00CD1D6F"/>
    <w:rsid w:val="00CD1E15"/>
    <w:rsid w:val="00CD2188"/>
    <w:rsid w:val="00CD26A5"/>
    <w:rsid w:val="00CD272E"/>
    <w:rsid w:val="00CD2A44"/>
    <w:rsid w:val="00CD2C52"/>
    <w:rsid w:val="00CD2C81"/>
    <w:rsid w:val="00CD3389"/>
    <w:rsid w:val="00CD34E4"/>
    <w:rsid w:val="00CD3806"/>
    <w:rsid w:val="00CD38B7"/>
    <w:rsid w:val="00CD3C0E"/>
    <w:rsid w:val="00CD3D74"/>
    <w:rsid w:val="00CD3DBF"/>
    <w:rsid w:val="00CD3E4A"/>
    <w:rsid w:val="00CD3E93"/>
    <w:rsid w:val="00CD4095"/>
    <w:rsid w:val="00CD409E"/>
    <w:rsid w:val="00CD42DA"/>
    <w:rsid w:val="00CD4411"/>
    <w:rsid w:val="00CD488F"/>
    <w:rsid w:val="00CD4AEF"/>
    <w:rsid w:val="00CD4C92"/>
    <w:rsid w:val="00CD4CCD"/>
    <w:rsid w:val="00CD4E65"/>
    <w:rsid w:val="00CD5365"/>
    <w:rsid w:val="00CD5853"/>
    <w:rsid w:val="00CD6427"/>
    <w:rsid w:val="00CD648F"/>
    <w:rsid w:val="00CD6D15"/>
    <w:rsid w:val="00CD6D31"/>
    <w:rsid w:val="00CD6E28"/>
    <w:rsid w:val="00CD6FD8"/>
    <w:rsid w:val="00CD736B"/>
    <w:rsid w:val="00CD7D27"/>
    <w:rsid w:val="00CE02C8"/>
    <w:rsid w:val="00CE0404"/>
    <w:rsid w:val="00CE04BE"/>
    <w:rsid w:val="00CE0608"/>
    <w:rsid w:val="00CE09D1"/>
    <w:rsid w:val="00CE0BDF"/>
    <w:rsid w:val="00CE0C54"/>
    <w:rsid w:val="00CE0D19"/>
    <w:rsid w:val="00CE0E36"/>
    <w:rsid w:val="00CE0E5C"/>
    <w:rsid w:val="00CE100F"/>
    <w:rsid w:val="00CE12A6"/>
    <w:rsid w:val="00CE1374"/>
    <w:rsid w:val="00CE1966"/>
    <w:rsid w:val="00CE1C89"/>
    <w:rsid w:val="00CE1ED0"/>
    <w:rsid w:val="00CE2117"/>
    <w:rsid w:val="00CE2278"/>
    <w:rsid w:val="00CE2502"/>
    <w:rsid w:val="00CE25A4"/>
    <w:rsid w:val="00CE3250"/>
    <w:rsid w:val="00CE33AC"/>
    <w:rsid w:val="00CE34DA"/>
    <w:rsid w:val="00CE3867"/>
    <w:rsid w:val="00CE3893"/>
    <w:rsid w:val="00CE3F54"/>
    <w:rsid w:val="00CE40AA"/>
    <w:rsid w:val="00CE539B"/>
    <w:rsid w:val="00CE5401"/>
    <w:rsid w:val="00CE5475"/>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082A"/>
    <w:rsid w:val="00CF0CEF"/>
    <w:rsid w:val="00CF103C"/>
    <w:rsid w:val="00CF111E"/>
    <w:rsid w:val="00CF1251"/>
    <w:rsid w:val="00CF14DF"/>
    <w:rsid w:val="00CF18A8"/>
    <w:rsid w:val="00CF1F3E"/>
    <w:rsid w:val="00CF1F6B"/>
    <w:rsid w:val="00CF2015"/>
    <w:rsid w:val="00CF2247"/>
    <w:rsid w:val="00CF234A"/>
    <w:rsid w:val="00CF235C"/>
    <w:rsid w:val="00CF288F"/>
    <w:rsid w:val="00CF2A64"/>
    <w:rsid w:val="00CF2D79"/>
    <w:rsid w:val="00CF2DC1"/>
    <w:rsid w:val="00CF2E52"/>
    <w:rsid w:val="00CF30A4"/>
    <w:rsid w:val="00CF31C1"/>
    <w:rsid w:val="00CF3218"/>
    <w:rsid w:val="00CF32DC"/>
    <w:rsid w:val="00CF335C"/>
    <w:rsid w:val="00CF346E"/>
    <w:rsid w:val="00CF3740"/>
    <w:rsid w:val="00CF38F9"/>
    <w:rsid w:val="00CF3DF2"/>
    <w:rsid w:val="00CF405A"/>
    <w:rsid w:val="00CF416C"/>
    <w:rsid w:val="00CF42B8"/>
    <w:rsid w:val="00CF42C3"/>
    <w:rsid w:val="00CF42DF"/>
    <w:rsid w:val="00CF48FC"/>
    <w:rsid w:val="00CF4968"/>
    <w:rsid w:val="00CF4B04"/>
    <w:rsid w:val="00CF4B56"/>
    <w:rsid w:val="00CF508A"/>
    <w:rsid w:val="00CF528E"/>
    <w:rsid w:val="00CF52C7"/>
    <w:rsid w:val="00CF5932"/>
    <w:rsid w:val="00CF5B6B"/>
    <w:rsid w:val="00CF5B9A"/>
    <w:rsid w:val="00CF5E09"/>
    <w:rsid w:val="00CF618F"/>
    <w:rsid w:val="00CF61A7"/>
    <w:rsid w:val="00CF6756"/>
    <w:rsid w:val="00CF69C6"/>
    <w:rsid w:val="00CF6E2E"/>
    <w:rsid w:val="00CF7655"/>
    <w:rsid w:val="00CF7750"/>
    <w:rsid w:val="00CF78CA"/>
    <w:rsid w:val="00CF7C6E"/>
    <w:rsid w:val="00D00038"/>
    <w:rsid w:val="00D002A3"/>
    <w:rsid w:val="00D00D86"/>
    <w:rsid w:val="00D012E2"/>
    <w:rsid w:val="00D0191E"/>
    <w:rsid w:val="00D01C1B"/>
    <w:rsid w:val="00D01D45"/>
    <w:rsid w:val="00D02297"/>
    <w:rsid w:val="00D02AF0"/>
    <w:rsid w:val="00D02C7F"/>
    <w:rsid w:val="00D02DD1"/>
    <w:rsid w:val="00D02F55"/>
    <w:rsid w:val="00D032AC"/>
    <w:rsid w:val="00D03826"/>
    <w:rsid w:val="00D04692"/>
    <w:rsid w:val="00D04947"/>
    <w:rsid w:val="00D04BE0"/>
    <w:rsid w:val="00D04D5E"/>
    <w:rsid w:val="00D04E44"/>
    <w:rsid w:val="00D04E71"/>
    <w:rsid w:val="00D0556F"/>
    <w:rsid w:val="00D0561E"/>
    <w:rsid w:val="00D05646"/>
    <w:rsid w:val="00D05AAE"/>
    <w:rsid w:val="00D05CB6"/>
    <w:rsid w:val="00D05D68"/>
    <w:rsid w:val="00D061C7"/>
    <w:rsid w:val="00D069C9"/>
    <w:rsid w:val="00D06A4C"/>
    <w:rsid w:val="00D06C78"/>
    <w:rsid w:val="00D06F47"/>
    <w:rsid w:val="00D07440"/>
    <w:rsid w:val="00D0776C"/>
    <w:rsid w:val="00D0778C"/>
    <w:rsid w:val="00D07A4A"/>
    <w:rsid w:val="00D07D71"/>
    <w:rsid w:val="00D1043D"/>
    <w:rsid w:val="00D10A16"/>
    <w:rsid w:val="00D10C26"/>
    <w:rsid w:val="00D11339"/>
    <w:rsid w:val="00D1155C"/>
    <w:rsid w:val="00D11594"/>
    <w:rsid w:val="00D11983"/>
    <w:rsid w:val="00D11AFB"/>
    <w:rsid w:val="00D11D11"/>
    <w:rsid w:val="00D1217E"/>
    <w:rsid w:val="00D12A33"/>
    <w:rsid w:val="00D12F3D"/>
    <w:rsid w:val="00D12F70"/>
    <w:rsid w:val="00D13044"/>
    <w:rsid w:val="00D13169"/>
    <w:rsid w:val="00D132DF"/>
    <w:rsid w:val="00D134E3"/>
    <w:rsid w:val="00D13963"/>
    <w:rsid w:val="00D13C6E"/>
    <w:rsid w:val="00D13DF4"/>
    <w:rsid w:val="00D140C6"/>
    <w:rsid w:val="00D141BC"/>
    <w:rsid w:val="00D143FF"/>
    <w:rsid w:val="00D14511"/>
    <w:rsid w:val="00D14538"/>
    <w:rsid w:val="00D14D42"/>
    <w:rsid w:val="00D14DA5"/>
    <w:rsid w:val="00D150B1"/>
    <w:rsid w:val="00D158D5"/>
    <w:rsid w:val="00D1595F"/>
    <w:rsid w:val="00D15BCB"/>
    <w:rsid w:val="00D15DD0"/>
    <w:rsid w:val="00D16E24"/>
    <w:rsid w:val="00D17107"/>
    <w:rsid w:val="00D17221"/>
    <w:rsid w:val="00D17742"/>
    <w:rsid w:val="00D178B7"/>
    <w:rsid w:val="00D17AD7"/>
    <w:rsid w:val="00D17DEB"/>
    <w:rsid w:val="00D17F4E"/>
    <w:rsid w:val="00D20258"/>
    <w:rsid w:val="00D203F8"/>
    <w:rsid w:val="00D208D4"/>
    <w:rsid w:val="00D2099A"/>
    <w:rsid w:val="00D20B8E"/>
    <w:rsid w:val="00D20C73"/>
    <w:rsid w:val="00D20D5F"/>
    <w:rsid w:val="00D20E16"/>
    <w:rsid w:val="00D211F7"/>
    <w:rsid w:val="00D21D6E"/>
    <w:rsid w:val="00D221A2"/>
    <w:rsid w:val="00D224AF"/>
    <w:rsid w:val="00D227A7"/>
    <w:rsid w:val="00D22803"/>
    <w:rsid w:val="00D228EE"/>
    <w:rsid w:val="00D22CE9"/>
    <w:rsid w:val="00D22F5F"/>
    <w:rsid w:val="00D23803"/>
    <w:rsid w:val="00D24017"/>
    <w:rsid w:val="00D240FF"/>
    <w:rsid w:val="00D2413E"/>
    <w:rsid w:val="00D24568"/>
    <w:rsid w:val="00D2493C"/>
    <w:rsid w:val="00D24B71"/>
    <w:rsid w:val="00D24CE7"/>
    <w:rsid w:val="00D24ECE"/>
    <w:rsid w:val="00D24F67"/>
    <w:rsid w:val="00D25066"/>
    <w:rsid w:val="00D2563B"/>
    <w:rsid w:val="00D261EC"/>
    <w:rsid w:val="00D26406"/>
    <w:rsid w:val="00D26764"/>
    <w:rsid w:val="00D26A13"/>
    <w:rsid w:val="00D26CA7"/>
    <w:rsid w:val="00D26F32"/>
    <w:rsid w:val="00D27218"/>
    <w:rsid w:val="00D272C9"/>
    <w:rsid w:val="00D275E5"/>
    <w:rsid w:val="00D275EF"/>
    <w:rsid w:val="00D277C9"/>
    <w:rsid w:val="00D27888"/>
    <w:rsid w:val="00D27A7F"/>
    <w:rsid w:val="00D27FA9"/>
    <w:rsid w:val="00D303F9"/>
    <w:rsid w:val="00D305BC"/>
    <w:rsid w:val="00D3083E"/>
    <w:rsid w:val="00D30A36"/>
    <w:rsid w:val="00D30AF0"/>
    <w:rsid w:val="00D30CAC"/>
    <w:rsid w:val="00D30ED3"/>
    <w:rsid w:val="00D310E0"/>
    <w:rsid w:val="00D31684"/>
    <w:rsid w:val="00D31CA7"/>
    <w:rsid w:val="00D3221D"/>
    <w:rsid w:val="00D322C8"/>
    <w:rsid w:val="00D324E0"/>
    <w:rsid w:val="00D32585"/>
    <w:rsid w:val="00D328C5"/>
    <w:rsid w:val="00D3293D"/>
    <w:rsid w:val="00D32D9A"/>
    <w:rsid w:val="00D32E91"/>
    <w:rsid w:val="00D33114"/>
    <w:rsid w:val="00D33120"/>
    <w:rsid w:val="00D336DB"/>
    <w:rsid w:val="00D337BD"/>
    <w:rsid w:val="00D34093"/>
    <w:rsid w:val="00D3412F"/>
    <w:rsid w:val="00D342A2"/>
    <w:rsid w:val="00D34466"/>
    <w:rsid w:val="00D34506"/>
    <w:rsid w:val="00D34582"/>
    <w:rsid w:val="00D34680"/>
    <w:rsid w:val="00D347BC"/>
    <w:rsid w:val="00D349EF"/>
    <w:rsid w:val="00D34A46"/>
    <w:rsid w:val="00D34B50"/>
    <w:rsid w:val="00D34BB7"/>
    <w:rsid w:val="00D34CCB"/>
    <w:rsid w:val="00D34F7F"/>
    <w:rsid w:val="00D35261"/>
    <w:rsid w:val="00D35326"/>
    <w:rsid w:val="00D3558A"/>
    <w:rsid w:val="00D35A38"/>
    <w:rsid w:val="00D35AD2"/>
    <w:rsid w:val="00D35B63"/>
    <w:rsid w:val="00D35C07"/>
    <w:rsid w:val="00D35D89"/>
    <w:rsid w:val="00D35EC4"/>
    <w:rsid w:val="00D36373"/>
    <w:rsid w:val="00D36423"/>
    <w:rsid w:val="00D36626"/>
    <w:rsid w:val="00D36A50"/>
    <w:rsid w:val="00D36CA1"/>
    <w:rsid w:val="00D371B2"/>
    <w:rsid w:val="00D37258"/>
    <w:rsid w:val="00D374E9"/>
    <w:rsid w:val="00D37529"/>
    <w:rsid w:val="00D378E8"/>
    <w:rsid w:val="00D37C80"/>
    <w:rsid w:val="00D37F47"/>
    <w:rsid w:val="00D400CA"/>
    <w:rsid w:val="00D4011C"/>
    <w:rsid w:val="00D4028C"/>
    <w:rsid w:val="00D40383"/>
    <w:rsid w:val="00D40789"/>
    <w:rsid w:val="00D407A3"/>
    <w:rsid w:val="00D4088E"/>
    <w:rsid w:val="00D40B01"/>
    <w:rsid w:val="00D40BA9"/>
    <w:rsid w:val="00D40C17"/>
    <w:rsid w:val="00D40CC0"/>
    <w:rsid w:val="00D41006"/>
    <w:rsid w:val="00D4121D"/>
    <w:rsid w:val="00D41495"/>
    <w:rsid w:val="00D41526"/>
    <w:rsid w:val="00D416AB"/>
    <w:rsid w:val="00D41866"/>
    <w:rsid w:val="00D41A3B"/>
    <w:rsid w:val="00D41BF8"/>
    <w:rsid w:val="00D41CDF"/>
    <w:rsid w:val="00D41FAB"/>
    <w:rsid w:val="00D422DA"/>
    <w:rsid w:val="00D42381"/>
    <w:rsid w:val="00D426BF"/>
    <w:rsid w:val="00D4284C"/>
    <w:rsid w:val="00D42A2B"/>
    <w:rsid w:val="00D42FCF"/>
    <w:rsid w:val="00D43081"/>
    <w:rsid w:val="00D43132"/>
    <w:rsid w:val="00D4345D"/>
    <w:rsid w:val="00D435C2"/>
    <w:rsid w:val="00D435EC"/>
    <w:rsid w:val="00D4365D"/>
    <w:rsid w:val="00D439E5"/>
    <w:rsid w:val="00D43BF2"/>
    <w:rsid w:val="00D43DA9"/>
    <w:rsid w:val="00D43EEA"/>
    <w:rsid w:val="00D44037"/>
    <w:rsid w:val="00D440EC"/>
    <w:rsid w:val="00D4412E"/>
    <w:rsid w:val="00D448EC"/>
    <w:rsid w:val="00D44A5E"/>
    <w:rsid w:val="00D44B4E"/>
    <w:rsid w:val="00D44C57"/>
    <w:rsid w:val="00D44E7D"/>
    <w:rsid w:val="00D44FCC"/>
    <w:rsid w:val="00D453D8"/>
    <w:rsid w:val="00D45778"/>
    <w:rsid w:val="00D45784"/>
    <w:rsid w:val="00D459A2"/>
    <w:rsid w:val="00D45A93"/>
    <w:rsid w:val="00D45B67"/>
    <w:rsid w:val="00D45FD5"/>
    <w:rsid w:val="00D4660B"/>
    <w:rsid w:val="00D46B6D"/>
    <w:rsid w:val="00D46CA8"/>
    <w:rsid w:val="00D47820"/>
    <w:rsid w:val="00D47998"/>
    <w:rsid w:val="00D47D34"/>
    <w:rsid w:val="00D47DE1"/>
    <w:rsid w:val="00D47F00"/>
    <w:rsid w:val="00D502CD"/>
    <w:rsid w:val="00D50458"/>
    <w:rsid w:val="00D50615"/>
    <w:rsid w:val="00D508EC"/>
    <w:rsid w:val="00D50C09"/>
    <w:rsid w:val="00D5103F"/>
    <w:rsid w:val="00D5111B"/>
    <w:rsid w:val="00D515DF"/>
    <w:rsid w:val="00D516DB"/>
    <w:rsid w:val="00D51998"/>
    <w:rsid w:val="00D519C5"/>
    <w:rsid w:val="00D519EA"/>
    <w:rsid w:val="00D51A43"/>
    <w:rsid w:val="00D51E1A"/>
    <w:rsid w:val="00D51FB2"/>
    <w:rsid w:val="00D520C8"/>
    <w:rsid w:val="00D5245B"/>
    <w:rsid w:val="00D53053"/>
    <w:rsid w:val="00D530DA"/>
    <w:rsid w:val="00D53189"/>
    <w:rsid w:val="00D532A0"/>
    <w:rsid w:val="00D536B6"/>
    <w:rsid w:val="00D53779"/>
    <w:rsid w:val="00D538F4"/>
    <w:rsid w:val="00D54020"/>
    <w:rsid w:val="00D545AB"/>
    <w:rsid w:val="00D5462F"/>
    <w:rsid w:val="00D5470A"/>
    <w:rsid w:val="00D54A0C"/>
    <w:rsid w:val="00D54C95"/>
    <w:rsid w:val="00D54CFA"/>
    <w:rsid w:val="00D5515E"/>
    <w:rsid w:val="00D55A91"/>
    <w:rsid w:val="00D5637E"/>
    <w:rsid w:val="00D56570"/>
    <w:rsid w:val="00D568BB"/>
    <w:rsid w:val="00D56C39"/>
    <w:rsid w:val="00D56D4C"/>
    <w:rsid w:val="00D56D5D"/>
    <w:rsid w:val="00D57019"/>
    <w:rsid w:val="00D5729A"/>
    <w:rsid w:val="00D572C6"/>
    <w:rsid w:val="00D575E9"/>
    <w:rsid w:val="00D5790B"/>
    <w:rsid w:val="00D57941"/>
    <w:rsid w:val="00D57A78"/>
    <w:rsid w:val="00D57B9B"/>
    <w:rsid w:val="00D57BD1"/>
    <w:rsid w:val="00D57D8C"/>
    <w:rsid w:val="00D57F6B"/>
    <w:rsid w:val="00D601D9"/>
    <w:rsid w:val="00D60358"/>
    <w:rsid w:val="00D60411"/>
    <w:rsid w:val="00D605ED"/>
    <w:rsid w:val="00D606A3"/>
    <w:rsid w:val="00D60B62"/>
    <w:rsid w:val="00D60DA5"/>
    <w:rsid w:val="00D61046"/>
    <w:rsid w:val="00D6119E"/>
    <w:rsid w:val="00D615E0"/>
    <w:rsid w:val="00D61676"/>
    <w:rsid w:val="00D61883"/>
    <w:rsid w:val="00D619CB"/>
    <w:rsid w:val="00D61D8E"/>
    <w:rsid w:val="00D62040"/>
    <w:rsid w:val="00D623B7"/>
    <w:rsid w:val="00D6274D"/>
    <w:rsid w:val="00D62782"/>
    <w:rsid w:val="00D62903"/>
    <w:rsid w:val="00D62AAB"/>
    <w:rsid w:val="00D62B0F"/>
    <w:rsid w:val="00D62B93"/>
    <w:rsid w:val="00D62C06"/>
    <w:rsid w:val="00D62C9B"/>
    <w:rsid w:val="00D62F97"/>
    <w:rsid w:val="00D62F99"/>
    <w:rsid w:val="00D63250"/>
    <w:rsid w:val="00D6325B"/>
    <w:rsid w:val="00D633CC"/>
    <w:rsid w:val="00D635D9"/>
    <w:rsid w:val="00D63B87"/>
    <w:rsid w:val="00D63C1A"/>
    <w:rsid w:val="00D63CBC"/>
    <w:rsid w:val="00D6406B"/>
    <w:rsid w:val="00D640ED"/>
    <w:rsid w:val="00D64248"/>
    <w:rsid w:val="00D6456E"/>
    <w:rsid w:val="00D648CB"/>
    <w:rsid w:val="00D64BAD"/>
    <w:rsid w:val="00D651E3"/>
    <w:rsid w:val="00D651EF"/>
    <w:rsid w:val="00D6552B"/>
    <w:rsid w:val="00D65555"/>
    <w:rsid w:val="00D657D6"/>
    <w:rsid w:val="00D660FF"/>
    <w:rsid w:val="00D667E7"/>
    <w:rsid w:val="00D667F6"/>
    <w:rsid w:val="00D669CB"/>
    <w:rsid w:val="00D66C47"/>
    <w:rsid w:val="00D66EF2"/>
    <w:rsid w:val="00D66F91"/>
    <w:rsid w:val="00D67161"/>
    <w:rsid w:val="00D6719A"/>
    <w:rsid w:val="00D67371"/>
    <w:rsid w:val="00D67413"/>
    <w:rsid w:val="00D6754B"/>
    <w:rsid w:val="00D67A93"/>
    <w:rsid w:val="00D67B13"/>
    <w:rsid w:val="00D7039D"/>
    <w:rsid w:val="00D703E5"/>
    <w:rsid w:val="00D70CFA"/>
    <w:rsid w:val="00D70DDB"/>
    <w:rsid w:val="00D71000"/>
    <w:rsid w:val="00D71005"/>
    <w:rsid w:val="00D71148"/>
    <w:rsid w:val="00D711AA"/>
    <w:rsid w:val="00D7131E"/>
    <w:rsid w:val="00D71410"/>
    <w:rsid w:val="00D71543"/>
    <w:rsid w:val="00D715F9"/>
    <w:rsid w:val="00D71846"/>
    <w:rsid w:val="00D719A1"/>
    <w:rsid w:val="00D71C0E"/>
    <w:rsid w:val="00D71FE0"/>
    <w:rsid w:val="00D72449"/>
    <w:rsid w:val="00D72F92"/>
    <w:rsid w:val="00D730A2"/>
    <w:rsid w:val="00D730F3"/>
    <w:rsid w:val="00D73611"/>
    <w:rsid w:val="00D73776"/>
    <w:rsid w:val="00D73892"/>
    <w:rsid w:val="00D73962"/>
    <w:rsid w:val="00D73B16"/>
    <w:rsid w:val="00D73E17"/>
    <w:rsid w:val="00D7404A"/>
    <w:rsid w:val="00D7406F"/>
    <w:rsid w:val="00D74165"/>
    <w:rsid w:val="00D7432A"/>
    <w:rsid w:val="00D746AC"/>
    <w:rsid w:val="00D7488F"/>
    <w:rsid w:val="00D74CDD"/>
    <w:rsid w:val="00D7512E"/>
    <w:rsid w:val="00D755FF"/>
    <w:rsid w:val="00D756BC"/>
    <w:rsid w:val="00D757D9"/>
    <w:rsid w:val="00D758A2"/>
    <w:rsid w:val="00D762D4"/>
    <w:rsid w:val="00D7634A"/>
    <w:rsid w:val="00D763A8"/>
    <w:rsid w:val="00D76430"/>
    <w:rsid w:val="00D768F4"/>
    <w:rsid w:val="00D76FBF"/>
    <w:rsid w:val="00D76FEC"/>
    <w:rsid w:val="00D770F6"/>
    <w:rsid w:val="00D77294"/>
    <w:rsid w:val="00D775D9"/>
    <w:rsid w:val="00D77B14"/>
    <w:rsid w:val="00D77BC2"/>
    <w:rsid w:val="00D8013C"/>
    <w:rsid w:val="00D80158"/>
    <w:rsid w:val="00D802FE"/>
    <w:rsid w:val="00D8053C"/>
    <w:rsid w:val="00D80AA9"/>
    <w:rsid w:val="00D80CBD"/>
    <w:rsid w:val="00D80E72"/>
    <w:rsid w:val="00D815A0"/>
    <w:rsid w:val="00D815E5"/>
    <w:rsid w:val="00D81680"/>
    <w:rsid w:val="00D818E9"/>
    <w:rsid w:val="00D819F3"/>
    <w:rsid w:val="00D81B18"/>
    <w:rsid w:val="00D81F78"/>
    <w:rsid w:val="00D821A6"/>
    <w:rsid w:val="00D828CC"/>
    <w:rsid w:val="00D82A11"/>
    <w:rsid w:val="00D83841"/>
    <w:rsid w:val="00D83CCF"/>
    <w:rsid w:val="00D83E21"/>
    <w:rsid w:val="00D84487"/>
    <w:rsid w:val="00D844E5"/>
    <w:rsid w:val="00D8464B"/>
    <w:rsid w:val="00D848F9"/>
    <w:rsid w:val="00D84A31"/>
    <w:rsid w:val="00D84A94"/>
    <w:rsid w:val="00D84F9A"/>
    <w:rsid w:val="00D85271"/>
    <w:rsid w:val="00D85E3A"/>
    <w:rsid w:val="00D86038"/>
    <w:rsid w:val="00D86180"/>
    <w:rsid w:val="00D8654A"/>
    <w:rsid w:val="00D865D0"/>
    <w:rsid w:val="00D866D0"/>
    <w:rsid w:val="00D86780"/>
    <w:rsid w:val="00D86B20"/>
    <w:rsid w:val="00D86C64"/>
    <w:rsid w:val="00D8700E"/>
    <w:rsid w:val="00D875C2"/>
    <w:rsid w:val="00D87761"/>
    <w:rsid w:val="00D87A74"/>
    <w:rsid w:val="00D87D41"/>
    <w:rsid w:val="00D87DCC"/>
    <w:rsid w:val="00D902E2"/>
    <w:rsid w:val="00D9043E"/>
    <w:rsid w:val="00D907E9"/>
    <w:rsid w:val="00D90829"/>
    <w:rsid w:val="00D908C9"/>
    <w:rsid w:val="00D90974"/>
    <w:rsid w:val="00D9099B"/>
    <w:rsid w:val="00D90DC6"/>
    <w:rsid w:val="00D9130F"/>
    <w:rsid w:val="00D91931"/>
    <w:rsid w:val="00D91E7D"/>
    <w:rsid w:val="00D9230B"/>
    <w:rsid w:val="00D92599"/>
    <w:rsid w:val="00D92A46"/>
    <w:rsid w:val="00D92B0C"/>
    <w:rsid w:val="00D92D04"/>
    <w:rsid w:val="00D935FF"/>
    <w:rsid w:val="00D93D57"/>
    <w:rsid w:val="00D94050"/>
    <w:rsid w:val="00D94139"/>
    <w:rsid w:val="00D942F5"/>
    <w:rsid w:val="00D943E9"/>
    <w:rsid w:val="00D94485"/>
    <w:rsid w:val="00D944B6"/>
    <w:rsid w:val="00D9452C"/>
    <w:rsid w:val="00D94862"/>
    <w:rsid w:val="00D9492C"/>
    <w:rsid w:val="00D94D85"/>
    <w:rsid w:val="00D95009"/>
    <w:rsid w:val="00D957C4"/>
    <w:rsid w:val="00D958DF"/>
    <w:rsid w:val="00D95902"/>
    <w:rsid w:val="00D95B2A"/>
    <w:rsid w:val="00D95EE7"/>
    <w:rsid w:val="00D9600A"/>
    <w:rsid w:val="00D9635E"/>
    <w:rsid w:val="00D96474"/>
    <w:rsid w:val="00D96818"/>
    <w:rsid w:val="00D968A3"/>
    <w:rsid w:val="00D968AA"/>
    <w:rsid w:val="00D96925"/>
    <w:rsid w:val="00D96AA6"/>
    <w:rsid w:val="00D96AAC"/>
    <w:rsid w:val="00D96EDA"/>
    <w:rsid w:val="00D97411"/>
    <w:rsid w:val="00D9741D"/>
    <w:rsid w:val="00D978CE"/>
    <w:rsid w:val="00D97AA2"/>
    <w:rsid w:val="00DA0299"/>
    <w:rsid w:val="00DA057B"/>
    <w:rsid w:val="00DA0870"/>
    <w:rsid w:val="00DA0BBB"/>
    <w:rsid w:val="00DA0E70"/>
    <w:rsid w:val="00DA10FE"/>
    <w:rsid w:val="00DA1795"/>
    <w:rsid w:val="00DA1B16"/>
    <w:rsid w:val="00DA20DA"/>
    <w:rsid w:val="00DA2648"/>
    <w:rsid w:val="00DA27F1"/>
    <w:rsid w:val="00DA27FB"/>
    <w:rsid w:val="00DA2848"/>
    <w:rsid w:val="00DA2A87"/>
    <w:rsid w:val="00DA2AA5"/>
    <w:rsid w:val="00DA2BF2"/>
    <w:rsid w:val="00DA2E25"/>
    <w:rsid w:val="00DA34B7"/>
    <w:rsid w:val="00DA37AC"/>
    <w:rsid w:val="00DA3878"/>
    <w:rsid w:val="00DA391D"/>
    <w:rsid w:val="00DA3B1B"/>
    <w:rsid w:val="00DA3BC8"/>
    <w:rsid w:val="00DA3BDC"/>
    <w:rsid w:val="00DA45A6"/>
    <w:rsid w:val="00DA484A"/>
    <w:rsid w:val="00DA4C61"/>
    <w:rsid w:val="00DA4DA4"/>
    <w:rsid w:val="00DA54D4"/>
    <w:rsid w:val="00DA5597"/>
    <w:rsid w:val="00DA5CB9"/>
    <w:rsid w:val="00DA5F28"/>
    <w:rsid w:val="00DA659B"/>
    <w:rsid w:val="00DA6928"/>
    <w:rsid w:val="00DA6AAF"/>
    <w:rsid w:val="00DA6BAD"/>
    <w:rsid w:val="00DA6C9B"/>
    <w:rsid w:val="00DA70A1"/>
    <w:rsid w:val="00DA7213"/>
    <w:rsid w:val="00DA73BB"/>
    <w:rsid w:val="00DA7492"/>
    <w:rsid w:val="00DA74A5"/>
    <w:rsid w:val="00DA7523"/>
    <w:rsid w:val="00DA7555"/>
    <w:rsid w:val="00DA770E"/>
    <w:rsid w:val="00DA7849"/>
    <w:rsid w:val="00DA7BB3"/>
    <w:rsid w:val="00DA7C64"/>
    <w:rsid w:val="00DA7DF6"/>
    <w:rsid w:val="00DA7ECB"/>
    <w:rsid w:val="00DA7FCD"/>
    <w:rsid w:val="00DB03C6"/>
    <w:rsid w:val="00DB05C3"/>
    <w:rsid w:val="00DB0B8D"/>
    <w:rsid w:val="00DB153C"/>
    <w:rsid w:val="00DB15CA"/>
    <w:rsid w:val="00DB17CC"/>
    <w:rsid w:val="00DB191A"/>
    <w:rsid w:val="00DB2106"/>
    <w:rsid w:val="00DB2519"/>
    <w:rsid w:val="00DB2618"/>
    <w:rsid w:val="00DB272F"/>
    <w:rsid w:val="00DB28A7"/>
    <w:rsid w:val="00DB2B2F"/>
    <w:rsid w:val="00DB3122"/>
    <w:rsid w:val="00DB321B"/>
    <w:rsid w:val="00DB3394"/>
    <w:rsid w:val="00DB33B5"/>
    <w:rsid w:val="00DB3461"/>
    <w:rsid w:val="00DB3491"/>
    <w:rsid w:val="00DB35FB"/>
    <w:rsid w:val="00DB3EE0"/>
    <w:rsid w:val="00DB3F7E"/>
    <w:rsid w:val="00DB430E"/>
    <w:rsid w:val="00DB44D6"/>
    <w:rsid w:val="00DB4649"/>
    <w:rsid w:val="00DB48AB"/>
    <w:rsid w:val="00DB4B0B"/>
    <w:rsid w:val="00DB4B18"/>
    <w:rsid w:val="00DB4B2A"/>
    <w:rsid w:val="00DB50D3"/>
    <w:rsid w:val="00DB517E"/>
    <w:rsid w:val="00DB56A2"/>
    <w:rsid w:val="00DB580D"/>
    <w:rsid w:val="00DB5C02"/>
    <w:rsid w:val="00DB5DA0"/>
    <w:rsid w:val="00DB676C"/>
    <w:rsid w:val="00DB67A0"/>
    <w:rsid w:val="00DB6884"/>
    <w:rsid w:val="00DB6895"/>
    <w:rsid w:val="00DB6E79"/>
    <w:rsid w:val="00DB6F46"/>
    <w:rsid w:val="00DB77B8"/>
    <w:rsid w:val="00DB7CC1"/>
    <w:rsid w:val="00DC0054"/>
    <w:rsid w:val="00DC045F"/>
    <w:rsid w:val="00DC0654"/>
    <w:rsid w:val="00DC09D8"/>
    <w:rsid w:val="00DC0AC6"/>
    <w:rsid w:val="00DC0BD4"/>
    <w:rsid w:val="00DC1172"/>
    <w:rsid w:val="00DC13E3"/>
    <w:rsid w:val="00DC16E2"/>
    <w:rsid w:val="00DC1786"/>
    <w:rsid w:val="00DC1BA5"/>
    <w:rsid w:val="00DC2100"/>
    <w:rsid w:val="00DC237C"/>
    <w:rsid w:val="00DC2527"/>
    <w:rsid w:val="00DC2789"/>
    <w:rsid w:val="00DC284F"/>
    <w:rsid w:val="00DC339F"/>
    <w:rsid w:val="00DC36D2"/>
    <w:rsid w:val="00DC36FC"/>
    <w:rsid w:val="00DC3B1F"/>
    <w:rsid w:val="00DC426D"/>
    <w:rsid w:val="00DC4F1E"/>
    <w:rsid w:val="00DC51A7"/>
    <w:rsid w:val="00DC5488"/>
    <w:rsid w:val="00DC5499"/>
    <w:rsid w:val="00DC58E9"/>
    <w:rsid w:val="00DC60A4"/>
    <w:rsid w:val="00DC60C8"/>
    <w:rsid w:val="00DC62EA"/>
    <w:rsid w:val="00DC638D"/>
    <w:rsid w:val="00DC65E5"/>
    <w:rsid w:val="00DC6945"/>
    <w:rsid w:val="00DC6C2D"/>
    <w:rsid w:val="00DC6DC3"/>
    <w:rsid w:val="00DC6DCD"/>
    <w:rsid w:val="00DC736F"/>
    <w:rsid w:val="00DC740F"/>
    <w:rsid w:val="00DC760D"/>
    <w:rsid w:val="00DC7678"/>
    <w:rsid w:val="00DC76B3"/>
    <w:rsid w:val="00DC7B59"/>
    <w:rsid w:val="00DC7CCD"/>
    <w:rsid w:val="00DC7D56"/>
    <w:rsid w:val="00DC7DC5"/>
    <w:rsid w:val="00DC7E8A"/>
    <w:rsid w:val="00DC7FC2"/>
    <w:rsid w:val="00DD0167"/>
    <w:rsid w:val="00DD0ADD"/>
    <w:rsid w:val="00DD0D72"/>
    <w:rsid w:val="00DD122C"/>
    <w:rsid w:val="00DD16EF"/>
    <w:rsid w:val="00DD1905"/>
    <w:rsid w:val="00DD194E"/>
    <w:rsid w:val="00DD1C93"/>
    <w:rsid w:val="00DD1DB2"/>
    <w:rsid w:val="00DD1E0F"/>
    <w:rsid w:val="00DD217C"/>
    <w:rsid w:val="00DD233B"/>
    <w:rsid w:val="00DD2370"/>
    <w:rsid w:val="00DD2404"/>
    <w:rsid w:val="00DD2F84"/>
    <w:rsid w:val="00DD3213"/>
    <w:rsid w:val="00DD3364"/>
    <w:rsid w:val="00DD3BDD"/>
    <w:rsid w:val="00DD3C10"/>
    <w:rsid w:val="00DD3DB1"/>
    <w:rsid w:val="00DD4078"/>
    <w:rsid w:val="00DD41ED"/>
    <w:rsid w:val="00DD45BD"/>
    <w:rsid w:val="00DD45EC"/>
    <w:rsid w:val="00DD4653"/>
    <w:rsid w:val="00DD483A"/>
    <w:rsid w:val="00DD4C71"/>
    <w:rsid w:val="00DD4EF9"/>
    <w:rsid w:val="00DD50EF"/>
    <w:rsid w:val="00DD5112"/>
    <w:rsid w:val="00DD58ED"/>
    <w:rsid w:val="00DD58F5"/>
    <w:rsid w:val="00DD59AB"/>
    <w:rsid w:val="00DD5C06"/>
    <w:rsid w:val="00DD6120"/>
    <w:rsid w:val="00DD61EC"/>
    <w:rsid w:val="00DD6386"/>
    <w:rsid w:val="00DD63D5"/>
    <w:rsid w:val="00DD6F80"/>
    <w:rsid w:val="00DD7053"/>
    <w:rsid w:val="00DD742A"/>
    <w:rsid w:val="00DD74AD"/>
    <w:rsid w:val="00DD774B"/>
    <w:rsid w:val="00DD78D8"/>
    <w:rsid w:val="00DD7A63"/>
    <w:rsid w:val="00DD7B4C"/>
    <w:rsid w:val="00DD7C48"/>
    <w:rsid w:val="00DE0049"/>
    <w:rsid w:val="00DE018A"/>
    <w:rsid w:val="00DE01B4"/>
    <w:rsid w:val="00DE01CF"/>
    <w:rsid w:val="00DE033B"/>
    <w:rsid w:val="00DE0687"/>
    <w:rsid w:val="00DE0BA0"/>
    <w:rsid w:val="00DE0D70"/>
    <w:rsid w:val="00DE0ED8"/>
    <w:rsid w:val="00DE0F1A"/>
    <w:rsid w:val="00DE0FFF"/>
    <w:rsid w:val="00DE14D6"/>
    <w:rsid w:val="00DE169D"/>
    <w:rsid w:val="00DE192D"/>
    <w:rsid w:val="00DE196B"/>
    <w:rsid w:val="00DE1D7F"/>
    <w:rsid w:val="00DE1DBE"/>
    <w:rsid w:val="00DE1E62"/>
    <w:rsid w:val="00DE1EA3"/>
    <w:rsid w:val="00DE1F43"/>
    <w:rsid w:val="00DE2227"/>
    <w:rsid w:val="00DE22D9"/>
    <w:rsid w:val="00DE265E"/>
    <w:rsid w:val="00DE2EDA"/>
    <w:rsid w:val="00DE31BB"/>
    <w:rsid w:val="00DE39E4"/>
    <w:rsid w:val="00DE39F0"/>
    <w:rsid w:val="00DE3CEE"/>
    <w:rsid w:val="00DE3DD2"/>
    <w:rsid w:val="00DE41C3"/>
    <w:rsid w:val="00DE44A0"/>
    <w:rsid w:val="00DE45E1"/>
    <w:rsid w:val="00DE46B4"/>
    <w:rsid w:val="00DE4A05"/>
    <w:rsid w:val="00DE4DEA"/>
    <w:rsid w:val="00DE4E1B"/>
    <w:rsid w:val="00DE4F03"/>
    <w:rsid w:val="00DE4FA9"/>
    <w:rsid w:val="00DE51AC"/>
    <w:rsid w:val="00DE53C5"/>
    <w:rsid w:val="00DE5550"/>
    <w:rsid w:val="00DE5FF7"/>
    <w:rsid w:val="00DE601A"/>
    <w:rsid w:val="00DE684F"/>
    <w:rsid w:val="00DE68E5"/>
    <w:rsid w:val="00DE6F16"/>
    <w:rsid w:val="00DE718A"/>
    <w:rsid w:val="00DF0684"/>
    <w:rsid w:val="00DF07E8"/>
    <w:rsid w:val="00DF0872"/>
    <w:rsid w:val="00DF09F0"/>
    <w:rsid w:val="00DF0A22"/>
    <w:rsid w:val="00DF139D"/>
    <w:rsid w:val="00DF168B"/>
    <w:rsid w:val="00DF19A4"/>
    <w:rsid w:val="00DF1AED"/>
    <w:rsid w:val="00DF27B5"/>
    <w:rsid w:val="00DF27EF"/>
    <w:rsid w:val="00DF2A81"/>
    <w:rsid w:val="00DF2D9C"/>
    <w:rsid w:val="00DF2EA4"/>
    <w:rsid w:val="00DF317E"/>
    <w:rsid w:val="00DF3655"/>
    <w:rsid w:val="00DF36C3"/>
    <w:rsid w:val="00DF3B4B"/>
    <w:rsid w:val="00DF3B8B"/>
    <w:rsid w:val="00DF3C0C"/>
    <w:rsid w:val="00DF3FE8"/>
    <w:rsid w:val="00DF43B3"/>
    <w:rsid w:val="00DF4840"/>
    <w:rsid w:val="00DF4E43"/>
    <w:rsid w:val="00DF517B"/>
    <w:rsid w:val="00DF53F5"/>
    <w:rsid w:val="00DF53FE"/>
    <w:rsid w:val="00DF5592"/>
    <w:rsid w:val="00DF55B6"/>
    <w:rsid w:val="00DF560F"/>
    <w:rsid w:val="00DF597A"/>
    <w:rsid w:val="00DF5A99"/>
    <w:rsid w:val="00DF5BC0"/>
    <w:rsid w:val="00DF606F"/>
    <w:rsid w:val="00DF647E"/>
    <w:rsid w:val="00DF6778"/>
    <w:rsid w:val="00DF6862"/>
    <w:rsid w:val="00DF6CB1"/>
    <w:rsid w:val="00DF74BC"/>
    <w:rsid w:val="00DF7674"/>
    <w:rsid w:val="00DF7967"/>
    <w:rsid w:val="00DF7A37"/>
    <w:rsid w:val="00DF7DF1"/>
    <w:rsid w:val="00DF7F92"/>
    <w:rsid w:val="00DF7FA7"/>
    <w:rsid w:val="00E001AD"/>
    <w:rsid w:val="00E003A7"/>
    <w:rsid w:val="00E004F7"/>
    <w:rsid w:val="00E00629"/>
    <w:rsid w:val="00E00654"/>
    <w:rsid w:val="00E0073B"/>
    <w:rsid w:val="00E00C92"/>
    <w:rsid w:val="00E00CCB"/>
    <w:rsid w:val="00E00DAA"/>
    <w:rsid w:val="00E00DD2"/>
    <w:rsid w:val="00E00FC1"/>
    <w:rsid w:val="00E00FD4"/>
    <w:rsid w:val="00E01037"/>
    <w:rsid w:val="00E010D6"/>
    <w:rsid w:val="00E01110"/>
    <w:rsid w:val="00E02327"/>
    <w:rsid w:val="00E02715"/>
    <w:rsid w:val="00E02A26"/>
    <w:rsid w:val="00E0316C"/>
    <w:rsid w:val="00E031C8"/>
    <w:rsid w:val="00E034CD"/>
    <w:rsid w:val="00E03F85"/>
    <w:rsid w:val="00E04451"/>
    <w:rsid w:val="00E048E2"/>
    <w:rsid w:val="00E04F60"/>
    <w:rsid w:val="00E050C6"/>
    <w:rsid w:val="00E053E4"/>
    <w:rsid w:val="00E054D8"/>
    <w:rsid w:val="00E05529"/>
    <w:rsid w:val="00E05539"/>
    <w:rsid w:val="00E05B4F"/>
    <w:rsid w:val="00E05DFF"/>
    <w:rsid w:val="00E05FB4"/>
    <w:rsid w:val="00E06B3A"/>
    <w:rsid w:val="00E06DCE"/>
    <w:rsid w:val="00E06E43"/>
    <w:rsid w:val="00E06E6F"/>
    <w:rsid w:val="00E07217"/>
    <w:rsid w:val="00E0778E"/>
    <w:rsid w:val="00E07DF0"/>
    <w:rsid w:val="00E07F9C"/>
    <w:rsid w:val="00E10065"/>
    <w:rsid w:val="00E1040F"/>
    <w:rsid w:val="00E105C1"/>
    <w:rsid w:val="00E108B0"/>
    <w:rsid w:val="00E11418"/>
    <w:rsid w:val="00E1159D"/>
    <w:rsid w:val="00E11A65"/>
    <w:rsid w:val="00E11ACC"/>
    <w:rsid w:val="00E11B3E"/>
    <w:rsid w:val="00E11E54"/>
    <w:rsid w:val="00E12080"/>
    <w:rsid w:val="00E12237"/>
    <w:rsid w:val="00E123ED"/>
    <w:rsid w:val="00E12630"/>
    <w:rsid w:val="00E126ED"/>
    <w:rsid w:val="00E12882"/>
    <w:rsid w:val="00E12B6B"/>
    <w:rsid w:val="00E12EF5"/>
    <w:rsid w:val="00E139FC"/>
    <w:rsid w:val="00E13A61"/>
    <w:rsid w:val="00E13C63"/>
    <w:rsid w:val="00E13C95"/>
    <w:rsid w:val="00E13EB2"/>
    <w:rsid w:val="00E140DC"/>
    <w:rsid w:val="00E14564"/>
    <w:rsid w:val="00E15136"/>
    <w:rsid w:val="00E153C5"/>
    <w:rsid w:val="00E156F0"/>
    <w:rsid w:val="00E15738"/>
    <w:rsid w:val="00E158A3"/>
    <w:rsid w:val="00E162DD"/>
    <w:rsid w:val="00E16312"/>
    <w:rsid w:val="00E16351"/>
    <w:rsid w:val="00E169CE"/>
    <w:rsid w:val="00E16B19"/>
    <w:rsid w:val="00E16B72"/>
    <w:rsid w:val="00E17043"/>
    <w:rsid w:val="00E1722D"/>
    <w:rsid w:val="00E17241"/>
    <w:rsid w:val="00E173C2"/>
    <w:rsid w:val="00E17860"/>
    <w:rsid w:val="00E179E0"/>
    <w:rsid w:val="00E17E18"/>
    <w:rsid w:val="00E17F74"/>
    <w:rsid w:val="00E20072"/>
    <w:rsid w:val="00E201F9"/>
    <w:rsid w:val="00E2032D"/>
    <w:rsid w:val="00E20493"/>
    <w:rsid w:val="00E2078F"/>
    <w:rsid w:val="00E20874"/>
    <w:rsid w:val="00E21446"/>
    <w:rsid w:val="00E2150C"/>
    <w:rsid w:val="00E219AA"/>
    <w:rsid w:val="00E21F48"/>
    <w:rsid w:val="00E224CF"/>
    <w:rsid w:val="00E228A4"/>
    <w:rsid w:val="00E2315B"/>
    <w:rsid w:val="00E23187"/>
    <w:rsid w:val="00E232A2"/>
    <w:rsid w:val="00E233CD"/>
    <w:rsid w:val="00E233F7"/>
    <w:rsid w:val="00E236C3"/>
    <w:rsid w:val="00E23779"/>
    <w:rsid w:val="00E237C9"/>
    <w:rsid w:val="00E23909"/>
    <w:rsid w:val="00E239D0"/>
    <w:rsid w:val="00E23A28"/>
    <w:rsid w:val="00E23A4A"/>
    <w:rsid w:val="00E23D31"/>
    <w:rsid w:val="00E2444C"/>
    <w:rsid w:val="00E244D1"/>
    <w:rsid w:val="00E2461B"/>
    <w:rsid w:val="00E2503A"/>
    <w:rsid w:val="00E253A2"/>
    <w:rsid w:val="00E2552F"/>
    <w:rsid w:val="00E25558"/>
    <w:rsid w:val="00E25976"/>
    <w:rsid w:val="00E25A68"/>
    <w:rsid w:val="00E25CA6"/>
    <w:rsid w:val="00E25E1C"/>
    <w:rsid w:val="00E265AC"/>
    <w:rsid w:val="00E26602"/>
    <w:rsid w:val="00E27127"/>
    <w:rsid w:val="00E272CD"/>
    <w:rsid w:val="00E27609"/>
    <w:rsid w:val="00E27839"/>
    <w:rsid w:val="00E27B9F"/>
    <w:rsid w:val="00E27D03"/>
    <w:rsid w:val="00E30879"/>
    <w:rsid w:val="00E30A68"/>
    <w:rsid w:val="00E30D79"/>
    <w:rsid w:val="00E30F38"/>
    <w:rsid w:val="00E3105C"/>
    <w:rsid w:val="00E31063"/>
    <w:rsid w:val="00E3115A"/>
    <w:rsid w:val="00E313DB"/>
    <w:rsid w:val="00E3170F"/>
    <w:rsid w:val="00E3177D"/>
    <w:rsid w:val="00E31852"/>
    <w:rsid w:val="00E31C73"/>
    <w:rsid w:val="00E31CBD"/>
    <w:rsid w:val="00E31F10"/>
    <w:rsid w:val="00E327CB"/>
    <w:rsid w:val="00E32C2C"/>
    <w:rsid w:val="00E32C6C"/>
    <w:rsid w:val="00E32FFF"/>
    <w:rsid w:val="00E332AB"/>
    <w:rsid w:val="00E33682"/>
    <w:rsid w:val="00E3368D"/>
    <w:rsid w:val="00E34044"/>
    <w:rsid w:val="00E3530B"/>
    <w:rsid w:val="00E35491"/>
    <w:rsid w:val="00E35A90"/>
    <w:rsid w:val="00E35CEE"/>
    <w:rsid w:val="00E35D07"/>
    <w:rsid w:val="00E36481"/>
    <w:rsid w:val="00E36DC7"/>
    <w:rsid w:val="00E370E7"/>
    <w:rsid w:val="00E37156"/>
    <w:rsid w:val="00E3733D"/>
    <w:rsid w:val="00E375F4"/>
    <w:rsid w:val="00E37947"/>
    <w:rsid w:val="00E37A51"/>
    <w:rsid w:val="00E37C21"/>
    <w:rsid w:val="00E37C61"/>
    <w:rsid w:val="00E37C69"/>
    <w:rsid w:val="00E37D3A"/>
    <w:rsid w:val="00E37E2C"/>
    <w:rsid w:val="00E37EE1"/>
    <w:rsid w:val="00E401E9"/>
    <w:rsid w:val="00E40369"/>
    <w:rsid w:val="00E40545"/>
    <w:rsid w:val="00E40A2B"/>
    <w:rsid w:val="00E40B91"/>
    <w:rsid w:val="00E4102D"/>
    <w:rsid w:val="00E4130D"/>
    <w:rsid w:val="00E41E40"/>
    <w:rsid w:val="00E420B4"/>
    <w:rsid w:val="00E42471"/>
    <w:rsid w:val="00E42630"/>
    <w:rsid w:val="00E426D7"/>
    <w:rsid w:val="00E4276D"/>
    <w:rsid w:val="00E427B8"/>
    <w:rsid w:val="00E428AB"/>
    <w:rsid w:val="00E428E0"/>
    <w:rsid w:val="00E4295B"/>
    <w:rsid w:val="00E42A95"/>
    <w:rsid w:val="00E42C47"/>
    <w:rsid w:val="00E42CC6"/>
    <w:rsid w:val="00E42D43"/>
    <w:rsid w:val="00E42D77"/>
    <w:rsid w:val="00E42DE9"/>
    <w:rsid w:val="00E42E25"/>
    <w:rsid w:val="00E42E97"/>
    <w:rsid w:val="00E42EDF"/>
    <w:rsid w:val="00E42F7E"/>
    <w:rsid w:val="00E432E1"/>
    <w:rsid w:val="00E43321"/>
    <w:rsid w:val="00E43AD5"/>
    <w:rsid w:val="00E43DEF"/>
    <w:rsid w:val="00E44075"/>
    <w:rsid w:val="00E4452E"/>
    <w:rsid w:val="00E44C7A"/>
    <w:rsid w:val="00E44C99"/>
    <w:rsid w:val="00E44C9D"/>
    <w:rsid w:val="00E44D64"/>
    <w:rsid w:val="00E44FEB"/>
    <w:rsid w:val="00E452DF"/>
    <w:rsid w:val="00E4577B"/>
    <w:rsid w:val="00E45DCC"/>
    <w:rsid w:val="00E45F6C"/>
    <w:rsid w:val="00E4650F"/>
    <w:rsid w:val="00E46649"/>
    <w:rsid w:val="00E46775"/>
    <w:rsid w:val="00E46926"/>
    <w:rsid w:val="00E46C32"/>
    <w:rsid w:val="00E46E64"/>
    <w:rsid w:val="00E472F5"/>
    <w:rsid w:val="00E474A1"/>
    <w:rsid w:val="00E47505"/>
    <w:rsid w:val="00E47D3F"/>
    <w:rsid w:val="00E50074"/>
    <w:rsid w:val="00E501E8"/>
    <w:rsid w:val="00E50311"/>
    <w:rsid w:val="00E50369"/>
    <w:rsid w:val="00E505B1"/>
    <w:rsid w:val="00E50640"/>
    <w:rsid w:val="00E50BAD"/>
    <w:rsid w:val="00E51AA2"/>
    <w:rsid w:val="00E51AB0"/>
    <w:rsid w:val="00E52106"/>
    <w:rsid w:val="00E525CD"/>
    <w:rsid w:val="00E52711"/>
    <w:rsid w:val="00E52805"/>
    <w:rsid w:val="00E52816"/>
    <w:rsid w:val="00E52B7F"/>
    <w:rsid w:val="00E5344B"/>
    <w:rsid w:val="00E5345A"/>
    <w:rsid w:val="00E534EF"/>
    <w:rsid w:val="00E53642"/>
    <w:rsid w:val="00E536DE"/>
    <w:rsid w:val="00E53976"/>
    <w:rsid w:val="00E53E9E"/>
    <w:rsid w:val="00E53ECB"/>
    <w:rsid w:val="00E540FB"/>
    <w:rsid w:val="00E54335"/>
    <w:rsid w:val="00E544C0"/>
    <w:rsid w:val="00E546BE"/>
    <w:rsid w:val="00E546D4"/>
    <w:rsid w:val="00E54A55"/>
    <w:rsid w:val="00E54AFD"/>
    <w:rsid w:val="00E54D2E"/>
    <w:rsid w:val="00E54D4D"/>
    <w:rsid w:val="00E54EBC"/>
    <w:rsid w:val="00E54EC8"/>
    <w:rsid w:val="00E5526E"/>
    <w:rsid w:val="00E553A8"/>
    <w:rsid w:val="00E55714"/>
    <w:rsid w:val="00E55DA6"/>
    <w:rsid w:val="00E56042"/>
    <w:rsid w:val="00E5680A"/>
    <w:rsid w:val="00E56928"/>
    <w:rsid w:val="00E5693C"/>
    <w:rsid w:val="00E56B69"/>
    <w:rsid w:val="00E56B89"/>
    <w:rsid w:val="00E56CE1"/>
    <w:rsid w:val="00E56E72"/>
    <w:rsid w:val="00E56EED"/>
    <w:rsid w:val="00E5726C"/>
    <w:rsid w:val="00E57799"/>
    <w:rsid w:val="00E60258"/>
    <w:rsid w:val="00E6034B"/>
    <w:rsid w:val="00E60754"/>
    <w:rsid w:val="00E61070"/>
    <w:rsid w:val="00E6126A"/>
    <w:rsid w:val="00E615A0"/>
    <w:rsid w:val="00E61920"/>
    <w:rsid w:val="00E61ECE"/>
    <w:rsid w:val="00E61F22"/>
    <w:rsid w:val="00E61F58"/>
    <w:rsid w:val="00E62525"/>
    <w:rsid w:val="00E625ED"/>
    <w:rsid w:val="00E62880"/>
    <w:rsid w:val="00E62C8B"/>
    <w:rsid w:val="00E631BE"/>
    <w:rsid w:val="00E63232"/>
    <w:rsid w:val="00E6359F"/>
    <w:rsid w:val="00E63618"/>
    <w:rsid w:val="00E63756"/>
    <w:rsid w:val="00E6386D"/>
    <w:rsid w:val="00E638C6"/>
    <w:rsid w:val="00E63A8D"/>
    <w:rsid w:val="00E63B4F"/>
    <w:rsid w:val="00E63EE8"/>
    <w:rsid w:val="00E63EEF"/>
    <w:rsid w:val="00E640A8"/>
    <w:rsid w:val="00E642BA"/>
    <w:rsid w:val="00E644F3"/>
    <w:rsid w:val="00E644F5"/>
    <w:rsid w:val="00E64727"/>
    <w:rsid w:val="00E647F1"/>
    <w:rsid w:val="00E6487E"/>
    <w:rsid w:val="00E649CB"/>
    <w:rsid w:val="00E649E2"/>
    <w:rsid w:val="00E64A8C"/>
    <w:rsid w:val="00E6507A"/>
    <w:rsid w:val="00E65112"/>
    <w:rsid w:val="00E65141"/>
    <w:rsid w:val="00E65339"/>
    <w:rsid w:val="00E65388"/>
    <w:rsid w:val="00E65395"/>
    <w:rsid w:val="00E65453"/>
    <w:rsid w:val="00E655A7"/>
    <w:rsid w:val="00E65BC3"/>
    <w:rsid w:val="00E660CB"/>
    <w:rsid w:val="00E66150"/>
    <w:rsid w:val="00E665D4"/>
    <w:rsid w:val="00E66BC8"/>
    <w:rsid w:val="00E66C37"/>
    <w:rsid w:val="00E66E95"/>
    <w:rsid w:val="00E670AF"/>
    <w:rsid w:val="00E6754F"/>
    <w:rsid w:val="00E677B9"/>
    <w:rsid w:val="00E67B8D"/>
    <w:rsid w:val="00E67CD0"/>
    <w:rsid w:val="00E67D52"/>
    <w:rsid w:val="00E67D69"/>
    <w:rsid w:val="00E67F23"/>
    <w:rsid w:val="00E7011D"/>
    <w:rsid w:val="00E704FA"/>
    <w:rsid w:val="00E70800"/>
    <w:rsid w:val="00E71247"/>
    <w:rsid w:val="00E715B3"/>
    <w:rsid w:val="00E719DC"/>
    <w:rsid w:val="00E71B50"/>
    <w:rsid w:val="00E71CCA"/>
    <w:rsid w:val="00E722B2"/>
    <w:rsid w:val="00E7237D"/>
    <w:rsid w:val="00E72599"/>
    <w:rsid w:val="00E72750"/>
    <w:rsid w:val="00E72800"/>
    <w:rsid w:val="00E72918"/>
    <w:rsid w:val="00E72949"/>
    <w:rsid w:val="00E72DAD"/>
    <w:rsid w:val="00E73223"/>
    <w:rsid w:val="00E73943"/>
    <w:rsid w:val="00E73C54"/>
    <w:rsid w:val="00E73CB0"/>
    <w:rsid w:val="00E73DDF"/>
    <w:rsid w:val="00E742E3"/>
    <w:rsid w:val="00E74A35"/>
    <w:rsid w:val="00E74B30"/>
    <w:rsid w:val="00E74CD4"/>
    <w:rsid w:val="00E74DE8"/>
    <w:rsid w:val="00E74F9B"/>
    <w:rsid w:val="00E751E3"/>
    <w:rsid w:val="00E7583D"/>
    <w:rsid w:val="00E758DE"/>
    <w:rsid w:val="00E75A98"/>
    <w:rsid w:val="00E75C61"/>
    <w:rsid w:val="00E75D6D"/>
    <w:rsid w:val="00E75DCC"/>
    <w:rsid w:val="00E76915"/>
    <w:rsid w:val="00E76C05"/>
    <w:rsid w:val="00E76CE2"/>
    <w:rsid w:val="00E76D14"/>
    <w:rsid w:val="00E76FB4"/>
    <w:rsid w:val="00E77101"/>
    <w:rsid w:val="00E8024C"/>
    <w:rsid w:val="00E8042C"/>
    <w:rsid w:val="00E80666"/>
    <w:rsid w:val="00E806E1"/>
    <w:rsid w:val="00E80EC6"/>
    <w:rsid w:val="00E80EE5"/>
    <w:rsid w:val="00E80F5A"/>
    <w:rsid w:val="00E80FB8"/>
    <w:rsid w:val="00E8118B"/>
    <w:rsid w:val="00E81931"/>
    <w:rsid w:val="00E81CE8"/>
    <w:rsid w:val="00E81CEC"/>
    <w:rsid w:val="00E8213A"/>
    <w:rsid w:val="00E827E7"/>
    <w:rsid w:val="00E82AE9"/>
    <w:rsid w:val="00E82E2A"/>
    <w:rsid w:val="00E831A6"/>
    <w:rsid w:val="00E83747"/>
    <w:rsid w:val="00E83CF2"/>
    <w:rsid w:val="00E83ED3"/>
    <w:rsid w:val="00E8442C"/>
    <w:rsid w:val="00E8459D"/>
    <w:rsid w:val="00E848D1"/>
    <w:rsid w:val="00E84AC5"/>
    <w:rsid w:val="00E84C82"/>
    <w:rsid w:val="00E84DC9"/>
    <w:rsid w:val="00E84E4F"/>
    <w:rsid w:val="00E84EC2"/>
    <w:rsid w:val="00E84F99"/>
    <w:rsid w:val="00E856EB"/>
    <w:rsid w:val="00E85786"/>
    <w:rsid w:val="00E8582D"/>
    <w:rsid w:val="00E8589C"/>
    <w:rsid w:val="00E85DE1"/>
    <w:rsid w:val="00E85EAB"/>
    <w:rsid w:val="00E860AB"/>
    <w:rsid w:val="00E8621B"/>
    <w:rsid w:val="00E8628A"/>
    <w:rsid w:val="00E862E0"/>
    <w:rsid w:val="00E86635"/>
    <w:rsid w:val="00E86B0F"/>
    <w:rsid w:val="00E86D5B"/>
    <w:rsid w:val="00E8704F"/>
    <w:rsid w:val="00E87136"/>
    <w:rsid w:val="00E875DC"/>
    <w:rsid w:val="00E87927"/>
    <w:rsid w:val="00E9048C"/>
    <w:rsid w:val="00E906A7"/>
    <w:rsid w:val="00E90C77"/>
    <w:rsid w:val="00E910EA"/>
    <w:rsid w:val="00E91459"/>
    <w:rsid w:val="00E91506"/>
    <w:rsid w:val="00E91C6A"/>
    <w:rsid w:val="00E920D4"/>
    <w:rsid w:val="00E922AF"/>
    <w:rsid w:val="00E924AB"/>
    <w:rsid w:val="00E9256C"/>
    <w:rsid w:val="00E92809"/>
    <w:rsid w:val="00E92817"/>
    <w:rsid w:val="00E92B04"/>
    <w:rsid w:val="00E9302F"/>
    <w:rsid w:val="00E93C4A"/>
    <w:rsid w:val="00E93DA2"/>
    <w:rsid w:val="00E942AB"/>
    <w:rsid w:val="00E94416"/>
    <w:rsid w:val="00E94576"/>
    <w:rsid w:val="00E9481A"/>
    <w:rsid w:val="00E9482A"/>
    <w:rsid w:val="00E948D7"/>
    <w:rsid w:val="00E9543D"/>
    <w:rsid w:val="00E9564F"/>
    <w:rsid w:val="00E95A99"/>
    <w:rsid w:val="00E960F9"/>
    <w:rsid w:val="00E96482"/>
    <w:rsid w:val="00E97008"/>
    <w:rsid w:val="00E9738A"/>
    <w:rsid w:val="00E974AA"/>
    <w:rsid w:val="00E977C4"/>
    <w:rsid w:val="00E97A66"/>
    <w:rsid w:val="00E97A6A"/>
    <w:rsid w:val="00E97A6B"/>
    <w:rsid w:val="00EA0278"/>
    <w:rsid w:val="00EA029A"/>
    <w:rsid w:val="00EA036C"/>
    <w:rsid w:val="00EA03DD"/>
    <w:rsid w:val="00EA0885"/>
    <w:rsid w:val="00EA09A2"/>
    <w:rsid w:val="00EA0A64"/>
    <w:rsid w:val="00EA0A8A"/>
    <w:rsid w:val="00EA0B32"/>
    <w:rsid w:val="00EA0E22"/>
    <w:rsid w:val="00EA116A"/>
    <w:rsid w:val="00EA116C"/>
    <w:rsid w:val="00EA132E"/>
    <w:rsid w:val="00EA1395"/>
    <w:rsid w:val="00EA1435"/>
    <w:rsid w:val="00EA165E"/>
    <w:rsid w:val="00EA1737"/>
    <w:rsid w:val="00EA1837"/>
    <w:rsid w:val="00EA1B2B"/>
    <w:rsid w:val="00EA1BAB"/>
    <w:rsid w:val="00EA1BE1"/>
    <w:rsid w:val="00EA1E72"/>
    <w:rsid w:val="00EA1FE5"/>
    <w:rsid w:val="00EA20B4"/>
    <w:rsid w:val="00EA2113"/>
    <w:rsid w:val="00EA25BB"/>
    <w:rsid w:val="00EA26DD"/>
    <w:rsid w:val="00EA276C"/>
    <w:rsid w:val="00EA289D"/>
    <w:rsid w:val="00EA2A7A"/>
    <w:rsid w:val="00EA2C3A"/>
    <w:rsid w:val="00EA2D27"/>
    <w:rsid w:val="00EA30A4"/>
    <w:rsid w:val="00EA316C"/>
    <w:rsid w:val="00EA3708"/>
    <w:rsid w:val="00EA3A41"/>
    <w:rsid w:val="00EA3B6D"/>
    <w:rsid w:val="00EA3D28"/>
    <w:rsid w:val="00EA3F08"/>
    <w:rsid w:val="00EA401A"/>
    <w:rsid w:val="00EA4146"/>
    <w:rsid w:val="00EA41AE"/>
    <w:rsid w:val="00EA4456"/>
    <w:rsid w:val="00EA4684"/>
    <w:rsid w:val="00EA4806"/>
    <w:rsid w:val="00EA4E81"/>
    <w:rsid w:val="00EA5515"/>
    <w:rsid w:val="00EA5C4B"/>
    <w:rsid w:val="00EA5DF4"/>
    <w:rsid w:val="00EA6167"/>
    <w:rsid w:val="00EA6467"/>
    <w:rsid w:val="00EA6765"/>
    <w:rsid w:val="00EA67D5"/>
    <w:rsid w:val="00EA683C"/>
    <w:rsid w:val="00EA6878"/>
    <w:rsid w:val="00EA6D8A"/>
    <w:rsid w:val="00EA6ED9"/>
    <w:rsid w:val="00EA71B6"/>
    <w:rsid w:val="00EA7738"/>
    <w:rsid w:val="00EA7B5A"/>
    <w:rsid w:val="00EA7E0F"/>
    <w:rsid w:val="00EB02F0"/>
    <w:rsid w:val="00EB0573"/>
    <w:rsid w:val="00EB07B6"/>
    <w:rsid w:val="00EB1003"/>
    <w:rsid w:val="00EB10E0"/>
    <w:rsid w:val="00EB1300"/>
    <w:rsid w:val="00EB1566"/>
    <w:rsid w:val="00EB1574"/>
    <w:rsid w:val="00EB158F"/>
    <w:rsid w:val="00EB1906"/>
    <w:rsid w:val="00EB1926"/>
    <w:rsid w:val="00EB1C92"/>
    <w:rsid w:val="00EB1C99"/>
    <w:rsid w:val="00EB1EAB"/>
    <w:rsid w:val="00EB2288"/>
    <w:rsid w:val="00EB2356"/>
    <w:rsid w:val="00EB2412"/>
    <w:rsid w:val="00EB24CF"/>
    <w:rsid w:val="00EB2895"/>
    <w:rsid w:val="00EB2990"/>
    <w:rsid w:val="00EB2A65"/>
    <w:rsid w:val="00EB34B4"/>
    <w:rsid w:val="00EB3552"/>
    <w:rsid w:val="00EB3559"/>
    <w:rsid w:val="00EB360F"/>
    <w:rsid w:val="00EB36ED"/>
    <w:rsid w:val="00EB3A59"/>
    <w:rsid w:val="00EB3DB1"/>
    <w:rsid w:val="00EB3E2F"/>
    <w:rsid w:val="00EB3E42"/>
    <w:rsid w:val="00EB40A9"/>
    <w:rsid w:val="00EB41D2"/>
    <w:rsid w:val="00EB430D"/>
    <w:rsid w:val="00EB4465"/>
    <w:rsid w:val="00EB46BF"/>
    <w:rsid w:val="00EB5107"/>
    <w:rsid w:val="00EB5658"/>
    <w:rsid w:val="00EB57EB"/>
    <w:rsid w:val="00EB5806"/>
    <w:rsid w:val="00EB5AC6"/>
    <w:rsid w:val="00EB5B11"/>
    <w:rsid w:val="00EB5C24"/>
    <w:rsid w:val="00EB5CA0"/>
    <w:rsid w:val="00EB62DF"/>
    <w:rsid w:val="00EB6894"/>
    <w:rsid w:val="00EB68FB"/>
    <w:rsid w:val="00EB6CD0"/>
    <w:rsid w:val="00EB7191"/>
    <w:rsid w:val="00EB71CB"/>
    <w:rsid w:val="00EB7281"/>
    <w:rsid w:val="00EB728B"/>
    <w:rsid w:val="00EB75F5"/>
    <w:rsid w:val="00EB7848"/>
    <w:rsid w:val="00EC05E0"/>
    <w:rsid w:val="00EC06BD"/>
    <w:rsid w:val="00EC0ACE"/>
    <w:rsid w:val="00EC0B82"/>
    <w:rsid w:val="00EC0DD9"/>
    <w:rsid w:val="00EC0E6A"/>
    <w:rsid w:val="00EC11DE"/>
    <w:rsid w:val="00EC121E"/>
    <w:rsid w:val="00EC1344"/>
    <w:rsid w:val="00EC13FA"/>
    <w:rsid w:val="00EC1484"/>
    <w:rsid w:val="00EC157B"/>
    <w:rsid w:val="00EC17C0"/>
    <w:rsid w:val="00EC189F"/>
    <w:rsid w:val="00EC21E1"/>
    <w:rsid w:val="00EC2262"/>
    <w:rsid w:val="00EC22F9"/>
    <w:rsid w:val="00EC237A"/>
    <w:rsid w:val="00EC24C1"/>
    <w:rsid w:val="00EC2D86"/>
    <w:rsid w:val="00EC2F32"/>
    <w:rsid w:val="00EC2FDE"/>
    <w:rsid w:val="00EC3261"/>
    <w:rsid w:val="00EC38DA"/>
    <w:rsid w:val="00EC3F42"/>
    <w:rsid w:val="00EC3FE2"/>
    <w:rsid w:val="00EC429F"/>
    <w:rsid w:val="00EC4465"/>
    <w:rsid w:val="00EC474D"/>
    <w:rsid w:val="00EC4A89"/>
    <w:rsid w:val="00EC4D5F"/>
    <w:rsid w:val="00EC4EED"/>
    <w:rsid w:val="00EC565E"/>
    <w:rsid w:val="00EC5845"/>
    <w:rsid w:val="00EC5963"/>
    <w:rsid w:val="00EC5BEE"/>
    <w:rsid w:val="00EC5D0C"/>
    <w:rsid w:val="00EC5F05"/>
    <w:rsid w:val="00EC5F9D"/>
    <w:rsid w:val="00EC6116"/>
    <w:rsid w:val="00EC62EE"/>
    <w:rsid w:val="00EC644E"/>
    <w:rsid w:val="00EC67E6"/>
    <w:rsid w:val="00EC68D4"/>
    <w:rsid w:val="00EC6CC3"/>
    <w:rsid w:val="00EC71A5"/>
    <w:rsid w:val="00EC77C7"/>
    <w:rsid w:val="00EC7FF6"/>
    <w:rsid w:val="00ED0329"/>
    <w:rsid w:val="00ED043E"/>
    <w:rsid w:val="00ED0496"/>
    <w:rsid w:val="00ED0962"/>
    <w:rsid w:val="00ED1109"/>
    <w:rsid w:val="00ED135C"/>
    <w:rsid w:val="00ED1755"/>
    <w:rsid w:val="00ED1AEA"/>
    <w:rsid w:val="00ED1C2A"/>
    <w:rsid w:val="00ED1E37"/>
    <w:rsid w:val="00ED1F47"/>
    <w:rsid w:val="00ED2157"/>
    <w:rsid w:val="00ED295B"/>
    <w:rsid w:val="00ED2F8D"/>
    <w:rsid w:val="00ED30FD"/>
    <w:rsid w:val="00ED3750"/>
    <w:rsid w:val="00ED3CD3"/>
    <w:rsid w:val="00ED3EA4"/>
    <w:rsid w:val="00ED3FAB"/>
    <w:rsid w:val="00ED4470"/>
    <w:rsid w:val="00ED4481"/>
    <w:rsid w:val="00ED4657"/>
    <w:rsid w:val="00ED46D2"/>
    <w:rsid w:val="00ED4AB0"/>
    <w:rsid w:val="00ED548B"/>
    <w:rsid w:val="00ED5547"/>
    <w:rsid w:val="00ED5A9C"/>
    <w:rsid w:val="00ED5E25"/>
    <w:rsid w:val="00ED623B"/>
    <w:rsid w:val="00ED6332"/>
    <w:rsid w:val="00ED6747"/>
    <w:rsid w:val="00ED67E2"/>
    <w:rsid w:val="00ED6A05"/>
    <w:rsid w:val="00ED6CDF"/>
    <w:rsid w:val="00ED7473"/>
    <w:rsid w:val="00ED750C"/>
    <w:rsid w:val="00ED7DE6"/>
    <w:rsid w:val="00EE00C8"/>
    <w:rsid w:val="00EE04C8"/>
    <w:rsid w:val="00EE0631"/>
    <w:rsid w:val="00EE0F6D"/>
    <w:rsid w:val="00EE0FDF"/>
    <w:rsid w:val="00EE11A4"/>
    <w:rsid w:val="00EE135F"/>
    <w:rsid w:val="00EE16A1"/>
    <w:rsid w:val="00EE17D0"/>
    <w:rsid w:val="00EE1823"/>
    <w:rsid w:val="00EE1828"/>
    <w:rsid w:val="00EE184E"/>
    <w:rsid w:val="00EE1A3A"/>
    <w:rsid w:val="00EE1C11"/>
    <w:rsid w:val="00EE2061"/>
    <w:rsid w:val="00EE20DF"/>
    <w:rsid w:val="00EE25CA"/>
    <w:rsid w:val="00EE28CF"/>
    <w:rsid w:val="00EE28F0"/>
    <w:rsid w:val="00EE2B0F"/>
    <w:rsid w:val="00EE2B30"/>
    <w:rsid w:val="00EE2D39"/>
    <w:rsid w:val="00EE2EA6"/>
    <w:rsid w:val="00EE3419"/>
    <w:rsid w:val="00EE3754"/>
    <w:rsid w:val="00EE3787"/>
    <w:rsid w:val="00EE3CD1"/>
    <w:rsid w:val="00EE42DD"/>
    <w:rsid w:val="00EE46F1"/>
    <w:rsid w:val="00EE4A0F"/>
    <w:rsid w:val="00EE50DD"/>
    <w:rsid w:val="00EE50EA"/>
    <w:rsid w:val="00EE5133"/>
    <w:rsid w:val="00EE5301"/>
    <w:rsid w:val="00EE535A"/>
    <w:rsid w:val="00EE5993"/>
    <w:rsid w:val="00EE5A17"/>
    <w:rsid w:val="00EE5C44"/>
    <w:rsid w:val="00EE5E29"/>
    <w:rsid w:val="00EE5E6C"/>
    <w:rsid w:val="00EE62E8"/>
    <w:rsid w:val="00EE63D6"/>
    <w:rsid w:val="00EE6896"/>
    <w:rsid w:val="00EE6939"/>
    <w:rsid w:val="00EE71F0"/>
    <w:rsid w:val="00EE74F5"/>
    <w:rsid w:val="00EE7558"/>
    <w:rsid w:val="00EE7CFC"/>
    <w:rsid w:val="00EF00BC"/>
    <w:rsid w:val="00EF02AD"/>
    <w:rsid w:val="00EF0393"/>
    <w:rsid w:val="00EF05B9"/>
    <w:rsid w:val="00EF0B50"/>
    <w:rsid w:val="00EF0C17"/>
    <w:rsid w:val="00EF0E3F"/>
    <w:rsid w:val="00EF18AF"/>
    <w:rsid w:val="00EF1A5A"/>
    <w:rsid w:val="00EF1C55"/>
    <w:rsid w:val="00EF1E99"/>
    <w:rsid w:val="00EF1EA3"/>
    <w:rsid w:val="00EF1EB2"/>
    <w:rsid w:val="00EF2054"/>
    <w:rsid w:val="00EF20C7"/>
    <w:rsid w:val="00EF21D2"/>
    <w:rsid w:val="00EF228A"/>
    <w:rsid w:val="00EF23E8"/>
    <w:rsid w:val="00EF260C"/>
    <w:rsid w:val="00EF276A"/>
    <w:rsid w:val="00EF2D1F"/>
    <w:rsid w:val="00EF31E3"/>
    <w:rsid w:val="00EF322A"/>
    <w:rsid w:val="00EF390D"/>
    <w:rsid w:val="00EF3C4E"/>
    <w:rsid w:val="00EF3D17"/>
    <w:rsid w:val="00EF3DA6"/>
    <w:rsid w:val="00EF4385"/>
    <w:rsid w:val="00EF4397"/>
    <w:rsid w:val="00EF4431"/>
    <w:rsid w:val="00EF44C3"/>
    <w:rsid w:val="00EF46AC"/>
    <w:rsid w:val="00EF46E4"/>
    <w:rsid w:val="00EF4E35"/>
    <w:rsid w:val="00EF4F2D"/>
    <w:rsid w:val="00EF4FD4"/>
    <w:rsid w:val="00EF51DE"/>
    <w:rsid w:val="00EF5243"/>
    <w:rsid w:val="00EF56BE"/>
    <w:rsid w:val="00EF57E4"/>
    <w:rsid w:val="00EF5BEA"/>
    <w:rsid w:val="00EF5C3E"/>
    <w:rsid w:val="00EF7133"/>
    <w:rsid w:val="00EF7A93"/>
    <w:rsid w:val="00F00397"/>
    <w:rsid w:val="00F00744"/>
    <w:rsid w:val="00F008B9"/>
    <w:rsid w:val="00F008C2"/>
    <w:rsid w:val="00F008D1"/>
    <w:rsid w:val="00F01010"/>
    <w:rsid w:val="00F01158"/>
    <w:rsid w:val="00F01542"/>
    <w:rsid w:val="00F015FC"/>
    <w:rsid w:val="00F019EC"/>
    <w:rsid w:val="00F01C1A"/>
    <w:rsid w:val="00F01DA9"/>
    <w:rsid w:val="00F023E7"/>
    <w:rsid w:val="00F023EA"/>
    <w:rsid w:val="00F024CC"/>
    <w:rsid w:val="00F02A5D"/>
    <w:rsid w:val="00F02E79"/>
    <w:rsid w:val="00F02E7A"/>
    <w:rsid w:val="00F02F40"/>
    <w:rsid w:val="00F02FEE"/>
    <w:rsid w:val="00F0317B"/>
    <w:rsid w:val="00F0341B"/>
    <w:rsid w:val="00F037A1"/>
    <w:rsid w:val="00F04052"/>
    <w:rsid w:val="00F04081"/>
    <w:rsid w:val="00F04624"/>
    <w:rsid w:val="00F04773"/>
    <w:rsid w:val="00F0478E"/>
    <w:rsid w:val="00F047FA"/>
    <w:rsid w:val="00F0519D"/>
    <w:rsid w:val="00F051E7"/>
    <w:rsid w:val="00F057BD"/>
    <w:rsid w:val="00F0584E"/>
    <w:rsid w:val="00F05B63"/>
    <w:rsid w:val="00F05CA2"/>
    <w:rsid w:val="00F05FF9"/>
    <w:rsid w:val="00F0637B"/>
    <w:rsid w:val="00F0670C"/>
    <w:rsid w:val="00F06D46"/>
    <w:rsid w:val="00F06E9B"/>
    <w:rsid w:val="00F0719B"/>
    <w:rsid w:val="00F0747B"/>
    <w:rsid w:val="00F07766"/>
    <w:rsid w:val="00F07F71"/>
    <w:rsid w:val="00F1033E"/>
    <w:rsid w:val="00F10431"/>
    <w:rsid w:val="00F105B0"/>
    <w:rsid w:val="00F10637"/>
    <w:rsid w:val="00F10929"/>
    <w:rsid w:val="00F10A21"/>
    <w:rsid w:val="00F10E1E"/>
    <w:rsid w:val="00F1159B"/>
    <w:rsid w:val="00F116D4"/>
    <w:rsid w:val="00F11A05"/>
    <w:rsid w:val="00F11AA1"/>
    <w:rsid w:val="00F11B23"/>
    <w:rsid w:val="00F11D89"/>
    <w:rsid w:val="00F11EA1"/>
    <w:rsid w:val="00F11FFA"/>
    <w:rsid w:val="00F12172"/>
    <w:rsid w:val="00F1278E"/>
    <w:rsid w:val="00F12AEF"/>
    <w:rsid w:val="00F12F39"/>
    <w:rsid w:val="00F13045"/>
    <w:rsid w:val="00F130CE"/>
    <w:rsid w:val="00F131F2"/>
    <w:rsid w:val="00F13355"/>
    <w:rsid w:val="00F13E84"/>
    <w:rsid w:val="00F13EC4"/>
    <w:rsid w:val="00F140DF"/>
    <w:rsid w:val="00F14546"/>
    <w:rsid w:val="00F148A0"/>
    <w:rsid w:val="00F14949"/>
    <w:rsid w:val="00F149E3"/>
    <w:rsid w:val="00F14C52"/>
    <w:rsid w:val="00F14DD5"/>
    <w:rsid w:val="00F150B0"/>
    <w:rsid w:val="00F154B0"/>
    <w:rsid w:val="00F15BBB"/>
    <w:rsid w:val="00F15F00"/>
    <w:rsid w:val="00F16B5C"/>
    <w:rsid w:val="00F171D9"/>
    <w:rsid w:val="00F17209"/>
    <w:rsid w:val="00F17336"/>
    <w:rsid w:val="00F174C3"/>
    <w:rsid w:val="00F17606"/>
    <w:rsid w:val="00F17997"/>
    <w:rsid w:val="00F20199"/>
    <w:rsid w:val="00F20209"/>
    <w:rsid w:val="00F20232"/>
    <w:rsid w:val="00F206CB"/>
    <w:rsid w:val="00F20905"/>
    <w:rsid w:val="00F20953"/>
    <w:rsid w:val="00F209E2"/>
    <w:rsid w:val="00F20FF1"/>
    <w:rsid w:val="00F21116"/>
    <w:rsid w:val="00F217FD"/>
    <w:rsid w:val="00F21925"/>
    <w:rsid w:val="00F22298"/>
    <w:rsid w:val="00F224A3"/>
    <w:rsid w:val="00F22E59"/>
    <w:rsid w:val="00F234FD"/>
    <w:rsid w:val="00F2351E"/>
    <w:rsid w:val="00F23681"/>
    <w:rsid w:val="00F23793"/>
    <w:rsid w:val="00F23C6D"/>
    <w:rsid w:val="00F249EB"/>
    <w:rsid w:val="00F25001"/>
    <w:rsid w:val="00F25104"/>
    <w:rsid w:val="00F2515F"/>
    <w:rsid w:val="00F256FB"/>
    <w:rsid w:val="00F2591B"/>
    <w:rsid w:val="00F25BA4"/>
    <w:rsid w:val="00F25BCD"/>
    <w:rsid w:val="00F261B8"/>
    <w:rsid w:val="00F2631E"/>
    <w:rsid w:val="00F26CE9"/>
    <w:rsid w:val="00F26DF9"/>
    <w:rsid w:val="00F26EF9"/>
    <w:rsid w:val="00F27107"/>
    <w:rsid w:val="00F2730E"/>
    <w:rsid w:val="00F2733D"/>
    <w:rsid w:val="00F273E2"/>
    <w:rsid w:val="00F27716"/>
    <w:rsid w:val="00F27AA6"/>
    <w:rsid w:val="00F27C6A"/>
    <w:rsid w:val="00F30141"/>
    <w:rsid w:val="00F302F3"/>
    <w:rsid w:val="00F3044B"/>
    <w:rsid w:val="00F308C9"/>
    <w:rsid w:val="00F311A8"/>
    <w:rsid w:val="00F31459"/>
    <w:rsid w:val="00F31785"/>
    <w:rsid w:val="00F317A6"/>
    <w:rsid w:val="00F31834"/>
    <w:rsid w:val="00F321F0"/>
    <w:rsid w:val="00F3234A"/>
    <w:rsid w:val="00F3239A"/>
    <w:rsid w:val="00F3249B"/>
    <w:rsid w:val="00F3276F"/>
    <w:rsid w:val="00F32A25"/>
    <w:rsid w:val="00F32CB4"/>
    <w:rsid w:val="00F331E4"/>
    <w:rsid w:val="00F33518"/>
    <w:rsid w:val="00F335DC"/>
    <w:rsid w:val="00F33731"/>
    <w:rsid w:val="00F33955"/>
    <w:rsid w:val="00F33B32"/>
    <w:rsid w:val="00F33F21"/>
    <w:rsid w:val="00F34245"/>
    <w:rsid w:val="00F34540"/>
    <w:rsid w:val="00F3482D"/>
    <w:rsid w:val="00F3498E"/>
    <w:rsid w:val="00F349BA"/>
    <w:rsid w:val="00F34B5D"/>
    <w:rsid w:val="00F34BB8"/>
    <w:rsid w:val="00F34C75"/>
    <w:rsid w:val="00F356F4"/>
    <w:rsid w:val="00F357A8"/>
    <w:rsid w:val="00F35AA6"/>
    <w:rsid w:val="00F35C19"/>
    <w:rsid w:val="00F35C4F"/>
    <w:rsid w:val="00F3613F"/>
    <w:rsid w:val="00F364AF"/>
    <w:rsid w:val="00F364FE"/>
    <w:rsid w:val="00F36600"/>
    <w:rsid w:val="00F368DB"/>
    <w:rsid w:val="00F36D59"/>
    <w:rsid w:val="00F36DEC"/>
    <w:rsid w:val="00F3708C"/>
    <w:rsid w:val="00F37309"/>
    <w:rsid w:val="00F3746F"/>
    <w:rsid w:val="00F37481"/>
    <w:rsid w:val="00F3754B"/>
    <w:rsid w:val="00F37771"/>
    <w:rsid w:val="00F37C11"/>
    <w:rsid w:val="00F37F4E"/>
    <w:rsid w:val="00F4031C"/>
    <w:rsid w:val="00F40902"/>
    <w:rsid w:val="00F40F0E"/>
    <w:rsid w:val="00F410D0"/>
    <w:rsid w:val="00F411A5"/>
    <w:rsid w:val="00F41429"/>
    <w:rsid w:val="00F41791"/>
    <w:rsid w:val="00F418D8"/>
    <w:rsid w:val="00F41A99"/>
    <w:rsid w:val="00F41AA2"/>
    <w:rsid w:val="00F41AAD"/>
    <w:rsid w:val="00F41CF3"/>
    <w:rsid w:val="00F41EC4"/>
    <w:rsid w:val="00F41F8E"/>
    <w:rsid w:val="00F41FE5"/>
    <w:rsid w:val="00F4215E"/>
    <w:rsid w:val="00F42194"/>
    <w:rsid w:val="00F423FD"/>
    <w:rsid w:val="00F4287A"/>
    <w:rsid w:val="00F42CD0"/>
    <w:rsid w:val="00F4368F"/>
    <w:rsid w:val="00F43732"/>
    <w:rsid w:val="00F43758"/>
    <w:rsid w:val="00F43960"/>
    <w:rsid w:val="00F43A17"/>
    <w:rsid w:val="00F43C50"/>
    <w:rsid w:val="00F43DE1"/>
    <w:rsid w:val="00F43F4A"/>
    <w:rsid w:val="00F44399"/>
    <w:rsid w:val="00F44518"/>
    <w:rsid w:val="00F44F05"/>
    <w:rsid w:val="00F45487"/>
    <w:rsid w:val="00F45EC3"/>
    <w:rsid w:val="00F460F1"/>
    <w:rsid w:val="00F466D8"/>
    <w:rsid w:val="00F466FD"/>
    <w:rsid w:val="00F467E7"/>
    <w:rsid w:val="00F46CD4"/>
    <w:rsid w:val="00F46FF9"/>
    <w:rsid w:val="00F47177"/>
    <w:rsid w:val="00F47292"/>
    <w:rsid w:val="00F47361"/>
    <w:rsid w:val="00F47530"/>
    <w:rsid w:val="00F47C22"/>
    <w:rsid w:val="00F50146"/>
    <w:rsid w:val="00F501D7"/>
    <w:rsid w:val="00F50783"/>
    <w:rsid w:val="00F5086C"/>
    <w:rsid w:val="00F50F75"/>
    <w:rsid w:val="00F5124D"/>
    <w:rsid w:val="00F51433"/>
    <w:rsid w:val="00F515CD"/>
    <w:rsid w:val="00F517A8"/>
    <w:rsid w:val="00F518EA"/>
    <w:rsid w:val="00F51911"/>
    <w:rsid w:val="00F51E1B"/>
    <w:rsid w:val="00F52221"/>
    <w:rsid w:val="00F524E0"/>
    <w:rsid w:val="00F527AD"/>
    <w:rsid w:val="00F52AD0"/>
    <w:rsid w:val="00F52F78"/>
    <w:rsid w:val="00F53290"/>
    <w:rsid w:val="00F533CE"/>
    <w:rsid w:val="00F535C4"/>
    <w:rsid w:val="00F53928"/>
    <w:rsid w:val="00F539CC"/>
    <w:rsid w:val="00F53BCB"/>
    <w:rsid w:val="00F53F11"/>
    <w:rsid w:val="00F5444E"/>
    <w:rsid w:val="00F54682"/>
    <w:rsid w:val="00F54D8F"/>
    <w:rsid w:val="00F54F19"/>
    <w:rsid w:val="00F55226"/>
    <w:rsid w:val="00F5575E"/>
    <w:rsid w:val="00F55A98"/>
    <w:rsid w:val="00F55E40"/>
    <w:rsid w:val="00F5647B"/>
    <w:rsid w:val="00F566D9"/>
    <w:rsid w:val="00F567CF"/>
    <w:rsid w:val="00F56A0A"/>
    <w:rsid w:val="00F56D63"/>
    <w:rsid w:val="00F56F04"/>
    <w:rsid w:val="00F576A4"/>
    <w:rsid w:val="00F60485"/>
    <w:rsid w:val="00F60771"/>
    <w:rsid w:val="00F60773"/>
    <w:rsid w:val="00F60812"/>
    <w:rsid w:val="00F60B65"/>
    <w:rsid w:val="00F60C9C"/>
    <w:rsid w:val="00F61244"/>
    <w:rsid w:val="00F6131D"/>
    <w:rsid w:val="00F61913"/>
    <w:rsid w:val="00F61F02"/>
    <w:rsid w:val="00F62D33"/>
    <w:rsid w:val="00F62E1A"/>
    <w:rsid w:val="00F62F80"/>
    <w:rsid w:val="00F632C4"/>
    <w:rsid w:val="00F63A87"/>
    <w:rsid w:val="00F64280"/>
    <w:rsid w:val="00F6461E"/>
    <w:rsid w:val="00F64AEC"/>
    <w:rsid w:val="00F64ECC"/>
    <w:rsid w:val="00F65327"/>
    <w:rsid w:val="00F6561E"/>
    <w:rsid w:val="00F6598C"/>
    <w:rsid w:val="00F65BB8"/>
    <w:rsid w:val="00F65E77"/>
    <w:rsid w:val="00F662A5"/>
    <w:rsid w:val="00F6663E"/>
    <w:rsid w:val="00F666D5"/>
    <w:rsid w:val="00F66775"/>
    <w:rsid w:val="00F667D5"/>
    <w:rsid w:val="00F66C18"/>
    <w:rsid w:val="00F66D4F"/>
    <w:rsid w:val="00F67308"/>
    <w:rsid w:val="00F674FD"/>
    <w:rsid w:val="00F677CD"/>
    <w:rsid w:val="00F67C20"/>
    <w:rsid w:val="00F70719"/>
    <w:rsid w:val="00F7072F"/>
    <w:rsid w:val="00F70F91"/>
    <w:rsid w:val="00F71508"/>
    <w:rsid w:val="00F71509"/>
    <w:rsid w:val="00F71623"/>
    <w:rsid w:val="00F7176C"/>
    <w:rsid w:val="00F717EB"/>
    <w:rsid w:val="00F71986"/>
    <w:rsid w:val="00F720CC"/>
    <w:rsid w:val="00F724E8"/>
    <w:rsid w:val="00F72538"/>
    <w:rsid w:val="00F725C3"/>
    <w:rsid w:val="00F72679"/>
    <w:rsid w:val="00F7270F"/>
    <w:rsid w:val="00F72805"/>
    <w:rsid w:val="00F72A48"/>
    <w:rsid w:val="00F72C85"/>
    <w:rsid w:val="00F72E7D"/>
    <w:rsid w:val="00F72F8D"/>
    <w:rsid w:val="00F730ED"/>
    <w:rsid w:val="00F736F1"/>
    <w:rsid w:val="00F73845"/>
    <w:rsid w:val="00F7399C"/>
    <w:rsid w:val="00F73AFF"/>
    <w:rsid w:val="00F73D20"/>
    <w:rsid w:val="00F73E85"/>
    <w:rsid w:val="00F73EC7"/>
    <w:rsid w:val="00F73F05"/>
    <w:rsid w:val="00F743C2"/>
    <w:rsid w:val="00F74678"/>
    <w:rsid w:val="00F74746"/>
    <w:rsid w:val="00F7491C"/>
    <w:rsid w:val="00F74993"/>
    <w:rsid w:val="00F74BD3"/>
    <w:rsid w:val="00F75060"/>
    <w:rsid w:val="00F755F7"/>
    <w:rsid w:val="00F756FF"/>
    <w:rsid w:val="00F75793"/>
    <w:rsid w:val="00F758FD"/>
    <w:rsid w:val="00F75A40"/>
    <w:rsid w:val="00F75CBF"/>
    <w:rsid w:val="00F76098"/>
    <w:rsid w:val="00F76403"/>
    <w:rsid w:val="00F76417"/>
    <w:rsid w:val="00F765BB"/>
    <w:rsid w:val="00F766B8"/>
    <w:rsid w:val="00F766F9"/>
    <w:rsid w:val="00F76C16"/>
    <w:rsid w:val="00F76EDA"/>
    <w:rsid w:val="00F77422"/>
    <w:rsid w:val="00F77C79"/>
    <w:rsid w:val="00F77CCB"/>
    <w:rsid w:val="00F8004D"/>
    <w:rsid w:val="00F802FF"/>
    <w:rsid w:val="00F8051A"/>
    <w:rsid w:val="00F80526"/>
    <w:rsid w:val="00F805A4"/>
    <w:rsid w:val="00F80764"/>
    <w:rsid w:val="00F807AD"/>
    <w:rsid w:val="00F80C59"/>
    <w:rsid w:val="00F80C64"/>
    <w:rsid w:val="00F81468"/>
    <w:rsid w:val="00F81767"/>
    <w:rsid w:val="00F819BB"/>
    <w:rsid w:val="00F81B60"/>
    <w:rsid w:val="00F82170"/>
    <w:rsid w:val="00F826D1"/>
    <w:rsid w:val="00F82906"/>
    <w:rsid w:val="00F82B4B"/>
    <w:rsid w:val="00F82E82"/>
    <w:rsid w:val="00F830E3"/>
    <w:rsid w:val="00F831C4"/>
    <w:rsid w:val="00F83728"/>
    <w:rsid w:val="00F838E5"/>
    <w:rsid w:val="00F83B5D"/>
    <w:rsid w:val="00F841B5"/>
    <w:rsid w:val="00F84290"/>
    <w:rsid w:val="00F8429D"/>
    <w:rsid w:val="00F844D1"/>
    <w:rsid w:val="00F84CCF"/>
    <w:rsid w:val="00F84DBD"/>
    <w:rsid w:val="00F84F38"/>
    <w:rsid w:val="00F84F62"/>
    <w:rsid w:val="00F84FFB"/>
    <w:rsid w:val="00F85046"/>
    <w:rsid w:val="00F8538B"/>
    <w:rsid w:val="00F85A87"/>
    <w:rsid w:val="00F85A92"/>
    <w:rsid w:val="00F85AAC"/>
    <w:rsid w:val="00F85E18"/>
    <w:rsid w:val="00F86295"/>
    <w:rsid w:val="00F865D6"/>
    <w:rsid w:val="00F8677B"/>
    <w:rsid w:val="00F867B3"/>
    <w:rsid w:val="00F8694F"/>
    <w:rsid w:val="00F86C1F"/>
    <w:rsid w:val="00F87C79"/>
    <w:rsid w:val="00F87CC2"/>
    <w:rsid w:val="00F901C7"/>
    <w:rsid w:val="00F903B3"/>
    <w:rsid w:val="00F90DD7"/>
    <w:rsid w:val="00F910FD"/>
    <w:rsid w:val="00F911C5"/>
    <w:rsid w:val="00F9154F"/>
    <w:rsid w:val="00F91930"/>
    <w:rsid w:val="00F92545"/>
    <w:rsid w:val="00F92DA1"/>
    <w:rsid w:val="00F92DB2"/>
    <w:rsid w:val="00F933DF"/>
    <w:rsid w:val="00F937C9"/>
    <w:rsid w:val="00F93915"/>
    <w:rsid w:val="00F93E95"/>
    <w:rsid w:val="00F94044"/>
    <w:rsid w:val="00F94370"/>
    <w:rsid w:val="00F945AD"/>
    <w:rsid w:val="00F94D81"/>
    <w:rsid w:val="00F94F2C"/>
    <w:rsid w:val="00F950D1"/>
    <w:rsid w:val="00F953C9"/>
    <w:rsid w:val="00F957F3"/>
    <w:rsid w:val="00F9592B"/>
    <w:rsid w:val="00F95A85"/>
    <w:rsid w:val="00F95CE8"/>
    <w:rsid w:val="00F95E29"/>
    <w:rsid w:val="00F9615F"/>
    <w:rsid w:val="00F962B0"/>
    <w:rsid w:val="00F969A9"/>
    <w:rsid w:val="00F96B62"/>
    <w:rsid w:val="00F96BD9"/>
    <w:rsid w:val="00F96D32"/>
    <w:rsid w:val="00F970BE"/>
    <w:rsid w:val="00F979BF"/>
    <w:rsid w:val="00F97A48"/>
    <w:rsid w:val="00F97A66"/>
    <w:rsid w:val="00F97B48"/>
    <w:rsid w:val="00F97CB5"/>
    <w:rsid w:val="00FA001F"/>
    <w:rsid w:val="00FA0113"/>
    <w:rsid w:val="00FA013F"/>
    <w:rsid w:val="00FA0265"/>
    <w:rsid w:val="00FA0522"/>
    <w:rsid w:val="00FA099F"/>
    <w:rsid w:val="00FA0C53"/>
    <w:rsid w:val="00FA0C75"/>
    <w:rsid w:val="00FA0D4E"/>
    <w:rsid w:val="00FA0FE1"/>
    <w:rsid w:val="00FA115B"/>
    <w:rsid w:val="00FA14BA"/>
    <w:rsid w:val="00FA1532"/>
    <w:rsid w:val="00FA163D"/>
    <w:rsid w:val="00FA17CB"/>
    <w:rsid w:val="00FA17F9"/>
    <w:rsid w:val="00FA1902"/>
    <w:rsid w:val="00FA1B85"/>
    <w:rsid w:val="00FA1EFA"/>
    <w:rsid w:val="00FA252D"/>
    <w:rsid w:val="00FA2635"/>
    <w:rsid w:val="00FA278C"/>
    <w:rsid w:val="00FA27EC"/>
    <w:rsid w:val="00FA2CA1"/>
    <w:rsid w:val="00FA2CC9"/>
    <w:rsid w:val="00FA347F"/>
    <w:rsid w:val="00FA3789"/>
    <w:rsid w:val="00FA37B9"/>
    <w:rsid w:val="00FA3947"/>
    <w:rsid w:val="00FA3BDD"/>
    <w:rsid w:val="00FA3CD2"/>
    <w:rsid w:val="00FA48B0"/>
    <w:rsid w:val="00FA4AD4"/>
    <w:rsid w:val="00FA4DB5"/>
    <w:rsid w:val="00FA5231"/>
    <w:rsid w:val="00FA5999"/>
    <w:rsid w:val="00FA5A93"/>
    <w:rsid w:val="00FA5DE4"/>
    <w:rsid w:val="00FA63A6"/>
    <w:rsid w:val="00FA649C"/>
    <w:rsid w:val="00FA67A1"/>
    <w:rsid w:val="00FA692F"/>
    <w:rsid w:val="00FA693E"/>
    <w:rsid w:val="00FA6A2A"/>
    <w:rsid w:val="00FA6CA8"/>
    <w:rsid w:val="00FA6E9A"/>
    <w:rsid w:val="00FA6EDE"/>
    <w:rsid w:val="00FA7038"/>
    <w:rsid w:val="00FA7094"/>
    <w:rsid w:val="00FA70A9"/>
    <w:rsid w:val="00FA7548"/>
    <w:rsid w:val="00FA7647"/>
    <w:rsid w:val="00FA76CE"/>
    <w:rsid w:val="00FA7A98"/>
    <w:rsid w:val="00FA7C17"/>
    <w:rsid w:val="00FB010B"/>
    <w:rsid w:val="00FB0879"/>
    <w:rsid w:val="00FB0971"/>
    <w:rsid w:val="00FB0C5C"/>
    <w:rsid w:val="00FB0E8C"/>
    <w:rsid w:val="00FB0F05"/>
    <w:rsid w:val="00FB10CA"/>
    <w:rsid w:val="00FB1160"/>
    <w:rsid w:val="00FB1684"/>
    <w:rsid w:val="00FB1989"/>
    <w:rsid w:val="00FB19A8"/>
    <w:rsid w:val="00FB1B45"/>
    <w:rsid w:val="00FB1CB3"/>
    <w:rsid w:val="00FB2341"/>
    <w:rsid w:val="00FB23D9"/>
    <w:rsid w:val="00FB255D"/>
    <w:rsid w:val="00FB2602"/>
    <w:rsid w:val="00FB2772"/>
    <w:rsid w:val="00FB2A88"/>
    <w:rsid w:val="00FB2D78"/>
    <w:rsid w:val="00FB2F56"/>
    <w:rsid w:val="00FB314B"/>
    <w:rsid w:val="00FB32CE"/>
    <w:rsid w:val="00FB3339"/>
    <w:rsid w:val="00FB36D0"/>
    <w:rsid w:val="00FB3E56"/>
    <w:rsid w:val="00FB3FA7"/>
    <w:rsid w:val="00FB40B4"/>
    <w:rsid w:val="00FB421E"/>
    <w:rsid w:val="00FB429C"/>
    <w:rsid w:val="00FB4437"/>
    <w:rsid w:val="00FB4546"/>
    <w:rsid w:val="00FB473F"/>
    <w:rsid w:val="00FB4750"/>
    <w:rsid w:val="00FB47FD"/>
    <w:rsid w:val="00FB4918"/>
    <w:rsid w:val="00FB4A57"/>
    <w:rsid w:val="00FB4CC9"/>
    <w:rsid w:val="00FB4D01"/>
    <w:rsid w:val="00FB4EE1"/>
    <w:rsid w:val="00FB50EB"/>
    <w:rsid w:val="00FB5952"/>
    <w:rsid w:val="00FB5A43"/>
    <w:rsid w:val="00FB5DBC"/>
    <w:rsid w:val="00FB6297"/>
    <w:rsid w:val="00FB62E0"/>
    <w:rsid w:val="00FB655E"/>
    <w:rsid w:val="00FB6783"/>
    <w:rsid w:val="00FB685B"/>
    <w:rsid w:val="00FB6C45"/>
    <w:rsid w:val="00FB6F44"/>
    <w:rsid w:val="00FB7AE2"/>
    <w:rsid w:val="00FB7DD0"/>
    <w:rsid w:val="00FB7E89"/>
    <w:rsid w:val="00FC0480"/>
    <w:rsid w:val="00FC08A3"/>
    <w:rsid w:val="00FC08AA"/>
    <w:rsid w:val="00FC1242"/>
    <w:rsid w:val="00FC12CF"/>
    <w:rsid w:val="00FC148B"/>
    <w:rsid w:val="00FC1795"/>
    <w:rsid w:val="00FC17BD"/>
    <w:rsid w:val="00FC17F8"/>
    <w:rsid w:val="00FC1A94"/>
    <w:rsid w:val="00FC1BA0"/>
    <w:rsid w:val="00FC1DBA"/>
    <w:rsid w:val="00FC1DCE"/>
    <w:rsid w:val="00FC1E06"/>
    <w:rsid w:val="00FC20D1"/>
    <w:rsid w:val="00FC2258"/>
    <w:rsid w:val="00FC2427"/>
    <w:rsid w:val="00FC242A"/>
    <w:rsid w:val="00FC2584"/>
    <w:rsid w:val="00FC25F9"/>
    <w:rsid w:val="00FC2730"/>
    <w:rsid w:val="00FC29E1"/>
    <w:rsid w:val="00FC3209"/>
    <w:rsid w:val="00FC328E"/>
    <w:rsid w:val="00FC3866"/>
    <w:rsid w:val="00FC3C7E"/>
    <w:rsid w:val="00FC3CBE"/>
    <w:rsid w:val="00FC405B"/>
    <w:rsid w:val="00FC45EF"/>
    <w:rsid w:val="00FC47CC"/>
    <w:rsid w:val="00FC48FE"/>
    <w:rsid w:val="00FC4916"/>
    <w:rsid w:val="00FC4B4B"/>
    <w:rsid w:val="00FC525E"/>
    <w:rsid w:val="00FC5369"/>
    <w:rsid w:val="00FC5EC5"/>
    <w:rsid w:val="00FC6042"/>
    <w:rsid w:val="00FC6287"/>
    <w:rsid w:val="00FC6365"/>
    <w:rsid w:val="00FC6FE1"/>
    <w:rsid w:val="00FC7094"/>
    <w:rsid w:val="00FC7289"/>
    <w:rsid w:val="00FC73A2"/>
    <w:rsid w:val="00FC757A"/>
    <w:rsid w:val="00FC75F7"/>
    <w:rsid w:val="00FC78A4"/>
    <w:rsid w:val="00FC7F0F"/>
    <w:rsid w:val="00FD0001"/>
    <w:rsid w:val="00FD014C"/>
    <w:rsid w:val="00FD04FD"/>
    <w:rsid w:val="00FD09AC"/>
    <w:rsid w:val="00FD0E32"/>
    <w:rsid w:val="00FD154E"/>
    <w:rsid w:val="00FD1740"/>
    <w:rsid w:val="00FD17E4"/>
    <w:rsid w:val="00FD1874"/>
    <w:rsid w:val="00FD1E61"/>
    <w:rsid w:val="00FD1EEE"/>
    <w:rsid w:val="00FD2141"/>
    <w:rsid w:val="00FD23CA"/>
    <w:rsid w:val="00FD263C"/>
    <w:rsid w:val="00FD28CF"/>
    <w:rsid w:val="00FD291A"/>
    <w:rsid w:val="00FD296A"/>
    <w:rsid w:val="00FD2AFD"/>
    <w:rsid w:val="00FD2B6F"/>
    <w:rsid w:val="00FD2EE9"/>
    <w:rsid w:val="00FD2FB8"/>
    <w:rsid w:val="00FD35DE"/>
    <w:rsid w:val="00FD3702"/>
    <w:rsid w:val="00FD371A"/>
    <w:rsid w:val="00FD3C49"/>
    <w:rsid w:val="00FD3FF3"/>
    <w:rsid w:val="00FD4052"/>
    <w:rsid w:val="00FD42A4"/>
    <w:rsid w:val="00FD439D"/>
    <w:rsid w:val="00FD449B"/>
    <w:rsid w:val="00FD479F"/>
    <w:rsid w:val="00FD4AB3"/>
    <w:rsid w:val="00FD4E45"/>
    <w:rsid w:val="00FD505D"/>
    <w:rsid w:val="00FD56AD"/>
    <w:rsid w:val="00FD5B7E"/>
    <w:rsid w:val="00FD5BF9"/>
    <w:rsid w:val="00FD600E"/>
    <w:rsid w:val="00FD648B"/>
    <w:rsid w:val="00FD6591"/>
    <w:rsid w:val="00FD681A"/>
    <w:rsid w:val="00FD6D9C"/>
    <w:rsid w:val="00FD7549"/>
    <w:rsid w:val="00FD754F"/>
    <w:rsid w:val="00FD75FB"/>
    <w:rsid w:val="00FD76B1"/>
    <w:rsid w:val="00FD7884"/>
    <w:rsid w:val="00FD7A29"/>
    <w:rsid w:val="00FD7A5A"/>
    <w:rsid w:val="00FD7ADD"/>
    <w:rsid w:val="00FE04B8"/>
    <w:rsid w:val="00FE0513"/>
    <w:rsid w:val="00FE05D6"/>
    <w:rsid w:val="00FE069A"/>
    <w:rsid w:val="00FE06E0"/>
    <w:rsid w:val="00FE086D"/>
    <w:rsid w:val="00FE0A1D"/>
    <w:rsid w:val="00FE0AE2"/>
    <w:rsid w:val="00FE0B9E"/>
    <w:rsid w:val="00FE120E"/>
    <w:rsid w:val="00FE1414"/>
    <w:rsid w:val="00FE166E"/>
    <w:rsid w:val="00FE21B3"/>
    <w:rsid w:val="00FE2333"/>
    <w:rsid w:val="00FE2789"/>
    <w:rsid w:val="00FE27F4"/>
    <w:rsid w:val="00FE29DB"/>
    <w:rsid w:val="00FE2A6B"/>
    <w:rsid w:val="00FE2E9F"/>
    <w:rsid w:val="00FE30F6"/>
    <w:rsid w:val="00FE3186"/>
    <w:rsid w:val="00FE3877"/>
    <w:rsid w:val="00FE3ABA"/>
    <w:rsid w:val="00FE3AF1"/>
    <w:rsid w:val="00FE3FF7"/>
    <w:rsid w:val="00FE4297"/>
    <w:rsid w:val="00FE44C9"/>
    <w:rsid w:val="00FE4A51"/>
    <w:rsid w:val="00FE4A60"/>
    <w:rsid w:val="00FE4C3C"/>
    <w:rsid w:val="00FE4CD8"/>
    <w:rsid w:val="00FE4D9B"/>
    <w:rsid w:val="00FE4DE3"/>
    <w:rsid w:val="00FE4E8D"/>
    <w:rsid w:val="00FE5540"/>
    <w:rsid w:val="00FE560B"/>
    <w:rsid w:val="00FE5743"/>
    <w:rsid w:val="00FE5B80"/>
    <w:rsid w:val="00FE5F3B"/>
    <w:rsid w:val="00FE6021"/>
    <w:rsid w:val="00FE60FD"/>
    <w:rsid w:val="00FE6115"/>
    <w:rsid w:val="00FE6300"/>
    <w:rsid w:val="00FE634B"/>
    <w:rsid w:val="00FE63FD"/>
    <w:rsid w:val="00FE6D6E"/>
    <w:rsid w:val="00FE6E67"/>
    <w:rsid w:val="00FE6EB2"/>
    <w:rsid w:val="00FE7FD9"/>
    <w:rsid w:val="00FF0061"/>
    <w:rsid w:val="00FF0A05"/>
    <w:rsid w:val="00FF0CFB"/>
    <w:rsid w:val="00FF0DA2"/>
    <w:rsid w:val="00FF0EE0"/>
    <w:rsid w:val="00FF1095"/>
    <w:rsid w:val="00FF1163"/>
    <w:rsid w:val="00FF13DC"/>
    <w:rsid w:val="00FF16BE"/>
    <w:rsid w:val="00FF1A1A"/>
    <w:rsid w:val="00FF1B48"/>
    <w:rsid w:val="00FF1CC5"/>
    <w:rsid w:val="00FF1EDE"/>
    <w:rsid w:val="00FF208B"/>
    <w:rsid w:val="00FF2163"/>
    <w:rsid w:val="00FF2237"/>
    <w:rsid w:val="00FF241E"/>
    <w:rsid w:val="00FF2ADE"/>
    <w:rsid w:val="00FF2BD7"/>
    <w:rsid w:val="00FF2D1C"/>
    <w:rsid w:val="00FF2D24"/>
    <w:rsid w:val="00FF2D9D"/>
    <w:rsid w:val="00FF2FCA"/>
    <w:rsid w:val="00FF3528"/>
    <w:rsid w:val="00FF360A"/>
    <w:rsid w:val="00FF3804"/>
    <w:rsid w:val="00FF3B0B"/>
    <w:rsid w:val="00FF3B8E"/>
    <w:rsid w:val="00FF4083"/>
    <w:rsid w:val="00FF4194"/>
    <w:rsid w:val="00FF4B37"/>
    <w:rsid w:val="00FF4F6A"/>
    <w:rsid w:val="00FF5327"/>
    <w:rsid w:val="00FF54AF"/>
    <w:rsid w:val="00FF56E1"/>
    <w:rsid w:val="00FF5AFE"/>
    <w:rsid w:val="00FF61C6"/>
    <w:rsid w:val="00FF64E7"/>
    <w:rsid w:val="00FF65A5"/>
    <w:rsid w:val="00FF65BA"/>
    <w:rsid w:val="00FF6B87"/>
    <w:rsid w:val="00FF6BBB"/>
    <w:rsid w:val="00FF6E19"/>
    <w:rsid w:val="00FF701E"/>
    <w:rsid w:val="00FF744F"/>
    <w:rsid w:val="00FF7535"/>
    <w:rsid w:val="00FF7713"/>
    <w:rsid w:val="00FF782A"/>
    <w:rsid w:val="00FF7B0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78CA0BBC"/>
  <w15:docId w15:val="{A1374678-BEC0-455C-B887-FF70DA02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90451"/>
    <w:rPr>
      <w:sz w:val="24"/>
      <w:szCs w:val="24"/>
    </w:rPr>
  </w:style>
  <w:style w:type="paragraph" w:styleId="Titolo1">
    <w:name w:val="heading 1"/>
    <w:basedOn w:val="Normale"/>
    <w:next w:val="Normale"/>
    <w:link w:val="Titolo1Carattere"/>
    <w:uiPriority w:val="99"/>
    <w:qFormat/>
    <w:rsid w:val="00BC3FFD"/>
    <w:pPr>
      <w:keepNext/>
      <w:spacing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F702B"/>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outlineLvl w:val="3"/>
    </w:pPr>
    <w:rPr>
      <w:rFonts w:ascii="Cambria" w:hAnsi="Cambria"/>
      <w:b/>
      <w:bCs/>
      <w:i/>
      <w:iCs/>
      <w:color w:val="4F81BD"/>
    </w:rPr>
  </w:style>
  <w:style w:type="paragraph" w:styleId="Titolo8">
    <w:name w:val="heading 8"/>
    <w:basedOn w:val="Normale"/>
    <w:next w:val="Normale"/>
    <w:link w:val="Titolo8Carattere"/>
    <w:semiHidden/>
    <w:unhideWhenUsed/>
    <w:qFormat/>
    <w:locked/>
    <w:rsid w:val="003A6105"/>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rsid w:val="00BC3FFD"/>
    <w:pPr>
      <w:tabs>
        <w:tab w:val="center" w:pos="4818"/>
        <w:tab w:val="right" w:pos="9637"/>
      </w:tabs>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spacing w:beforeAutospacing="1" w:afterAutospacing="1"/>
    </w:pPr>
  </w:style>
  <w:style w:type="paragraph" w:styleId="PreformattatoHTML">
    <w:name w:val="HTML Preformatted"/>
    <w:basedOn w:val="Normale"/>
    <w:link w:val="PreformattatoHTMLCarattere"/>
    <w:uiPriority w:val="99"/>
    <w:rsid w:val="0090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5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aliases w:val="Testo nota a piè di pagina Carattere Carattere,Testo nota a piè di pagina Carattere Carattere Carattere Carattere Carattere Carattere"/>
    <w:basedOn w:val="Normale"/>
    <w:link w:val="TestonotaapidipaginaCarattere"/>
    <w:uiPriority w:val="99"/>
    <w:rsid w:val="006C145B"/>
  </w:style>
  <w:style w:type="character" w:customStyle="1" w:styleId="TestonotaapidipaginaCarattere">
    <w:name w:val="Testo nota a piè di pagina Carattere"/>
    <w:aliases w:val="Testo nota a piè di pagina Carattere Carattere Carattere,Testo nota a piè di pagina Carattere Carattere Carattere Carattere Carattere Carattere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E338F3"/>
    <w:rPr>
      <w:sz w:val="20"/>
      <w:szCs w:val="20"/>
    </w:rPr>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nhideWhenUsed/>
    <w:rsid w:val="00407D29"/>
    <w:rPr>
      <w:b/>
      <w:bCs/>
    </w:rPr>
  </w:style>
  <w:style w:type="character" w:customStyle="1" w:styleId="SoggettocommentoCarattere">
    <w:name w:val="Soggetto commento Carattere"/>
    <w:link w:val="Soggettocommento"/>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spacing w:line="288" w:lineRule="auto"/>
      <w:textAlignment w:val="center"/>
    </w:pPr>
    <w:rPr>
      <w:rFonts w:ascii="Times-Roman" w:hAnsi="Times-Roman" w:cs="Times-Roman"/>
      <w:color w:val="000000"/>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E53642"/>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E53642"/>
    <w:rPr>
      <w:rFonts w:ascii="Calibri" w:hAnsi="Calibri" w:cs="Arial"/>
      <w:b/>
      <w:bCs/>
      <w:caps/>
      <w:color w:val="000000"/>
      <w:kern w:val="32"/>
      <w:sz w:val="26"/>
      <w:szCs w:val="28"/>
    </w:rPr>
  </w:style>
  <w:style w:type="paragraph" w:customStyle="1" w:styleId="00TitoGra1">
    <w:name w:val="00TitoGra1"/>
    <w:basedOn w:val="Normale"/>
    <w:qFormat/>
    <w:rsid w:val="00E53642"/>
    <w:pPr>
      <w:spacing w:line="280" w:lineRule="exact"/>
    </w:pPr>
    <w:rPr>
      <w:rFonts w:ascii="Calibri" w:hAnsi="Calibri" w:cs="Arial"/>
      <w:b/>
      <w:color w:val="D90B13"/>
      <w:sz w:val="28"/>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unhideWhenUsed/>
    <w:rsid w:val="00A53D09"/>
    <w:pPr>
      <w:spacing w:after="120"/>
      <w:ind w:left="283"/>
    </w:pPr>
  </w:style>
  <w:style w:type="character" w:customStyle="1" w:styleId="RientrocorpodeltestoCarattere">
    <w:name w:val="Rientro corpo del testo Carattere"/>
    <w:link w:val="Rientrocorpodeltesto"/>
    <w:uiPriority w:val="99"/>
    <w:rsid w:val="00A53D09"/>
    <w:rPr>
      <w:kern w:val="28"/>
    </w:rPr>
  </w:style>
  <w:style w:type="character" w:customStyle="1" w:styleId="st">
    <w:name w:val="st"/>
    <w:rsid w:val="00431975"/>
  </w:style>
  <w:style w:type="paragraph" w:styleId="Corpodeltesto3">
    <w:name w:val="Body Text 3"/>
    <w:basedOn w:val="Normale"/>
    <w:link w:val="Corpodeltesto3Carattere"/>
    <w:rsid w:val="000B233D"/>
    <w:pPr>
      <w:spacing w:after="120"/>
    </w:pPr>
    <w:rPr>
      <w:sz w:val="16"/>
      <w:szCs w:val="16"/>
    </w:rPr>
  </w:style>
  <w:style w:type="character" w:customStyle="1" w:styleId="Corpodeltesto3Carattere">
    <w:name w:val="Corpo del testo 3 Carattere"/>
    <w:link w:val="Corpodeltesto3"/>
    <w:rsid w:val="000B233D"/>
    <w:rPr>
      <w:sz w:val="16"/>
      <w:szCs w:val="16"/>
    </w:rPr>
  </w:style>
  <w:style w:type="paragraph" w:customStyle="1" w:styleId="Corpotesto1">
    <w:name w:val="Corpo testo1"/>
    <w:basedOn w:val="Normale"/>
    <w:rsid w:val="00AE6AE5"/>
    <w:pPr>
      <w:jc w:val="both"/>
    </w:pPr>
    <w:rPr>
      <w:b/>
      <w:lang w:val="en-US" w:eastAsia="en-US"/>
    </w:rPr>
  </w:style>
  <w:style w:type="paragraph" w:styleId="Corpodeltesto2">
    <w:name w:val="Body Text 2"/>
    <w:basedOn w:val="Normale"/>
    <w:link w:val="Corpodeltesto2Carattere"/>
    <w:rsid w:val="00833A77"/>
    <w:pPr>
      <w:spacing w:after="120" w:line="480" w:lineRule="auto"/>
    </w:pPr>
  </w:style>
  <w:style w:type="character" w:customStyle="1" w:styleId="Corpodeltesto2Carattere">
    <w:name w:val="Corpo del testo 2 Carattere"/>
    <w:link w:val="Corpodeltesto2"/>
    <w:rsid w:val="00833A77"/>
    <w:rPr>
      <w:kern w:val="28"/>
    </w:rPr>
  </w:style>
  <w:style w:type="paragraph" w:customStyle="1" w:styleId="Corpodeltesto1">
    <w:name w:val="Corpo del testo1"/>
    <w:basedOn w:val="Normale"/>
    <w:rsid w:val="00833A77"/>
    <w:pPr>
      <w:jc w:val="both"/>
    </w:pPr>
    <w:rPr>
      <w:b/>
    </w:rPr>
  </w:style>
  <w:style w:type="character" w:customStyle="1" w:styleId="Titolo2Carattere">
    <w:name w:val="Titolo 2 Carattere"/>
    <w:link w:val="Titolo2"/>
    <w:semiHidden/>
    <w:rsid w:val="00BF702B"/>
    <w:rPr>
      <w:rFonts w:ascii="Cambria" w:eastAsia="Times New Roman" w:hAnsi="Cambria" w:cs="Times New Roman"/>
      <w:b/>
      <w:bCs/>
      <w:i/>
      <w:iCs/>
      <w:kern w:val="28"/>
      <w:sz w:val="28"/>
      <w:szCs w:val="28"/>
    </w:rPr>
  </w:style>
  <w:style w:type="paragraph" w:customStyle="1" w:styleId="Rientrocorpodeltesto31">
    <w:name w:val="Rientro corpo del testo 31"/>
    <w:basedOn w:val="Normale"/>
    <w:uiPriority w:val="99"/>
    <w:rsid w:val="000A2E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lang w:eastAsia="ar-SA"/>
    </w:rPr>
  </w:style>
  <w:style w:type="paragraph" w:styleId="Paragrafoelenco">
    <w:name w:val="List Paragraph"/>
    <w:basedOn w:val="Normale"/>
    <w:link w:val="ParagrafoelencoCarattere"/>
    <w:uiPriority w:val="34"/>
    <w:qFormat/>
    <w:rsid w:val="000A2EFD"/>
    <w:pPr>
      <w:tabs>
        <w:tab w:val="left" w:pos="426"/>
      </w:tabs>
      <w:spacing w:after="120"/>
      <w:ind w:left="720"/>
      <w:contextualSpacing/>
      <w:jc w:val="both"/>
    </w:pPr>
    <w:rPr>
      <w:rFonts w:ascii="Calibri" w:hAnsi="Calibri" w:cs="Calibri"/>
      <w:color w:val="000000"/>
      <w:lang w:eastAsia="zh-CN"/>
    </w:rPr>
  </w:style>
  <w:style w:type="character" w:customStyle="1" w:styleId="ParagrafoelencoCarattere">
    <w:name w:val="Paragrafo elenco Carattere"/>
    <w:link w:val="Paragrafoelenco"/>
    <w:uiPriority w:val="34"/>
    <w:rsid w:val="000A2EFD"/>
    <w:rPr>
      <w:rFonts w:ascii="Calibri" w:hAnsi="Calibri" w:cs="Calibri"/>
      <w:color w:val="000000"/>
      <w:sz w:val="24"/>
      <w:szCs w:val="24"/>
      <w:lang w:eastAsia="zh-CN"/>
    </w:rPr>
  </w:style>
  <w:style w:type="table" w:styleId="Sfondomedio2-Colore5">
    <w:name w:val="Medium Shading 2 Accent 5"/>
    <w:basedOn w:val="Tabellanormale"/>
    <w:uiPriority w:val="64"/>
    <w:rsid w:val="000A2EF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8Carattere">
    <w:name w:val="Titolo 8 Carattere"/>
    <w:link w:val="Titolo8"/>
    <w:semiHidden/>
    <w:rsid w:val="003A6105"/>
    <w:rPr>
      <w:rFonts w:ascii="Calibri" w:eastAsia="Times New Roman" w:hAnsi="Calibri" w:cs="Times New Roman"/>
      <w:i/>
      <w:iCs/>
      <w:kern w:val="28"/>
      <w:sz w:val="24"/>
      <w:szCs w:val="24"/>
    </w:rPr>
  </w:style>
  <w:style w:type="character" w:styleId="Collegamentovisitato">
    <w:name w:val="FollowedHyperlink"/>
    <w:uiPriority w:val="99"/>
    <w:semiHidden/>
    <w:unhideWhenUsed/>
    <w:rsid w:val="00A72740"/>
    <w:rPr>
      <w:color w:val="800080"/>
      <w:u w:val="single"/>
    </w:rPr>
  </w:style>
  <w:style w:type="paragraph" w:styleId="Revisione">
    <w:name w:val="Revision"/>
    <w:hidden/>
    <w:uiPriority w:val="71"/>
    <w:rsid w:val="005301CF"/>
    <w:rPr>
      <w:kern w:val="28"/>
    </w:rPr>
  </w:style>
  <w:style w:type="character" w:customStyle="1" w:styleId="seocontent">
    <w:name w:val="seocontent"/>
    <w:basedOn w:val="Carpredefinitoparagrafo"/>
    <w:rsid w:val="00EF7A93"/>
  </w:style>
  <w:style w:type="character" w:customStyle="1" w:styleId="object">
    <w:name w:val="object"/>
    <w:basedOn w:val="Carpredefinitoparagrafo"/>
    <w:rsid w:val="00A80789"/>
  </w:style>
  <w:style w:type="paragraph" w:customStyle="1" w:styleId="A">
    <w:name w:val="A"/>
    <w:basedOn w:val="Normale"/>
    <w:next w:val="Corpotesto"/>
    <w:uiPriority w:val="99"/>
    <w:rsid w:val="00282B90"/>
    <w:pPr>
      <w:jc w:val="both"/>
    </w:pPr>
    <w:rPr>
      <w:b/>
      <w:lang w:eastAsia="ar-SA"/>
    </w:rPr>
  </w:style>
  <w:style w:type="character" w:customStyle="1" w:styleId="markedcontent">
    <w:name w:val="markedcontent"/>
    <w:basedOn w:val="Carpredefinitoparagrafo"/>
    <w:rsid w:val="00C1395C"/>
  </w:style>
  <w:style w:type="paragraph" w:customStyle="1" w:styleId="Testocorrente">
    <w:name w:val="Testo corrente"/>
    <w:basedOn w:val="Titolo2"/>
    <w:rsid w:val="00501E02"/>
    <w:pPr>
      <w:spacing w:before="0"/>
      <w:jc w:val="both"/>
    </w:pPr>
    <w:rPr>
      <w:rFonts w:ascii="Times New Roman" w:hAnsi="Times New Roman"/>
      <w:bCs w:val="0"/>
      <w:iCs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81610097">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63055204">
      <w:bodyDiv w:val="1"/>
      <w:marLeft w:val="0"/>
      <w:marRight w:val="0"/>
      <w:marTop w:val="0"/>
      <w:marBottom w:val="0"/>
      <w:divBdr>
        <w:top w:val="none" w:sz="0" w:space="0" w:color="auto"/>
        <w:left w:val="none" w:sz="0" w:space="0" w:color="auto"/>
        <w:bottom w:val="none" w:sz="0" w:space="0" w:color="auto"/>
        <w:right w:val="none" w:sz="0" w:space="0" w:color="auto"/>
      </w:divBdr>
      <w:divsChild>
        <w:div w:id="72774841">
          <w:marLeft w:val="0"/>
          <w:marRight w:val="0"/>
          <w:marTop w:val="0"/>
          <w:marBottom w:val="0"/>
          <w:divBdr>
            <w:top w:val="none" w:sz="0" w:space="0" w:color="auto"/>
            <w:left w:val="none" w:sz="0" w:space="0" w:color="auto"/>
            <w:bottom w:val="none" w:sz="0" w:space="0" w:color="auto"/>
            <w:right w:val="none" w:sz="0" w:space="0" w:color="auto"/>
          </w:divBdr>
        </w:div>
        <w:div w:id="112676843">
          <w:marLeft w:val="0"/>
          <w:marRight w:val="0"/>
          <w:marTop w:val="0"/>
          <w:marBottom w:val="0"/>
          <w:divBdr>
            <w:top w:val="none" w:sz="0" w:space="0" w:color="auto"/>
            <w:left w:val="none" w:sz="0" w:space="0" w:color="auto"/>
            <w:bottom w:val="none" w:sz="0" w:space="0" w:color="auto"/>
            <w:right w:val="none" w:sz="0" w:space="0" w:color="auto"/>
          </w:divBdr>
        </w:div>
        <w:div w:id="135799169">
          <w:marLeft w:val="0"/>
          <w:marRight w:val="0"/>
          <w:marTop w:val="0"/>
          <w:marBottom w:val="0"/>
          <w:divBdr>
            <w:top w:val="none" w:sz="0" w:space="0" w:color="auto"/>
            <w:left w:val="none" w:sz="0" w:space="0" w:color="auto"/>
            <w:bottom w:val="none" w:sz="0" w:space="0" w:color="auto"/>
            <w:right w:val="none" w:sz="0" w:space="0" w:color="auto"/>
          </w:divBdr>
        </w:div>
        <w:div w:id="1033112804">
          <w:marLeft w:val="0"/>
          <w:marRight w:val="0"/>
          <w:marTop w:val="0"/>
          <w:marBottom w:val="0"/>
          <w:divBdr>
            <w:top w:val="none" w:sz="0" w:space="0" w:color="auto"/>
            <w:left w:val="none" w:sz="0" w:space="0" w:color="auto"/>
            <w:bottom w:val="none" w:sz="0" w:space="0" w:color="auto"/>
            <w:right w:val="none" w:sz="0" w:space="0" w:color="auto"/>
          </w:divBdr>
        </w:div>
        <w:div w:id="1521511708">
          <w:marLeft w:val="0"/>
          <w:marRight w:val="0"/>
          <w:marTop w:val="0"/>
          <w:marBottom w:val="0"/>
          <w:divBdr>
            <w:top w:val="none" w:sz="0" w:space="0" w:color="auto"/>
            <w:left w:val="none" w:sz="0" w:space="0" w:color="auto"/>
            <w:bottom w:val="none" w:sz="0" w:space="0" w:color="auto"/>
            <w:right w:val="none" w:sz="0" w:space="0" w:color="auto"/>
          </w:divBdr>
        </w:div>
      </w:divsChild>
    </w:div>
    <w:div w:id="19027057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0484480">
      <w:bodyDiv w:val="1"/>
      <w:marLeft w:val="0"/>
      <w:marRight w:val="0"/>
      <w:marTop w:val="0"/>
      <w:marBottom w:val="0"/>
      <w:divBdr>
        <w:top w:val="none" w:sz="0" w:space="0" w:color="auto"/>
        <w:left w:val="none" w:sz="0" w:space="0" w:color="auto"/>
        <w:bottom w:val="none" w:sz="0" w:space="0" w:color="auto"/>
        <w:right w:val="none" w:sz="0" w:space="0" w:color="auto"/>
      </w:divBdr>
      <w:divsChild>
        <w:div w:id="160703322">
          <w:marLeft w:val="0"/>
          <w:marRight w:val="0"/>
          <w:marTop w:val="0"/>
          <w:marBottom w:val="0"/>
          <w:divBdr>
            <w:top w:val="none" w:sz="0" w:space="0" w:color="auto"/>
            <w:left w:val="none" w:sz="0" w:space="0" w:color="auto"/>
            <w:bottom w:val="none" w:sz="0" w:space="0" w:color="auto"/>
            <w:right w:val="none" w:sz="0" w:space="0" w:color="auto"/>
          </w:divBdr>
        </w:div>
        <w:div w:id="506092020">
          <w:marLeft w:val="0"/>
          <w:marRight w:val="0"/>
          <w:marTop w:val="0"/>
          <w:marBottom w:val="0"/>
          <w:divBdr>
            <w:top w:val="none" w:sz="0" w:space="0" w:color="auto"/>
            <w:left w:val="none" w:sz="0" w:space="0" w:color="auto"/>
            <w:bottom w:val="none" w:sz="0" w:space="0" w:color="auto"/>
            <w:right w:val="none" w:sz="0" w:space="0" w:color="auto"/>
          </w:divBdr>
        </w:div>
        <w:div w:id="1243643572">
          <w:marLeft w:val="0"/>
          <w:marRight w:val="0"/>
          <w:marTop w:val="0"/>
          <w:marBottom w:val="0"/>
          <w:divBdr>
            <w:top w:val="none" w:sz="0" w:space="0" w:color="auto"/>
            <w:left w:val="none" w:sz="0" w:space="0" w:color="auto"/>
            <w:bottom w:val="none" w:sz="0" w:space="0" w:color="auto"/>
            <w:right w:val="none" w:sz="0" w:space="0" w:color="auto"/>
          </w:divBdr>
        </w:div>
        <w:div w:id="1941789296">
          <w:marLeft w:val="0"/>
          <w:marRight w:val="0"/>
          <w:marTop w:val="0"/>
          <w:marBottom w:val="0"/>
          <w:divBdr>
            <w:top w:val="none" w:sz="0" w:space="0" w:color="auto"/>
            <w:left w:val="none" w:sz="0" w:space="0" w:color="auto"/>
            <w:bottom w:val="none" w:sz="0" w:space="0" w:color="auto"/>
            <w:right w:val="none" w:sz="0" w:space="0" w:color="auto"/>
          </w:divBdr>
        </w:div>
      </w:divsChild>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4365864">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976649">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9349390">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1558061">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36885099">
      <w:bodyDiv w:val="1"/>
      <w:marLeft w:val="0"/>
      <w:marRight w:val="0"/>
      <w:marTop w:val="0"/>
      <w:marBottom w:val="0"/>
      <w:divBdr>
        <w:top w:val="none" w:sz="0" w:space="0" w:color="auto"/>
        <w:left w:val="none" w:sz="0" w:space="0" w:color="auto"/>
        <w:bottom w:val="none" w:sz="0" w:space="0" w:color="auto"/>
        <w:right w:val="none" w:sz="0" w:space="0" w:color="auto"/>
      </w:divBdr>
      <w:divsChild>
        <w:div w:id="40323292">
          <w:marLeft w:val="0"/>
          <w:marRight w:val="0"/>
          <w:marTop w:val="0"/>
          <w:marBottom w:val="0"/>
          <w:divBdr>
            <w:top w:val="none" w:sz="0" w:space="0" w:color="auto"/>
            <w:left w:val="none" w:sz="0" w:space="0" w:color="auto"/>
            <w:bottom w:val="none" w:sz="0" w:space="0" w:color="auto"/>
            <w:right w:val="none" w:sz="0" w:space="0" w:color="auto"/>
          </w:divBdr>
        </w:div>
        <w:div w:id="1174302731">
          <w:marLeft w:val="0"/>
          <w:marRight w:val="0"/>
          <w:marTop w:val="0"/>
          <w:marBottom w:val="0"/>
          <w:divBdr>
            <w:top w:val="none" w:sz="0" w:space="0" w:color="auto"/>
            <w:left w:val="none" w:sz="0" w:space="0" w:color="auto"/>
            <w:bottom w:val="none" w:sz="0" w:space="0" w:color="auto"/>
            <w:right w:val="none" w:sz="0" w:space="0" w:color="auto"/>
          </w:divBdr>
        </w:div>
        <w:div w:id="1244686340">
          <w:marLeft w:val="0"/>
          <w:marRight w:val="0"/>
          <w:marTop w:val="0"/>
          <w:marBottom w:val="0"/>
          <w:divBdr>
            <w:top w:val="none" w:sz="0" w:space="0" w:color="auto"/>
            <w:left w:val="none" w:sz="0" w:space="0" w:color="auto"/>
            <w:bottom w:val="none" w:sz="0" w:space="0" w:color="auto"/>
            <w:right w:val="none" w:sz="0" w:space="0" w:color="auto"/>
          </w:divBdr>
        </w:div>
        <w:div w:id="1561744909">
          <w:marLeft w:val="0"/>
          <w:marRight w:val="0"/>
          <w:marTop w:val="0"/>
          <w:marBottom w:val="0"/>
          <w:divBdr>
            <w:top w:val="none" w:sz="0" w:space="0" w:color="auto"/>
            <w:left w:val="none" w:sz="0" w:space="0" w:color="auto"/>
            <w:bottom w:val="none" w:sz="0" w:space="0" w:color="auto"/>
            <w:right w:val="none" w:sz="0" w:space="0" w:color="auto"/>
          </w:divBdr>
        </w:div>
        <w:div w:id="1659992699">
          <w:marLeft w:val="0"/>
          <w:marRight w:val="0"/>
          <w:marTop w:val="0"/>
          <w:marBottom w:val="0"/>
          <w:divBdr>
            <w:top w:val="none" w:sz="0" w:space="0" w:color="auto"/>
            <w:left w:val="none" w:sz="0" w:space="0" w:color="auto"/>
            <w:bottom w:val="none" w:sz="0" w:space="0" w:color="auto"/>
            <w:right w:val="none" w:sz="0" w:space="0" w:color="auto"/>
          </w:divBdr>
        </w:div>
      </w:divsChild>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5472990">
      <w:bodyDiv w:val="1"/>
      <w:marLeft w:val="0"/>
      <w:marRight w:val="0"/>
      <w:marTop w:val="0"/>
      <w:marBottom w:val="0"/>
      <w:divBdr>
        <w:top w:val="none" w:sz="0" w:space="0" w:color="auto"/>
        <w:left w:val="none" w:sz="0" w:space="0" w:color="auto"/>
        <w:bottom w:val="none" w:sz="0" w:space="0" w:color="auto"/>
        <w:right w:val="none" w:sz="0" w:space="0" w:color="auto"/>
      </w:divBdr>
    </w:div>
    <w:div w:id="21283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eweb.istat.it/" TargetMode="External"/><Relationship Id="rId26" Type="http://schemas.openxmlformats.org/officeDocument/2006/relationships/header" Target="header2.xml"/><Relationship Id="rId39" Type="http://schemas.openxmlformats.org/officeDocument/2006/relationships/hyperlink" Target="https://www.coeweb.istat.it/" TargetMode="External"/><Relationship Id="rId21" Type="http://schemas.openxmlformats.org/officeDocument/2006/relationships/chart" Target="charts/chart3.xml"/><Relationship Id="rId34" Type="http://schemas.openxmlformats.org/officeDocument/2006/relationships/header" Target="header3.xml"/><Relationship Id="rId42" Type="http://schemas.openxmlformats.org/officeDocument/2006/relationships/hyperlink" Target="https://www.istat.it/it/informazioni-e-servizi/per-i-giornalisti/appuntamenti/calendario-diffusioni-ed-eventi" TargetMode="External"/><Relationship Id="rId47" Type="http://schemas.openxmlformats.org/officeDocument/2006/relationships/hyperlink" Target="http://www.istat.it/it/archivio/esportazioni+delle+regioni" TargetMode="External"/><Relationship Id="rId50" Type="http://schemas.openxmlformats.org/officeDocument/2006/relationships/hyperlink" Target="http://www.istat.it/it/archivio/45225" TargetMode="External"/><Relationship Id="rId55" Type="http://schemas.openxmlformats.org/officeDocument/2006/relationships/hyperlink" Target="mailto:causo@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chart" Target="charts/chart7.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chart" Target="charts/chart10.xml"/><Relationship Id="rId37" Type="http://schemas.openxmlformats.org/officeDocument/2006/relationships/hyperlink" Target="http://ec.europa.eu/eurostat/documents/3859598/5902521/KS-RA-07-015-EN.PDF" TargetMode="External"/><Relationship Id="rId40" Type="http://schemas.openxmlformats.org/officeDocument/2006/relationships/hyperlink" Target="https://ec.europa.eu/eurostat/data/metadata/covid-19-support-for-statisticians" TargetMode="External"/><Relationship Id="rId45" Type="http://schemas.openxmlformats.org/officeDocument/2006/relationships/hyperlink" Target="http://www.istat.it/it/archivio/commercio+estero+e+prezzi+import" TargetMode="External"/><Relationship Id="rId53" Type="http://schemas.openxmlformats.org/officeDocument/2006/relationships/hyperlink" Target="https://www.istat.it/it/files/2018/05/nota_informativa_prezzi_import.pdf" TargetMode="External"/><Relationship Id="rId58" Type="http://schemas.openxmlformats.org/officeDocument/2006/relationships/hyperlink" Target="mailto:lodorazi@istat.it"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4.xml"/><Relationship Id="rId43" Type="http://schemas.openxmlformats.org/officeDocument/2006/relationships/hyperlink" Target="http://www.istat.it/it/congiuntura/revisioni" TargetMode="External"/><Relationship Id="rId48" Type="http://schemas.openxmlformats.org/officeDocument/2006/relationships/hyperlink" Target="http://ec.europa.eu/eurostat/data/database" TargetMode="External"/><Relationship Id="rId56" Type="http://schemas.openxmlformats.org/officeDocument/2006/relationships/hyperlink" Target="mailto:vendetti@istat.it" TargetMode="External"/><Relationship Id="rId8" Type="http://schemas.openxmlformats.org/officeDocument/2006/relationships/styles" Target="styles.xml"/><Relationship Id="rId51" Type="http://schemas.openxmlformats.org/officeDocument/2006/relationships/hyperlink" Target="http://www.istat.it/it/files/2016/02/Prezzi-all-importazione-dei-prodotti-industriali-Nota-informativa.pdf?title=Prezzi+all%E2%80%99importazione+dei+prodotti+industriali+-+16%2Ffeb%2F2016+-+Nota+informativa.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eader" Target="header5.xml"/><Relationship Id="rId46" Type="http://schemas.openxmlformats.org/officeDocument/2006/relationships/hyperlink" Target="http://www.istat.it/it/archivio/commercio+estero+extra+ue" TargetMode="External"/><Relationship Id="rId59" Type="http://schemas.openxmlformats.org/officeDocument/2006/relationships/header" Target="header6.xml"/><Relationship Id="rId20" Type="http://schemas.openxmlformats.org/officeDocument/2006/relationships/chart" Target="charts/chart2.xml"/><Relationship Id="rId41" Type="http://schemas.openxmlformats.org/officeDocument/2006/relationships/hyperlink" Target="https://www.istat.it/it/istituto-nazionale-di-statistica/organizzazione/normativa" TargetMode="External"/><Relationship Id="rId54" Type="http://schemas.openxmlformats.org/officeDocument/2006/relationships/hyperlink" Target="https://www.istat.it/it/files/2020/12/nota_informativa_revisioni_commercio_estero.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chart" Target="charts/chart6.xml"/><Relationship Id="rId36" Type="http://schemas.openxmlformats.org/officeDocument/2006/relationships/hyperlink" Target="https://unstats.un.org/unsd/cr/registry/docs/i4_SNA.pdf" TargetMode="External"/><Relationship Id="rId49" Type="http://schemas.openxmlformats.org/officeDocument/2006/relationships/hyperlink" Target="https://www.istat.it/it/files/2011/03/testointegrale20080225.pdf" TargetMode="External"/><Relationship Id="rId57" Type="http://schemas.openxmlformats.org/officeDocument/2006/relationships/hyperlink" Target="mailto:sibio@istat.it" TargetMode="External"/><Relationship Id="rId10" Type="http://schemas.openxmlformats.org/officeDocument/2006/relationships/webSettings" Target="webSettings.xml"/><Relationship Id="rId31" Type="http://schemas.openxmlformats.org/officeDocument/2006/relationships/chart" Target="charts/chart9.xml"/><Relationship Id="rId44" Type="http://schemas.openxmlformats.org/officeDocument/2006/relationships/hyperlink" Target="http://www.istat.it/it/files/2016/07/scheda-CommercioEstero-e-prezzi-allimport-dei-prodotti-industriali.pdf" TargetMode="External"/><Relationship Id="rId52" Type="http://schemas.openxmlformats.org/officeDocument/2006/relationships/hyperlink" Target="http://www.istat.it/it/files/2015/11/Ricostruzione-serie-indici-2005-2009.pdf?title=Prezzi+all%27importazione+dei+prodotti+industriali+-+17%2Fnov%2F2015+-+Ricostruzione+serie.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ocumenti%20Utente\vendetti\My%20Documents\COE\Comunicati\Mondo\2022\2.Febbraio\coe_pi_mondo_22022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Febbraio_2022\coe_pi_mondo_22022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4"/>
          <c:tx>
            <c:strRef>
              <c:f>'figura 1'!$G$4</c:f>
              <c:strCache>
                <c:ptCount val="1"/>
                <c:pt idx="0">
                  <c:v>Saldi (scala destra)</c:v>
                </c:pt>
              </c:strCache>
            </c:strRef>
          </c:tx>
          <c:spPr>
            <a:solidFill>
              <a:srgbClr val="A6A6A6"/>
            </a:solidFill>
            <a:ln w="6350" cap="flat" cmpd="sng" algn="ctr">
              <a:solidFill>
                <a:schemeClr val="bg1"/>
              </a:solidFill>
              <a:prstDash val="solid"/>
              <a:round/>
              <a:headEnd type="none" w="med" len="med"/>
              <a:tailEnd type="none" w="med" len="med"/>
            </a:ln>
            <a:effectLst/>
          </c:spPr>
          <c:invertIfNegative val="0"/>
          <c:val>
            <c:numRef>
              <c:f>'figura 1'!$G$65:$G$136</c:f>
              <c:numCache>
                <c:formatCode>0</c:formatCode>
                <c:ptCount val="72"/>
                <c:pt idx="0">
                  <c:v>4341</c:v>
                </c:pt>
                <c:pt idx="1">
                  <c:v>2978</c:v>
                </c:pt>
                <c:pt idx="2">
                  <c:v>4445</c:v>
                </c:pt>
                <c:pt idx="3">
                  <c:v>3880</c:v>
                </c:pt>
                <c:pt idx="4">
                  <c:v>3422</c:v>
                </c:pt>
                <c:pt idx="5">
                  <c:v>3626</c:v>
                </c:pt>
                <c:pt idx="6">
                  <c:v>3264</c:v>
                </c:pt>
                <c:pt idx="7">
                  <c:v>4090</c:v>
                </c:pt>
                <c:pt idx="8">
                  <c:v>5135</c:v>
                </c:pt>
                <c:pt idx="9">
                  <c:v>4223</c:v>
                </c:pt>
                <c:pt idx="10">
                  <c:v>4307</c:v>
                </c:pt>
                <c:pt idx="11">
                  <c:v>4269</c:v>
                </c:pt>
                <c:pt idx="12">
                  <c:v>3895</c:v>
                </c:pt>
                <c:pt idx="13">
                  <c:v>3979</c:v>
                </c:pt>
                <c:pt idx="14">
                  <c:v>3804</c:v>
                </c:pt>
                <c:pt idx="15">
                  <c:v>3419</c:v>
                </c:pt>
                <c:pt idx="16">
                  <c:v>2346</c:v>
                </c:pt>
                <c:pt idx="17">
                  <c:v>4139</c:v>
                </c:pt>
                <c:pt idx="18">
                  <c:v>2803</c:v>
                </c:pt>
                <c:pt idx="19">
                  <c:v>3746</c:v>
                </c:pt>
                <c:pt idx="20">
                  <c:v>2483</c:v>
                </c:pt>
                <c:pt idx="21">
                  <c:v>2867</c:v>
                </c:pt>
                <c:pt idx="22">
                  <c:v>3675</c:v>
                </c:pt>
                <c:pt idx="23">
                  <c:v>1991</c:v>
                </c:pt>
                <c:pt idx="24">
                  <c:v>4728</c:v>
                </c:pt>
                <c:pt idx="25">
                  <c:v>4364</c:v>
                </c:pt>
                <c:pt idx="26">
                  <c:v>4536</c:v>
                </c:pt>
                <c:pt idx="27">
                  <c:v>3891</c:v>
                </c:pt>
                <c:pt idx="28">
                  <c:v>4054</c:v>
                </c:pt>
                <c:pt idx="29">
                  <c:v>5090</c:v>
                </c:pt>
                <c:pt idx="30">
                  <c:v>4647</c:v>
                </c:pt>
                <c:pt idx="31">
                  <c:v>4326</c:v>
                </c:pt>
                <c:pt idx="32">
                  <c:v>4530</c:v>
                </c:pt>
                <c:pt idx="33">
                  <c:v>6914</c:v>
                </c:pt>
                <c:pt idx="34">
                  <c:v>4899</c:v>
                </c:pt>
                <c:pt idx="35">
                  <c:v>5010</c:v>
                </c:pt>
                <c:pt idx="36">
                  <c:v>4500</c:v>
                </c:pt>
                <c:pt idx="37">
                  <c:v>6142</c:v>
                </c:pt>
                <c:pt idx="38">
                  <c:v>5506</c:v>
                </c:pt>
                <c:pt idx="39">
                  <c:v>-1112</c:v>
                </c:pt>
                <c:pt idx="40">
                  <c:v>5165</c:v>
                </c:pt>
                <c:pt idx="41">
                  <c:v>5500</c:v>
                </c:pt>
                <c:pt idx="42">
                  <c:v>5969</c:v>
                </c:pt>
                <c:pt idx="43">
                  <c:v>6043</c:v>
                </c:pt>
                <c:pt idx="44">
                  <c:v>7165</c:v>
                </c:pt>
                <c:pt idx="45">
                  <c:v>6016</c:v>
                </c:pt>
                <c:pt idx="46">
                  <c:v>6692</c:v>
                </c:pt>
                <c:pt idx="47">
                  <c:v>5860</c:v>
                </c:pt>
                <c:pt idx="48">
                  <c:v>6100</c:v>
                </c:pt>
                <c:pt idx="49">
                  <c:v>5583</c:v>
                </c:pt>
                <c:pt idx="50">
                  <c:v>4762</c:v>
                </c:pt>
                <c:pt idx="51">
                  <c:v>5493</c:v>
                </c:pt>
                <c:pt idx="52">
                  <c:v>4687</c:v>
                </c:pt>
                <c:pt idx="53">
                  <c:v>4458</c:v>
                </c:pt>
                <c:pt idx="54">
                  <c:v>4855</c:v>
                </c:pt>
                <c:pt idx="55">
                  <c:v>2976</c:v>
                </c:pt>
                <c:pt idx="56">
                  <c:v>2792</c:v>
                </c:pt>
                <c:pt idx="57">
                  <c:v>1970</c:v>
                </c:pt>
                <c:pt idx="58">
                  <c:v>1899</c:v>
                </c:pt>
                <c:pt idx="59">
                  <c:v>-2511</c:v>
                </c:pt>
                <c:pt idx="60">
                  <c:v>688</c:v>
                </c:pt>
                <c:pt idx="61">
                  <c:v>-1077</c:v>
                </c:pt>
              </c:numCache>
            </c:numRef>
          </c:val>
          <c:extLst xmlns:c16r2="http://schemas.microsoft.com/office/drawing/2015/06/chart">
            <c:ext xmlns:c16="http://schemas.microsoft.com/office/drawing/2014/chart" uri="{C3380CC4-5D6E-409C-BE32-E72D297353CC}">
              <c16:uniqueId val="{00000000-F6FC-4F1F-B9C1-5670338E2692}"/>
            </c:ext>
          </c:extLst>
        </c:ser>
        <c:dLbls>
          <c:showLegendKey val="0"/>
          <c:showVal val="0"/>
          <c:showCatName val="0"/>
          <c:showSerName val="0"/>
          <c:showPercent val="0"/>
          <c:showBubbleSize val="0"/>
        </c:dLbls>
        <c:gapWidth val="0"/>
        <c:axId val="260389184"/>
        <c:axId val="169014192"/>
      </c:barChart>
      <c:lineChart>
        <c:grouping val="standard"/>
        <c:varyColors val="0"/>
        <c:ser>
          <c:idx val="2"/>
          <c:order val="0"/>
          <c:tx>
            <c:strRef>
              <c:f>'figura 1'!$C$4</c:f>
              <c:strCache>
                <c:ptCount val="1"/>
                <c:pt idx="0">
                  <c:v>Export - mensile</c:v>
                </c:pt>
              </c:strCache>
            </c:strRef>
          </c:tx>
          <c:spPr>
            <a:ln w="12700" cap="flat" cmpd="sng" algn="ctr">
              <a:solidFill>
                <a:srgbClr val="003B5C"/>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1'!$C$65:$C$136</c:f>
              <c:numCache>
                <c:formatCode>0</c:formatCode>
                <c:ptCount val="72"/>
                <c:pt idx="0">
                  <c:v>36926</c:v>
                </c:pt>
                <c:pt idx="1">
                  <c:v>36328</c:v>
                </c:pt>
                <c:pt idx="2">
                  <c:v>37866</c:v>
                </c:pt>
                <c:pt idx="3">
                  <c:v>36867</c:v>
                </c:pt>
                <c:pt idx="4">
                  <c:v>37754</c:v>
                </c:pt>
                <c:pt idx="5">
                  <c:v>37300</c:v>
                </c:pt>
                <c:pt idx="6">
                  <c:v>37038</c:v>
                </c:pt>
                <c:pt idx="7">
                  <c:v>38316</c:v>
                </c:pt>
                <c:pt idx="8">
                  <c:v>37745</c:v>
                </c:pt>
                <c:pt idx="9">
                  <c:v>37975</c:v>
                </c:pt>
                <c:pt idx="10">
                  <c:v>38853</c:v>
                </c:pt>
                <c:pt idx="11">
                  <c:v>39875</c:v>
                </c:pt>
                <c:pt idx="12">
                  <c:v>37838</c:v>
                </c:pt>
                <c:pt idx="13">
                  <c:v>37805</c:v>
                </c:pt>
                <c:pt idx="14">
                  <c:v>38289</c:v>
                </c:pt>
                <c:pt idx="15">
                  <c:v>38429</c:v>
                </c:pt>
                <c:pt idx="16">
                  <c:v>37691</c:v>
                </c:pt>
                <c:pt idx="17">
                  <c:v>39712</c:v>
                </c:pt>
                <c:pt idx="18">
                  <c:v>39330</c:v>
                </c:pt>
                <c:pt idx="19">
                  <c:v>39842</c:v>
                </c:pt>
                <c:pt idx="20">
                  <c:v>38504</c:v>
                </c:pt>
                <c:pt idx="21">
                  <c:v>39867</c:v>
                </c:pt>
                <c:pt idx="22">
                  <c:v>39954</c:v>
                </c:pt>
                <c:pt idx="23">
                  <c:v>38646</c:v>
                </c:pt>
                <c:pt idx="24">
                  <c:v>39854</c:v>
                </c:pt>
                <c:pt idx="25">
                  <c:v>39348</c:v>
                </c:pt>
                <c:pt idx="26">
                  <c:v>40065</c:v>
                </c:pt>
                <c:pt idx="27">
                  <c:v>39747</c:v>
                </c:pt>
                <c:pt idx="28">
                  <c:v>40638</c:v>
                </c:pt>
                <c:pt idx="29">
                  <c:v>40811</c:v>
                </c:pt>
                <c:pt idx="30">
                  <c:v>40261</c:v>
                </c:pt>
                <c:pt idx="31">
                  <c:v>39571</c:v>
                </c:pt>
                <c:pt idx="32">
                  <c:v>40766</c:v>
                </c:pt>
                <c:pt idx="33">
                  <c:v>41611</c:v>
                </c:pt>
                <c:pt idx="34">
                  <c:v>39051</c:v>
                </c:pt>
                <c:pt idx="35">
                  <c:v>40382</c:v>
                </c:pt>
                <c:pt idx="36">
                  <c:v>40543</c:v>
                </c:pt>
                <c:pt idx="37">
                  <c:v>40373</c:v>
                </c:pt>
                <c:pt idx="38">
                  <c:v>33780</c:v>
                </c:pt>
                <c:pt idx="39">
                  <c:v>21871</c:v>
                </c:pt>
                <c:pt idx="40">
                  <c:v>30585</c:v>
                </c:pt>
                <c:pt idx="41">
                  <c:v>34887</c:v>
                </c:pt>
                <c:pt idx="42">
                  <c:v>37293</c:v>
                </c:pt>
                <c:pt idx="43">
                  <c:v>38128</c:v>
                </c:pt>
                <c:pt idx="44">
                  <c:v>39483</c:v>
                </c:pt>
                <c:pt idx="45">
                  <c:v>39068</c:v>
                </c:pt>
                <c:pt idx="46">
                  <c:v>40677</c:v>
                </c:pt>
                <c:pt idx="47">
                  <c:v>39226</c:v>
                </c:pt>
                <c:pt idx="48">
                  <c:v>39614</c:v>
                </c:pt>
                <c:pt idx="49">
                  <c:v>39677</c:v>
                </c:pt>
                <c:pt idx="50">
                  <c:v>41233</c:v>
                </c:pt>
                <c:pt idx="51">
                  <c:v>42779</c:v>
                </c:pt>
                <c:pt idx="52">
                  <c:v>41907</c:v>
                </c:pt>
                <c:pt idx="53">
                  <c:v>42605</c:v>
                </c:pt>
                <c:pt idx="54">
                  <c:v>43764</c:v>
                </c:pt>
                <c:pt idx="55">
                  <c:v>44067</c:v>
                </c:pt>
                <c:pt idx="56">
                  <c:v>43620</c:v>
                </c:pt>
                <c:pt idx="57">
                  <c:v>44367</c:v>
                </c:pt>
                <c:pt idx="58">
                  <c:v>45673</c:v>
                </c:pt>
                <c:pt idx="59">
                  <c:v>45264</c:v>
                </c:pt>
                <c:pt idx="60">
                  <c:v>47695</c:v>
                </c:pt>
                <c:pt idx="61">
                  <c:v>48464</c:v>
                </c:pt>
              </c:numCache>
            </c:numRef>
          </c:val>
          <c:smooth val="0"/>
          <c:extLst xmlns:c16r2="http://schemas.microsoft.com/office/drawing/2015/06/chart">
            <c:ext xmlns:c16="http://schemas.microsoft.com/office/drawing/2014/chart" uri="{C3380CC4-5D6E-409C-BE32-E72D297353CC}">
              <c16:uniqueId val="{00000001-F6FC-4F1F-B9C1-5670338E2692}"/>
            </c:ext>
          </c:extLst>
        </c:ser>
        <c:ser>
          <c:idx val="4"/>
          <c:order val="1"/>
          <c:tx>
            <c:strRef>
              <c:f>'figura 1'!$D$4</c:f>
              <c:strCache>
                <c:ptCount val="1"/>
                <c:pt idx="0">
                  <c:v>Export - media 3m</c:v>
                </c:pt>
              </c:strCache>
            </c:strRef>
          </c:tx>
          <c:spPr>
            <a:ln w="28575" cap="rnd">
              <a:solidFill>
                <a:srgbClr val="003B5C"/>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1'!$D$65:$D$136</c:f>
              <c:numCache>
                <c:formatCode>0</c:formatCode>
                <c:ptCount val="72"/>
                <c:pt idx="0">
                  <c:v>36653</c:v>
                </c:pt>
                <c:pt idx="1">
                  <c:v>37040</c:v>
                </c:pt>
                <c:pt idx="2">
                  <c:v>37020.333333333328</c:v>
                </c:pt>
                <c:pt idx="3">
                  <c:v>37495.666666666672</c:v>
                </c:pt>
                <c:pt idx="4">
                  <c:v>37307</c:v>
                </c:pt>
                <c:pt idx="5">
                  <c:v>37364</c:v>
                </c:pt>
                <c:pt idx="6">
                  <c:v>37551.333333333336</c:v>
                </c:pt>
                <c:pt idx="7">
                  <c:v>37699.666666666664</c:v>
                </c:pt>
                <c:pt idx="8">
                  <c:v>38012</c:v>
                </c:pt>
                <c:pt idx="9">
                  <c:v>38191</c:v>
                </c:pt>
                <c:pt idx="10">
                  <c:v>38901</c:v>
                </c:pt>
                <c:pt idx="11">
                  <c:v>38855.333333333328</c:v>
                </c:pt>
                <c:pt idx="12">
                  <c:v>38506</c:v>
                </c:pt>
                <c:pt idx="13">
                  <c:v>37977.333333333328</c:v>
                </c:pt>
                <c:pt idx="14">
                  <c:v>38174.333333333336</c:v>
                </c:pt>
                <c:pt idx="15">
                  <c:v>38136.333333333328</c:v>
                </c:pt>
                <c:pt idx="16">
                  <c:v>38610.666666666672</c:v>
                </c:pt>
                <c:pt idx="17">
                  <c:v>38911</c:v>
                </c:pt>
                <c:pt idx="18">
                  <c:v>39628</c:v>
                </c:pt>
                <c:pt idx="19">
                  <c:v>39225.333333333328</c:v>
                </c:pt>
                <c:pt idx="20">
                  <c:v>39404.333333333336</c:v>
                </c:pt>
                <c:pt idx="21">
                  <c:v>39441.666666666672</c:v>
                </c:pt>
                <c:pt idx="22">
                  <c:v>39489</c:v>
                </c:pt>
                <c:pt idx="23">
                  <c:v>39484.666666666672</c:v>
                </c:pt>
                <c:pt idx="24">
                  <c:v>39282.666666666672</c:v>
                </c:pt>
                <c:pt idx="25">
                  <c:v>39755.666666666672</c:v>
                </c:pt>
                <c:pt idx="26">
                  <c:v>39720</c:v>
                </c:pt>
                <c:pt idx="27">
                  <c:v>40150</c:v>
                </c:pt>
                <c:pt idx="28">
                  <c:v>40398.666666666664</c:v>
                </c:pt>
                <c:pt idx="29">
                  <c:v>40570</c:v>
                </c:pt>
                <c:pt idx="30">
                  <c:v>40214.333333333328</c:v>
                </c:pt>
                <c:pt idx="31">
                  <c:v>40199.333333333328</c:v>
                </c:pt>
                <c:pt idx="32">
                  <c:v>40649.333333333328</c:v>
                </c:pt>
                <c:pt idx="33">
                  <c:v>40476</c:v>
                </c:pt>
                <c:pt idx="34">
                  <c:v>40348</c:v>
                </c:pt>
                <c:pt idx="35">
                  <c:v>39992</c:v>
                </c:pt>
                <c:pt idx="36">
                  <c:v>40432.666666666672</c:v>
                </c:pt>
                <c:pt idx="37">
                  <c:v>38232</c:v>
                </c:pt>
                <c:pt idx="38">
                  <c:v>32008</c:v>
                </c:pt>
                <c:pt idx="39">
                  <c:v>28745.333333333336</c:v>
                </c:pt>
                <c:pt idx="40">
                  <c:v>29114.333333333336</c:v>
                </c:pt>
                <c:pt idx="41">
                  <c:v>34255</c:v>
                </c:pt>
                <c:pt idx="42">
                  <c:v>36769.333333333328</c:v>
                </c:pt>
                <c:pt idx="43">
                  <c:v>38301.333333333328</c:v>
                </c:pt>
                <c:pt idx="44">
                  <c:v>38893</c:v>
                </c:pt>
                <c:pt idx="45">
                  <c:v>39742.666666666672</c:v>
                </c:pt>
                <c:pt idx="46">
                  <c:v>39657</c:v>
                </c:pt>
                <c:pt idx="47">
                  <c:v>39839</c:v>
                </c:pt>
                <c:pt idx="48">
                  <c:v>39505.666666666672</c:v>
                </c:pt>
                <c:pt idx="49">
                  <c:v>40174.666666666672</c:v>
                </c:pt>
                <c:pt idx="50">
                  <c:v>41229.666666666672</c:v>
                </c:pt>
                <c:pt idx="51">
                  <c:v>41973</c:v>
                </c:pt>
                <c:pt idx="52">
                  <c:v>42430.333333333328</c:v>
                </c:pt>
                <c:pt idx="53">
                  <c:v>42758.666666666672</c:v>
                </c:pt>
                <c:pt idx="54">
                  <c:v>43478.666666666672</c:v>
                </c:pt>
                <c:pt idx="55">
                  <c:v>43817</c:v>
                </c:pt>
                <c:pt idx="56">
                  <c:v>44018</c:v>
                </c:pt>
                <c:pt idx="57">
                  <c:v>44553.333333333328</c:v>
                </c:pt>
                <c:pt idx="58">
                  <c:v>45101.333333333328</c:v>
                </c:pt>
                <c:pt idx="59">
                  <c:v>46210.666666666672</c:v>
                </c:pt>
                <c:pt idx="60">
                  <c:v>47141</c:v>
                </c:pt>
              </c:numCache>
            </c:numRef>
          </c:val>
          <c:smooth val="0"/>
          <c:extLst xmlns:c16r2="http://schemas.microsoft.com/office/drawing/2015/06/chart">
            <c:ext xmlns:c16="http://schemas.microsoft.com/office/drawing/2014/chart" uri="{C3380CC4-5D6E-409C-BE32-E72D297353CC}">
              <c16:uniqueId val="{00000002-F6FC-4F1F-B9C1-5670338E2692}"/>
            </c:ext>
          </c:extLst>
        </c:ser>
        <c:ser>
          <c:idx val="1"/>
          <c:order val="2"/>
          <c:tx>
            <c:strRef>
              <c:f>'figura 1'!$E$4</c:f>
              <c:strCache>
                <c:ptCount val="1"/>
                <c:pt idx="0">
                  <c:v>Import - mensile</c:v>
                </c:pt>
              </c:strCache>
            </c:strRef>
          </c:tx>
          <c:spPr>
            <a:ln w="12700" cap="flat" cmpd="sng" algn="ctr">
              <a:solidFill>
                <a:srgbClr val="D22630"/>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1'!$E$65:$E$136</c:f>
              <c:numCache>
                <c:formatCode>0</c:formatCode>
                <c:ptCount val="72"/>
                <c:pt idx="0">
                  <c:v>32585</c:v>
                </c:pt>
                <c:pt idx="1">
                  <c:v>33350</c:v>
                </c:pt>
                <c:pt idx="2">
                  <c:v>33421</c:v>
                </c:pt>
                <c:pt idx="3">
                  <c:v>32987</c:v>
                </c:pt>
                <c:pt idx="4">
                  <c:v>34332</c:v>
                </c:pt>
                <c:pt idx="5">
                  <c:v>33674</c:v>
                </c:pt>
                <c:pt idx="6">
                  <c:v>33774</c:v>
                </c:pt>
                <c:pt idx="7">
                  <c:v>34226</c:v>
                </c:pt>
                <c:pt idx="8">
                  <c:v>32610</c:v>
                </c:pt>
                <c:pt idx="9">
                  <c:v>33752</c:v>
                </c:pt>
                <c:pt idx="10">
                  <c:v>34546</c:v>
                </c:pt>
                <c:pt idx="11">
                  <c:v>35606</c:v>
                </c:pt>
                <c:pt idx="12">
                  <c:v>33943</c:v>
                </c:pt>
                <c:pt idx="13">
                  <c:v>33826</c:v>
                </c:pt>
                <c:pt idx="14">
                  <c:v>34485</c:v>
                </c:pt>
                <c:pt idx="15">
                  <c:v>35010</c:v>
                </c:pt>
                <c:pt idx="16">
                  <c:v>35345</c:v>
                </c:pt>
                <c:pt idx="17">
                  <c:v>35573</c:v>
                </c:pt>
                <c:pt idx="18">
                  <c:v>36527</c:v>
                </c:pt>
                <c:pt idx="19">
                  <c:v>36096</c:v>
                </c:pt>
                <c:pt idx="20">
                  <c:v>36021</c:v>
                </c:pt>
                <c:pt idx="21">
                  <c:v>37000</c:v>
                </c:pt>
                <c:pt idx="22">
                  <c:v>36279</c:v>
                </c:pt>
                <c:pt idx="23">
                  <c:v>36655</c:v>
                </c:pt>
                <c:pt idx="24">
                  <c:v>35126</c:v>
                </c:pt>
                <c:pt idx="25">
                  <c:v>34984</c:v>
                </c:pt>
                <c:pt idx="26">
                  <c:v>35529</c:v>
                </c:pt>
                <c:pt idx="27">
                  <c:v>35856</c:v>
                </c:pt>
                <c:pt idx="28">
                  <c:v>36584</c:v>
                </c:pt>
                <c:pt idx="29">
                  <c:v>35721</c:v>
                </c:pt>
                <c:pt idx="30">
                  <c:v>35614</c:v>
                </c:pt>
                <c:pt idx="31">
                  <c:v>35245</c:v>
                </c:pt>
                <c:pt idx="32">
                  <c:v>36236</c:v>
                </c:pt>
                <c:pt idx="33">
                  <c:v>34697</c:v>
                </c:pt>
                <c:pt idx="34">
                  <c:v>34152</c:v>
                </c:pt>
                <c:pt idx="35">
                  <c:v>35372</c:v>
                </c:pt>
                <c:pt idx="36">
                  <c:v>36043</c:v>
                </c:pt>
                <c:pt idx="37">
                  <c:v>34231</c:v>
                </c:pt>
                <c:pt idx="38">
                  <c:v>28274</c:v>
                </c:pt>
                <c:pt idx="39">
                  <c:v>22983</c:v>
                </c:pt>
                <c:pt idx="40">
                  <c:v>25420</c:v>
                </c:pt>
                <c:pt idx="41">
                  <c:v>29387</c:v>
                </c:pt>
                <c:pt idx="42">
                  <c:v>31324</c:v>
                </c:pt>
                <c:pt idx="43">
                  <c:v>32085</c:v>
                </c:pt>
                <c:pt idx="44">
                  <c:v>32318</c:v>
                </c:pt>
                <c:pt idx="45">
                  <c:v>33052</c:v>
                </c:pt>
                <c:pt idx="46">
                  <c:v>33985</c:v>
                </c:pt>
                <c:pt idx="47">
                  <c:v>33366</c:v>
                </c:pt>
                <c:pt idx="48">
                  <c:v>33514</c:v>
                </c:pt>
                <c:pt idx="49">
                  <c:v>34094</c:v>
                </c:pt>
                <c:pt idx="50">
                  <c:v>36471</c:v>
                </c:pt>
                <c:pt idx="51">
                  <c:v>37286</c:v>
                </c:pt>
                <c:pt idx="52">
                  <c:v>37220</c:v>
                </c:pt>
                <c:pt idx="53">
                  <c:v>38147</c:v>
                </c:pt>
                <c:pt idx="54">
                  <c:v>38909</c:v>
                </c:pt>
                <c:pt idx="55">
                  <c:v>41091</c:v>
                </c:pt>
                <c:pt idx="56">
                  <c:v>40828</c:v>
                </c:pt>
                <c:pt idx="57">
                  <c:v>42397</c:v>
                </c:pt>
                <c:pt idx="58">
                  <c:v>43774</c:v>
                </c:pt>
                <c:pt idx="59">
                  <c:v>47775</c:v>
                </c:pt>
                <c:pt idx="60">
                  <c:v>47007</c:v>
                </c:pt>
                <c:pt idx="61">
                  <c:v>49541</c:v>
                </c:pt>
              </c:numCache>
            </c:numRef>
          </c:val>
          <c:smooth val="0"/>
          <c:extLst xmlns:c16r2="http://schemas.microsoft.com/office/drawing/2015/06/chart">
            <c:ext xmlns:c16="http://schemas.microsoft.com/office/drawing/2014/chart" uri="{C3380CC4-5D6E-409C-BE32-E72D297353CC}">
              <c16:uniqueId val="{00000003-F6FC-4F1F-B9C1-5670338E2692}"/>
            </c:ext>
          </c:extLst>
        </c:ser>
        <c:ser>
          <c:idx val="3"/>
          <c:order val="3"/>
          <c:tx>
            <c:strRef>
              <c:f>'figura 1'!$F$4</c:f>
              <c:strCache>
                <c:ptCount val="1"/>
                <c:pt idx="0">
                  <c:v>Import - media 3m</c:v>
                </c:pt>
              </c:strCache>
            </c:strRef>
          </c:tx>
          <c:spPr>
            <a:ln w="28575" cap="rnd">
              <a:solidFill>
                <a:srgbClr val="D22630"/>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1'!$F$65:$F$136</c:f>
              <c:numCache>
                <c:formatCode>0</c:formatCode>
                <c:ptCount val="72"/>
                <c:pt idx="0">
                  <c:v>32774.333333333336</c:v>
                </c:pt>
                <c:pt idx="1">
                  <c:v>33118.666666666664</c:v>
                </c:pt>
                <c:pt idx="2">
                  <c:v>33252.666666666664</c:v>
                </c:pt>
                <c:pt idx="3">
                  <c:v>33580</c:v>
                </c:pt>
                <c:pt idx="4">
                  <c:v>33664.333333333328</c:v>
                </c:pt>
                <c:pt idx="5">
                  <c:v>33926.666666666672</c:v>
                </c:pt>
                <c:pt idx="6">
                  <c:v>33891.333333333328</c:v>
                </c:pt>
                <c:pt idx="7">
                  <c:v>33536.666666666664</c:v>
                </c:pt>
                <c:pt idx="8">
                  <c:v>33529.333333333336</c:v>
                </c:pt>
                <c:pt idx="9">
                  <c:v>33636</c:v>
                </c:pt>
                <c:pt idx="10">
                  <c:v>34634.666666666664</c:v>
                </c:pt>
                <c:pt idx="11">
                  <c:v>34698.333333333336</c:v>
                </c:pt>
                <c:pt idx="12">
                  <c:v>34458.333333333336</c:v>
                </c:pt>
                <c:pt idx="13">
                  <c:v>34084.666666666672</c:v>
                </c:pt>
                <c:pt idx="14">
                  <c:v>34440.333333333336</c:v>
                </c:pt>
                <c:pt idx="15">
                  <c:v>34946.666666666664</c:v>
                </c:pt>
                <c:pt idx="16">
                  <c:v>35309.333333333336</c:v>
                </c:pt>
                <c:pt idx="17">
                  <c:v>35815</c:v>
                </c:pt>
                <c:pt idx="18">
                  <c:v>36065.333333333336</c:v>
                </c:pt>
                <c:pt idx="19">
                  <c:v>36214.666666666664</c:v>
                </c:pt>
                <c:pt idx="20">
                  <c:v>36372.333333333336</c:v>
                </c:pt>
                <c:pt idx="21">
                  <c:v>36433.333333333336</c:v>
                </c:pt>
                <c:pt idx="22">
                  <c:v>36644.666666666664</c:v>
                </c:pt>
                <c:pt idx="23">
                  <c:v>36020</c:v>
                </c:pt>
                <c:pt idx="24">
                  <c:v>35588.333333333336</c:v>
                </c:pt>
                <c:pt idx="25">
                  <c:v>35213</c:v>
                </c:pt>
                <c:pt idx="26">
                  <c:v>35456.333333333336</c:v>
                </c:pt>
                <c:pt idx="27">
                  <c:v>35989.666666666672</c:v>
                </c:pt>
                <c:pt idx="28">
                  <c:v>36053.666666666664</c:v>
                </c:pt>
                <c:pt idx="29">
                  <c:v>35973</c:v>
                </c:pt>
                <c:pt idx="30">
                  <c:v>35526.666666666664</c:v>
                </c:pt>
                <c:pt idx="31">
                  <c:v>35698.333333333336</c:v>
                </c:pt>
                <c:pt idx="32">
                  <c:v>35392.666666666672</c:v>
                </c:pt>
                <c:pt idx="33">
                  <c:v>35028.333333333328</c:v>
                </c:pt>
                <c:pt idx="34">
                  <c:v>34740.333333333328</c:v>
                </c:pt>
                <c:pt idx="35">
                  <c:v>35189</c:v>
                </c:pt>
                <c:pt idx="36">
                  <c:v>35215.333333333336</c:v>
                </c:pt>
                <c:pt idx="37">
                  <c:v>32849.333333333336</c:v>
                </c:pt>
                <c:pt idx="38">
                  <c:v>28496</c:v>
                </c:pt>
                <c:pt idx="39">
                  <c:v>25559</c:v>
                </c:pt>
                <c:pt idx="40">
                  <c:v>25930</c:v>
                </c:pt>
                <c:pt idx="41">
                  <c:v>28710.333333333336</c:v>
                </c:pt>
                <c:pt idx="42">
                  <c:v>30932</c:v>
                </c:pt>
                <c:pt idx="43">
                  <c:v>31909</c:v>
                </c:pt>
                <c:pt idx="44">
                  <c:v>32485</c:v>
                </c:pt>
                <c:pt idx="45">
                  <c:v>33118.333333333336</c:v>
                </c:pt>
                <c:pt idx="46">
                  <c:v>33467.666666666664</c:v>
                </c:pt>
                <c:pt idx="47">
                  <c:v>33621.666666666664</c:v>
                </c:pt>
                <c:pt idx="48">
                  <c:v>33658</c:v>
                </c:pt>
                <c:pt idx="49">
                  <c:v>34693</c:v>
                </c:pt>
                <c:pt idx="50">
                  <c:v>35950.333333333336</c:v>
                </c:pt>
                <c:pt idx="51">
                  <c:v>36992.333333333328</c:v>
                </c:pt>
                <c:pt idx="52">
                  <c:v>37551</c:v>
                </c:pt>
                <c:pt idx="53">
                  <c:v>38092</c:v>
                </c:pt>
                <c:pt idx="54">
                  <c:v>39382.333333333336</c:v>
                </c:pt>
                <c:pt idx="55">
                  <c:v>40276</c:v>
                </c:pt>
                <c:pt idx="56">
                  <c:v>41438.666666666672</c:v>
                </c:pt>
                <c:pt idx="57">
                  <c:v>42333</c:v>
                </c:pt>
                <c:pt idx="58">
                  <c:v>44648.666666666672</c:v>
                </c:pt>
                <c:pt idx="59">
                  <c:v>46185.333333333336</c:v>
                </c:pt>
                <c:pt idx="60">
                  <c:v>48107.666666666672</c:v>
                </c:pt>
              </c:numCache>
            </c:numRef>
          </c:val>
          <c:smooth val="0"/>
          <c:extLst xmlns:c16r2="http://schemas.microsoft.com/office/drawing/2015/06/chart">
            <c:ext xmlns:c16="http://schemas.microsoft.com/office/drawing/2014/chart" uri="{C3380CC4-5D6E-409C-BE32-E72D297353CC}">
              <c16:uniqueId val="{00000004-F6FC-4F1F-B9C1-5670338E2692}"/>
            </c:ext>
          </c:extLst>
        </c:ser>
        <c:dLbls>
          <c:showLegendKey val="0"/>
          <c:showVal val="0"/>
          <c:showCatName val="0"/>
          <c:showSerName val="0"/>
          <c:showPercent val="0"/>
          <c:showBubbleSize val="0"/>
        </c:dLbls>
        <c:marker val="1"/>
        <c:smooth val="0"/>
        <c:axId val="256428896"/>
        <c:axId val="253872096"/>
      </c:lineChart>
      <c:catAx>
        <c:axId val="256428896"/>
        <c:scaling>
          <c:orientation val="minMax"/>
        </c:scaling>
        <c:delete val="0"/>
        <c:axPos val="b"/>
        <c:majorGridlines>
          <c:spPr>
            <a:ln w="6350" cap="flat" cmpd="sng" algn="ctr">
              <a:solidFill>
                <a:srgbClr val="FFFFFF"/>
              </a:solidFill>
              <a:prstDash val="solid"/>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a:ea typeface="Arial Narrow"/>
                <a:cs typeface="Arial Narrow"/>
              </a:defRPr>
            </a:pPr>
            <a:endParaRPr lang="it-IT"/>
          </a:p>
        </c:txPr>
        <c:crossAx val="253872096"/>
        <c:crosses val="autoZero"/>
        <c:auto val="1"/>
        <c:lblAlgn val="ctr"/>
        <c:lblOffset val="0"/>
        <c:tickMarkSkip val="3"/>
        <c:noMultiLvlLbl val="0"/>
      </c:catAx>
      <c:valAx>
        <c:axId val="253872096"/>
        <c:scaling>
          <c:orientation val="minMax"/>
          <c:max val="50000"/>
          <c:min val="20000"/>
        </c:scaling>
        <c:delete val="0"/>
        <c:axPos val="l"/>
        <c:majorGridlines>
          <c:spPr>
            <a:ln w="9525" cap="flat" cmpd="sng" algn="ctr">
              <a:solidFill>
                <a:srgbClr val="FFFFFF">
                  <a:lumMod val="100000"/>
                </a:srgbClr>
              </a:solidFill>
              <a:round/>
            </a:ln>
            <a:effectLst/>
          </c:spPr>
        </c:majorGridlines>
        <c:numFmt formatCode="0"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56428896"/>
        <c:crosses val="autoZero"/>
        <c:crossBetween val="between"/>
        <c:dispUnits>
          <c:builtInUnit val="thousands"/>
        </c:dispUnits>
      </c:valAx>
      <c:valAx>
        <c:axId val="169014192"/>
        <c:scaling>
          <c:orientation val="minMax"/>
          <c:max val="8000"/>
          <c:min val="-3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60389184"/>
        <c:crosses val="max"/>
        <c:crossBetween val="between"/>
        <c:majorUnit val="1000"/>
        <c:dispUnits>
          <c:builtInUnit val="thousands"/>
        </c:dispUnits>
      </c:valAx>
      <c:catAx>
        <c:axId val="260389184"/>
        <c:scaling>
          <c:orientation val="minMax"/>
        </c:scaling>
        <c:delete val="1"/>
        <c:axPos val="b"/>
        <c:majorGridlines>
          <c:spPr>
            <a:ln w="15875" cap="flat" cmpd="sng" algn="ctr">
              <a:solidFill>
                <a:schemeClr val="bg1"/>
              </a:solidFill>
              <a:round/>
            </a:ln>
            <a:effectLst/>
          </c:spPr>
        </c:majorGridlines>
        <c:majorTickMark val="out"/>
        <c:minorTickMark val="none"/>
        <c:tickLblPos val="nextTo"/>
        <c:crossAx val="169014192"/>
        <c:crossesAt val="0"/>
        <c:auto val="1"/>
        <c:lblAlgn val="ctr"/>
        <c:lblOffset val="100"/>
        <c:tickMarkSkip val="12"/>
        <c:noMultiLvlLbl val="0"/>
      </c:catAx>
      <c:spPr>
        <a:solidFill>
          <a:srgbClr val="DDDDDD"/>
        </a:solidFill>
        <a:ln w="9525" cap="flat" cmpd="sng" algn="ctr">
          <a:solidFill>
            <a:schemeClr val="bg1"/>
          </a:solidFill>
          <a:prstDash val="solid"/>
          <a:round/>
          <a:headEnd type="none" w="med" len="med"/>
          <a:tailEnd type="none" w="med" len="med"/>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legend>
    <c:plotVisOnly val="1"/>
    <c:dispBlanksAs val="gap"/>
    <c:showDLblsOverMax val="0"/>
  </c:chart>
  <c:spPr>
    <a:solidFill>
      <a:srgbClr val="DDDDDD"/>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a:ea typeface="Arial Narrow"/>
          <a:cs typeface="Arial Narrow"/>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Volumi</a:t>
            </a:r>
          </a:p>
        </c:rich>
      </c:tx>
      <c:layout>
        <c:manualLayout>
          <c:xMode val="edge"/>
          <c:yMode val="edge"/>
          <c:x val="0.45780370370370371"/>
          <c:y val="0"/>
        </c:manualLayout>
      </c:layout>
      <c:overlay val="1"/>
      <c:spPr>
        <a:noFill/>
        <a:ln>
          <a:noFill/>
        </a:ln>
        <a:effectLst/>
      </c:spPr>
    </c:title>
    <c:autoTitleDeleted val="0"/>
    <c:plotArea>
      <c:layout>
        <c:manualLayout>
          <c:layoutTarget val="inner"/>
          <c:xMode val="edge"/>
          <c:yMode val="edge"/>
          <c:x val="3.8200031242677498E-2"/>
          <c:y val="0.17810928715988306"/>
          <c:w val="0.9225041907245296"/>
          <c:h val="0.72966494265797155"/>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10'!$F$77:$F$136</c:f>
              <c:numCache>
                <c:formatCode>0.0</c:formatCode>
                <c:ptCount val="60"/>
                <c:pt idx="0">
                  <c:v>7.3198198198198128</c:v>
                </c:pt>
                <c:pt idx="1">
                  <c:v>2.4665981500513965</c:v>
                </c:pt>
                <c:pt idx="2">
                  <c:v>-2.8813559322033768</c:v>
                </c:pt>
                <c:pt idx="3">
                  <c:v>5.4621848739495817</c:v>
                </c:pt>
                <c:pt idx="4">
                  <c:v>-4.0034812880765855</c:v>
                </c:pt>
                <c:pt idx="5">
                  <c:v>2.164111812443636</c:v>
                </c:pt>
                <c:pt idx="6">
                  <c:v>2.7506654835847399</c:v>
                </c:pt>
                <c:pt idx="7">
                  <c:v>0</c:v>
                </c:pt>
                <c:pt idx="8">
                  <c:v>-7.1227741330833965</c:v>
                </c:pt>
                <c:pt idx="9">
                  <c:v>5.3908355795148282</c:v>
                </c:pt>
                <c:pt idx="10">
                  <c:v>-1.6888888888888829</c:v>
                </c:pt>
                <c:pt idx="11">
                  <c:v>-5.0595238095238102</c:v>
                </c:pt>
                <c:pt idx="12">
                  <c:v>0.83945435466948481</c:v>
                </c:pt>
                <c:pt idx="13">
                  <c:v>0.3009027081243687</c:v>
                </c:pt>
                <c:pt idx="14">
                  <c:v>-3.6649214659685896</c:v>
                </c:pt>
                <c:pt idx="15">
                  <c:v>0.49800796812749581</c:v>
                </c:pt>
                <c:pt idx="16">
                  <c:v>3.5358114233907543</c:v>
                </c:pt>
                <c:pt idx="17">
                  <c:v>-5.7369814651368074</c:v>
                </c:pt>
                <c:pt idx="18">
                  <c:v>3.2815198618307591</c:v>
                </c:pt>
                <c:pt idx="19">
                  <c:v>-5.3593179049939152</c:v>
                </c:pt>
                <c:pt idx="20">
                  <c:v>4.1372351160443941</c:v>
                </c:pt>
                <c:pt idx="21">
                  <c:v>2.0460358056266017</c:v>
                </c:pt>
                <c:pt idx="22">
                  <c:v>-5.8770343580470126</c:v>
                </c:pt>
                <c:pt idx="23">
                  <c:v>0.52246603970741035</c:v>
                </c:pt>
                <c:pt idx="24">
                  <c:v>-1.1446409989594315</c:v>
                </c:pt>
                <c:pt idx="25">
                  <c:v>2.9000000000000057</c:v>
                </c:pt>
                <c:pt idx="26">
                  <c:v>-14.945652173913047</c:v>
                </c:pt>
                <c:pt idx="27">
                  <c:v>-41.625371655104068</c:v>
                </c:pt>
                <c:pt idx="28">
                  <c:v>-29.071803852889673</c:v>
                </c:pt>
                <c:pt idx="29">
                  <c:v>-12.359550561797747</c:v>
                </c:pt>
                <c:pt idx="30">
                  <c:v>-6.9397993311036998</c:v>
                </c:pt>
                <c:pt idx="31">
                  <c:v>-5.4054054054054035</c:v>
                </c:pt>
                <c:pt idx="32">
                  <c:v>2.6162790697674438</c:v>
                </c:pt>
                <c:pt idx="33">
                  <c:v>-6.6833751044277392</c:v>
                </c:pt>
                <c:pt idx="34">
                  <c:v>3.1700288184437966</c:v>
                </c:pt>
                <c:pt idx="35">
                  <c:v>4.6777546777546775</c:v>
                </c:pt>
                <c:pt idx="36">
                  <c:v>-10</c:v>
                </c:pt>
                <c:pt idx="37">
                  <c:v>-6.4139941690962274</c:v>
                </c:pt>
                <c:pt idx="38">
                  <c:v>20.447284345047919</c:v>
                </c:pt>
                <c:pt idx="39">
                  <c:v>82.173174872665527</c:v>
                </c:pt>
                <c:pt idx="40">
                  <c:v>31.481481481481467</c:v>
                </c:pt>
                <c:pt idx="41">
                  <c:v>16.34615384615384</c:v>
                </c:pt>
                <c:pt idx="42">
                  <c:v>5.0314465408805091</c:v>
                </c:pt>
                <c:pt idx="43">
                  <c:v>5.1700680272108883</c:v>
                </c:pt>
                <c:pt idx="44">
                  <c:v>-0.37771482530691003</c:v>
                </c:pt>
                <c:pt idx="45">
                  <c:v>-3.3124440465532672</c:v>
                </c:pt>
                <c:pt idx="46">
                  <c:v>3.0726256983240177</c:v>
                </c:pt>
                <c:pt idx="47">
                  <c:v>3.277060575968207</c:v>
                </c:pt>
                <c:pt idx="48">
                  <c:v>5.3801169590643383</c:v>
                </c:pt>
                <c:pt idx="49">
                  <c:v>5.2959501557632507</c:v>
                </c:pt>
              </c:numCache>
            </c:numRef>
          </c:val>
          <c:smooth val="0"/>
          <c:extLst xmlns:c16r2="http://schemas.microsoft.com/office/drawing/2015/06/chart">
            <c:ext xmlns:c16="http://schemas.microsoft.com/office/drawing/2014/chart" uri="{C3380CC4-5D6E-409C-BE32-E72D297353CC}">
              <c16:uniqueId val="{00000000-64A0-456F-BC0C-8F329DB7EBB7}"/>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10'!$G$77:$G$136</c:f>
              <c:numCache>
                <c:formatCode>0.0</c:formatCode>
                <c:ptCount val="60"/>
                <c:pt idx="0">
                  <c:v>7.3891625615763701</c:v>
                </c:pt>
                <c:pt idx="1">
                  <c:v>-0.38647342995167833</c:v>
                </c:pt>
                <c:pt idx="2">
                  <c:v>-0.51546391752579268</c:v>
                </c:pt>
                <c:pt idx="3">
                  <c:v>9.1386554621848717</c:v>
                </c:pt>
                <c:pt idx="4">
                  <c:v>-2.1514629948364785</c:v>
                </c:pt>
                <c:pt idx="5">
                  <c:v>-1.594331266607611</c:v>
                </c:pt>
                <c:pt idx="6">
                  <c:v>1.3799448022079162</c:v>
                </c:pt>
                <c:pt idx="7">
                  <c:v>-1.3048635824436445</c:v>
                </c:pt>
                <c:pt idx="8">
                  <c:v>-2.2140221402214024</c:v>
                </c:pt>
                <c:pt idx="9">
                  <c:v>7.0333633904418491</c:v>
                </c:pt>
                <c:pt idx="10">
                  <c:v>-2.5800711743772382</c:v>
                </c:pt>
                <c:pt idx="11">
                  <c:v>1.1247443762781302</c:v>
                </c:pt>
                <c:pt idx="12">
                  <c:v>-1.467889908256879</c:v>
                </c:pt>
                <c:pt idx="13">
                  <c:v>-0.29097963142581307</c:v>
                </c:pt>
                <c:pt idx="14">
                  <c:v>-4.231433506044894</c:v>
                </c:pt>
                <c:pt idx="15">
                  <c:v>1.6361886429258874</c:v>
                </c:pt>
                <c:pt idx="16">
                  <c:v>0.26385224274406482</c:v>
                </c:pt>
                <c:pt idx="17">
                  <c:v>-4.5904590459045949</c:v>
                </c:pt>
                <c:pt idx="18">
                  <c:v>4.5372050816696827</c:v>
                </c:pt>
                <c:pt idx="19">
                  <c:v>-0.48076923076924061</c:v>
                </c:pt>
                <c:pt idx="20">
                  <c:v>5.0943396226415132</c:v>
                </c:pt>
                <c:pt idx="21">
                  <c:v>-3.4540859309182821</c:v>
                </c:pt>
                <c:pt idx="22">
                  <c:v>-2.6484018264840046</c:v>
                </c:pt>
                <c:pt idx="23">
                  <c:v>-2.0222446916076819</c:v>
                </c:pt>
                <c:pt idx="24">
                  <c:v>1.1173184357541857</c:v>
                </c:pt>
                <c:pt idx="25">
                  <c:v>1.264591439688715</c:v>
                </c:pt>
                <c:pt idx="26">
                  <c:v>-15.058611361587012</c:v>
                </c:pt>
                <c:pt idx="27">
                  <c:v>-28.219696969696969</c:v>
                </c:pt>
                <c:pt idx="28">
                  <c:v>-26.578947368421041</c:v>
                </c:pt>
                <c:pt idx="29">
                  <c:v>-8.1132075471698073</c:v>
                </c:pt>
                <c:pt idx="30">
                  <c:v>-8.7673611111111143</c:v>
                </c:pt>
                <c:pt idx="31">
                  <c:v>-6.1594202898550634</c:v>
                </c:pt>
                <c:pt idx="32">
                  <c:v>-0.53859964093358315</c:v>
                </c:pt>
                <c:pt idx="33">
                  <c:v>-1.221640488656206</c:v>
                </c:pt>
                <c:pt idx="34">
                  <c:v>1.5947467166979266</c:v>
                </c:pt>
                <c:pt idx="35">
                  <c:v>3.0959752321981426</c:v>
                </c:pt>
                <c:pt idx="36">
                  <c:v>-10.313075506445671</c:v>
                </c:pt>
                <c:pt idx="37">
                  <c:v>-3.0739673390970239</c:v>
                </c:pt>
                <c:pt idx="38">
                  <c:v>25.902335456475583</c:v>
                </c:pt>
                <c:pt idx="39">
                  <c:v>43.007915567282339</c:v>
                </c:pt>
                <c:pt idx="40">
                  <c:v>28.195937873357224</c:v>
                </c:pt>
                <c:pt idx="41">
                  <c:v>12.525667351129357</c:v>
                </c:pt>
                <c:pt idx="42">
                  <c:v>3.3301617507136001</c:v>
                </c:pt>
                <c:pt idx="43">
                  <c:v>7.7220077220077172</c:v>
                </c:pt>
                <c:pt idx="44">
                  <c:v>-9.0252707581214509E-2</c:v>
                </c:pt>
                <c:pt idx="45">
                  <c:v>-5.7420494699646696</c:v>
                </c:pt>
                <c:pt idx="46">
                  <c:v>1.0156971375808013</c:v>
                </c:pt>
                <c:pt idx="47">
                  <c:v>10.5105105105105</c:v>
                </c:pt>
                <c:pt idx="48">
                  <c:v>7.802874743326484</c:v>
                </c:pt>
                <c:pt idx="49">
                  <c:v>5.4509415262636196</c:v>
                </c:pt>
              </c:numCache>
            </c:numRef>
          </c:val>
          <c:smooth val="0"/>
          <c:extLst xmlns:c16r2="http://schemas.microsoft.com/office/drawing/2015/06/chart">
            <c:ext xmlns:c16="http://schemas.microsoft.com/office/drawing/2014/chart" uri="{C3380CC4-5D6E-409C-BE32-E72D297353CC}">
              <c16:uniqueId val="{00000001-64A0-456F-BC0C-8F329DB7EBB7}"/>
            </c:ext>
          </c:extLst>
        </c:ser>
        <c:dLbls>
          <c:showLegendKey val="0"/>
          <c:showVal val="0"/>
          <c:showCatName val="0"/>
          <c:showSerName val="0"/>
          <c:showPercent val="0"/>
          <c:showBubbleSize val="0"/>
        </c:dLbls>
        <c:marker val="1"/>
        <c:smooth val="0"/>
        <c:axId val="172293888"/>
        <c:axId val="254550144"/>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xmlns:c16r2="http://schemas.microsoft.com/office/drawing/2015/06/chart">
            <c:ext xmlns:c16="http://schemas.microsoft.com/office/drawing/2014/chart" uri="{C3380CC4-5D6E-409C-BE32-E72D297353CC}">
              <c16:uniqueId val="{00000002-64A0-456F-BC0C-8F329DB7EBB7}"/>
            </c:ext>
          </c:extLst>
        </c:ser>
        <c:dLbls>
          <c:showLegendKey val="0"/>
          <c:showVal val="0"/>
          <c:showCatName val="0"/>
          <c:showSerName val="0"/>
          <c:showPercent val="0"/>
          <c:showBubbleSize val="0"/>
        </c:dLbls>
        <c:marker val="1"/>
        <c:smooth val="0"/>
        <c:axId val="254551264"/>
        <c:axId val="254550704"/>
      </c:lineChart>
      <c:catAx>
        <c:axId val="17229388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54550144"/>
        <c:crosses val="autoZero"/>
        <c:auto val="1"/>
        <c:lblAlgn val="ctr"/>
        <c:lblOffset val="0"/>
        <c:tickMarkSkip val="3"/>
        <c:noMultiLvlLbl val="0"/>
      </c:catAx>
      <c:valAx>
        <c:axId val="254550144"/>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9076057895084685E-3"/>
              <c:y val="2.216730380031482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2293888"/>
        <c:crosses val="autoZero"/>
        <c:crossBetween val="between"/>
        <c:majorUnit val="20"/>
      </c:valAx>
      <c:valAx>
        <c:axId val="254550704"/>
        <c:scaling>
          <c:orientation val="minMax"/>
        </c:scaling>
        <c:delete val="1"/>
        <c:axPos val="r"/>
        <c:numFmt formatCode="General" sourceLinked="1"/>
        <c:majorTickMark val="out"/>
        <c:minorTickMark val="none"/>
        <c:tickLblPos val="nextTo"/>
        <c:crossAx val="254551264"/>
        <c:crosses val="max"/>
        <c:crossBetween val="between"/>
      </c:valAx>
      <c:catAx>
        <c:axId val="254551264"/>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54550704"/>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1557993827160494"/>
          <c:y val="8.5675736451540363E-2"/>
          <c:w val="0.7864262345679012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0"/>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'!$C$67:$C$138</c:f>
              <c:numCache>
                <c:formatCode>0</c:formatCode>
                <c:ptCount val="72"/>
                <c:pt idx="0">
                  <c:v>18421</c:v>
                </c:pt>
                <c:pt idx="1">
                  <c:v>18457</c:v>
                </c:pt>
                <c:pt idx="2">
                  <c:v>18837</c:v>
                </c:pt>
                <c:pt idx="3">
                  <c:v>18888</c:v>
                </c:pt>
                <c:pt idx="4">
                  <c:v>19229</c:v>
                </c:pt>
                <c:pt idx="5">
                  <c:v>19053</c:v>
                </c:pt>
                <c:pt idx="6">
                  <c:v>18865</c:v>
                </c:pt>
                <c:pt idx="7">
                  <c:v>19645</c:v>
                </c:pt>
                <c:pt idx="8">
                  <c:v>18887</c:v>
                </c:pt>
                <c:pt idx="9">
                  <c:v>19630</c:v>
                </c:pt>
                <c:pt idx="10">
                  <c:v>19365</c:v>
                </c:pt>
                <c:pt idx="11">
                  <c:v>20159</c:v>
                </c:pt>
                <c:pt idx="12">
                  <c:v>19564</c:v>
                </c:pt>
                <c:pt idx="13">
                  <c:v>19860</c:v>
                </c:pt>
                <c:pt idx="14">
                  <c:v>19527</c:v>
                </c:pt>
                <c:pt idx="15">
                  <c:v>19796</c:v>
                </c:pt>
                <c:pt idx="16">
                  <c:v>19480</c:v>
                </c:pt>
                <c:pt idx="17">
                  <c:v>20172</c:v>
                </c:pt>
                <c:pt idx="18">
                  <c:v>20370</c:v>
                </c:pt>
                <c:pt idx="19">
                  <c:v>20524</c:v>
                </c:pt>
                <c:pt idx="20">
                  <c:v>20030</c:v>
                </c:pt>
                <c:pt idx="21">
                  <c:v>20432</c:v>
                </c:pt>
                <c:pt idx="22">
                  <c:v>20215</c:v>
                </c:pt>
                <c:pt idx="23">
                  <c:v>19918</c:v>
                </c:pt>
                <c:pt idx="24">
                  <c:v>20289</c:v>
                </c:pt>
                <c:pt idx="25">
                  <c:v>20149</c:v>
                </c:pt>
                <c:pt idx="26">
                  <c:v>20459</c:v>
                </c:pt>
                <c:pt idx="27">
                  <c:v>20646</c:v>
                </c:pt>
                <c:pt idx="28">
                  <c:v>21099</c:v>
                </c:pt>
                <c:pt idx="29">
                  <c:v>20710</c:v>
                </c:pt>
                <c:pt idx="30">
                  <c:v>20667</c:v>
                </c:pt>
                <c:pt idx="31">
                  <c:v>20108</c:v>
                </c:pt>
                <c:pt idx="32">
                  <c:v>20797</c:v>
                </c:pt>
                <c:pt idx="33">
                  <c:v>20659</c:v>
                </c:pt>
                <c:pt idx="34">
                  <c:v>20041</c:v>
                </c:pt>
                <c:pt idx="35">
                  <c:v>20810</c:v>
                </c:pt>
                <c:pt idx="36">
                  <c:v>20368</c:v>
                </c:pt>
                <c:pt idx="37">
                  <c:v>20298</c:v>
                </c:pt>
                <c:pt idx="38">
                  <c:v>17267</c:v>
                </c:pt>
                <c:pt idx="39">
                  <c:v>11649</c:v>
                </c:pt>
                <c:pt idx="40">
                  <c:v>16289</c:v>
                </c:pt>
                <c:pt idx="41">
                  <c:v>18292</c:v>
                </c:pt>
                <c:pt idx="42">
                  <c:v>19295</c:v>
                </c:pt>
                <c:pt idx="43">
                  <c:v>20095</c:v>
                </c:pt>
                <c:pt idx="44">
                  <c:v>19989</c:v>
                </c:pt>
                <c:pt idx="45">
                  <c:v>19948</c:v>
                </c:pt>
                <c:pt idx="46">
                  <c:v>20900</c:v>
                </c:pt>
                <c:pt idx="47">
                  <c:v>20218</c:v>
                </c:pt>
                <c:pt idx="48">
                  <c:v>20545</c:v>
                </c:pt>
                <c:pt idx="49">
                  <c:v>20890</c:v>
                </c:pt>
                <c:pt idx="50">
                  <c:v>21774</c:v>
                </c:pt>
                <c:pt idx="51">
                  <c:v>21838</c:v>
                </c:pt>
                <c:pt idx="52">
                  <c:v>21793</c:v>
                </c:pt>
                <c:pt idx="53">
                  <c:v>22399</c:v>
                </c:pt>
                <c:pt idx="54">
                  <c:v>22029</c:v>
                </c:pt>
                <c:pt idx="55">
                  <c:v>23380</c:v>
                </c:pt>
                <c:pt idx="56">
                  <c:v>23113</c:v>
                </c:pt>
                <c:pt idx="57">
                  <c:v>23495</c:v>
                </c:pt>
                <c:pt idx="58">
                  <c:v>24150</c:v>
                </c:pt>
                <c:pt idx="59">
                  <c:v>24163</c:v>
                </c:pt>
                <c:pt idx="60">
                  <c:v>25421</c:v>
                </c:pt>
                <c:pt idx="61">
                  <c:v>25750</c:v>
                </c:pt>
              </c:numCache>
            </c:numRef>
          </c:val>
          <c:smooth val="0"/>
          <c:extLst xmlns:c16r2="http://schemas.microsoft.com/office/drawing/2015/06/chart">
            <c:ext xmlns:c16="http://schemas.microsoft.com/office/drawing/2014/chart" uri="{C3380CC4-5D6E-409C-BE32-E72D297353CC}">
              <c16:uniqueId val="{00000000-5C57-4E74-AE1D-055C3005E7E4}"/>
            </c:ext>
          </c:extLst>
        </c:ser>
        <c:ser>
          <c:idx val="1"/>
          <c:order val="1"/>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'!$D$67:$D$138</c:f>
              <c:numCache>
                <c:formatCode>0</c:formatCode>
                <c:ptCount val="72"/>
                <c:pt idx="0">
                  <c:v>17991</c:v>
                </c:pt>
                <c:pt idx="1">
                  <c:v>18740</c:v>
                </c:pt>
                <c:pt idx="2">
                  <c:v>18874</c:v>
                </c:pt>
                <c:pt idx="3">
                  <c:v>18622</c:v>
                </c:pt>
                <c:pt idx="4">
                  <c:v>19301</c:v>
                </c:pt>
                <c:pt idx="5">
                  <c:v>19312</c:v>
                </c:pt>
                <c:pt idx="6">
                  <c:v>19775</c:v>
                </c:pt>
                <c:pt idx="7">
                  <c:v>19975</c:v>
                </c:pt>
                <c:pt idx="8">
                  <c:v>19092</c:v>
                </c:pt>
                <c:pt idx="9">
                  <c:v>19829</c:v>
                </c:pt>
                <c:pt idx="10">
                  <c:v>19851</c:v>
                </c:pt>
                <c:pt idx="11">
                  <c:v>20669</c:v>
                </c:pt>
                <c:pt idx="12">
                  <c:v>19686</c:v>
                </c:pt>
                <c:pt idx="13">
                  <c:v>19225</c:v>
                </c:pt>
                <c:pt idx="14">
                  <c:v>19597</c:v>
                </c:pt>
                <c:pt idx="15">
                  <c:v>19572</c:v>
                </c:pt>
                <c:pt idx="16">
                  <c:v>19916</c:v>
                </c:pt>
                <c:pt idx="17">
                  <c:v>19921</c:v>
                </c:pt>
                <c:pt idx="18">
                  <c:v>20568</c:v>
                </c:pt>
                <c:pt idx="19">
                  <c:v>20312</c:v>
                </c:pt>
                <c:pt idx="20">
                  <c:v>19681</c:v>
                </c:pt>
                <c:pt idx="21">
                  <c:v>20507</c:v>
                </c:pt>
                <c:pt idx="22">
                  <c:v>20075</c:v>
                </c:pt>
                <c:pt idx="23">
                  <c:v>20726</c:v>
                </c:pt>
                <c:pt idx="24">
                  <c:v>19892</c:v>
                </c:pt>
                <c:pt idx="25">
                  <c:v>19834</c:v>
                </c:pt>
                <c:pt idx="26">
                  <c:v>20083</c:v>
                </c:pt>
                <c:pt idx="27">
                  <c:v>20422</c:v>
                </c:pt>
                <c:pt idx="28">
                  <c:v>20739</c:v>
                </c:pt>
                <c:pt idx="29">
                  <c:v>20096</c:v>
                </c:pt>
                <c:pt idx="30">
                  <c:v>20145</c:v>
                </c:pt>
                <c:pt idx="31">
                  <c:v>20042</c:v>
                </c:pt>
                <c:pt idx="32">
                  <c:v>20542</c:v>
                </c:pt>
                <c:pt idx="33">
                  <c:v>19928</c:v>
                </c:pt>
                <c:pt idx="34">
                  <c:v>19687</c:v>
                </c:pt>
                <c:pt idx="35">
                  <c:v>20884</c:v>
                </c:pt>
                <c:pt idx="36">
                  <c:v>20446</c:v>
                </c:pt>
                <c:pt idx="37">
                  <c:v>20029</c:v>
                </c:pt>
                <c:pt idx="38">
                  <c:v>16387</c:v>
                </c:pt>
                <c:pt idx="39">
                  <c:v>12688</c:v>
                </c:pt>
                <c:pt idx="40">
                  <c:v>14873</c:v>
                </c:pt>
                <c:pt idx="41">
                  <c:v>16904</c:v>
                </c:pt>
                <c:pt idx="42">
                  <c:v>18293</c:v>
                </c:pt>
                <c:pt idx="43">
                  <c:v>19021</c:v>
                </c:pt>
                <c:pt idx="44">
                  <c:v>19342</c:v>
                </c:pt>
                <c:pt idx="45">
                  <c:v>19636</c:v>
                </c:pt>
                <c:pt idx="46">
                  <c:v>20101</c:v>
                </c:pt>
                <c:pt idx="47">
                  <c:v>19846</c:v>
                </c:pt>
                <c:pt idx="48">
                  <c:v>20059</c:v>
                </c:pt>
                <c:pt idx="49">
                  <c:v>20021</c:v>
                </c:pt>
                <c:pt idx="50">
                  <c:v>21256</c:v>
                </c:pt>
                <c:pt idx="51">
                  <c:v>21270</c:v>
                </c:pt>
                <c:pt idx="52">
                  <c:v>21459</c:v>
                </c:pt>
                <c:pt idx="53">
                  <c:v>22051</c:v>
                </c:pt>
                <c:pt idx="54">
                  <c:v>22152</c:v>
                </c:pt>
                <c:pt idx="55">
                  <c:v>23236</c:v>
                </c:pt>
                <c:pt idx="56">
                  <c:v>22501</c:v>
                </c:pt>
                <c:pt idx="57">
                  <c:v>23109</c:v>
                </c:pt>
                <c:pt idx="58">
                  <c:v>23767</c:v>
                </c:pt>
                <c:pt idx="59">
                  <c:v>26320</c:v>
                </c:pt>
                <c:pt idx="60">
                  <c:v>25233</c:v>
                </c:pt>
                <c:pt idx="61">
                  <c:v>25618</c:v>
                </c:pt>
              </c:numCache>
            </c:numRef>
          </c:val>
          <c:smooth val="0"/>
          <c:extLst xmlns:c16r2="http://schemas.microsoft.com/office/drawing/2015/06/chart">
            <c:ext xmlns:c16="http://schemas.microsoft.com/office/drawing/2014/chart" uri="{C3380CC4-5D6E-409C-BE32-E72D297353CC}">
              <c16:uniqueId val="{00000001-5C57-4E74-AE1D-055C3005E7E4}"/>
            </c:ext>
          </c:extLst>
        </c:ser>
        <c:ser>
          <c:idx val="2"/>
          <c:order val="2"/>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'!$E$67:$E$138</c:f>
              <c:numCache>
                <c:formatCode>0</c:formatCode>
                <c:ptCount val="72"/>
                <c:pt idx="0">
                  <c:v>18452.333333333332</c:v>
                </c:pt>
                <c:pt idx="1">
                  <c:v>18571.666666666668</c:v>
                </c:pt>
                <c:pt idx="2">
                  <c:v>18727.333333333332</c:v>
                </c:pt>
                <c:pt idx="3">
                  <c:v>18984.666666666668</c:v>
                </c:pt>
                <c:pt idx="4">
                  <c:v>19056.666666666668</c:v>
                </c:pt>
                <c:pt idx="5">
                  <c:v>19049</c:v>
                </c:pt>
                <c:pt idx="6">
                  <c:v>19187.666666666668</c:v>
                </c:pt>
                <c:pt idx="7">
                  <c:v>19132.333333333332</c:v>
                </c:pt>
                <c:pt idx="8">
                  <c:v>19387.333333333332</c:v>
                </c:pt>
                <c:pt idx="9">
                  <c:v>19294</c:v>
                </c:pt>
                <c:pt idx="10">
                  <c:v>19718</c:v>
                </c:pt>
                <c:pt idx="11">
                  <c:v>19696</c:v>
                </c:pt>
                <c:pt idx="12">
                  <c:v>19861</c:v>
                </c:pt>
                <c:pt idx="13">
                  <c:v>19650.333333333332</c:v>
                </c:pt>
                <c:pt idx="14">
                  <c:v>19727.666666666668</c:v>
                </c:pt>
                <c:pt idx="15">
                  <c:v>19601</c:v>
                </c:pt>
                <c:pt idx="16">
                  <c:v>19816</c:v>
                </c:pt>
                <c:pt idx="17">
                  <c:v>20007.333333333332</c:v>
                </c:pt>
                <c:pt idx="18">
                  <c:v>20355.333333333332</c:v>
                </c:pt>
                <c:pt idx="19">
                  <c:v>20308</c:v>
                </c:pt>
                <c:pt idx="20">
                  <c:v>20328.666666666668</c:v>
                </c:pt>
                <c:pt idx="21">
                  <c:v>20225.666666666668</c:v>
                </c:pt>
                <c:pt idx="22">
                  <c:v>20188.333333333332</c:v>
                </c:pt>
                <c:pt idx="23">
                  <c:v>20140.666666666668</c:v>
                </c:pt>
                <c:pt idx="24">
                  <c:v>20118.666666666668</c:v>
                </c:pt>
                <c:pt idx="25">
                  <c:v>20299</c:v>
                </c:pt>
                <c:pt idx="26">
                  <c:v>20418</c:v>
                </c:pt>
                <c:pt idx="27">
                  <c:v>20734.666666666668</c:v>
                </c:pt>
                <c:pt idx="28">
                  <c:v>20818.333333333332</c:v>
                </c:pt>
                <c:pt idx="29">
                  <c:v>20825.333333333332</c:v>
                </c:pt>
                <c:pt idx="30">
                  <c:v>20495</c:v>
                </c:pt>
                <c:pt idx="31">
                  <c:v>20524</c:v>
                </c:pt>
                <c:pt idx="32">
                  <c:v>20521.333333333332</c:v>
                </c:pt>
                <c:pt idx="33">
                  <c:v>20499</c:v>
                </c:pt>
                <c:pt idx="34">
                  <c:v>20503.333333333332</c:v>
                </c:pt>
                <c:pt idx="35">
                  <c:v>20406.333333333332</c:v>
                </c:pt>
                <c:pt idx="36">
                  <c:v>20492</c:v>
                </c:pt>
                <c:pt idx="37">
                  <c:v>19311</c:v>
                </c:pt>
                <c:pt idx="38">
                  <c:v>16404.666666666668</c:v>
                </c:pt>
                <c:pt idx="39">
                  <c:v>15068.333333333334</c:v>
                </c:pt>
                <c:pt idx="40">
                  <c:v>15410</c:v>
                </c:pt>
                <c:pt idx="41">
                  <c:v>17958.666666666668</c:v>
                </c:pt>
                <c:pt idx="42">
                  <c:v>19227.333333333332</c:v>
                </c:pt>
                <c:pt idx="43">
                  <c:v>19793</c:v>
                </c:pt>
                <c:pt idx="44">
                  <c:v>20010.666666666668</c:v>
                </c:pt>
                <c:pt idx="45">
                  <c:v>20279</c:v>
                </c:pt>
                <c:pt idx="46">
                  <c:v>20355.333333333332</c:v>
                </c:pt>
                <c:pt idx="47">
                  <c:v>20554.333333333332</c:v>
                </c:pt>
                <c:pt idx="48">
                  <c:v>20551</c:v>
                </c:pt>
                <c:pt idx="49">
                  <c:v>21069.666666666668</c:v>
                </c:pt>
                <c:pt idx="50">
                  <c:v>21500.666666666668</c:v>
                </c:pt>
                <c:pt idx="51">
                  <c:v>21801.666666666668</c:v>
                </c:pt>
                <c:pt idx="52">
                  <c:v>22010</c:v>
                </c:pt>
                <c:pt idx="53">
                  <c:v>22073.666666666668</c:v>
                </c:pt>
                <c:pt idx="54">
                  <c:v>22602.666666666668</c:v>
                </c:pt>
                <c:pt idx="55">
                  <c:v>22840.666666666668</c:v>
                </c:pt>
                <c:pt idx="56">
                  <c:v>23329.333333333332</c:v>
                </c:pt>
                <c:pt idx="57">
                  <c:v>23586</c:v>
                </c:pt>
                <c:pt idx="58">
                  <c:v>23936</c:v>
                </c:pt>
                <c:pt idx="59">
                  <c:v>24578</c:v>
                </c:pt>
                <c:pt idx="60">
                  <c:v>25111.333333333332</c:v>
                </c:pt>
              </c:numCache>
            </c:numRef>
          </c:val>
          <c:smooth val="0"/>
          <c:extLst xmlns:c16r2="http://schemas.microsoft.com/office/drawing/2015/06/chart">
            <c:ext xmlns:c16="http://schemas.microsoft.com/office/drawing/2014/chart" uri="{C3380CC4-5D6E-409C-BE32-E72D297353CC}">
              <c16:uniqueId val="{00000002-5C57-4E74-AE1D-055C3005E7E4}"/>
            </c:ext>
          </c:extLst>
        </c:ser>
        <c:ser>
          <c:idx val="3"/>
          <c:order val="3"/>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'!$F$67:$F$138</c:f>
              <c:numCache>
                <c:formatCode>0</c:formatCode>
                <c:ptCount val="72"/>
                <c:pt idx="0">
                  <c:v>18331</c:v>
                </c:pt>
                <c:pt idx="1">
                  <c:v>18535</c:v>
                </c:pt>
                <c:pt idx="2">
                  <c:v>18745.333333333332</c:v>
                </c:pt>
                <c:pt idx="3">
                  <c:v>18932.333333333332</c:v>
                </c:pt>
                <c:pt idx="4">
                  <c:v>19078.333333333332</c:v>
                </c:pt>
                <c:pt idx="5">
                  <c:v>19462.666666666668</c:v>
                </c:pt>
                <c:pt idx="6">
                  <c:v>19687.333333333332</c:v>
                </c:pt>
                <c:pt idx="7">
                  <c:v>19614</c:v>
                </c:pt>
                <c:pt idx="8">
                  <c:v>19632</c:v>
                </c:pt>
                <c:pt idx="9">
                  <c:v>19590.666666666668</c:v>
                </c:pt>
                <c:pt idx="10">
                  <c:v>20116.333333333332</c:v>
                </c:pt>
                <c:pt idx="11">
                  <c:v>20068.666666666668</c:v>
                </c:pt>
                <c:pt idx="12">
                  <c:v>19860</c:v>
                </c:pt>
                <c:pt idx="13">
                  <c:v>19502.666666666668</c:v>
                </c:pt>
                <c:pt idx="14">
                  <c:v>19464.666666666668</c:v>
                </c:pt>
                <c:pt idx="15">
                  <c:v>19695</c:v>
                </c:pt>
                <c:pt idx="16">
                  <c:v>19803</c:v>
                </c:pt>
                <c:pt idx="17">
                  <c:v>20135</c:v>
                </c:pt>
                <c:pt idx="18">
                  <c:v>20267</c:v>
                </c:pt>
                <c:pt idx="19">
                  <c:v>20187</c:v>
                </c:pt>
                <c:pt idx="20">
                  <c:v>20166.666666666668</c:v>
                </c:pt>
                <c:pt idx="21">
                  <c:v>20087.666666666668</c:v>
                </c:pt>
                <c:pt idx="22">
                  <c:v>20436</c:v>
                </c:pt>
                <c:pt idx="23">
                  <c:v>20231</c:v>
                </c:pt>
                <c:pt idx="24">
                  <c:v>20150.666666666668</c:v>
                </c:pt>
                <c:pt idx="25">
                  <c:v>19936.333333333332</c:v>
                </c:pt>
                <c:pt idx="26">
                  <c:v>20113</c:v>
                </c:pt>
                <c:pt idx="27">
                  <c:v>20414.666666666668</c:v>
                </c:pt>
                <c:pt idx="28">
                  <c:v>20419</c:v>
                </c:pt>
                <c:pt idx="29">
                  <c:v>20326.666666666668</c:v>
                </c:pt>
                <c:pt idx="30">
                  <c:v>20094.333333333332</c:v>
                </c:pt>
                <c:pt idx="31">
                  <c:v>20243</c:v>
                </c:pt>
                <c:pt idx="32">
                  <c:v>20170.666666666668</c:v>
                </c:pt>
                <c:pt idx="33">
                  <c:v>20052.333333333332</c:v>
                </c:pt>
                <c:pt idx="34">
                  <c:v>20166.333333333332</c:v>
                </c:pt>
                <c:pt idx="35">
                  <c:v>20339</c:v>
                </c:pt>
                <c:pt idx="36">
                  <c:v>20453</c:v>
                </c:pt>
                <c:pt idx="37">
                  <c:v>18954</c:v>
                </c:pt>
                <c:pt idx="38">
                  <c:v>16368</c:v>
                </c:pt>
                <c:pt idx="39">
                  <c:v>14649.333333333334</c:v>
                </c:pt>
                <c:pt idx="40">
                  <c:v>14821.666666666666</c:v>
                </c:pt>
                <c:pt idx="41">
                  <c:v>16690</c:v>
                </c:pt>
                <c:pt idx="42">
                  <c:v>18072.666666666668</c:v>
                </c:pt>
                <c:pt idx="43">
                  <c:v>18885.333333333332</c:v>
                </c:pt>
                <c:pt idx="44">
                  <c:v>19333</c:v>
                </c:pt>
                <c:pt idx="45">
                  <c:v>19693</c:v>
                </c:pt>
                <c:pt idx="46">
                  <c:v>19861</c:v>
                </c:pt>
                <c:pt idx="47">
                  <c:v>20002</c:v>
                </c:pt>
                <c:pt idx="48">
                  <c:v>19975.333333333332</c:v>
                </c:pt>
                <c:pt idx="49">
                  <c:v>20445.333333333332</c:v>
                </c:pt>
                <c:pt idx="50">
                  <c:v>20849</c:v>
                </c:pt>
                <c:pt idx="51">
                  <c:v>21328.333333333332</c:v>
                </c:pt>
                <c:pt idx="52">
                  <c:v>21593.333333333332</c:v>
                </c:pt>
                <c:pt idx="53">
                  <c:v>21887.333333333332</c:v>
                </c:pt>
                <c:pt idx="54">
                  <c:v>22479.666666666668</c:v>
                </c:pt>
                <c:pt idx="55">
                  <c:v>22629.666666666668</c:v>
                </c:pt>
                <c:pt idx="56">
                  <c:v>22948.666666666668</c:v>
                </c:pt>
                <c:pt idx="57">
                  <c:v>23125.666666666668</c:v>
                </c:pt>
                <c:pt idx="58">
                  <c:v>24398.666666666668</c:v>
                </c:pt>
                <c:pt idx="59">
                  <c:v>25106.666666666668</c:v>
                </c:pt>
                <c:pt idx="60">
                  <c:v>25723.666666666668</c:v>
                </c:pt>
              </c:numCache>
            </c:numRef>
          </c:val>
          <c:smooth val="0"/>
          <c:extLst xmlns:c16r2="http://schemas.microsoft.com/office/drawing/2015/06/chart">
            <c:ext xmlns:c16="http://schemas.microsoft.com/office/drawing/2014/chart" uri="{C3380CC4-5D6E-409C-BE32-E72D297353CC}">
              <c16:uniqueId val="{00000003-5C57-4E74-AE1D-055C3005E7E4}"/>
            </c:ext>
          </c:extLst>
        </c:ser>
        <c:dLbls>
          <c:showLegendKey val="0"/>
          <c:showVal val="0"/>
          <c:showCatName val="0"/>
          <c:showSerName val="0"/>
          <c:showPercent val="0"/>
          <c:showBubbleSize val="0"/>
        </c:dLbls>
        <c:marker val="1"/>
        <c:smooth val="0"/>
        <c:axId val="252566416"/>
        <c:axId val="252566976"/>
      </c:lineChart>
      <c:lineChart>
        <c:grouping val="standard"/>
        <c:varyColors val="0"/>
        <c:ser>
          <c:idx val="4"/>
          <c:order val="4"/>
          <c:spPr>
            <a:ln w="28575" cap="rnd">
              <a:solidFill>
                <a:srgbClr val="FFFFFF"/>
              </a:solidFill>
              <a:round/>
            </a:ln>
            <a:effectLst/>
          </c:spPr>
          <c:marker>
            <c:symbol val="none"/>
          </c:marker>
          <c:val>
            <c:numRef>
              <c:f>'figure 2 e 3 '!$FO$1:$FO$74</c:f>
              <c:numCache>
                <c:formatCode>General</c:formatCode>
                <c:ptCount val="74"/>
              </c:numCache>
            </c:numRef>
          </c:val>
          <c:smooth val="0"/>
          <c:extLst xmlns:c16r2="http://schemas.microsoft.com/office/drawing/2015/06/chart">
            <c:ext xmlns:c16="http://schemas.microsoft.com/office/drawing/2014/chart" uri="{C3380CC4-5D6E-409C-BE32-E72D297353CC}">
              <c16:uniqueId val="{00000004-5C57-4E74-AE1D-055C3005E7E4}"/>
            </c:ext>
          </c:extLst>
        </c:ser>
        <c:dLbls>
          <c:showLegendKey val="0"/>
          <c:showVal val="0"/>
          <c:showCatName val="0"/>
          <c:showSerName val="0"/>
          <c:showPercent val="0"/>
          <c:showBubbleSize val="0"/>
        </c:dLbls>
        <c:marker val="1"/>
        <c:smooth val="0"/>
        <c:axId val="252568096"/>
        <c:axId val="252567536"/>
      </c:lineChart>
      <c:catAx>
        <c:axId val="25256641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52566976"/>
        <c:crosses val="autoZero"/>
        <c:auto val="1"/>
        <c:lblAlgn val="l"/>
        <c:lblOffset val="0"/>
        <c:tickMarkSkip val="3"/>
        <c:noMultiLvlLbl val="0"/>
      </c:catAx>
      <c:valAx>
        <c:axId val="252566976"/>
        <c:scaling>
          <c:orientation val="minMax"/>
          <c:max val="28000"/>
          <c:min val="10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52566416"/>
        <c:crosses val="autoZero"/>
        <c:crossBetween val="between"/>
        <c:dispUnits>
          <c:builtInUnit val="thousands"/>
        </c:dispUnits>
      </c:valAx>
      <c:valAx>
        <c:axId val="252567536"/>
        <c:scaling>
          <c:orientation val="minMax"/>
        </c:scaling>
        <c:delete val="1"/>
        <c:axPos val="r"/>
        <c:numFmt formatCode="General" sourceLinked="1"/>
        <c:majorTickMark val="out"/>
        <c:minorTickMark val="none"/>
        <c:tickLblPos val="nextTo"/>
        <c:crossAx val="252568096"/>
        <c:crosses val="max"/>
        <c:crossBetween val="between"/>
      </c:valAx>
      <c:catAx>
        <c:axId val="252568096"/>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52567536"/>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4"/>
        <c:delete val="1"/>
      </c:legendEntry>
      <c:layout>
        <c:manualLayout>
          <c:xMode val="edge"/>
          <c:yMode val="edge"/>
          <c:x val="0.17755877059552952"/>
          <c:y val="0"/>
          <c:w val="0.63421706965332536"/>
          <c:h val="8.978371300007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5"/>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'!$G$67:$G$138</c:f>
              <c:numCache>
                <c:formatCode>0</c:formatCode>
                <c:ptCount val="72"/>
                <c:pt idx="0">
                  <c:v>18505</c:v>
                </c:pt>
                <c:pt idx="1">
                  <c:v>17871</c:v>
                </c:pt>
                <c:pt idx="2">
                  <c:v>19029</c:v>
                </c:pt>
                <c:pt idx="3">
                  <c:v>17979</c:v>
                </c:pt>
                <c:pt idx="4">
                  <c:v>18525</c:v>
                </c:pt>
                <c:pt idx="5">
                  <c:v>18247</c:v>
                </c:pt>
                <c:pt idx="6">
                  <c:v>18173</c:v>
                </c:pt>
                <c:pt idx="7">
                  <c:v>18671</c:v>
                </c:pt>
                <c:pt idx="8">
                  <c:v>18858</c:v>
                </c:pt>
                <c:pt idx="9">
                  <c:v>18345</c:v>
                </c:pt>
                <c:pt idx="10">
                  <c:v>19488</c:v>
                </c:pt>
                <c:pt idx="11">
                  <c:v>19716</c:v>
                </c:pt>
                <c:pt idx="12">
                  <c:v>18274</c:v>
                </c:pt>
                <c:pt idx="13">
                  <c:v>17945</c:v>
                </c:pt>
                <c:pt idx="14">
                  <c:v>18762</c:v>
                </c:pt>
                <c:pt idx="15">
                  <c:v>18633</c:v>
                </c:pt>
                <c:pt idx="16">
                  <c:v>18211</c:v>
                </c:pt>
                <c:pt idx="17">
                  <c:v>19540</c:v>
                </c:pt>
                <c:pt idx="18">
                  <c:v>18960</c:v>
                </c:pt>
                <c:pt idx="19">
                  <c:v>19318</c:v>
                </c:pt>
                <c:pt idx="20">
                  <c:v>18474</c:v>
                </c:pt>
                <c:pt idx="21">
                  <c:v>19435</c:v>
                </c:pt>
                <c:pt idx="22">
                  <c:v>19739</c:v>
                </c:pt>
                <c:pt idx="23">
                  <c:v>18728</c:v>
                </c:pt>
                <c:pt idx="24">
                  <c:v>19565</c:v>
                </c:pt>
                <c:pt idx="25">
                  <c:v>19199</c:v>
                </c:pt>
                <c:pt idx="26">
                  <c:v>19606</c:v>
                </c:pt>
                <c:pt idx="27">
                  <c:v>19101</c:v>
                </c:pt>
                <c:pt idx="28">
                  <c:v>19539</c:v>
                </c:pt>
                <c:pt idx="29">
                  <c:v>20101</c:v>
                </c:pt>
                <c:pt idx="30">
                  <c:v>19594</c:v>
                </c:pt>
                <c:pt idx="31">
                  <c:v>19463</c:v>
                </c:pt>
                <c:pt idx="32">
                  <c:v>19969</c:v>
                </c:pt>
                <c:pt idx="33">
                  <c:v>20952</c:v>
                </c:pt>
                <c:pt idx="34">
                  <c:v>19010</c:v>
                </c:pt>
                <c:pt idx="35">
                  <c:v>19572</c:v>
                </c:pt>
                <c:pt idx="36">
                  <c:v>20175</c:v>
                </c:pt>
                <c:pt idx="37">
                  <c:v>20075</c:v>
                </c:pt>
                <c:pt idx="38">
                  <c:v>16513</c:v>
                </c:pt>
                <c:pt idx="39">
                  <c:v>10222</c:v>
                </c:pt>
                <c:pt idx="40">
                  <c:v>14296</c:v>
                </c:pt>
                <c:pt idx="41">
                  <c:v>16595</c:v>
                </c:pt>
                <c:pt idx="42">
                  <c:v>17998</c:v>
                </c:pt>
                <c:pt idx="43">
                  <c:v>18033</c:v>
                </c:pt>
                <c:pt idx="44">
                  <c:v>19494</c:v>
                </c:pt>
                <c:pt idx="45">
                  <c:v>19120</c:v>
                </c:pt>
                <c:pt idx="46">
                  <c:v>19777</c:v>
                </c:pt>
                <c:pt idx="47">
                  <c:v>19008</c:v>
                </c:pt>
                <c:pt idx="48">
                  <c:v>19069</c:v>
                </c:pt>
                <c:pt idx="49">
                  <c:v>18787</c:v>
                </c:pt>
                <c:pt idx="50">
                  <c:v>19459</c:v>
                </c:pt>
                <c:pt idx="51">
                  <c:v>20941</c:v>
                </c:pt>
                <c:pt idx="52">
                  <c:v>20114</c:v>
                </c:pt>
                <c:pt idx="53">
                  <c:v>20206</c:v>
                </c:pt>
                <c:pt idx="54">
                  <c:v>21735</c:v>
                </c:pt>
                <c:pt idx="55">
                  <c:v>20687</c:v>
                </c:pt>
                <c:pt idx="56">
                  <c:v>20507</c:v>
                </c:pt>
                <c:pt idx="57">
                  <c:v>20872</c:v>
                </c:pt>
                <c:pt idx="58">
                  <c:v>21523</c:v>
                </c:pt>
                <c:pt idx="59">
                  <c:v>21101</c:v>
                </c:pt>
                <c:pt idx="60">
                  <c:v>22274</c:v>
                </c:pt>
                <c:pt idx="61">
                  <c:v>22714</c:v>
                </c:pt>
              </c:numCache>
            </c:numRef>
          </c:val>
          <c:smooth val="0"/>
          <c:extLst xmlns:c16r2="http://schemas.microsoft.com/office/drawing/2015/06/chart">
            <c:ext xmlns:c16="http://schemas.microsoft.com/office/drawing/2014/chart" uri="{C3380CC4-5D6E-409C-BE32-E72D297353CC}">
              <c16:uniqueId val="{00000000-0E7D-4B9F-AD7E-9F93ED346C4F}"/>
            </c:ext>
          </c:extLst>
        </c:ser>
        <c:ser>
          <c:idx val="7"/>
          <c:order val="1"/>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'!$I$67:$I$138</c:f>
              <c:numCache>
                <c:formatCode>0</c:formatCode>
                <c:ptCount val="72"/>
                <c:pt idx="0">
                  <c:v>18200.666666666668</c:v>
                </c:pt>
                <c:pt idx="1">
                  <c:v>18468.333333333332</c:v>
                </c:pt>
                <c:pt idx="2">
                  <c:v>18293</c:v>
                </c:pt>
                <c:pt idx="3">
                  <c:v>18511</c:v>
                </c:pt>
                <c:pt idx="4">
                  <c:v>18250.333333333332</c:v>
                </c:pt>
                <c:pt idx="5">
                  <c:v>18315</c:v>
                </c:pt>
                <c:pt idx="6">
                  <c:v>18363.666666666668</c:v>
                </c:pt>
                <c:pt idx="7">
                  <c:v>18567.333333333332</c:v>
                </c:pt>
                <c:pt idx="8">
                  <c:v>18624.666666666668</c:v>
                </c:pt>
                <c:pt idx="9">
                  <c:v>18897</c:v>
                </c:pt>
                <c:pt idx="10">
                  <c:v>19183</c:v>
                </c:pt>
                <c:pt idx="11">
                  <c:v>19159.333333333332</c:v>
                </c:pt>
                <c:pt idx="12">
                  <c:v>18645</c:v>
                </c:pt>
                <c:pt idx="13">
                  <c:v>18327</c:v>
                </c:pt>
                <c:pt idx="14">
                  <c:v>18446.666666666668</c:v>
                </c:pt>
                <c:pt idx="15">
                  <c:v>18535.333333333332</c:v>
                </c:pt>
                <c:pt idx="16">
                  <c:v>18794.666666666668</c:v>
                </c:pt>
                <c:pt idx="17">
                  <c:v>18903.666666666668</c:v>
                </c:pt>
                <c:pt idx="18">
                  <c:v>19272.666666666668</c:v>
                </c:pt>
                <c:pt idx="19">
                  <c:v>18917.333333333332</c:v>
                </c:pt>
                <c:pt idx="20">
                  <c:v>19075.666666666668</c:v>
                </c:pt>
                <c:pt idx="21">
                  <c:v>19216</c:v>
                </c:pt>
                <c:pt idx="22">
                  <c:v>19300.666666666668</c:v>
                </c:pt>
                <c:pt idx="23">
                  <c:v>19344</c:v>
                </c:pt>
                <c:pt idx="24">
                  <c:v>19164</c:v>
                </c:pt>
                <c:pt idx="25">
                  <c:v>19456.666666666668</c:v>
                </c:pt>
                <c:pt idx="26">
                  <c:v>19302</c:v>
                </c:pt>
                <c:pt idx="27">
                  <c:v>19415.333333333332</c:v>
                </c:pt>
                <c:pt idx="28">
                  <c:v>19580.333333333332</c:v>
                </c:pt>
                <c:pt idx="29">
                  <c:v>19744.666666666668</c:v>
                </c:pt>
                <c:pt idx="30">
                  <c:v>19719.333333333332</c:v>
                </c:pt>
                <c:pt idx="31">
                  <c:v>19675.333333333332</c:v>
                </c:pt>
                <c:pt idx="32">
                  <c:v>20128</c:v>
                </c:pt>
                <c:pt idx="33">
                  <c:v>19977</c:v>
                </c:pt>
                <c:pt idx="34">
                  <c:v>19844.666666666668</c:v>
                </c:pt>
                <c:pt idx="35">
                  <c:v>19585.666666666668</c:v>
                </c:pt>
                <c:pt idx="36">
                  <c:v>19940.666666666668</c:v>
                </c:pt>
                <c:pt idx="37">
                  <c:v>18921</c:v>
                </c:pt>
                <c:pt idx="38">
                  <c:v>15603.333333333334</c:v>
                </c:pt>
                <c:pt idx="39">
                  <c:v>13677</c:v>
                </c:pt>
                <c:pt idx="40">
                  <c:v>13704.333333333334</c:v>
                </c:pt>
                <c:pt idx="41">
                  <c:v>16296.333333333334</c:v>
                </c:pt>
                <c:pt idx="42">
                  <c:v>17542</c:v>
                </c:pt>
                <c:pt idx="43">
                  <c:v>18508.333333333332</c:v>
                </c:pt>
                <c:pt idx="44">
                  <c:v>18882.333333333332</c:v>
                </c:pt>
                <c:pt idx="45">
                  <c:v>19463.666666666668</c:v>
                </c:pt>
                <c:pt idx="46">
                  <c:v>19301.666666666668</c:v>
                </c:pt>
                <c:pt idx="47">
                  <c:v>19284.666666666668</c:v>
                </c:pt>
                <c:pt idx="48">
                  <c:v>18954.666666666668</c:v>
                </c:pt>
                <c:pt idx="49">
                  <c:v>19105</c:v>
                </c:pt>
                <c:pt idx="50">
                  <c:v>19729</c:v>
                </c:pt>
                <c:pt idx="51">
                  <c:v>20171.333333333332</c:v>
                </c:pt>
                <c:pt idx="52">
                  <c:v>20420.333333333332</c:v>
                </c:pt>
                <c:pt idx="53">
                  <c:v>20685</c:v>
                </c:pt>
                <c:pt idx="54">
                  <c:v>20876</c:v>
                </c:pt>
                <c:pt idx="55">
                  <c:v>20976.333333333332</c:v>
                </c:pt>
                <c:pt idx="56">
                  <c:v>20688.666666666668</c:v>
                </c:pt>
                <c:pt idx="57">
                  <c:v>20967.333333333332</c:v>
                </c:pt>
                <c:pt idx="58">
                  <c:v>21165.333333333332</c:v>
                </c:pt>
                <c:pt idx="59">
                  <c:v>21632.666666666668</c:v>
                </c:pt>
                <c:pt idx="60">
                  <c:v>22029.666666666668</c:v>
                </c:pt>
              </c:numCache>
            </c:numRef>
          </c:val>
          <c:smooth val="0"/>
          <c:extLst xmlns:c16r2="http://schemas.microsoft.com/office/drawing/2015/06/chart">
            <c:ext xmlns:c16="http://schemas.microsoft.com/office/drawing/2014/chart" uri="{C3380CC4-5D6E-409C-BE32-E72D297353CC}">
              <c16:uniqueId val="{00000001-0E7D-4B9F-AD7E-9F93ED346C4F}"/>
            </c:ext>
          </c:extLst>
        </c:ser>
        <c:ser>
          <c:idx val="9"/>
          <c:order val="2"/>
          <c:spPr>
            <a:ln w="28575" cap="rnd">
              <a:solidFill>
                <a:srgbClr val="FFFFFF"/>
              </a:solidFill>
              <a:roun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'!$FO$1:$FO$74</c:f>
              <c:numCache>
                <c:formatCode>General</c:formatCode>
                <c:ptCount val="74"/>
              </c:numCache>
            </c:numRef>
          </c:val>
          <c:smooth val="0"/>
          <c:extLst xmlns:c16r2="http://schemas.microsoft.com/office/drawing/2015/06/chart">
            <c:ext xmlns:c16="http://schemas.microsoft.com/office/drawing/2014/chart" uri="{C3380CC4-5D6E-409C-BE32-E72D297353CC}">
              <c16:uniqueId val="{00000002-0E7D-4B9F-AD7E-9F93ED346C4F}"/>
            </c:ext>
          </c:extLst>
        </c:ser>
        <c:ser>
          <c:idx val="1"/>
          <c:order val="3"/>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'!$H$67:$H$138</c:f>
              <c:numCache>
                <c:formatCode>0</c:formatCode>
                <c:ptCount val="72"/>
                <c:pt idx="0">
                  <c:v>14594</c:v>
                </c:pt>
                <c:pt idx="1">
                  <c:v>14610</c:v>
                </c:pt>
                <c:pt idx="2">
                  <c:v>14547</c:v>
                </c:pt>
                <c:pt idx="3">
                  <c:v>14365</c:v>
                </c:pt>
                <c:pt idx="4">
                  <c:v>15031</c:v>
                </c:pt>
                <c:pt idx="5">
                  <c:v>14362</c:v>
                </c:pt>
                <c:pt idx="6">
                  <c:v>13999</c:v>
                </c:pt>
                <c:pt idx="7">
                  <c:v>14251</c:v>
                </c:pt>
                <c:pt idx="8">
                  <c:v>13518</c:v>
                </c:pt>
                <c:pt idx="9">
                  <c:v>13923</c:v>
                </c:pt>
                <c:pt idx="10">
                  <c:v>14695</c:v>
                </c:pt>
                <c:pt idx="11">
                  <c:v>14937</c:v>
                </c:pt>
                <c:pt idx="12">
                  <c:v>14257</c:v>
                </c:pt>
                <c:pt idx="13">
                  <c:v>14601</c:v>
                </c:pt>
                <c:pt idx="14">
                  <c:v>14888</c:v>
                </c:pt>
                <c:pt idx="15">
                  <c:v>15438</c:v>
                </c:pt>
                <c:pt idx="16">
                  <c:v>15429</c:v>
                </c:pt>
                <c:pt idx="17">
                  <c:v>15652</c:v>
                </c:pt>
                <c:pt idx="18">
                  <c:v>15959</c:v>
                </c:pt>
                <c:pt idx="19">
                  <c:v>15784</c:v>
                </c:pt>
                <c:pt idx="20">
                  <c:v>16340</c:v>
                </c:pt>
                <c:pt idx="21">
                  <c:v>16493</c:v>
                </c:pt>
                <c:pt idx="22">
                  <c:v>16204</c:v>
                </c:pt>
                <c:pt idx="23">
                  <c:v>15929</c:v>
                </c:pt>
                <c:pt idx="24">
                  <c:v>15234</c:v>
                </c:pt>
                <c:pt idx="25">
                  <c:v>15150</c:v>
                </c:pt>
                <c:pt idx="26">
                  <c:v>15446</c:v>
                </c:pt>
                <c:pt idx="27">
                  <c:v>15434</c:v>
                </c:pt>
                <c:pt idx="28">
                  <c:v>15845</c:v>
                </c:pt>
                <c:pt idx="29">
                  <c:v>15625</c:v>
                </c:pt>
                <c:pt idx="30">
                  <c:v>15469</c:v>
                </c:pt>
                <c:pt idx="31">
                  <c:v>15203</c:v>
                </c:pt>
                <c:pt idx="32">
                  <c:v>15694</c:v>
                </c:pt>
                <c:pt idx="33">
                  <c:v>14769</c:v>
                </c:pt>
                <c:pt idx="34">
                  <c:v>14465</c:v>
                </c:pt>
                <c:pt idx="35">
                  <c:v>14488</c:v>
                </c:pt>
                <c:pt idx="36">
                  <c:v>15597</c:v>
                </c:pt>
                <c:pt idx="37">
                  <c:v>14202</c:v>
                </c:pt>
                <c:pt idx="38">
                  <c:v>11887</c:v>
                </c:pt>
                <c:pt idx="39">
                  <c:v>10295</c:v>
                </c:pt>
                <c:pt idx="40">
                  <c:v>10547</c:v>
                </c:pt>
                <c:pt idx="41">
                  <c:v>12483</c:v>
                </c:pt>
                <c:pt idx="42">
                  <c:v>13031</c:v>
                </c:pt>
                <c:pt idx="43">
                  <c:v>13064</c:v>
                </c:pt>
                <c:pt idx="44">
                  <c:v>12976</c:v>
                </c:pt>
                <c:pt idx="45">
                  <c:v>13416</c:v>
                </c:pt>
                <c:pt idx="46">
                  <c:v>13884</c:v>
                </c:pt>
                <c:pt idx="47">
                  <c:v>13520</c:v>
                </c:pt>
                <c:pt idx="48">
                  <c:v>13455</c:v>
                </c:pt>
                <c:pt idx="49">
                  <c:v>14073</c:v>
                </c:pt>
                <c:pt idx="50">
                  <c:v>15215</c:v>
                </c:pt>
                <c:pt idx="51">
                  <c:v>16016</c:v>
                </c:pt>
                <c:pt idx="52">
                  <c:v>15761</c:v>
                </c:pt>
                <c:pt idx="53">
                  <c:v>16096</c:v>
                </c:pt>
                <c:pt idx="54">
                  <c:v>16757</c:v>
                </c:pt>
                <c:pt idx="55">
                  <c:v>17855</c:v>
                </c:pt>
                <c:pt idx="56">
                  <c:v>18327</c:v>
                </c:pt>
                <c:pt idx="57">
                  <c:v>19288</c:v>
                </c:pt>
                <c:pt idx="58">
                  <c:v>20007</c:v>
                </c:pt>
                <c:pt idx="59">
                  <c:v>21455</c:v>
                </c:pt>
                <c:pt idx="60">
                  <c:v>21774</c:v>
                </c:pt>
                <c:pt idx="61">
                  <c:v>23923</c:v>
                </c:pt>
              </c:numCache>
            </c:numRef>
          </c:val>
          <c:smooth val="0"/>
          <c:extLst xmlns:c16r2="http://schemas.microsoft.com/office/drawing/2015/06/chart">
            <c:ext xmlns:c16="http://schemas.microsoft.com/office/drawing/2014/chart" uri="{C3380CC4-5D6E-409C-BE32-E72D297353CC}">
              <c16:uniqueId val="{00000003-0E7D-4B9F-AD7E-9F93ED346C4F}"/>
            </c:ext>
          </c:extLst>
        </c:ser>
        <c:ser>
          <c:idx val="3"/>
          <c:order val="4"/>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'!$J$67:$J$138</c:f>
              <c:numCache>
                <c:formatCode>0</c:formatCode>
                <c:ptCount val="72"/>
                <c:pt idx="0">
                  <c:v>14443.333333333334</c:v>
                </c:pt>
                <c:pt idx="1">
                  <c:v>14583.666666666666</c:v>
                </c:pt>
                <c:pt idx="2">
                  <c:v>14507.333333333334</c:v>
                </c:pt>
                <c:pt idx="3">
                  <c:v>14647.666666666666</c:v>
                </c:pt>
                <c:pt idx="4">
                  <c:v>14586</c:v>
                </c:pt>
                <c:pt idx="5">
                  <c:v>14464</c:v>
                </c:pt>
                <c:pt idx="6">
                  <c:v>14204</c:v>
                </c:pt>
                <c:pt idx="7">
                  <c:v>13922.666666666666</c:v>
                </c:pt>
                <c:pt idx="8">
                  <c:v>13897.333333333334</c:v>
                </c:pt>
                <c:pt idx="9">
                  <c:v>14045.333333333334</c:v>
                </c:pt>
                <c:pt idx="10">
                  <c:v>14518.333333333334</c:v>
                </c:pt>
                <c:pt idx="11">
                  <c:v>14629.666666666666</c:v>
                </c:pt>
                <c:pt idx="12">
                  <c:v>14598.333333333334</c:v>
                </c:pt>
                <c:pt idx="13">
                  <c:v>14582</c:v>
                </c:pt>
                <c:pt idx="14">
                  <c:v>14975.666666666666</c:v>
                </c:pt>
                <c:pt idx="15">
                  <c:v>15251.666666666666</c:v>
                </c:pt>
                <c:pt idx="16">
                  <c:v>15506.333333333334</c:v>
                </c:pt>
                <c:pt idx="17">
                  <c:v>15680</c:v>
                </c:pt>
                <c:pt idx="18">
                  <c:v>15798.333333333334</c:v>
                </c:pt>
                <c:pt idx="19">
                  <c:v>16027.666666666666</c:v>
                </c:pt>
                <c:pt idx="20">
                  <c:v>16205.666666666666</c:v>
                </c:pt>
                <c:pt idx="21">
                  <c:v>16345.666666666666</c:v>
                </c:pt>
                <c:pt idx="22">
                  <c:v>16208.666666666666</c:v>
                </c:pt>
                <c:pt idx="23">
                  <c:v>15789</c:v>
                </c:pt>
                <c:pt idx="24">
                  <c:v>15437.666666666666</c:v>
                </c:pt>
                <c:pt idx="25">
                  <c:v>15276.666666666666</c:v>
                </c:pt>
                <c:pt idx="26">
                  <c:v>15343.333333333334</c:v>
                </c:pt>
                <c:pt idx="27">
                  <c:v>15575</c:v>
                </c:pt>
                <c:pt idx="28">
                  <c:v>15634.666666666666</c:v>
                </c:pt>
                <c:pt idx="29">
                  <c:v>15646.333333333334</c:v>
                </c:pt>
                <c:pt idx="30">
                  <c:v>15432.333333333334</c:v>
                </c:pt>
                <c:pt idx="31">
                  <c:v>15455.333333333334</c:v>
                </c:pt>
                <c:pt idx="32">
                  <c:v>15222</c:v>
                </c:pt>
                <c:pt idx="33">
                  <c:v>14976</c:v>
                </c:pt>
                <c:pt idx="34">
                  <c:v>14574</c:v>
                </c:pt>
                <c:pt idx="35">
                  <c:v>14850</c:v>
                </c:pt>
                <c:pt idx="36">
                  <c:v>14762.333333333334</c:v>
                </c:pt>
                <c:pt idx="37">
                  <c:v>13895.333333333334</c:v>
                </c:pt>
                <c:pt idx="38">
                  <c:v>12128</c:v>
                </c:pt>
                <c:pt idx="39">
                  <c:v>10909.666666666666</c:v>
                </c:pt>
                <c:pt idx="40">
                  <c:v>11108.333333333334</c:v>
                </c:pt>
                <c:pt idx="41">
                  <c:v>12020.333333333334</c:v>
                </c:pt>
                <c:pt idx="42">
                  <c:v>12859.333333333334</c:v>
                </c:pt>
                <c:pt idx="43">
                  <c:v>13023.666666666666</c:v>
                </c:pt>
                <c:pt idx="44">
                  <c:v>13152</c:v>
                </c:pt>
                <c:pt idx="45">
                  <c:v>13425.333333333334</c:v>
                </c:pt>
                <c:pt idx="46">
                  <c:v>13606.666666666666</c:v>
                </c:pt>
                <c:pt idx="47">
                  <c:v>13619.666666666666</c:v>
                </c:pt>
                <c:pt idx="48">
                  <c:v>13682.666666666666</c:v>
                </c:pt>
                <c:pt idx="49">
                  <c:v>14247.666666666666</c:v>
                </c:pt>
                <c:pt idx="50">
                  <c:v>15101.333333333334</c:v>
                </c:pt>
                <c:pt idx="51">
                  <c:v>15664</c:v>
                </c:pt>
                <c:pt idx="52">
                  <c:v>15957.666666666666</c:v>
                </c:pt>
                <c:pt idx="53">
                  <c:v>16204.666666666666</c:v>
                </c:pt>
                <c:pt idx="54">
                  <c:v>16902.666666666668</c:v>
                </c:pt>
                <c:pt idx="55">
                  <c:v>17646.333333333332</c:v>
                </c:pt>
                <c:pt idx="56">
                  <c:v>18490</c:v>
                </c:pt>
                <c:pt idx="57">
                  <c:v>19207.333333333332</c:v>
                </c:pt>
                <c:pt idx="58">
                  <c:v>20250</c:v>
                </c:pt>
                <c:pt idx="59">
                  <c:v>21078.666666666668</c:v>
                </c:pt>
                <c:pt idx="60">
                  <c:v>22384</c:v>
                </c:pt>
              </c:numCache>
            </c:numRef>
          </c:val>
          <c:smooth val="0"/>
          <c:extLst xmlns:c16r2="http://schemas.microsoft.com/office/drawing/2015/06/chart">
            <c:ext xmlns:c16="http://schemas.microsoft.com/office/drawing/2014/chart" uri="{C3380CC4-5D6E-409C-BE32-E72D297353CC}">
              <c16:uniqueId val="{00000004-0E7D-4B9F-AD7E-9F93ED346C4F}"/>
            </c:ext>
          </c:extLst>
        </c:ser>
        <c:dLbls>
          <c:showLegendKey val="0"/>
          <c:showVal val="0"/>
          <c:showCatName val="0"/>
          <c:showSerName val="0"/>
          <c:showPercent val="0"/>
          <c:showBubbleSize val="0"/>
        </c:dLbls>
        <c:marker val="1"/>
        <c:smooth val="0"/>
        <c:axId val="256247888"/>
        <c:axId val="256248448"/>
      </c:lineChart>
      <c:lineChart>
        <c:grouping val="standard"/>
        <c:varyColors val="0"/>
        <c:ser>
          <c:idx val="4"/>
          <c:order val="5"/>
          <c:spPr>
            <a:ln w="28575" cap="rnd">
              <a:solidFill>
                <a:srgbClr val="FFFFFF"/>
              </a:solidFill>
              <a:round/>
            </a:ln>
            <a:effectLst/>
          </c:spPr>
          <c:marker>
            <c:symbol val="none"/>
          </c:marker>
          <c:val>
            <c:numRef>
              <c:f>'figure 2 e 3 '!$FO$1:$FO$74</c:f>
              <c:numCache>
                <c:formatCode>General</c:formatCode>
                <c:ptCount val="74"/>
              </c:numCache>
            </c:numRef>
          </c:val>
          <c:smooth val="0"/>
          <c:extLst xmlns:c16r2="http://schemas.microsoft.com/office/drawing/2015/06/chart">
            <c:ext xmlns:c16="http://schemas.microsoft.com/office/drawing/2014/chart" uri="{C3380CC4-5D6E-409C-BE32-E72D297353CC}">
              <c16:uniqueId val="{00000005-0E7D-4B9F-AD7E-9F93ED346C4F}"/>
            </c:ext>
          </c:extLst>
        </c:ser>
        <c:dLbls>
          <c:showLegendKey val="0"/>
          <c:showVal val="0"/>
          <c:showCatName val="0"/>
          <c:showSerName val="0"/>
          <c:showPercent val="0"/>
          <c:showBubbleSize val="0"/>
        </c:dLbls>
        <c:marker val="1"/>
        <c:smooth val="0"/>
        <c:axId val="256405616"/>
        <c:axId val="256405056"/>
      </c:lineChart>
      <c:catAx>
        <c:axId val="25624788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56248448"/>
        <c:crosses val="autoZero"/>
        <c:auto val="1"/>
        <c:lblAlgn val="l"/>
        <c:lblOffset val="0"/>
        <c:tickMarkSkip val="3"/>
        <c:noMultiLvlLbl val="0"/>
      </c:catAx>
      <c:valAx>
        <c:axId val="256248448"/>
        <c:scaling>
          <c:orientation val="minMax"/>
          <c:max val="28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56247888"/>
        <c:crosses val="autoZero"/>
        <c:crossBetween val="between"/>
        <c:majorUnit val="2000"/>
        <c:dispUnits>
          <c:builtInUnit val="thousands"/>
        </c:dispUnits>
      </c:valAx>
      <c:valAx>
        <c:axId val="256405056"/>
        <c:scaling>
          <c:orientation val="minMax"/>
        </c:scaling>
        <c:delete val="1"/>
        <c:axPos val="r"/>
        <c:numFmt formatCode="General" sourceLinked="1"/>
        <c:majorTickMark val="out"/>
        <c:minorTickMark val="none"/>
        <c:tickLblPos val="nextTo"/>
        <c:crossAx val="256405616"/>
        <c:crosses val="max"/>
        <c:crossBetween val="between"/>
      </c:valAx>
      <c:catAx>
        <c:axId val="256405616"/>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56405056"/>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egendEntry>
        <c:idx val="5"/>
        <c:delete val="1"/>
      </c:legendEntry>
      <c:layout>
        <c:manualLayout>
          <c:xMode val="edge"/>
          <c:yMode val="edge"/>
          <c:x val="0.14132322163401495"/>
          <c:y val="0"/>
          <c:w val="0.78025629739952906"/>
          <c:h val="9.11101201756928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00031242677498E-2"/>
          <c:y val="0.12410404855160488"/>
          <c:w val="0.92273205198300878"/>
          <c:h val="0.77953332753771654"/>
        </c:manualLayout>
      </c:layout>
      <c:lineChart>
        <c:grouping val="standard"/>
        <c:varyColors val="0"/>
        <c:ser>
          <c:idx val="0"/>
          <c:order val="0"/>
          <c:tx>
            <c:strRef>
              <c:f>'figura 4'!$F$4</c:f>
              <c:strCache>
                <c:ptCount val="1"/>
                <c:pt idx="0">
                  <c:v>Export</c:v>
                </c:pt>
              </c:strCache>
            </c:strRef>
          </c:tx>
          <c:spPr>
            <a:ln w="19050" cap="rnd">
              <a:solidFill>
                <a:srgbClr val="003B5C"/>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4'!$F$77:$F$136</c:f>
              <c:numCache>
                <c:formatCode>0.0</c:formatCode>
                <c:ptCount val="60"/>
                <c:pt idx="0">
                  <c:v>9.4952009093222109</c:v>
                </c:pt>
                <c:pt idx="1">
                  <c:v>4.2015988254071157</c:v>
                </c:pt>
                <c:pt idx="2">
                  <c:v>-1.3234102622182831</c:v>
                </c:pt>
                <c:pt idx="3">
                  <c:v>7.2027344421919492</c:v>
                </c:pt>
                <c:pt idx="4">
                  <c:v>-0.93951501399373027</c:v>
                </c:pt>
                <c:pt idx="5">
                  <c:v>6.7915399190423775</c:v>
                </c:pt>
                <c:pt idx="6">
                  <c:v>7.3687364762480945</c:v>
                </c:pt>
                <c:pt idx="7">
                  <c:v>4.6220522481957849</c:v>
                </c:pt>
                <c:pt idx="8">
                  <c:v>-2.3949109746485342</c:v>
                </c:pt>
                <c:pt idx="9">
                  <c:v>10.339816054625551</c:v>
                </c:pt>
                <c:pt idx="10">
                  <c:v>1.8283947769259568</c:v>
                </c:pt>
                <c:pt idx="11">
                  <c:v>-2.1550341855868571</c:v>
                </c:pt>
                <c:pt idx="12">
                  <c:v>3.6893959110131158</c:v>
                </c:pt>
                <c:pt idx="13">
                  <c:v>4.1153285081400481</c:v>
                </c:pt>
                <c:pt idx="14">
                  <c:v>0.45361148350655522</c:v>
                </c:pt>
                <c:pt idx="15">
                  <c:v>6.2122269245504125</c:v>
                </c:pt>
                <c:pt idx="16">
                  <c:v>8.2579182056991662</c:v>
                </c:pt>
                <c:pt idx="17">
                  <c:v>-2.8755264014559745</c:v>
                </c:pt>
                <c:pt idx="18">
                  <c:v>6.7599343267634726</c:v>
                </c:pt>
                <c:pt idx="19">
                  <c:v>-2.9346107104233132</c:v>
                </c:pt>
                <c:pt idx="20">
                  <c:v>7.025573507578331</c:v>
                </c:pt>
                <c:pt idx="21">
                  <c:v>5.2489112563056661</c:v>
                </c:pt>
                <c:pt idx="22">
                  <c:v>-2.4395719004043248</c:v>
                </c:pt>
                <c:pt idx="23">
                  <c:v>4.751155855401068</c:v>
                </c:pt>
                <c:pt idx="24">
                  <c:v>1.8800433360849578</c:v>
                </c:pt>
                <c:pt idx="25">
                  <c:v>4.9702980985989687</c:v>
                </c:pt>
                <c:pt idx="26">
                  <c:v>-14.640764481952806</c:v>
                </c:pt>
                <c:pt idx="27">
                  <c:v>-42.780657555504995</c:v>
                </c:pt>
                <c:pt idx="28">
                  <c:v>-29.737216021294554</c:v>
                </c:pt>
                <c:pt idx="29">
                  <c:v>-11.887566105596004</c:v>
                </c:pt>
                <c:pt idx="30">
                  <c:v>-7.4953761702297506</c:v>
                </c:pt>
                <c:pt idx="31">
                  <c:v>-6.1552712860193477</c:v>
                </c:pt>
                <c:pt idx="32">
                  <c:v>2.3123459229232424</c:v>
                </c:pt>
                <c:pt idx="33">
                  <c:v>-7.41523126636634</c:v>
                </c:pt>
                <c:pt idx="34">
                  <c:v>2.1966259269010635</c:v>
                </c:pt>
                <c:pt idx="35">
                  <c:v>3.9519551567386291</c:v>
                </c:pt>
                <c:pt idx="36">
                  <c:v>-9.1965453204260861</c:v>
                </c:pt>
                <c:pt idx="37">
                  <c:v>-3.3671364424356254</c:v>
                </c:pt>
                <c:pt idx="38">
                  <c:v>27.819751238798716</c:v>
                </c:pt>
                <c:pt idx="39">
                  <c:v>96.7008264887818</c:v>
                </c:pt>
                <c:pt idx="40">
                  <c:v>40.485824292305786</c:v>
                </c:pt>
                <c:pt idx="41">
                  <c:v>24.035057143238348</c:v>
                </c:pt>
                <c:pt idx="42">
                  <c:v>14.727756461491449</c:v>
                </c:pt>
                <c:pt idx="43">
                  <c:v>16.708708977561358</c:v>
                </c:pt>
                <c:pt idx="44">
                  <c:v>10.325454453760251</c:v>
                </c:pt>
                <c:pt idx="45">
                  <c:v>7.353057369343019</c:v>
                </c:pt>
                <c:pt idx="46">
                  <c:v>16.802570759670221</c:v>
                </c:pt>
                <c:pt idx="47">
                  <c:v>16.162966842928771</c:v>
                </c:pt>
                <c:pt idx="48">
                  <c:v>22.600747096471085</c:v>
                </c:pt>
                <c:pt idx="49">
                  <c:v>22.692726272035092</c:v>
                </c:pt>
              </c:numCache>
            </c:numRef>
          </c:val>
          <c:smooth val="0"/>
          <c:extLst xmlns:c16r2="http://schemas.microsoft.com/office/drawing/2015/06/chart">
            <c:ext xmlns:c16="http://schemas.microsoft.com/office/drawing/2014/chart" uri="{C3380CC4-5D6E-409C-BE32-E72D297353CC}">
              <c16:uniqueId val="{00000000-4F67-444F-8916-144255E965F2}"/>
            </c:ext>
          </c:extLst>
        </c:ser>
        <c:ser>
          <c:idx val="1"/>
          <c:order val="1"/>
          <c:tx>
            <c:strRef>
              <c:f>'figura 4'!$G$4</c:f>
              <c:strCache>
                <c:ptCount val="1"/>
                <c:pt idx="0">
                  <c:v>Import</c:v>
                </c:pt>
              </c:strCache>
            </c:strRef>
          </c:tx>
          <c:spPr>
            <a:ln w="19050" cap="rnd">
              <a:solidFill>
                <a:srgbClr val="D22630"/>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4'!$G$77:$G$136</c:f>
              <c:numCache>
                <c:formatCode>0.0</c:formatCode>
                <c:ptCount val="60"/>
                <c:pt idx="0">
                  <c:v>9.3585323900492021</c:v>
                </c:pt>
                <c:pt idx="1">
                  <c:v>1.1410739067599485</c:v>
                </c:pt>
                <c:pt idx="2">
                  <c:v>4.4519567312928388E-2</c:v>
                </c:pt>
                <c:pt idx="3">
                  <c:v>10.472357148378887</c:v>
                </c:pt>
                <c:pt idx="4">
                  <c:v>1.4112621243217882</c:v>
                </c:pt>
                <c:pt idx="5">
                  <c:v>5.1877864735496715</c:v>
                </c:pt>
                <c:pt idx="6">
                  <c:v>10.365327608827846</c:v>
                </c:pt>
                <c:pt idx="7">
                  <c:v>6.8977930817439859</c:v>
                </c:pt>
                <c:pt idx="8">
                  <c:v>6.3093492173381005</c:v>
                </c:pt>
                <c:pt idx="9">
                  <c:v>14.899817051238973</c:v>
                </c:pt>
                <c:pt idx="10">
                  <c:v>3.9846728827007238</c:v>
                </c:pt>
                <c:pt idx="11">
                  <c:v>4.7622310301687065</c:v>
                </c:pt>
                <c:pt idx="12">
                  <c:v>1.7974203489770746</c:v>
                </c:pt>
                <c:pt idx="13">
                  <c:v>3.3671484676422558</c:v>
                </c:pt>
                <c:pt idx="14">
                  <c:v>-0.30391450663055375</c:v>
                </c:pt>
                <c:pt idx="15">
                  <c:v>5.9600184893007224</c:v>
                </c:pt>
                <c:pt idx="16">
                  <c:v>2.9051136422940882</c:v>
                </c:pt>
                <c:pt idx="17">
                  <c:v>-5.0013365453943637</c:v>
                </c:pt>
                <c:pt idx="18">
                  <c:v>2.0196905690953226</c:v>
                </c:pt>
                <c:pt idx="19">
                  <c:v>-4.3266090148819547</c:v>
                </c:pt>
                <c:pt idx="20">
                  <c:v>2.3097377266630081</c:v>
                </c:pt>
                <c:pt idx="21">
                  <c:v>-5.5647338883738744</c:v>
                </c:pt>
                <c:pt idx="22">
                  <c:v>-5.957468451488845</c:v>
                </c:pt>
                <c:pt idx="23">
                  <c:v>-1.7308275803805118</c:v>
                </c:pt>
                <c:pt idx="24">
                  <c:v>1.5603249438599587</c:v>
                </c:pt>
                <c:pt idx="25">
                  <c:v>-0.56977080719227136</c:v>
                </c:pt>
                <c:pt idx="26">
                  <c:v>-18.418281818700756</c:v>
                </c:pt>
                <c:pt idx="27">
                  <c:v>-34.482629327281956</c:v>
                </c:pt>
                <c:pt idx="28">
                  <c:v>-34.069251315824211</c:v>
                </c:pt>
                <c:pt idx="29">
                  <c:v>-14.868866323421736</c:v>
                </c:pt>
                <c:pt idx="30">
                  <c:v>-13.137895129981668</c:v>
                </c:pt>
                <c:pt idx="31">
                  <c:v>-10.861708572397655</c:v>
                </c:pt>
                <c:pt idx="32">
                  <c:v>-5.7938134289781225</c:v>
                </c:pt>
                <c:pt idx="33">
                  <c:v>-6.9792940012951776</c:v>
                </c:pt>
                <c:pt idx="34">
                  <c:v>-2.2030400885427737</c:v>
                </c:pt>
                <c:pt idx="35">
                  <c:v>-0.73834932259302377</c:v>
                </c:pt>
                <c:pt idx="36">
                  <c:v>-12.200830096026493</c:v>
                </c:pt>
                <c:pt idx="37">
                  <c:v>-1.4465219149669584</c:v>
                </c:pt>
                <c:pt idx="38">
                  <c:v>34.443947008155718</c:v>
                </c:pt>
                <c:pt idx="39">
                  <c:v>62.021732877064231</c:v>
                </c:pt>
                <c:pt idx="40">
                  <c:v>49.773252572811558</c:v>
                </c:pt>
                <c:pt idx="41">
                  <c:v>30.983661732177548</c:v>
                </c:pt>
                <c:pt idx="42">
                  <c:v>21.914445766966239</c:v>
                </c:pt>
                <c:pt idx="43">
                  <c:v>31.316653769835213</c:v>
                </c:pt>
                <c:pt idx="44">
                  <c:v>24.371038600071348</c:v>
                </c:pt>
                <c:pt idx="45">
                  <c:v>22.280752183383633</c:v>
                </c:pt>
                <c:pt idx="46">
                  <c:v>32.434487731930695</c:v>
                </c:pt>
                <c:pt idx="47">
                  <c:v>44.952936767121265</c:v>
                </c:pt>
                <c:pt idx="48">
                  <c:v>44.683273125942627</c:v>
                </c:pt>
                <c:pt idx="49">
                  <c:v>44.923745976979212</c:v>
                </c:pt>
              </c:numCache>
            </c:numRef>
          </c:val>
          <c:smooth val="0"/>
          <c:extLst xmlns:c16r2="http://schemas.microsoft.com/office/drawing/2015/06/chart">
            <c:ext xmlns:c16="http://schemas.microsoft.com/office/drawing/2014/chart" uri="{C3380CC4-5D6E-409C-BE32-E72D297353CC}">
              <c16:uniqueId val="{00000001-4F67-444F-8916-144255E965F2}"/>
            </c:ext>
          </c:extLst>
        </c:ser>
        <c:dLbls>
          <c:showLegendKey val="0"/>
          <c:showVal val="0"/>
          <c:showCatName val="0"/>
          <c:showSerName val="0"/>
          <c:showPercent val="0"/>
          <c:showBubbleSize val="0"/>
        </c:dLbls>
        <c:smooth val="0"/>
        <c:axId val="256408416"/>
        <c:axId val="256164176"/>
      </c:lineChart>
      <c:catAx>
        <c:axId val="25640841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56164176"/>
        <c:crosses val="autoZero"/>
        <c:auto val="1"/>
        <c:lblAlgn val="l"/>
        <c:lblOffset val="0"/>
        <c:tickMarkSkip val="3"/>
        <c:noMultiLvlLbl val="0"/>
      </c:catAx>
      <c:valAx>
        <c:axId val="256164176"/>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8995495495495493E-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56408416"/>
        <c:crosses val="autoZero"/>
        <c:crossBetween val="between"/>
        <c:majorUnit val="25"/>
      </c:valAx>
    </c:plotArea>
    <c:legend>
      <c:legendPos val="t"/>
      <c:layout>
        <c:manualLayout>
          <c:xMode val="edge"/>
          <c:yMode val="edge"/>
          <c:x val="0.29322274226593525"/>
          <c:y val="0"/>
          <c:w val="0.3910298968390821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635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00600600600591E-2"/>
          <c:y val="0.11227175925925927"/>
          <c:w val="0.91781336336336339"/>
          <c:h val="0.44112500000000004"/>
        </c:manualLayout>
      </c:layout>
      <c:barChart>
        <c:barDir val="col"/>
        <c:grouping val="clustered"/>
        <c:varyColors val="0"/>
        <c:ser>
          <c:idx val="1"/>
          <c:order val="0"/>
          <c:tx>
            <c:strRef>
              <c:f>'figg. 6 e 7'!$D$42</c:f>
              <c:strCache>
                <c:ptCount val="1"/>
                <c:pt idx="0">
                  <c:v>Contributi alla var. (punti perc. - sinistra)</c:v>
                </c:pt>
              </c:strCache>
            </c:strRef>
          </c:tx>
          <c:spPr>
            <a:solidFill>
              <a:srgbClr val="003B5C"/>
            </a:solidFill>
            <a:ln>
              <a:solidFill>
                <a:schemeClr val="bg1"/>
              </a:solidFill>
            </a:ln>
            <a:effectLst/>
          </c:spPr>
          <c:invertIfNegative val="0"/>
          <c:cat>
            <c:strRef>
              <c:f>'figg. 6 e 7'!$P$44:$P$61</c:f>
              <c:strCache>
                <c:ptCount val="18"/>
                <c:pt idx="0">
                  <c:v>Metalli</c:v>
                </c:pt>
                <c:pt idx="1">
                  <c:v>Chimica</c:v>
                </c:pt>
                <c:pt idx="2">
                  <c:v>Alimentari</c:v>
                </c:pt>
                <c:pt idx="3">
                  <c:v>Raffinazione</c:v>
                </c:pt>
                <c:pt idx="4">
                  <c:v>Macchinari</c:v>
                </c:pt>
                <c:pt idx="5">
                  <c:v>Farmaceutica</c:v>
                </c:pt>
                <c:pt idx="6">
                  <c:v>Altri mezzi trasporto</c:v>
                </c:pt>
                <c:pt idx="7">
                  <c:v>Apparecchi elettrici</c:v>
                </c:pt>
                <c:pt idx="8">
                  <c:v>Abbigliamento</c:v>
                </c:pt>
                <c:pt idx="9">
                  <c:v>Pelletteria</c:v>
                </c:pt>
                <c:pt idx="10">
                  <c:v>Altra manifattura</c:v>
                </c:pt>
                <c:pt idx="11">
                  <c:v>Elettronica</c:v>
                </c:pt>
                <c:pt idx="12">
                  <c:v>Gomma-plastica</c:v>
                </c:pt>
                <c:pt idx="13">
                  <c:v>Tessili</c:v>
                </c:pt>
                <c:pt idx="14">
                  <c:v>Minerali non metalliferi</c:v>
                </c:pt>
                <c:pt idx="15">
                  <c:v>Mobili</c:v>
                </c:pt>
                <c:pt idx="16">
                  <c:v>Agricoltura</c:v>
                </c:pt>
                <c:pt idx="17">
                  <c:v>Autoveicoli</c:v>
                </c:pt>
              </c:strCache>
            </c:strRef>
          </c:cat>
          <c:val>
            <c:numRef>
              <c:f>'figg. 6 e 7'!$D$44:$D$61</c:f>
              <c:numCache>
                <c:formatCode>0.00</c:formatCode>
                <c:ptCount val="18"/>
                <c:pt idx="0">
                  <c:v>3.0001338373960018</c:v>
                </c:pt>
                <c:pt idx="1">
                  <c:v>2.333604632828858</c:v>
                </c:pt>
                <c:pt idx="2">
                  <c:v>1.861173104542595</c:v>
                </c:pt>
                <c:pt idx="3">
                  <c:v>1.7066817969838537</c:v>
                </c:pt>
                <c:pt idx="4">
                  <c:v>1.7045193698284735</c:v>
                </c:pt>
                <c:pt idx="5">
                  <c:v>1.4365701849401911</c:v>
                </c:pt>
                <c:pt idx="6">
                  <c:v>1.2492959705081839</c:v>
                </c:pt>
                <c:pt idx="7">
                  <c:v>1.1214224844178355</c:v>
                </c:pt>
                <c:pt idx="8">
                  <c:v>1.0977585413102695</c:v>
                </c:pt>
                <c:pt idx="9">
                  <c:v>1.0709497152368588</c:v>
                </c:pt>
                <c:pt idx="10">
                  <c:v>0.91248612162680764</c:v>
                </c:pt>
                <c:pt idx="11">
                  <c:v>0.79742983583349758</c:v>
                </c:pt>
                <c:pt idx="12">
                  <c:v>0.60587960296334842</c:v>
                </c:pt>
                <c:pt idx="13">
                  <c:v>0.54713234250642551</c:v>
                </c:pt>
                <c:pt idx="14">
                  <c:v>0.45109556890767827</c:v>
                </c:pt>
                <c:pt idx="15">
                  <c:v>0.39861763375780307</c:v>
                </c:pt>
                <c:pt idx="16">
                  <c:v>0.39411383683953904</c:v>
                </c:pt>
                <c:pt idx="17">
                  <c:v>0.17686686701377996</c:v>
                </c:pt>
              </c:numCache>
            </c:numRef>
          </c:val>
          <c:extLst xmlns:c16r2="http://schemas.microsoft.com/office/drawing/2015/06/chart">
            <c:ext xmlns:c16="http://schemas.microsoft.com/office/drawing/2014/chart" uri="{C3380CC4-5D6E-409C-BE32-E72D297353CC}">
              <c16:uniqueId val="{00000000-BFF3-4F66-A8A0-E81E387EBC27}"/>
            </c:ext>
          </c:extLst>
        </c:ser>
        <c:dLbls>
          <c:showLegendKey val="0"/>
          <c:showVal val="0"/>
          <c:showCatName val="0"/>
          <c:showSerName val="0"/>
          <c:showPercent val="0"/>
          <c:showBubbleSize val="0"/>
        </c:dLbls>
        <c:gapWidth val="0"/>
        <c:axId val="256166976"/>
        <c:axId val="256167536"/>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02151419221509E-2"/>
                  <c:y val="-5.4741141117279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F3-4F66-A8A0-E81E387EBC27}"/>
                </c:ext>
                <c:ext xmlns:c15="http://schemas.microsoft.com/office/drawing/2012/chart" uri="{CE6537A1-D6FC-4f65-9D91-7224C49458BB}"/>
              </c:extLst>
            </c:dLbl>
            <c:dLbl>
              <c:idx val="1"/>
              <c:layout>
                <c:manualLayout>
                  <c:x val="-3.0498878540650639E-2"/>
                  <c:y val="-4.8049799724779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F3-4F66-A8A0-E81E387EBC27}"/>
                </c:ext>
                <c:ext xmlns:c15="http://schemas.microsoft.com/office/drawing/2012/chart" uri="{CE6537A1-D6FC-4f65-9D91-7224C49458BB}"/>
              </c:extLst>
            </c:dLbl>
            <c:dLbl>
              <c:idx val="2"/>
              <c:layout>
                <c:manualLayout>
                  <c:x val="-2.8620432260998745E-2"/>
                  <c:y val="-5.35316340941022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F3-4F66-A8A0-E81E387EBC27}"/>
                </c:ext>
                <c:ext xmlns:c15="http://schemas.microsoft.com/office/drawing/2012/chart" uri="{CE6537A1-D6FC-4f65-9D91-7224C49458BB}"/>
              </c:extLst>
            </c:dLbl>
            <c:dLbl>
              <c:idx val="3"/>
              <c:layout>
                <c:manualLayout>
                  <c:x val="-3.0511590955759782E-2"/>
                  <c:y val="-4.9673762681990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FF3-4F66-A8A0-E81E387EBC27}"/>
                </c:ext>
                <c:ext xmlns:c15="http://schemas.microsoft.com/office/drawing/2012/chart" uri="{CE6537A1-D6FC-4f65-9D91-7224C49458BB}"/>
              </c:extLst>
            </c:dLbl>
            <c:dLbl>
              <c:idx val="4"/>
              <c:layout>
                <c:manualLayout>
                  <c:x val="-3.4313663663663667E-2"/>
                  <c:y val="-4.984467592592592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FF3-4F66-A8A0-E81E387EBC27}"/>
                </c:ext>
                <c:ext xmlns:c15="http://schemas.microsoft.com/office/drawing/2012/chart" uri="{CE6537A1-D6FC-4f65-9D91-7224C49458BB}">
                  <c15:layout>
                    <c:manualLayout>
                      <c:w val="5.484069069069069E-2"/>
                      <c:h val="6.4299999999999982E-2"/>
                    </c:manualLayout>
                  </c15:layout>
                </c:ext>
              </c:extLst>
            </c:dLbl>
            <c:dLbl>
              <c:idx val="5"/>
              <c:layout>
                <c:manualLayout>
                  <c:x val="-2.867162162162162E-2"/>
                  <c:y val="-6.1760648148148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FF3-4F66-A8A0-E81E387EBC27}"/>
                </c:ext>
                <c:ext xmlns:c15="http://schemas.microsoft.com/office/drawing/2012/chart" uri="{CE6537A1-D6FC-4f65-9D91-7224C49458BB}"/>
              </c:extLst>
            </c:dLbl>
            <c:dLbl>
              <c:idx val="6"/>
              <c:layout>
                <c:manualLayout>
                  <c:x val="-3.0570217623086534E-2"/>
                  <c:y val="-5.85159407517634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FF3-4F66-A8A0-E81E387EBC27}"/>
                </c:ext>
                <c:ext xmlns:c15="http://schemas.microsoft.com/office/drawing/2012/chart" uri="{CE6537A1-D6FC-4f65-9D91-7224C49458BB}"/>
              </c:extLst>
            </c:dLbl>
            <c:dLbl>
              <c:idx val="7"/>
              <c:layout>
                <c:manualLayout>
                  <c:x val="-3.0561094595772938E-2"/>
                  <c:y val="-5.3853537232409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FF3-4F66-A8A0-E81E387EBC27}"/>
                </c:ext>
                <c:ext xmlns:c15="http://schemas.microsoft.com/office/drawing/2012/chart" uri="{CE6537A1-D6FC-4f65-9D91-7224C49458BB}"/>
              </c:extLst>
            </c:dLbl>
            <c:dLbl>
              <c:idx val="8"/>
              <c:layout>
                <c:manualLayout>
                  <c:x val="-3.0611645140559678E-2"/>
                  <c:y val="-4.8030386211529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F3-4F66-A8A0-E81E387EBC27}"/>
                </c:ext>
                <c:ext xmlns:c15="http://schemas.microsoft.com/office/drawing/2012/chart" uri="{CE6537A1-D6FC-4f65-9D91-7224C49458BB}"/>
              </c:extLst>
            </c:dLbl>
            <c:dLbl>
              <c:idx val="9"/>
              <c:layout>
                <c:manualLayout>
                  <c:x val="-3.0597138031552812E-2"/>
                  <c:y val="-4.83680910466682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FF3-4F66-A8A0-E81E387EBC27}"/>
                </c:ext>
                <c:ext xmlns:c15="http://schemas.microsoft.com/office/drawing/2012/chart" uri="{CE6537A1-D6FC-4f65-9D91-7224C49458BB}"/>
              </c:extLst>
            </c:dLbl>
            <c:dLbl>
              <c:idx val="10"/>
              <c:layout>
                <c:manualLayout>
                  <c:x val="-3.2508337474838764E-2"/>
                  <c:y val="-5.8907822833181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FF3-4F66-A8A0-E81E387EBC27}"/>
                </c:ext>
                <c:ext xmlns:c15="http://schemas.microsoft.com/office/drawing/2012/chart" uri="{CE6537A1-D6FC-4f65-9D91-7224C49458BB}"/>
              </c:extLst>
            </c:dLbl>
            <c:dLbl>
              <c:idx val="11"/>
              <c:layout>
                <c:manualLayout>
                  <c:x val="-2.6779375437550042E-2"/>
                  <c:y val="-5.3104536802603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FF3-4F66-A8A0-E81E387EBC27}"/>
                </c:ext>
                <c:ext xmlns:c15="http://schemas.microsoft.com/office/drawing/2012/chart" uri="{CE6537A1-D6FC-4f65-9D91-7224C49458BB}"/>
              </c:extLst>
            </c:dLbl>
            <c:dLbl>
              <c:idx val="12"/>
              <c:layout>
                <c:manualLayout>
                  <c:x val="-3.0570068065261649E-2"/>
                  <c:y val="-5.3215148680422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FF3-4F66-A8A0-E81E387EBC27}"/>
                </c:ext>
                <c:ext xmlns:c15="http://schemas.microsoft.com/office/drawing/2012/chart" uri="{CE6537A1-D6FC-4f65-9D91-7224C49458BB}"/>
              </c:extLst>
            </c:dLbl>
            <c:dLbl>
              <c:idx val="13"/>
              <c:layout>
                <c:manualLayout>
                  <c:x val="-2.8650493383786169E-2"/>
                  <c:y val="-5.7898771621236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FF3-4F66-A8A0-E81E387EBC27}"/>
                </c:ext>
                <c:ext xmlns:c15="http://schemas.microsoft.com/office/drawing/2012/chart" uri="{CE6537A1-D6FC-4f65-9D91-7224C49458BB}"/>
              </c:extLst>
            </c:dLbl>
            <c:dLbl>
              <c:idx val="14"/>
              <c:layout>
                <c:manualLayout>
                  <c:x val="-3.9101743739546842E-2"/>
                  <c:y val="-4.552988055723103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FF3-4F66-A8A0-E81E387EBC27}"/>
                </c:ext>
                <c:ext xmlns:c15="http://schemas.microsoft.com/office/drawing/2012/chart" uri="{CE6537A1-D6FC-4f65-9D91-7224C49458BB}">
                  <c15:layout>
                    <c:manualLayout>
                      <c:w val="5.6916230686408151E-2"/>
                      <c:h val="8.4297402541367319E-2"/>
                    </c:manualLayout>
                  </c15:layout>
                </c:ext>
              </c:extLst>
            </c:dLbl>
            <c:dLbl>
              <c:idx val="15"/>
              <c:layout>
                <c:manualLayout>
                  <c:x val="-2.8611411411411412E-2"/>
                  <c:y val="-5.3669444444444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FF3-4F66-A8A0-E81E387EBC27}"/>
                </c:ext>
                <c:ext xmlns:c15="http://schemas.microsoft.com/office/drawing/2012/chart" uri="{CE6537A1-D6FC-4f65-9D91-7224C49458BB}"/>
              </c:extLst>
            </c:dLbl>
            <c:dLbl>
              <c:idx val="16"/>
              <c:layout>
                <c:manualLayout>
                  <c:x val="-2.6806456456456455E-2"/>
                  <c:y val="-6.29856481481481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FF3-4F66-A8A0-E81E387EBC27}"/>
                </c:ext>
                <c:ext xmlns:c15="http://schemas.microsoft.com/office/drawing/2012/chart" uri="{CE6537A1-D6FC-4f65-9D91-7224C49458BB}"/>
              </c:extLst>
            </c:dLbl>
            <c:dLbl>
              <c:idx val="17"/>
              <c:layout>
                <c:manualLayout>
                  <c:x val="-2.8622372372372511E-2"/>
                  <c:y val="-6.4156944444444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FF3-4F66-A8A0-E81E387EBC27}"/>
                </c:ext>
                <c:ext xmlns:c15="http://schemas.microsoft.com/office/drawing/2012/chart" uri="{CE6537A1-D6FC-4f65-9D91-7224C49458BB}"/>
              </c:extLst>
            </c:dLbl>
            <c:dLbl>
              <c:idx val="18"/>
              <c:layout>
                <c:manualLayout>
                  <c:x val="-3.8156504823624024E-2"/>
                  <c:y val="7.658101851851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FF3-4F66-A8A0-E81E387EBC2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'figg. 6 e 7'!$P$44:$P$61</c:f>
              <c:strCache>
                <c:ptCount val="18"/>
                <c:pt idx="0">
                  <c:v>Metalli</c:v>
                </c:pt>
                <c:pt idx="1">
                  <c:v>Chimica</c:v>
                </c:pt>
                <c:pt idx="2">
                  <c:v>Alimentari</c:v>
                </c:pt>
                <c:pt idx="3">
                  <c:v>Raffinazione</c:v>
                </c:pt>
                <c:pt idx="4">
                  <c:v>Macchinari</c:v>
                </c:pt>
                <c:pt idx="5">
                  <c:v>Farmaceutica</c:v>
                </c:pt>
                <c:pt idx="6">
                  <c:v>Altri mezzi trasporto</c:v>
                </c:pt>
                <c:pt idx="7">
                  <c:v>Apparecchi elettrici</c:v>
                </c:pt>
                <c:pt idx="8">
                  <c:v>Abbigliamento</c:v>
                </c:pt>
                <c:pt idx="9">
                  <c:v>Pelletteria</c:v>
                </c:pt>
                <c:pt idx="10">
                  <c:v>Altra manifattura</c:v>
                </c:pt>
                <c:pt idx="11">
                  <c:v>Elettronica</c:v>
                </c:pt>
                <c:pt idx="12">
                  <c:v>Gomma-plastica</c:v>
                </c:pt>
                <c:pt idx="13">
                  <c:v>Tessili</c:v>
                </c:pt>
                <c:pt idx="14">
                  <c:v>Minerali non metalliferi</c:v>
                </c:pt>
                <c:pt idx="15">
                  <c:v>Mobili</c:v>
                </c:pt>
                <c:pt idx="16">
                  <c:v>Agricoltura</c:v>
                </c:pt>
                <c:pt idx="17">
                  <c:v>Autoveicoli</c:v>
                </c:pt>
              </c:strCache>
            </c:strRef>
          </c:cat>
          <c:val>
            <c:numRef>
              <c:f>'figg. 6 e 7'!$B$44:$B$61</c:f>
              <c:numCache>
                <c:formatCode>0.0</c:formatCode>
                <c:ptCount val="18"/>
                <c:pt idx="0">
                  <c:v>24.403203673667718</c:v>
                </c:pt>
                <c:pt idx="1">
                  <c:v>34.138503531091061</c:v>
                </c:pt>
                <c:pt idx="2">
                  <c:v>23.060113724922985</c:v>
                </c:pt>
                <c:pt idx="3">
                  <c:v>98.487920675000936</c:v>
                </c:pt>
                <c:pt idx="4">
                  <c:v>10.539422756609738</c:v>
                </c:pt>
                <c:pt idx="5">
                  <c:v>19.139537024930348</c:v>
                </c:pt>
                <c:pt idx="6">
                  <c:v>23.040052295582655</c:v>
                </c:pt>
                <c:pt idx="7">
                  <c:v>21.367637886948287</c:v>
                </c:pt>
                <c:pt idx="8">
                  <c:v>24.977776811945006</c:v>
                </c:pt>
                <c:pt idx="9">
                  <c:v>23.639953307352599</c:v>
                </c:pt>
                <c:pt idx="10">
                  <c:v>25.429163504689924</c:v>
                </c:pt>
                <c:pt idx="11">
                  <c:v>25.038053252483209</c:v>
                </c:pt>
                <c:pt idx="12">
                  <c:v>16.202675942833224</c:v>
                </c:pt>
                <c:pt idx="13">
                  <c:v>31.667030210909758</c:v>
                </c:pt>
                <c:pt idx="14">
                  <c:v>20.36343641772801</c:v>
                </c:pt>
                <c:pt idx="15">
                  <c:v>18.485884429979038</c:v>
                </c:pt>
                <c:pt idx="16">
                  <c:v>22.336250865979181</c:v>
                </c:pt>
                <c:pt idx="17">
                  <c:v>3.7116603023210359</c:v>
                </c:pt>
              </c:numCache>
            </c:numRef>
          </c:val>
          <c:smooth val="0"/>
          <c:extLst xmlns:c16r2="http://schemas.microsoft.com/office/drawing/2015/06/chart">
            <c:ext xmlns:c16="http://schemas.microsoft.com/office/drawing/2014/chart" uri="{C3380CC4-5D6E-409C-BE32-E72D297353CC}">
              <c16:uniqueId val="{00000014-BFF3-4F66-A8A0-E81E387EBC2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56610416"/>
        <c:axId val="256609856"/>
      </c:lineChart>
      <c:catAx>
        <c:axId val="25616697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56167536"/>
        <c:crosses val="autoZero"/>
        <c:auto val="1"/>
        <c:lblAlgn val="ctr"/>
        <c:lblOffset val="0"/>
        <c:noMultiLvlLbl val="0"/>
      </c:catAx>
      <c:valAx>
        <c:axId val="256167536"/>
        <c:scaling>
          <c:orientation val="minMax"/>
          <c:max val="12"/>
          <c:min val="-12"/>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6948843843843846"/>
              <c:y val="3.7319444444444444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56166976"/>
        <c:crosses val="autoZero"/>
        <c:crossBetween val="between"/>
        <c:majorUnit val="4"/>
      </c:valAx>
      <c:valAx>
        <c:axId val="256609856"/>
        <c:scaling>
          <c:orientation val="minMax"/>
          <c:max val="500"/>
          <c:min val="-500"/>
        </c:scaling>
        <c:delete val="0"/>
        <c:axPos val="r"/>
        <c:numFmt formatCode="0" sourceLinked="0"/>
        <c:majorTickMark val="out"/>
        <c:minorTickMark val="none"/>
        <c:tickLblPos val="nextTo"/>
        <c:crossAx val="256610416"/>
        <c:crosses val="max"/>
        <c:crossBetween val="between"/>
        <c:majorUnit val="250"/>
      </c:valAx>
      <c:catAx>
        <c:axId val="256610416"/>
        <c:scaling>
          <c:orientation val="minMax"/>
        </c:scaling>
        <c:delete val="1"/>
        <c:axPos val="b"/>
        <c:numFmt formatCode="General" sourceLinked="1"/>
        <c:majorTickMark val="out"/>
        <c:minorTickMark val="none"/>
        <c:tickLblPos val="nextTo"/>
        <c:crossAx val="256609856"/>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0371775005577228"/>
          <c:y val="5.8431693350473298E-3"/>
          <c:w val="0.5417566066066066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195195195195E-2"/>
          <c:y val="0.12223055555555555"/>
          <c:w val="0.91971876876876879"/>
          <c:h val="0.4729078703703703"/>
        </c:manualLayout>
      </c:layout>
      <c:barChart>
        <c:barDir val="col"/>
        <c:grouping val="clustered"/>
        <c:varyColors val="0"/>
        <c:ser>
          <c:idx val="1"/>
          <c:order val="0"/>
          <c:tx>
            <c:strRef>
              <c:f>'figg. 6 e 7'!$D$42</c:f>
              <c:strCache>
                <c:ptCount val="1"/>
                <c:pt idx="0">
                  <c:v>Contributi alla var. (punti perc. - sinistra)</c:v>
                </c:pt>
              </c:strCache>
            </c:strRef>
          </c:tx>
          <c:spPr>
            <a:solidFill>
              <a:srgbClr val="D22630"/>
            </a:solidFill>
            <a:ln>
              <a:solidFill>
                <a:schemeClr val="bg1"/>
              </a:solidFill>
            </a:ln>
            <a:effectLst/>
          </c:spPr>
          <c:invertIfNegative val="0"/>
          <c:cat>
            <c:strRef>
              <c:f>'figg. 6 e 7'!$P$72:$P$90</c:f>
              <c:strCache>
                <c:ptCount val="19"/>
                <c:pt idx="0">
                  <c:v>Gas naturale</c:v>
                </c:pt>
                <c:pt idx="1">
                  <c:v>Metalli</c:v>
                </c:pt>
                <c:pt idx="2">
                  <c:v>Chimica</c:v>
                </c:pt>
                <c:pt idx="3">
                  <c:v>Petrolio greggio</c:v>
                </c:pt>
                <c:pt idx="4">
                  <c:v>Macchinari</c:v>
                </c:pt>
                <c:pt idx="5">
                  <c:v>Farmaceutica</c:v>
                </c:pt>
                <c:pt idx="6">
                  <c:v>Apparecchi elettrici</c:v>
                </c:pt>
                <c:pt idx="7">
                  <c:v>Agricoltura</c:v>
                </c:pt>
                <c:pt idx="8">
                  <c:v>Alimentari</c:v>
                </c:pt>
                <c:pt idx="9">
                  <c:v>Raffinazione</c:v>
                </c:pt>
                <c:pt idx="10">
                  <c:v>Elettronica</c:v>
                </c:pt>
                <c:pt idx="11">
                  <c:v>Gomma-plastica</c:v>
                </c:pt>
                <c:pt idx="12">
                  <c:v>Carta-stampa</c:v>
                </c:pt>
                <c:pt idx="13">
                  <c:v>Pelletteria</c:v>
                </c:pt>
                <c:pt idx="14">
                  <c:v>Abbigliamento</c:v>
                </c:pt>
                <c:pt idx="15">
                  <c:v>Altri mezzi trasporto</c:v>
                </c:pt>
                <c:pt idx="16">
                  <c:v>Trattamento rifiuti</c:v>
                </c:pt>
                <c:pt idx="17">
                  <c:v>Altra manifattura</c:v>
                </c:pt>
                <c:pt idx="18">
                  <c:v>Autoveicoli</c:v>
                </c:pt>
              </c:strCache>
            </c:strRef>
          </c:cat>
          <c:val>
            <c:numRef>
              <c:f>'figg. 6 e 7'!$D$72:$D$90</c:f>
              <c:numCache>
                <c:formatCode>0.00</c:formatCode>
                <c:ptCount val="19"/>
                <c:pt idx="0">
                  <c:v>9.9992544148481084</c:v>
                </c:pt>
                <c:pt idx="1">
                  <c:v>6.2861372447352144</c:v>
                </c:pt>
                <c:pt idx="2">
                  <c:v>4.4581595014968318</c:v>
                </c:pt>
                <c:pt idx="3">
                  <c:v>4.0226273376740567</c:v>
                </c:pt>
                <c:pt idx="4">
                  <c:v>2.7792591541799667</c:v>
                </c:pt>
                <c:pt idx="5">
                  <c:v>1.6472253259164189</c:v>
                </c:pt>
                <c:pt idx="6">
                  <c:v>1.6204550551741401</c:v>
                </c:pt>
                <c:pt idx="7">
                  <c:v>1.5834642796763667</c:v>
                </c:pt>
                <c:pt idx="8">
                  <c:v>1.4693006967840503</c:v>
                </c:pt>
                <c:pt idx="9">
                  <c:v>1.2566106538162798</c:v>
                </c:pt>
                <c:pt idx="10">
                  <c:v>1.2330634770360343</c:v>
                </c:pt>
                <c:pt idx="11">
                  <c:v>0.96541679030890526</c:v>
                </c:pt>
                <c:pt idx="12">
                  <c:v>0.86757672992847634</c:v>
                </c:pt>
                <c:pt idx="13">
                  <c:v>0.69084628691650318</c:v>
                </c:pt>
                <c:pt idx="14">
                  <c:v>0.60813440541385466</c:v>
                </c:pt>
                <c:pt idx="15">
                  <c:v>0.56844197213726344</c:v>
                </c:pt>
                <c:pt idx="16">
                  <c:v>0.54670251123231617</c:v>
                </c:pt>
                <c:pt idx="17">
                  <c:v>0.51011347016005704</c:v>
                </c:pt>
                <c:pt idx="18">
                  <c:v>-0.54718076621812051</c:v>
                </c:pt>
              </c:numCache>
            </c:numRef>
          </c:val>
          <c:extLst xmlns:c16r2="http://schemas.microsoft.com/office/drawing/2015/06/chart">
            <c:ext xmlns:c16="http://schemas.microsoft.com/office/drawing/2014/chart" uri="{C3380CC4-5D6E-409C-BE32-E72D297353CC}">
              <c16:uniqueId val="{00000000-E654-4FD2-A877-ADD810F5F053}"/>
            </c:ext>
          </c:extLst>
        </c:ser>
        <c:dLbls>
          <c:showLegendKey val="0"/>
          <c:showVal val="0"/>
          <c:showCatName val="0"/>
          <c:showSerName val="0"/>
          <c:showPercent val="0"/>
          <c:showBubbleSize val="0"/>
        </c:dLbls>
        <c:gapWidth val="0"/>
        <c:axId val="256613216"/>
        <c:axId val="171851840"/>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0530930930930941E-2"/>
                  <c:y val="-4.81782407407407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54-4FD2-A877-ADD810F5F053}"/>
                </c:ext>
                <c:ext xmlns:c15="http://schemas.microsoft.com/office/drawing/2012/chart" uri="{CE6537A1-D6FC-4f65-9D91-7224C49458BB}"/>
              </c:extLst>
            </c:dLbl>
            <c:dLbl>
              <c:idx val="1"/>
              <c:layout>
                <c:manualLayout>
                  <c:x val="-3.048706347249041E-2"/>
                  <c:y val="-5.8991707589934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54-4FD2-A877-ADD810F5F053}"/>
                </c:ext>
                <c:ext xmlns:c15="http://schemas.microsoft.com/office/drawing/2012/chart" uri="{CE6537A1-D6FC-4f65-9D91-7224C49458BB}"/>
              </c:extLst>
            </c:dLbl>
            <c:dLbl>
              <c:idx val="2"/>
              <c:layout>
                <c:manualLayout>
                  <c:x val="-2.4823159088995447E-2"/>
                  <c:y val="-6.2095913000523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54-4FD2-A877-ADD810F5F053}"/>
                </c:ext>
                <c:ext xmlns:c15="http://schemas.microsoft.com/office/drawing/2012/chart" uri="{CE6537A1-D6FC-4f65-9D91-7224C49458BB}"/>
              </c:extLst>
            </c:dLbl>
            <c:dLbl>
              <c:idx val="3"/>
              <c:layout>
                <c:manualLayout>
                  <c:x val="-3.432762762762763E-2"/>
                  <c:y val="-5.0903703703703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54-4FD2-A877-ADD810F5F053}"/>
                </c:ext>
                <c:ext xmlns:c15="http://schemas.microsoft.com/office/drawing/2012/chart" uri="{CE6537A1-D6FC-4f65-9D91-7224C49458BB}"/>
              </c:extLst>
            </c:dLbl>
            <c:dLbl>
              <c:idx val="4"/>
              <c:layout>
                <c:manualLayout>
                  <c:x val="-3.6230330330330331E-2"/>
                  <c:y val="-5.207500000000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54-4FD2-A877-ADD810F5F053}"/>
                </c:ext>
                <c:ext xmlns:c15="http://schemas.microsoft.com/office/drawing/2012/chart" uri="{CE6537A1-D6FC-4f65-9D91-7224C49458BB}"/>
              </c:extLst>
            </c:dLbl>
            <c:dLbl>
              <c:idx val="5"/>
              <c:layout>
                <c:manualLayout>
                  <c:x val="-2.6691741741741777E-2"/>
                  <c:y val="-6.41000000000000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654-4FD2-A877-ADD810F5F053}"/>
                </c:ext>
                <c:ext xmlns:c15="http://schemas.microsoft.com/office/drawing/2012/chart" uri="{CE6537A1-D6FC-4f65-9D91-7224C49458BB}"/>
              </c:extLst>
            </c:dLbl>
            <c:dLbl>
              <c:idx val="6"/>
              <c:layout>
                <c:manualLayout>
                  <c:x val="-3.4326576576576576E-2"/>
                  <c:y val="-4.98898148148148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654-4FD2-A877-ADD810F5F053}"/>
                </c:ext>
                <c:ext xmlns:c15="http://schemas.microsoft.com/office/drawing/2012/chart" uri="{CE6537A1-D6FC-4f65-9D91-7224C49458BB}"/>
              </c:extLst>
            </c:dLbl>
            <c:dLbl>
              <c:idx val="7"/>
              <c:layout>
                <c:manualLayout>
                  <c:x val="-3.0544792792868244E-2"/>
                  <c:y val="-5.020213430580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654-4FD2-A877-ADD810F5F053}"/>
                </c:ext>
                <c:ext xmlns:c15="http://schemas.microsoft.com/office/drawing/2012/chart" uri="{CE6537A1-D6FC-4f65-9D91-7224C49458BB}"/>
              </c:extLst>
            </c:dLbl>
            <c:dLbl>
              <c:idx val="8"/>
              <c:layout>
                <c:manualLayout>
                  <c:x val="-3.0547185718065323E-2"/>
                  <c:y val="-4.45040535828442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654-4FD2-A877-ADD810F5F053}"/>
                </c:ext>
                <c:ext xmlns:c15="http://schemas.microsoft.com/office/drawing/2012/chart" uri="{CE6537A1-D6FC-4f65-9D91-7224C49458BB}"/>
              </c:extLst>
            </c:dLbl>
            <c:dLbl>
              <c:idx val="9"/>
              <c:layout>
                <c:manualLayout>
                  <c:x val="-3.0526397180416311E-2"/>
                  <c:y val="-4.9876594554541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654-4FD2-A877-ADD810F5F053}"/>
                </c:ext>
                <c:ext xmlns:c15="http://schemas.microsoft.com/office/drawing/2012/chart" uri="{CE6537A1-D6FC-4f65-9D91-7224C49458BB}"/>
              </c:extLst>
            </c:dLbl>
            <c:dLbl>
              <c:idx val="10"/>
              <c:layout>
                <c:manualLayout>
                  <c:x val="-3.0522060003496661E-2"/>
                  <c:y val="-4.4914042976695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654-4FD2-A877-ADD810F5F053}"/>
                </c:ext>
                <c:ext xmlns:c15="http://schemas.microsoft.com/office/drawing/2012/chart" uri="{CE6537A1-D6FC-4f65-9D91-7224C49458BB}"/>
              </c:extLst>
            </c:dLbl>
            <c:dLbl>
              <c:idx val="11"/>
              <c:layout>
                <c:manualLayout>
                  <c:x val="-3.0514282996606454E-2"/>
                  <c:y val="-4.7060698407624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654-4FD2-A877-ADD810F5F053}"/>
                </c:ext>
                <c:ext xmlns:c15="http://schemas.microsoft.com/office/drawing/2012/chart" uri="{CE6537A1-D6FC-4f65-9D91-7224C49458BB}"/>
              </c:extLst>
            </c:dLbl>
            <c:dLbl>
              <c:idx val="12"/>
              <c:layout>
                <c:manualLayout>
                  <c:x val="-3.0554663609305907E-2"/>
                  <c:y val="-5.2839142500145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654-4FD2-A877-ADD810F5F053}"/>
                </c:ext>
                <c:ext xmlns:c15="http://schemas.microsoft.com/office/drawing/2012/chart" uri="{CE6537A1-D6FC-4f65-9D91-7224C49458BB}"/>
              </c:extLst>
            </c:dLbl>
            <c:dLbl>
              <c:idx val="13"/>
              <c:layout>
                <c:manualLayout>
                  <c:x val="-3.2427875365089343E-2"/>
                  <c:y val="-6.30811588307084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654-4FD2-A877-ADD810F5F053}"/>
                </c:ext>
                <c:ext xmlns:c15="http://schemas.microsoft.com/office/drawing/2012/chart" uri="{CE6537A1-D6FC-4f65-9D91-7224C49458BB}"/>
              </c:extLst>
            </c:dLbl>
            <c:dLbl>
              <c:idx val="14"/>
              <c:layout>
                <c:manualLayout>
                  <c:x val="-3.0535370649905025E-2"/>
                  <c:y val="-4.9747195908641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654-4FD2-A877-ADD810F5F053}"/>
                </c:ext>
                <c:ext xmlns:c15="http://schemas.microsoft.com/office/drawing/2012/chart" uri="{CE6537A1-D6FC-4f65-9D91-7224C49458BB}"/>
              </c:extLst>
            </c:dLbl>
            <c:dLbl>
              <c:idx val="15"/>
              <c:layout>
                <c:manualLayout>
                  <c:x val="-3.0549877758911888E-2"/>
                  <c:y val="-6.2645289707677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654-4FD2-A877-ADD810F5F053}"/>
                </c:ext>
                <c:ext xmlns:c15="http://schemas.microsoft.com/office/drawing/2012/chart" uri="{CE6537A1-D6FC-4f65-9D91-7224C49458BB}"/>
              </c:extLst>
            </c:dLbl>
            <c:dLbl>
              <c:idx val="16"/>
              <c:layout>
                <c:manualLayout>
                  <c:x val="-2.6745945945945947E-2"/>
                  <c:y val="-5.2529629629629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654-4FD2-A877-ADD810F5F053}"/>
                </c:ext>
                <c:ext xmlns:c15="http://schemas.microsoft.com/office/drawing/2012/chart" uri="{CE6537A1-D6FC-4f65-9D91-7224C49458BB}"/>
              </c:extLst>
            </c:dLbl>
            <c:dLbl>
              <c:idx val="17"/>
              <c:layout>
                <c:manualLayout>
                  <c:x val="-2.6756906906906908E-2"/>
                  <c:y val="-5.1489814814814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654-4FD2-A877-ADD810F5F053}"/>
                </c:ext>
                <c:ext xmlns:c15="http://schemas.microsoft.com/office/drawing/2012/chart" uri="{CE6537A1-D6FC-4f65-9D91-7224C49458BB}"/>
              </c:extLst>
            </c:dLbl>
            <c:dLbl>
              <c:idx val="18"/>
              <c:layout>
                <c:manualLayout>
                  <c:x val="-3.4387387387387384E-2"/>
                  <c:y val="4.99768518518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654-4FD2-A877-ADD810F5F05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'figg. 6 e 7'!$P$72:$P$90</c:f>
              <c:strCache>
                <c:ptCount val="19"/>
                <c:pt idx="0">
                  <c:v>Gas naturale</c:v>
                </c:pt>
                <c:pt idx="1">
                  <c:v>Metalli</c:v>
                </c:pt>
                <c:pt idx="2">
                  <c:v>Chimica</c:v>
                </c:pt>
                <c:pt idx="3">
                  <c:v>Petrolio greggio</c:v>
                </c:pt>
                <c:pt idx="4">
                  <c:v>Macchinari</c:v>
                </c:pt>
                <c:pt idx="5">
                  <c:v>Farmaceutica</c:v>
                </c:pt>
                <c:pt idx="6">
                  <c:v>Apparecchi elettrici</c:v>
                </c:pt>
                <c:pt idx="7">
                  <c:v>Agricoltura</c:v>
                </c:pt>
                <c:pt idx="8">
                  <c:v>Alimentari</c:v>
                </c:pt>
                <c:pt idx="9">
                  <c:v>Raffinazione</c:v>
                </c:pt>
                <c:pt idx="10">
                  <c:v>Elettronica</c:v>
                </c:pt>
                <c:pt idx="11">
                  <c:v>Gomma-plastica</c:v>
                </c:pt>
                <c:pt idx="12">
                  <c:v>Carta-stampa</c:v>
                </c:pt>
                <c:pt idx="13">
                  <c:v>Pelletteria</c:v>
                </c:pt>
                <c:pt idx="14">
                  <c:v>Abbigliamento</c:v>
                </c:pt>
                <c:pt idx="15">
                  <c:v>Altri mezzi trasporto</c:v>
                </c:pt>
                <c:pt idx="16">
                  <c:v>Trattamento rifiuti</c:v>
                </c:pt>
                <c:pt idx="17">
                  <c:v>Altra manifattura</c:v>
                </c:pt>
                <c:pt idx="18">
                  <c:v>Autoveicoli</c:v>
                </c:pt>
              </c:strCache>
            </c:strRef>
          </c:cat>
          <c:val>
            <c:numRef>
              <c:f>'figg. 6 e 7'!$B$72:$B$90</c:f>
              <c:numCache>
                <c:formatCode>0.0</c:formatCode>
                <c:ptCount val="19"/>
                <c:pt idx="0">
                  <c:v>442.24772405687713</c:v>
                </c:pt>
                <c:pt idx="1">
                  <c:v>53.746668322920385</c:v>
                </c:pt>
                <c:pt idx="2">
                  <c:v>44.417723112535924</c:v>
                </c:pt>
                <c:pt idx="3">
                  <c:v>107.02452640457506</c:v>
                </c:pt>
                <c:pt idx="4">
                  <c:v>36.454980131711579</c:v>
                </c:pt>
                <c:pt idx="5">
                  <c:v>24.036669821292051</c:v>
                </c:pt>
                <c:pt idx="6">
                  <c:v>32.227782528350133</c:v>
                </c:pt>
                <c:pt idx="7">
                  <c:v>47.561938495635815</c:v>
                </c:pt>
                <c:pt idx="8">
                  <c:v>21.26266747763637</c:v>
                </c:pt>
                <c:pt idx="9">
                  <c:v>69.976739960316138</c:v>
                </c:pt>
                <c:pt idx="10">
                  <c:v>18.118077007394916</c:v>
                </c:pt>
                <c:pt idx="11">
                  <c:v>33.568775820085335</c:v>
                </c:pt>
                <c:pt idx="12">
                  <c:v>57.483142279448941</c:v>
                </c:pt>
                <c:pt idx="13">
                  <c:v>28.939746847701002</c:v>
                </c:pt>
                <c:pt idx="14">
                  <c:v>18.033388984750985</c:v>
                </c:pt>
                <c:pt idx="15">
                  <c:v>13.199303062720247</c:v>
                </c:pt>
                <c:pt idx="16">
                  <c:v>35.587277071187174</c:v>
                </c:pt>
                <c:pt idx="17">
                  <c:v>17.748854405500637</c:v>
                </c:pt>
                <c:pt idx="18">
                  <c:v>-6.9385061856538499</c:v>
                </c:pt>
              </c:numCache>
            </c:numRef>
          </c:val>
          <c:smooth val="0"/>
          <c:extLst xmlns:c16r2="http://schemas.microsoft.com/office/drawing/2015/06/chart">
            <c:ext xmlns:c16="http://schemas.microsoft.com/office/drawing/2014/chart" uri="{C3380CC4-5D6E-409C-BE32-E72D297353CC}">
              <c16:uniqueId val="{00000014-E654-4FD2-A877-ADD810F5F05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1852960"/>
        <c:axId val="171852400"/>
      </c:lineChart>
      <c:catAx>
        <c:axId val="25661321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1851840"/>
        <c:crosses val="autoZero"/>
        <c:auto val="1"/>
        <c:lblAlgn val="ctr"/>
        <c:lblOffset val="0"/>
        <c:noMultiLvlLbl val="0"/>
      </c:catAx>
      <c:valAx>
        <c:axId val="171851840"/>
        <c:scaling>
          <c:orientation val="minMax"/>
          <c:max val="12"/>
          <c:min val="-12"/>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703804804804805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56613216"/>
        <c:crosses val="autoZero"/>
        <c:crossBetween val="between"/>
        <c:majorUnit val="4"/>
      </c:valAx>
      <c:valAx>
        <c:axId val="171852400"/>
        <c:scaling>
          <c:orientation val="minMax"/>
          <c:max val="500"/>
          <c:min val="-5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1852960"/>
        <c:crosses val="max"/>
        <c:crossBetween val="between"/>
        <c:majorUnit val="250"/>
      </c:valAx>
      <c:catAx>
        <c:axId val="171852960"/>
        <c:scaling>
          <c:orientation val="minMax"/>
        </c:scaling>
        <c:delete val="1"/>
        <c:axPos val="b"/>
        <c:numFmt formatCode="General" sourceLinked="1"/>
        <c:majorTickMark val="out"/>
        <c:minorTickMark val="none"/>
        <c:tickLblPos val="nextTo"/>
        <c:crossAx val="171852400"/>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9540800849385712"/>
          <c:y val="0"/>
          <c:w val="0.5072046109510086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8137696099E-2"/>
          <c:y val="0.1005125"/>
          <c:w val="0.89947552894285987"/>
          <c:h val="0.55515925925925924"/>
        </c:manualLayout>
      </c:layout>
      <c:barChart>
        <c:barDir val="col"/>
        <c:grouping val="clustered"/>
        <c:varyColors val="0"/>
        <c:ser>
          <c:idx val="0"/>
          <c:order val="0"/>
          <c:tx>
            <c:strRef>
              <c:f>'figg. 8 e 9'!$D$36</c:f>
              <c:strCache>
                <c:ptCount val="1"/>
                <c:pt idx="0">
                  <c:v>Contributi alla var. (punti perc. - sinistra)</c:v>
                </c:pt>
              </c:strCache>
            </c:strRef>
          </c:tx>
          <c:spPr>
            <a:solidFill>
              <a:srgbClr val="003B5C"/>
            </a:solidFill>
            <a:ln w="9525" cap="flat" cmpd="sng" algn="ctr">
              <a:solidFill>
                <a:srgbClr val="FFFFFF"/>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1E-4CAD-914B-60BCBB822089}"/>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9'!$A$38:$A$56</c:f>
              <c:strCache>
                <c:ptCount val="19"/>
                <c:pt idx="0">
                  <c:v>Germania</c:v>
                </c:pt>
                <c:pt idx="1">
                  <c:v>Stati Uniti</c:v>
                </c:pt>
                <c:pt idx="2">
                  <c:v>Francia</c:v>
                </c:pt>
                <c:pt idx="3">
                  <c:v>Spagna</c:v>
                </c:pt>
                <c:pt idx="4">
                  <c:v>Belgio</c:v>
                </c:pt>
                <c:pt idx="5">
                  <c:v>Regno Unito</c:v>
                </c:pt>
                <c:pt idx="6">
                  <c:v>OPEC</c:v>
                </c:pt>
                <c:pt idx="7">
                  <c:v>Svizzera</c:v>
                </c:pt>
                <c:pt idx="8">
                  <c:v>Paesi Bassi</c:v>
                </c:pt>
                <c:pt idx="9">
                  <c:v>Austria</c:v>
                </c:pt>
                <c:pt idx="10">
                  <c:v>Turchia</c:v>
                </c:pt>
                <c:pt idx="11">
                  <c:v>Repubblica ceca</c:v>
                </c:pt>
                <c:pt idx="12">
                  <c:v>Romania</c:v>
                </c:pt>
                <c:pt idx="13">
                  <c:v>Cina</c:v>
                </c:pt>
                <c:pt idx="14">
                  <c:v>Polonia</c:v>
                </c:pt>
                <c:pt idx="15">
                  <c:v>Russia</c:v>
                </c:pt>
                <c:pt idx="16">
                  <c:v>MERCOSUR</c:v>
                </c:pt>
                <c:pt idx="17">
                  <c:v>Giappone</c:v>
                </c:pt>
                <c:pt idx="18">
                  <c:v>ASEAN</c:v>
                </c:pt>
              </c:strCache>
            </c:strRef>
          </c:cat>
          <c:val>
            <c:numRef>
              <c:f>'figg. 8 e 9'!$D$38:$D$56</c:f>
              <c:numCache>
                <c:formatCode>0.00</c:formatCode>
                <c:ptCount val="19"/>
                <c:pt idx="0">
                  <c:v>2.91537745843948</c:v>
                </c:pt>
                <c:pt idx="1">
                  <c:v>2.2030249386186394</c:v>
                </c:pt>
                <c:pt idx="2">
                  <c:v>1.7049256408998024</c:v>
                </c:pt>
                <c:pt idx="3">
                  <c:v>1.6135700148616561</c:v>
                </c:pt>
                <c:pt idx="4">
                  <c:v>1.2072191839971362</c:v>
                </c:pt>
                <c:pt idx="5">
                  <c:v>1.0898489456188156</c:v>
                </c:pt>
                <c:pt idx="6">
                  <c:v>1.0796617472136609</c:v>
                </c:pt>
                <c:pt idx="7">
                  <c:v>0.74044872546417351</c:v>
                </c:pt>
                <c:pt idx="8">
                  <c:v>0.64657567184219189</c:v>
                </c:pt>
                <c:pt idx="9">
                  <c:v>0.52568095784949365</c:v>
                </c:pt>
                <c:pt idx="10">
                  <c:v>0.48342588944851145</c:v>
                </c:pt>
                <c:pt idx="11">
                  <c:v>0.41318548849456632</c:v>
                </c:pt>
                <c:pt idx="12">
                  <c:v>0.40421798252598967</c:v>
                </c:pt>
                <c:pt idx="13">
                  <c:v>0.39753138806146066</c:v>
                </c:pt>
                <c:pt idx="14">
                  <c:v>0.31829311414325628</c:v>
                </c:pt>
                <c:pt idx="15">
                  <c:v>0.27655831400554998</c:v>
                </c:pt>
                <c:pt idx="16">
                  <c:v>0.25742729661680097</c:v>
                </c:pt>
                <c:pt idx="17">
                  <c:v>0.19579587130635728</c:v>
                </c:pt>
                <c:pt idx="18">
                  <c:v>0.18896842954456697</c:v>
                </c:pt>
              </c:numCache>
            </c:numRef>
          </c:val>
          <c:extLst xmlns:c16r2="http://schemas.microsoft.com/office/drawing/2015/06/chart">
            <c:ext xmlns:c16="http://schemas.microsoft.com/office/drawing/2014/chart" uri="{C3380CC4-5D6E-409C-BE32-E72D297353CC}">
              <c16:uniqueId val="{00000001-651E-4CAD-914B-60BCBB822089}"/>
            </c:ext>
          </c:extLst>
        </c:ser>
        <c:dLbls>
          <c:showLegendKey val="0"/>
          <c:showVal val="0"/>
          <c:showCatName val="0"/>
          <c:showSerName val="0"/>
          <c:showPercent val="0"/>
          <c:showBubbleSize val="0"/>
        </c:dLbls>
        <c:gapWidth val="0"/>
        <c:axId val="171967392"/>
        <c:axId val="171967952"/>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2.5302852852852852E-2"/>
                  <c:y val="-6.3469444444444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1E-4CAD-914B-60BCBB822089}"/>
                </c:ext>
                <c:ext xmlns:c15="http://schemas.microsoft.com/office/drawing/2012/chart" uri="{CE6537A1-D6FC-4f65-9D91-7224C49458BB}"/>
              </c:extLst>
            </c:dLbl>
            <c:dLbl>
              <c:idx val="1"/>
              <c:layout>
                <c:manualLayout>
                  <c:x val="-2.686171171171171E-2"/>
                  <c:y val="-6.10949074074074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1E-4CAD-914B-60BCBB822089}"/>
                </c:ext>
                <c:ext xmlns:c15="http://schemas.microsoft.com/office/drawing/2012/chart" uri="{CE6537A1-D6FC-4f65-9D91-7224C49458BB}"/>
              </c:extLst>
            </c:dLbl>
            <c:dLbl>
              <c:idx val="2"/>
              <c:layout>
                <c:manualLayout>
                  <c:x val="-2.6493393393393412E-2"/>
                  <c:y val="-6.5830555555555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1E-4CAD-914B-60BCBB822089}"/>
                </c:ext>
                <c:ext xmlns:c15="http://schemas.microsoft.com/office/drawing/2012/chart" uri="{CE6537A1-D6FC-4f65-9D91-7224C49458BB}"/>
              </c:extLst>
            </c:dLbl>
            <c:dLbl>
              <c:idx val="3"/>
              <c:layout>
                <c:manualLayout>
                  <c:x val="-2.9933333333333333E-2"/>
                  <c:y val="-4.6578240740740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1E-4CAD-914B-60BCBB822089}"/>
                </c:ext>
                <c:ext xmlns:c15="http://schemas.microsoft.com/office/drawing/2012/chart" uri="{CE6537A1-D6FC-4f65-9D91-7224C49458BB}"/>
              </c:extLst>
            </c:dLbl>
            <c:dLbl>
              <c:idx val="4"/>
              <c:layout>
                <c:manualLayout>
                  <c:x val="-3.0637387387387353E-2"/>
                  <c:y val="-6.207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1E-4CAD-914B-60BCBB822089}"/>
                </c:ext>
                <c:ext xmlns:c15="http://schemas.microsoft.com/office/drawing/2012/chart" uri="{CE6537A1-D6FC-4f65-9D91-7224C49458BB}"/>
              </c:extLst>
            </c:dLbl>
            <c:dLbl>
              <c:idx val="5"/>
              <c:layout>
                <c:manualLayout>
                  <c:x val="-3.2396246246246249E-2"/>
                  <c:y val="-6.49870370370370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1E-4CAD-914B-60BCBB822089}"/>
                </c:ext>
                <c:ext xmlns:c15="http://schemas.microsoft.com/office/drawing/2012/chart" uri="{CE6537A1-D6FC-4f65-9D91-7224C49458BB}"/>
              </c:extLst>
            </c:dLbl>
            <c:dLbl>
              <c:idx val="6"/>
              <c:layout>
                <c:manualLayout>
                  <c:x val="-2.9084534534534533E-2"/>
                  <c:y val="-5.9079629629629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51E-4CAD-914B-60BCBB822089}"/>
                </c:ext>
                <c:ext xmlns:c15="http://schemas.microsoft.com/office/drawing/2012/chart" uri="{CE6537A1-D6FC-4f65-9D91-7224C49458BB}"/>
              </c:extLst>
            </c:dLbl>
            <c:dLbl>
              <c:idx val="7"/>
              <c:layout>
                <c:manualLayout>
                  <c:x val="-3.064634747484625E-2"/>
                  <c:y val="-5.5542674018568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51E-4CAD-914B-60BCBB822089}"/>
                </c:ext>
                <c:ext xmlns:c15="http://schemas.microsoft.com/office/drawing/2012/chart" uri="{CE6537A1-D6FC-4f65-9D91-7224C49458BB}"/>
              </c:extLst>
            </c:dLbl>
            <c:dLbl>
              <c:idx val="8"/>
              <c:layout>
                <c:manualLayout>
                  <c:x val="-3.1382831001310424E-2"/>
                  <c:y val="-5.88020170601819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51E-4CAD-914B-60BCBB822089}"/>
                </c:ext>
                <c:ext xmlns:c15="http://schemas.microsoft.com/office/drawing/2012/chart" uri="{CE6537A1-D6FC-4f65-9D91-7224C49458BB}"/>
              </c:extLst>
            </c:dLbl>
            <c:dLbl>
              <c:idx val="9"/>
              <c:layout>
                <c:manualLayout>
                  <c:x val="-3.0662683800524771E-2"/>
                  <c:y val="-5.887176587021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51E-4CAD-914B-60BCBB822089}"/>
                </c:ext>
                <c:ext xmlns:c15="http://schemas.microsoft.com/office/drawing/2012/chart" uri="{CE6537A1-D6FC-4f65-9D91-7224C49458BB}"/>
              </c:extLst>
            </c:dLbl>
            <c:dLbl>
              <c:idx val="10"/>
              <c:layout>
                <c:manualLayout>
                  <c:x val="-3.329987633851085E-2"/>
                  <c:y val="-4.891512323860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51E-4CAD-914B-60BCBB822089}"/>
                </c:ext>
                <c:ext xmlns:c15="http://schemas.microsoft.com/office/drawing/2012/chart" uri="{CE6537A1-D6FC-4f65-9D91-7224C49458BB}"/>
              </c:extLst>
            </c:dLbl>
            <c:dLbl>
              <c:idx val="11"/>
              <c:layout>
                <c:manualLayout>
                  <c:x val="-3.0512509503919812E-2"/>
                  <c:y val="-5.5264150054196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51E-4CAD-914B-60BCBB822089}"/>
                </c:ext>
                <c:ext xmlns:c15="http://schemas.microsoft.com/office/drawing/2012/chart" uri="{CE6537A1-D6FC-4f65-9D91-7224C49458BB}"/>
              </c:extLst>
            </c:dLbl>
            <c:dLbl>
              <c:idx val="12"/>
              <c:layout>
                <c:manualLayout>
                  <c:x val="-3.0451210813988151E-2"/>
                  <c:y val="-5.62038738866110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51E-4CAD-914B-60BCBB822089}"/>
                </c:ext>
                <c:ext xmlns:c15="http://schemas.microsoft.com/office/drawing/2012/chart" uri="{CE6537A1-D6FC-4f65-9D91-7224C49458BB}"/>
              </c:extLst>
            </c:dLbl>
            <c:dLbl>
              <c:idx val="13"/>
              <c:layout>
                <c:manualLayout>
                  <c:x val="-3.0521921921921921E-2"/>
                  <c:y val="-5.2893981481481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51E-4CAD-914B-60BCBB822089}"/>
                </c:ext>
                <c:ext xmlns:c15="http://schemas.microsoft.com/office/drawing/2012/chart" uri="{CE6537A1-D6FC-4f65-9D91-7224C49458BB}"/>
              </c:extLst>
            </c:dLbl>
            <c:dLbl>
              <c:idx val="14"/>
              <c:layout>
                <c:manualLayout>
                  <c:x val="-2.6693993993993994E-2"/>
                  <c:y val="-5.8961574074074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51E-4CAD-914B-60BCBB822089}"/>
                </c:ext>
                <c:ext xmlns:c15="http://schemas.microsoft.com/office/drawing/2012/chart" uri="{CE6537A1-D6FC-4f65-9D91-7224C49458BB}"/>
              </c:extLst>
            </c:dLbl>
            <c:dLbl>
              <c:idx val="15"/>
              <c:layout>
                <c:manualLayout>
                  <c:x val="-2.6690840840840842E-2"/>
                  <c:y val="-5.75379629629629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51E-4CAD-914B-60BCBB822089}"/>
                </c:ext>
                <c:ext xmlns:c15="http://schemas.microsoft.com/office/drawing/2012/chart" uri="{CE6537A1-D6FC-4f65-9D91-7224C49458BB}"/>
              </c:extLst>
            </c:dLbl>
            <c:dLbl>
              <c:idx val="16"/>
              <c:layout>
                <c:manualLayout>
                  <c:x val="-2.6713963963964103E-2"/>
                  <c:y val="-6.8884722222222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51E-4CAD-914B-60BCBB822089}"/>
                </c:ext>
                <c:ext xmlns:c15="http://schemas.microsoft.com/office/drawing/2012/chart" uri="{CE6537A1-D6FC-4f65-9D91-7224C49458BB}"/>
              </c:extLst>
            </c:dLbl>
            <c:dLbl>
              <c:idx val="17"/>
              <c:layout>
                <c:manualLayout>
                  <c:x val="-3.0472822822822824E-2"/>
                  <c:y val="-6.65916666666667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51E-4CAD-914B-60BCBB822089}"/>
                </c:ext>
                <c:ext xmlns:c15="http://schemas.microsoft.com/office/drawing/2012/chart" uri="{CE6537A1-D6FC-4f65-9D91-7224C49458BB}"/>
              </c:extLst>
            </c:dLbl>
            <c:dLbl>
              <c:idx val="18"/>
              <c:layout>
                <c:manualLayout>
                  <c:x val="-3.0472972972973113E-2"/>
                  <c:y val="-6.00949074074074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51E-4CAD-914B-60BCBB822089}"/>
                </c:ext>
                <c:ext xmlns:c15="http://schemas.microsoft.com/office/drawing/2012/chart" uri="{CE6537A1-D6FC-4f65-9D91-7224C49458BB}"/>
              </c:extLst>
            </c:dLbl>
            <c:dLbl>
              <c:idx val="19"/>
              <c:layout>
                <c:manualLayout>
                  <c:x val="-2.8581180448681003E-2"/>
                  <c:y val="5.2916516437468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51E-4CAD-914B-60BCBB822089}"/>
                </c:ext>
                <c:ext xmlns:c15="http://schemas.microsoft.com/office/drawing/2012/chart" uri="{CE6537A1-D6FC-4f65-9D91-7224C49458BB}"/>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'figg. 8 e 9'!$A$38:$A$56</c:f>
              <c:strCache>
                <c:ptCount val="19"/>
                <c:pt idx="0">
                  <c:v>Germania</c:v>
                </c:pt>
                <c:pt idx="1">
                  <c:v>Stati Uniti</c:v>
                </c:pt>
                <c:pt idx="2">
                  <c:v>Francia</c:v>
                </c:pt>
                <c:pt idx="3">
                  <c:v>Spagna</c:v>
                </c:pt>
                <c:pt idx="4">
                  <c:v>Belgio</c:v>
                </c:pt>
                <c:pt idx="5">
                  <c:v>Regno Unito</c:v>
                </c:pt>
                <c:pt idx="6">
                  <c:v>OPEC</c:v>
                </c:pt>
                <c:pt idx="7">
                  <c:v>Svizzera</c:v>
                </c:pt>
                <c:pt idx="8">
                  <c:v>Paesi Bassi</c:v>
                </c:pt>
                <c:pt idx="9">
                  <c:v>Austria</c:v>
                </c:pt>
                <c:pt idx="10">
                  <c:v>Turchia</c:v>
                </c:pt>
                <c:pt idx="11">
                  <c:v>Repubblica ceca</c:v>
                </c:pt>
                <c:pt idx="12">
                  <c:v>Romania</c:v>
                </c:pt>
                <c:pt idx="13">
                  <c:v>Cina</c:v>
                </c:pt>
                <c:pt idx="14">
                  <c:v>Polonia</c:v>
                </c:pt>
                <c:pt idx="15">
                  <c:v>Russia</c:v>
                </c:pt>
                <c:pt idx="16">
                  <c:v>MERCOSUR</c:v>
                </c:pt>
                <c:pt idx="17">
                  <c:v>Giappone</c:v>
                </c:pt>
                <c:pt idx="18">
                  <c:v>ASEAN</c:v>
                </c:pt>
              </c:strCache>
            </c:strRef>
          </c:cat>
          <c:val>
            <c:numRef>
              <c:f>'figg. 8 e 9'!$B$38:$B$56</c:f>
              <c:numCache>
                <c:formatCode>0.0</c:formatCode>
                <c:ptCount val="19"/>
                <c:pt idx="0">
                  <c:v>21.254566840189455</c:v>
                </c:pt>
                <c:pt idx="1">
                  <c:v>24.420923515687022</c:v>
                </c:pt>
                <c:pt idx="2">
                  <c:v>15.963154730666744</c:v>
                </c:pt>
                <c:pt idx="3">
                  <c:v>33.31811914429673</c:v>
                </c:pt>
                <c:pt idx="4">
                  <c:v>34.530658366511261</c:v>
                </c:pt>
                <c:pt idx="5">
                  <c:v>24.160594038459195</c:v>
                </c:pt>
                <c:pt idx="6">
                  <c:v>38.522518549019765</c:v>
                </c:pt>
                <c:pt idx="7">
                  <c:v>14.649465755457641</c:v>
                </c:pt>
                <c:pt idx="8">
                  <c:v>21.137198781781436</c:v>
                </c:pt>
                <c:pt idx="9">
                  <c:v>22.942297631774252</c:v>
                </c:pt>
                <c:pt idx="10">
                  <c:v>25.885425192639772</c:v>
                </c:pt>
                <c:pt idx="11">
                  <c:v>31.897389868170336</c:v>
                </c:pt>
                <c:pt idx="12">
                  <c:v>24.82556362354137</c:v>
                </c:pt>
                <c:pt idx="13">
                  <c:v>13.327141972656946</c:v>
                </c:pt>
                <c:pt idx="14">
                  <c:v>8.677190348896886</c:v>
                </c:pt>
                <c:pt idx="15">
                  <c:v>18.736884241814266</c:v>
                </c:pt>
                <c:pt idx="16">
                  <c:v>22.952912519735889</c:v>
                </c:pt>
                <c:pt idx="17">
                  <c:v>12.553681772992022</c:v>
                </c:pt>
                <c:pt idx="18">
                  <c:v>11.461411922983885</c:v>
                </c:pt>
              </c:numCache>
            </c:numRef>
          </c:val>
          <c:smooth val="0"/>
          <c:extLst xmlns:c16r2="http://schemas.microsoft.com/office/drawing/2015/06/chart">
            <c:ext xmlns:c16="http://schemas.microsoft.com/office/drawing/2014/chart" uri="{C3380CC4-5D6E-409C-BE32-E72D297353CC}">
              <c16:uniqueId val="{00000016-651E-4CAD-914B-60BCBB822089}"/>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1969072"/>
        <c:axId val="171968512"/>
      </c:lineChart>
      <c:catAx>
        <c:axId val="1719673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1967952"/>
        <c:crosses val="autoZero"/>
        <c:auto val="1"/>
        <c:lblAlgn val="ctr"/>
        <c:lblOffset val="0"/>
        <c:tickLblSkip val="1"/>
        <c:noMultiLvlLbl val="0"/>
      </c:catAx>
      <c:valAx>
        <c:axId val="17196795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1967392"/>
        <c:crosses val="autoZero"/>
        <c:crossBetween val="between"/>
        <c:majorUnit val="5"/>
      </c:valAx>
      <c:valAx>
        <c:axId val="171968512"/>
        <c:scaling>
          <c:orientation val="minMax"/>
          <c:max val="300"/>
          <c:min val="-300"/>
        </c:scaling>
        <c:delete val="0"/>
        <c:axPos val="r"/>
        <c:title>
          <c:tx>
            <c:rich>
              <a:bodyPr rot="0" vert="horz"/>
              <a:lstStyle/>
              <a:p>
                <a:pPr>
                  <a:defRPr/>
                </a:pPr>
                <a:r>
                  <a:rPr lang="it-IT"/>
                  <a:t>%</a:t>
                </a:r>
              </a:p>
            </c:rich>
          </c:tx>
          <c:layout>
            <c:manualLayout>
              <c:xMode val="edge"/>
              <c:yMode val="edge"/>
              <c:x val="0.96365048731977809"/>
              <c:y val="5.3280345976272573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1969072"/>
        <c:crosses val="max"/>
        <c:crossBetween val="between"/>
        <c:majorUnit val="150"/>
      </c:valAx>
      <c:catAx>
        <c:axId val="171969072"/>
        <c:scaling>
          <c:orientation val="minMax"/>
        </c:scaling>
        <c:delete val="1"/>
        <c:axPos val="b"/>
        <c:numFmt formatCode="General" sourceLinked="1"/>
        <c:majorTickMark val="out"/>
        <c:minorTickMark val="none"/>
        <c:tickLblPos val="nextTo"/>
        <c:crossAx val="17196851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942897298149685"/>
          <c:y val="0"/>
          <c:w val="0.6493736878500454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3220714708E-2"/>
          <c:y val="0.10639207360356027"/>
          <c:w val="0.89947552894285987"/>
          <c:h val="0.54927962962962962"/>
        </c:manualLayout>
      </c:layout>
      <c:barChart>
        <c:barDir val="col"/>
        <c:grouping val="clustered"/>
        <c:varyColors val="0"/>
        <c:ser>
          <c:idx val="0"/>
          <c:order val="0"/>
          <c:tx>
            <c:strRef>
              <c:f>'figg. 8 e 9'!$D$36</c:f>
              <c:strCache>
                <c:ptCount val="1"/>
                <c:pt idx="0">
                  <c:v>Contributi alla var. (punti perc. - sinistra)</c:v>
                </c:pt>
              </c:strCache>
            </c:strRef>
          </c:tx>
          <c:spPr>
            <a:solidFill>
              <a:srgbClr val="D22630"/>
            </a:solidFill>
            <a:ln w="9525" cap="flat" cmpd="sng" algn="ctr">
              <a:solidFill>
                <a:schemeClr val="bg1"/>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AC-4DD9-B0FE-2F6BF702A148}"/>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9'!$A$61:$A$79</c:f>
              <c:strCache>
                <c:ptCount val="19"/>
                <c:pt idx="0">
                  <c:v>Russia</c:v>
                </c:pt>
                <c:pt idx="1">
                  <c:v>Cina</c:v>
                </c:pt>
                <c:pt idx="2">
                  <c:v>Germania</c:v>
                </c:pt>
                <c:pt idx="3">
                  <c:v>OPEC</c:v>
                </c:pt>
                <c:pt idx="4">
                  <c:v>Francia</c:v>
                </c:pt>
                <c:pt idx="5">
                  <c:v>Paesi Bassi</c:v>
                </c:pt>
                <c:pt idx="6">
                  <c:v>Stati Uniti</c:v>
                </c:pt>
                <c:pt idx="7">
                  <c:v>Belgio</c:v>
                </c:pt>
                <c:pt idx="8">
                  <c:v>Svizzera</c:v>
                </c:pt>
                <c:pt idx="9">
                  <c:v>Spagna</c:v>
                </c:pt>
                <c:pt idx="10">
                  <c:v>Austria</c:v>
                </c:pt>
                <c:pt idx="11">
                  <c:v>India</c:v>
                </c:pt>
                <c:pt idx="12">
                  <c:v>ASEAN</c:v>
                </c:pt>
                <c:pt idx="13">
                  <c:v>Polonia</c:v>
                </c:pt>
                <c:pt idx="14">
                  <c:v>MERCOSUR</c:v>
                </c:pt>
                <c:pt idx="15">
                  <c:v>Turchia</c:v>
                </c:pt>
                <c:pt idx="16">
                  <c:v>Repubblica ceca</c:v>
                </c:pt>
                <c:pt idx="17">
                  <c:v>Romania</c:v>
                </c:pt>
                <c:pt idx="18">
                  <c:v>Regno Unito</c:v>
                </c:pt>
              </c:strCache>
            </c:strRef>
          </c:cat>
          <c:val>
            <c:numRef>
              <c:f>'figg. 8 e 9'!$D$61:$D$79</c:f>
              <c:numCache>
                <c:formatCode>0.00</c:formatCode>
                <c:ptCount val="19"/>
                <c:pt idx="0">
                  <c:v>5.9254083597958189</c:v>
                </c:pt>
                <c:pt idx="1">
                  <c:v>4.6316897069906009</c:v>
                </c:pt>
                <c:pt idx="2">
                  <c:v>4.615131517865577</c:v>
                </c:pt>
                <c:pt idx="3">
                  <c:v>2.7108466064419305</c:v>
                </c:pt>
                <c:pt idx="4">
                  <c:v>2.4403257894249681</c:v>
                </c:pt>
                <c:pt idx="5">
                  <c:v>2.166271462948353</c:v>
                </c:pt>
                <c:pt idx="6">
                  <c:v>2.1589249371155144</c:v>
                </c:pt>
                <c:pt idx="7">
                  <c:v>1.6532444031528317</c:v>
                </c:pt>
                <c:pt idx="8">
                  <c:v>1.4515288456284368</c:v>
                </c:pt>
                <c:pt idx="9">
                  <c:v>1.4163039611771815</c:v>
                </c:pt>
                <c:pt idx="10">
                  <c:v>0.90624206567293697</c:v>
                </c:pt>
                <c:pt idx="11">
                  <c:v>0.71672547392373498</c:v>
                </c:pt>
                <c:pt idx="12">
                  <c:v>0.64714608706873644</c:v>
                </c:pt>
                <c:pt idx="13">
                  <c:v>0.51632030799243078</c:v>
                </c:pt>
                <c:pt idx="14">
                  <c:v>0.48681934665305976</c:v>
                </c:pt>
                <c:pt idx="15">
                  <c:v>0.47750562923529971</c:v>
                </c:pt>
                <c:pt idx="16">
                  <c:v>0.31488892008423958</c:v>
                </c:pt>
                <c:pt idx="17">
                  <c:v>0.2696439677325847</c:v>
                </c:pt>
                <c:pt idx="18">
                  <c:v>1.8718314501801971E-2</c:v>
                </c:pt>
              </c:numCache>
            </c:numRef>
          </c:val>
          <c:extLst xmlns:c16r2="http://schemas.microsoft.com/office/drawing/2015/06/chart">
            <c:ext xmlns:c16="http://schemas.microsoft.com/office/drawing/2014/chart" uri="{C3380CC4-5D6E-409C-BE32-E72D297353CC}">
              <c16:uniqueId val="{00000001-B8AC-4DD9-B0FE-2F6BF702A148}"/>
            </c:ext>
          </c:extLst>
        </c:ser>
        <c:dLbls>
          <c:showLegendKey val="0"/>
          <c:showVal val="0"/>
          <c:showCatName val="0"/>
          <c:showSerName val="0"/>
          <c:showPercent val="0"/>
          <c:showBubbleSize val="0"/>
        </c:dLbls>
        <c:gapWidth val="0"/>
        <c:axId val="171693440"/>
        <c:axId val="171694000"/>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4498498498498502E-2"/>
                  <c:y val="-5.8321296296296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AC-4DD9-B0FE-2F6BF702A148}"/>
                </c:ext>
                <c:ext xmlns:c15="http://schemas.microsoft.com/office/drawing/2012/chart" uri="{CE6537A1-D6FC-4f65-9D91-7224C49458BB}"/>
              </c:extLst>
            </c:dLbl>
            <c:dLbl>
              <c:idx val="1"/>
              <c:layout>
                <c:manualLayout>
                  <c:x val="-2.6852573053725397E-2"/>
                  <c:y val="-4.6789354539803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AC-4DD9-B0FE-2F6BF702A148}"/>
                </c:ext>
                <c:ext xmlns:c15="http://schemas.microsoft.com/office/drawing/2012/chart" uri="{CE6537A1-D6FC-4f65-9D91-7224C49458BB}"/>
              </c:extLst>
            </c:dLbl>
            <c:dLbl>
              <c:idx val="2"/>
              <c:layout>
                <c:manualLayout>
                  <c:x val="-3.4527327327327308E-2"/>
                  <c:y val="-6.16189814814814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AC-4DD9-B0FE-2F6BF702A148}"/>
                </c:ext>
                <c:ext xmlns:c15="http://schemas.microsoft.com/office/drawing/2012/chart" uri="{CE6537A1-D6FC-4f65-9D91-7224C49458BB}"/>
              </c:extLst>
            </c:dLbl>
            <c:dLbl>
              <c:idx val="3"/>
              <c:layout>
                <c:manualLayout>
                  <c:x val="-3.6475525525525528E-2"/>
                  <c:y val="-6.75203703703703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8AC-4DD9-B0FE-2F6BF702A148}"/>
                </c:ext>
                <c:ext xmlns:c15="http://schemas.microsoft.com/office/drawing/2012/chart" uri="{CE6537A1-D6FC-4f65-9D91-7224C49458BB}"/>
              </c:extLst>
            </c:dLbl>
            <c:dLbl>
              <c:idx val="4"/>
              <c:layout>
                <c:manualLayout>
                  <c:x val="-2.8790090090090089E-2"/>
                  <c:y val="-5.878657407407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8AC-4DD9-B0FE-2F6BF702A148}"/>
                </c:ext>
                <c:ext xmlns:c15="http://schemas.microsoft.com/office/drawing/2012/chart" uri="{CE6537A1-D6FC-4f65-9D91-7224C49458BB}"/>
              </c:extLst>
            </c:dLbl>
            <c:dLbl>
              <c:idx val="5"/>
              <c:layout>
                <c:manualLayout>
                  <c:x val="-3.0508762640232029E-2"/>
                  <c:y val="-5.34351431554007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8AC-4DD9-B0FE-2F6BF702A148}"/>
                </c:ext>
                <c:ext xmlns:c15="http://schemas.microsoft.com/office/drawing/2012/chart" uri="{CE6537A1-D6FC-4f65-9D91-7224C49458BB}"/>
              </c:extLst>
            </c:dLbl>
            <c:dLbl>
              <c:idx val="6"/>
              <c:layout>
                <c:manualLayout>
                  <c:x val="-3.2971501204916494E-2"/>
                  <c:y val="-7.32125221389446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8AC-4DD9-B0FE-2F6BF702A148}"/>
                </c:ext>
                <c:ext xmlns:c15="http://schemas.microsoft.com/office/drawing/2012/chart" uri="{CE6537A1-D6FC-4f65-9D91-7224C49458BB}"/>
              </c:extLst>
            </c:dLbl>
            <c:dLbl>
              <c:idx val="7"/>
              <c:layout>
                <c:manualLayout>
                  <c:x val="-2.9155994974406744E-2"/>
                  <c:y val="-5.5430052664297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8AC-4DD9-B0FE-2F6BF702A148}"/>
                </c:ext>
                <c:ext xmlns:c15="http://schemas.microsoft.com/office/drawing/2012/chart" uri="{CE6537A1-D6FC-4f65-9D91-7224C49458BB}"/>
              </c:extLst>
            </c:dLbl>
            <c:dLbl>
              <c:idx val="8"/>
              <c:layout>
                <c:manualLayout>
                  <c:x val="-2.9155545350764141E-2"/>
                  <c:y val="-5.6752172842112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8AC-4DD9-B0FE-2F6BF702A148}"/>
                </c:ext>
                <c:ext xmlns:c15="http://schemas.microsoft.com/office/drawing/2012/chart" uri="{CE6537A1-D6FC-4f65-9D91-7224C49458BB}"/>
              </c:extLst>
            </c:dLbl>
            <c:dLbl>
              <c:idx val="9"/>
              <c:layout>
                <c:manualLayout>
                  <c:x val="-3.2948270650052375E-2"/>
                  <c:y val="-5.86804602554628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8AC-4DD9-B0FE-2F6BF702A148}"/>
                </c:ext>
                <c:ext xmlns:c15="http://schemas.microsoft.com/office/drawing/2012/chart" uri="{CE6537A1-D6FC-4f65-9D91-7224C49458BB}"/>
              </c:extLst>
            </c:dLbl>
            <c:dLbl>
              <c:idx val="10"/>
              <c:layout>
                <c:manualLayout>
                  <c:x val="-2.8139545793193808E-2"/>
                  <c:y val="-5.2828037580491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8AC-4DD9-B0FE-2F6BF702A148}"/>
                </c:ext>
                <c:ext xmlns:c15="http://schemas.microsoft.com/office/drawing/2012/chart" uri="{CE6537A1-D6FC-4f65-9D91-7224C49458BB}"/>
              </c:extLst>
            </c:dLbl>
            <c:dLbl>
              <c:idx val="11"/>
              <c:layout>
                <c:manualLayout>
                  <c:x val="-3.0496023303693713E-2"/>
                  <c:y val="-4.57276235382431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8AC-4DD9-B0FE-2F6BF702A148}"/>
                </c:ext>
                <c:ext xmlns:c15="http://schemas.microsoft.com/office/drawing/2012/chart" uri="{CE6537A1-D6FC-4f65-9D91-7224C49458BB}"/>
              </c:extLst>
            </c:dLbl>
            <c:dLbl>
              <c:idx val="12"/>
              <c:layout>
                <c:manualLayout>
                  <c:x val="-3.0495273930956093E-2"/>
                  <c:y val="-5.68915162391357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8AC-4DD9-B0FE-2F6BF702A148}"/>
                </c:ext>
                <c:ext xmlns:c15="http://schemas.microsoft.com/office/drawing/2012/chart" uri="{CE6537A1-D6FC-4f65-9D91-7224C49458BB}"/>
              </c:extLst>
            </c:dLbl>
            <c:dLbl>
              <c:idx val="13"/>
              <c:layout>
                <c:manualLayout>
                  <c:x val="-3.0510860883897272E-2"/>
                  <c:y val="-5.0972940638305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8AC-4DD9-B0FE-2F6BF702A148}"/>
                </c:ext>
                <c:ext xmlns:c15="http://schemas.microsoft.com/office/drawing/2012/chart" uri="{CE6537A1-D6FC-4f65-9D91-7224C49458BB}"/>
              </c:extLst>
            </c:dLbl>
            <c:dLbl>
              <c:idx val="14"/>
              <c:layout>
                <c:manualLayout>
                  <c:x val="-3.0506664396566855E-2"/>
                  <c:y val="-5.19919771983532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8AC-4DD9-B0FE-2F6BF702A148}"/>
                </c:ext>
                <c:ext xmlns:c15="http://schemas.microsoft.com/office/drawing/2012/chart" uri="{CE6537A1-D6FC-4f65-9D91-7224C49458BB}"/>
              </c:extLst>
            </c:dLbl>
            <c:dLbl>
              <c:idx val="15"/>
              <c:layout>
                <c:manualLayout>
                  <c:x val="-3.2429554841120242E-2"/>
                  <c:y val="-4.6940427178999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8AC-4DD9-B0FE-2F6BF702A148}"/>
                </c:ext>
                <c:ext xmlns:c15="http://schemas.microsoft.com/office/drawing/2012/chart" uri="{CE6537A1-D6FC-4f65-9D91-7224C49458BB}"/>
              </c:extLst>
            </c:dLbl>
            <c:dLbl>
              <c:idx val="16"/>
              <c:layout>
                <c:manualLayout>
                  <c:x val="-2.8614264264264402E-2"/>
                  <c:y val="-5.3095370370370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8AC-4DD9-B0FE-2F6BF702A148}"/>
                </c:ext>
                <c:ext xmlns:c15="http://schemas.microsoft.com/office/drawing/2012/chart" uri="{CE6537A1-D6FC-4f65-9D91-7224C49458BB}"/>
              </c:extLst>
            </c:dLbl>
            <c:dLbl>
              <c:idx val="17"/>
              <c:layout>
                <c:manualLayout>
                  <c:x val="-3.0557807807807806E-2"/>
                  <c:y val="-5.91722222222222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8AC-4DD9-B0FE-2F6BF702A148}"/>
                </c:ext>
                <c:ext xmlns:c15="http://schemas.microsoft.com/office/drawing/2012/chart" uri="{CE6537A1-D6FC-4f65-9D91-7224C49458BB}"/>
              </c:extLst>
            </c:dLbl>
            <c:dLbl>
              <c:idx val="18"/>
              <c:layout>
                <c:manualLayout>
                  <c:x val="-2.8604954954955096E-2"/>
                  <c:y val="-6.8464351851851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8AC-4DD9-B0FE-2F6BF702A148}"/>
                </c:ext>
                <c:ext xmlns:c15="http://schemas.microsoft.com/office/drawing/2012/chart" uri="{CE6537A1-D6FC-4f65-9D91-7224C49458BB}"/>
              </c:extLst>
            </c:dLbl>
            <c:dLbl>
              <c:idx val="19"/>
              <c:layout>
                <c:manualLayout>
                  <c:x val="-2.8592754421838274E-2"/>
                  <c:y val="5.4076051251789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8AC-4DD9-B0FE-2F6BF702A148}"/>
                </c:ext>
                <c:ext xmlns:c15="http://schemas.microsoft.com/office/drawing/2012/chart" uri="{CE6537A1-D6FC-4f65-9D91-7224C49458BB}"/>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'figg. 8 e 9'!$A$61:$A$79</c:f>
              <c:strCache>
                <c:ptCount val="19"/>
                <c:pt idx="0">
                  <c:v>Russia</c:v>
                </c:pt>
                <c:pt idx="1">
                  <c:v>Cina</c:v>
                </c:pt>
                <c:pt idx="2">
                  <c:v>Germania</c:v>
                </c:pt>
                <c:pt idx="3">
                  <c:v>OPEC</c:v>
                </c:pt>
                <c:pt idx="4">
                  <c:v>Francia</c:v>
                </c:pt>
                <c:pt idx="5">
                  <c:v>Paesi Bassi</c:v>
                </c:pt>
                <c:pt idx="6">
                  <c:v>Stati Uniti</c:v>
                </c:pt>
                <c:pt idx="7">
                  <c:v>Belgio</c:v>
                </c:pt>
                <c:pt idx="8">
                  <c:v>Svizzera</c:v>
                </c:pt>
                <c:pt idx="9">
                  <c:v>Spagna</c:v>
                </c:pt>
                <c:pt idx="10">
                  <c:v>Austria</c:v>
                </c:pt>
                <c:pt idx="11">
                  <c:v>India</c:v>
                </c:pt>
                <c:pt idx="12">
                  <c:v>ASEAN</c:v>
                </c:pt>
                <c:pt idx="13">
                  <c:v>Polonia</c:v>
                </c:pt>
                <c:pt idx="14">
                  <c:v>MERCOSUR</c:v>
                </c:pt>
                <c:pt idx="15">
                  <c:v>Turchia</c:v>
                </c:pt>
                <c:pt idx="16">
                  <c:v>Repubblica ceca</c:v>
                </c:pt>
                <c:pt idx="17">
                  <c:v>Romania</c:v>
                </c:pt>
                <c:pt idx="18">
                  <c:v>Regno Unito</c:v>
                </c:pt>
              </c:strCache>
            </c:strRef>
          </c:cat>
          <c:val>
            <c:numRef>
              <c:f>'figg. 8 e 9'!$B$61:$B$79</c:f>
              <c:numCache>
                <c:formatCode>0.0</c:formatCode>
                <c:ptCount val="19"/>
                <c:pt idx="0">
                  <c:v>252.22762048464546</c:v>
                </c:pt>
                <c:pt idx="1">
                  <c:v>54.617522961821066</c:v>
                </c:pt>
                <c:pt idx="2">
                  <c:v>27.586328417457509</c:v>
                </c:pt>
                <c:pt idx="3">
                  <c:v>74.01527586156692</c:v>
                </c:pt>
                <c:pt idx="4">
                  <c:v>28.120442815809241</c:v>
                </c:pt>
                <c:pt idx="5">
                  <c:v>35.110217721158307</c:v>
                </c:pt>
                <c:pt idx="6">
                  <c:v>59.949965793705729</c:v>
                </c:pt>
                <c:pt idx="7">
                  <c:v>37.881517774775375</c:v>
                </c:pt>
                <c:pt idx="8">
                  <c:v>55.897893489089938</c:v>
                </c:pt>
                <c:pt idx="9">
                  <c:v>24.8949439358029</c:v>
                </c:pt>
                <c:pt idx="10">
                  <c:v>37.951771510179725</c:v>
                </c:pt>
                <c:pt idx="11">
                  <c:v>64.092577587618365</c:v>
                </c:pt>
                <c:pt idx="12">
                  <c:v>29.36437486802231</c:v>
                </c:pt>
                <c:pt idx="13">
                  <c:v>18.174993039442469</c:v>
                </c:pt>
                <c:pt idx="14">
                  <c:v>58.1983891646546</c:v>
                </c:pt>
                <c:pt idx="15">
                  <c:v>20.471010282782288</c:v>
                </c:pt>
                <c:pt idx="16">
                  <c:v>18.922618171142048</c:v>
                </c:pt>
                <c:pt idx="17">
                  <c:v>15.394317144267745</c:v>
                </c:pt>
                <c:pt idx="18">
                  <c:v>1.0542928176357833</c:v>
                </c:pt>
              </c:numCache>
            </c:numRef>
          </c:val>
          <c:smooth val="0"/>
          <c:extLst xmlns:c16r2="http://schemas.microsoft.com/office/drawing/2015/06/chart">
            <c:ext xmlns:c16="http://schemas.microsoft.com/office/drawing/2014/chart" uri="{C3380CC4-5D6E-409C-BE32-E72D297353CC}">
              <c16:uniqueId val="{00000016-B8AC-4DD9-B0FE-2F6BF702A14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1695120"/>
        <c:axId val="171694560"/>
      </c:lineChart>
      <c:catAx>
        <c:axId val="171693440"/>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1694000"/>
        <c:crosses val="autoZero"/>
        <c:auto val="1"/>
        <c:lblAlgn val="ctr"/>
        <c:lblOffset val="0"/>
        <c:tickLblSkip val="1"/>
        <c:noMultiLvlLbl val="0"/>
      </c:catAx>
      <c:valAx>
        <c:axId val="171694000"/>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1693440"/>
        <c:crosses val="autoZero"/>
        <c:crossBetween val="between"/>
        <c:majorUnit val="5"/>
      </c:valAx>
      <c:valAx>
        <c:axId val="171694560"/>
        <c:scaling>
          <c:orientation val="minMax"/>
          <c:max val="300"/>
          <c:min val="-300"/>
        </c:scaling>
        <c:delete val="0"/>
        <c:axPos val="r"/>
        <c:title>
          <c:tx>
            <c:rich>
              <a:bodyPr rot="0" vert="horz"/>
              <a:lstStyle/>
              <a:p>
                <a:pPr>
                  <a:defRPr b="1"/>
                </a:pPr>
                <a:r>
                  <a:rPr lang="it-IT" b="1"/>
                  <a:t>%</a:t>
                </a:r>
              </a:p>
            </c:rich>
          </c:tx>
          <c:layout>
            <c:manualLayout>
              <c:xMode val="edge"/>
              <c:yMode val="edge"/>
              <c:x val="0.96162867867867863"/>
              <c:y val="1.9740740740740756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1695120"/>
        <c:crosses val="max"/>
        <c:crossBetween val="between"/>
        <c:majorUnit val="150"/>
      </c:valAx>
      <c:catAx>
        <c:axId val="171695120"/>
        <c:scaling>
          <c:orientation val="minMax"/>
        </c:scaling>
        <c:delete val="1"/>
        <c:axPos val="b"/>
        <c:numFmt formatCode="General" sourceLinked="1"/>
        <c:majorTickMark val="out"/>
        <c:minorTickMark val="none"/>
        <c:tickLblPos val="nextTo"/>
        <c:crossAx val="171694560"/>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6853560371427334"/>
          <c:y val="0"/>
          <c:w val="0.6898444699442881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Valori medi unitari</a:t>
            </a:r>
          </a:p>
        </c:rich>
      </c:tx>
      <c:layout>
        <c:manualLayout>
          <c:xMode val="edge"/>
          <c:yMode val="edge"/>
          <c:x val="0.32500246913580255"/>
          <c:y val="1.1423431526872049E-2"/>
        </c:manualLayout>
      </c:layout>
      <c:overlay val="1"/>
      <c:spPr>
        <a:noFill/>
        <a:ln>
          <a:noFill/>
        </a:ln>
        <a:effectLst/>
      </c:spPr>
    </c:title>
    <c:autoTitleDeleted val="0"/>
    <c:plotArea>
      <c:layout>
        <c:manualLayout>
          <c:layoutTarget val="inner"/>
          <c:xMode val="edge"/>
          <c:yMode val="edge"/>
          <c:x val="3.8200031242677498E-2"/>
          <c:y val="0.1838210029233191"/>
          <c:w val="0.9225041907245296"/>
          <c:h val="0.72395322689453567"/>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10'!$D$77:$D$136</c:f>
              <c:numCache>
                <c:formatCode>0.0</c:formatCode>
                <c:ptCount val="60"/>
                <c:pt idx="0">
                  <c:v>2.0019065776930205</c:v>
                </c:pt>
                <c:pt idx="1">
                  <c:v>1.7224880382775183</c:v>
                </c:pt>
                <c:pt idx="2">
                  <c:v>1.6252390057361339</c:v>
                </c:pt>
                <c:pt idx="3">
                  <c:v>1.7291066282420644</c:v>
                </c:pt>
                <c:pt idx="4">
                  <c:v>3.1639501438159243</c:v>
                </c:pt>
                <c:pt idx="5">
                  <c:v>4.5148895292987277</c:v>
                </c:pt>
                <c:pt idx="6">
                  <c:v>4.5192307692307736</c:v>
                </c:pt>
                <c:pt idx="7">
                  <c:v>4.711538461538467</c:v>
                </c:pt>
                <c:pt idx="8">
                  <c:v>5.1158301158301214</c:v>
                </c:pt>
                <c:pt idx="9">
                  <c:v>4.6979865771812115</c:v>
                </c:pt>
                <c:pt idx="10">
                  <c:v>3.6053130929791308</c:v>
                </c:pt>
                <c:pt idx="11">
                  <c:v>3.0217186024551381</c:v>
                </c:pt>
                <c:pt idx="12">
                  <c:v>2.8037383177570092</c:v>
                </c:pt>
                <c:pt idx="13">
                  <c:v>3.7629350893697051</c:v>
                </c:pt>
                <c:pt idx="14">
                  <c:v>4.2333019755409254</c:v>
                </c:pt>
                <c:pt idx="15">
                  <c:v>5.6657223796033946</c:v>
                </c:pt>
                <c:pt idx="16">
                  <c:v>4.5539033457249047</c:v>
                </c:pt>
                <c:pt idx="17">
                  <c:v>3.033088235294116</c:v>
                </c:pt>
                <c:pt idx="18">
                  <c:v>3.3118675252989931</c:v>
                </c:pt>
                <c:pt idx="19">
                  <c:v>2.4793388429752241</c:v>
                </c:pt>
                <c:pt idx="20">
                  <c:v>2.7548209366391205</c:v>
                </c:pt>
                <c:pt idx="21">
                  <c:v>3.1135531135531096</c:v>
                </c:pt>
                <c:pt idx="22">
                  <c:v>3.6630036630036642</c:v>
                </c:pt>
                <c:pt idx="23">
                  <c:v>4.307974335472025</c:v>
                </c:pt>
                <c:pt idx="24">
                  <c:v>3.0909090909090935</c:v>
                </c:pt>
                <c:pt idx="25">
                  <c:v>1.9945602901178603</c:v>
                </c:pt>
                <c:pt idx="26">
                  <c:v>0.36101083032492909</c:v>
                </c:pt>
                <c:pt idx="27">
                  <c:v>-1.9660411081322593</c:v>
                </c:pt>
                <c:pt idx="28">
                  <c:v>-0.9777777777777743</c:v>
                </c:pt>
                <c:pt idx="29">
                  <c:v>0.62444246208741561</c:v>
                </c:pt>
                <c:pt idx="30">
                  <c:v>-0.62333036509349427</c:v>
                </c:pt>
                <c:pt idx="31">
                  <c:v>-0.71684587813621192</c:v>
                </c:pt>
                <c:pt idx="32">
                  <c:v>-0.26809651474529517</c:v>
                </c:pt>
                <c:pt idx="33">
                  <c:v>-0.7992895204262993</c:v>
                </c:pt>
                <c:pt idx="34">
                  <c:v>-0.97173144876325068</c:v>
                </c:pt>
                <c:pt idx="35">
                  <c:v>-0.70298769771528669</c:v>
                </c:pt>
                <c:pt idx="36">
                  <c:v>0.88183421516754379</c:v>
                </c:pt>
                <c:pt idx="37">
                  <c:v>3.2888888888888914</c:v>
                </c:pt>
                <c:pt idx="38">
                  <c:v>6.1151079136690498</c:v>
                </c:pt>
                <c:pt idx="39">
                  <c:v>7.9307201458523338</c:v>
                </c:pt>
                <c:pt idx="40">
                  <c:v>6.9120287253141868</c:v>
                </c:pt>
                <c:pt idx="41">
                  <c:v>6.5602836879432687</c:v>
                </c:pt>
                <c:pt idx="42">
                  <c:v>9.2293906810035793</c:v>
                </c:pt>
                <c:pt idx="43">
                  <c:v>11.010830324909762</c:v>
                </c:pt>
                <c:pt idx="44">
                  <c:v>10.752688172043008</c:v>
                </c:pt>
                <c:pt idx="45">
                  <c:v>11.101163831692034</c:v>
                </c:pt>
                <c:pt idx="46">
                  <c:v>13.291703835860844</c:v>
                </c:pt>
                <c:pt idx="47">
                  <c:v>12.389380530973469</c:v>
                </c:pt>
                <c:pt idx="48">
                  <c:v>16.258741258741239</c:v>
                </c:pt>
                <c:pt idx="49">
                  <c:v>16.523235800344253</c:v>
                </c:pt>
              </c:numCache>
            </c:numRef>
          </c:val>
          <c:smooth val="0"/>
          <c:extLst xmlns:c16r2="http://schemas.microsoft.com/office/drawing/2015/06/chart">
            <c:ext xmlns:c16="http://schemas.microsoft.com/office/drawing/2014/chart" uri="{C3380CC4-5D6E-409C-BE32-E72D297353CC}">
              <c16:uniqueId val="{00000000-745A-4494-89D3-F9F62C319C60}"/>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10'!$E$77:$E$136</c:f>
              <c:numCache>
                <c:formatCode>0.0</c:formatCode>
                <c:ptCount val="60"/>
                <c:pt idx="0">
                  <c:v>1.8464528668610143</c:v>
                </c:pt>
                <c:pt idx="1">
                  <c:v>1.5549076773566384</c:v>
                </c:pt>
                <c:pt idx="2">
                  <c:v>0.58027079303674611</c:v>
                </c:pt>
                <c:pt idx="3">
                  <c:v>1.257253384912957</c:v>
                </c:pt>
                <c:pt idx="4">
                  <c:v>3.7037037037037095</c:v>
                </c:pt>
                <c:pt idx="5">
                  <c:v>6.9169960474308283</c:v>
                </c:pt>
                <c:pt idx="6">
                  <c:v>8.8118811881188179</c:v>
                </c:pt>
                <c:pt idx="7">
                  <c:v>8.2758620689655373</c:v>
                </c:pt>
                <c:pt idx="8">
                  <c:v>8.7301587301587347</c:v>
                </c:pt>
                <c:pt idx="9">
                  <c:v>7.3457394711067536</c:v>
                </c:pt>
                <c:pt idx="10">
                  <c:v>6.7307692307692264</c:v>
                </c:pt>
                <c:pt idx="11">
                  <c:v>3.5339063992359314</c:v>
                </c:pt>
                <c:pt idx="12">
                  <c:v>3.3396946564885468</c:v>
                </c:pt>
                <c:pt idx="13">
                  <c:v>3.6363636363636402</c:v>
                </c:pt>
                <c:pt idx="14">
                  <c:v>4.1346153846153726</c:v>
                </c:pt>
                <c:pt idx="15">
                  <c:v>4.2979942693409896</c:v>
                </c:pt>
                <c:pt idx="16">
                  <c:v>2.6315789473684248</c:v>
                </c:pt>
                <c:pt idx="17">
                  <c:v>-0.46210720887246737</c:v>
                </c:pt>
                <c:pt idx="18">
                  <c:v>-2.365787079162871</c:v>
                </c:pt>
                <c:pt idx="19">
                  <c:v>-3.8216560509554114</c:v>
                </c:pt>
                <c:pt idx="20">
                  <c:v>-2.6459854014598534</c:v>
                </c:pt>
                <c:pt idx="21">
                  <c:v>-2.1897810218978151</c:v>
                </c:pt>
                <c:pt idx="22">
                  <c:v>-3.4234234234234293</c:v>
                </c:pt>
                <c:pt idx="23">
                  <c:v>0.2767527675276682</c:v>
                </c:pt>
                <c:pt idx="24">
                  <c:v>0.46168051708218627</c:v>
                </c:pt>
                <c:pt idx="25">
                  <c:v>-1.7543859649122737</c:v>
                </c:pt>
                <c:pt idx="26">
                  <c:v>-3.9704524469067337</c:v>
                </c:pt>
                <c:pt idx="27">
                  <c:v>-8.7912087912087884</c:v>
                </c:pt>
                <c:pt idx="28">
                  <c:v>-10.256410256410263</c:v>
                </c:pt>
                <c:pt idx="29">
                  <c:v>-7.3351903435468842</c:v>
                </c:pt>
                <c:pt idx="30">
                  <c:v>-4.8462255358806914</c:v>
                </c:pt>
                <c:pt idx="31">
                  <c:v>-5.0141911069063241</c:v>
                </c:pt>
                <c:pt idx="32">
                  <c:v>-5.3420805998125473</c:v>
                </c:pt>
                <c:pt idx="33">
                  <c:v>-5.7835820895522403</c:v>
                </c:pt>
                <c:pt idx="34">
                  <c:v>-3.7313432835820919</c:v>
                </c:pt>
                <c:pt idx="35">
                  <c:v>-3.6798528058877622</c:v>
                </c:pt>
                <c:pt idx="36">
                  <c:v>-2.1139705882353041</c:v>
                </c:pt>
                <c:pt idx="37">
                  <c:v>1.691729323308266</c:v>
                </c:pt>
                <c:pt idx="38">
                  <c:v>6.8269230769230802</c:v>
                </c:pt>
                <c:pt idx="39">
                  <c:v>13.353413654618464</c:v>
                </c:pt>
                <c:pt idx="40">
                  <c:v>16.83673469387756</c:v>
                </c:pt>
                <c:pt idx="41">
                  <c:v>16.332665330661328</c:v>
                </c:pt>
                <c:pt idx="42">
                  <c:v>18.02154750244857</c:v>
                </c:pt>
                <c:pt idx="43">
                  <c:v>21.91235059760956</c:v>
                </c:pt>
                <c:pt idx="44">
                  <c:v>24.554455445544548</c:v>
                </c:pt>
                <c:pt idx="45">
                  <c:v>29.702970297029708</c:v>
                </c:pt>
                <c:pt idx="46">
                  <c:v>31.104651162790702</c:v>
                </c:pt>
                <c:pt idx="47">
                  <c:v>31.136580706781302</c:v>
                </c:pt>
                <c:pt idx="48">
                  <c:v>34.178403755868544</c:v>
                </c:pt>
                <c:pt idx="49">
                  <c:v>37.338262476894613</c:v>
                </c:pt>
              </c:numCache>
            </c:numRef>
          </c:val>
          <c:smooth val="0"/>
          <c:extLst xmlns:c16r2="http://schemas.microsoft.com/office/drawing/2015/06/chart">
            <c:ext xmlns:c16="http://schemas.microsoft.com/office/drawing/2014/chart" uri="{C3380CC4-5D6E-409C-BE32-E72D297353CC}">
              <c16:uniqueId val="{00000001-745A-4494-89D3-F9F62C319C60}"/>
            </c:ext>
          </c:extLst>
        </c:ser>
        <c:dLbls>
          <c:showLegendKey val="0"/>
          <c:showVal val="0"/>
          <c:showCatName val="0"/>
          <c:showSerName val="0"/>
          <c:showPercent val="0"/>
          <c:showBubbleSize val="0"/>
        </c:dLbls>
        <c:marker val="1"/>
        <c:smooth val="0"/>
        <c:axId val="255972480"/>
        <c:axId val="255973040"/>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xmlns:c16r2="http://schemas.microsoft.com/office/drawing/2015/06/chart">
            <c:ext xmlns:c16="http://schemas.microsoft.com/office/drawing/2014/chart" uri="{C3380CC4-5D6E-409C-BE32-E72D297353CC}">
              <c16:uniqueId val="{00000002-745A-4494-89D3-F9F62C319C60}"/>
            </c:ext>
          </c:extLst>
        </c:ser>
        <c:dLbls>
          <c:showLegendKey val="0"/>
          <c:showVal val="0"/>
          <c:showCatName val="0"/>
          <c:showSerName val="0"/>
          <c:showPercent val="0"/>
          <c:showBubbleSize val="0"/>
        </c:dLbls>
        <c:marker val="1"/>
        <c:smooth val="0"/>
        <c:axId val="255974160"/>
        <c:axId val="255973600"/>
      </c:lineChart>
      <c:catAx>
        <c:axId val="25597248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55973040"/>
        <c:crosses val="autoZero"/>
        <c:auto val="1"/>
        <c:lblAlgn val="ctr"/>
        <c:lblOffset val="0"/>
        <c:tickMarkSkip val="3"/>
        <c:noMultiLvlLbl val="0"/>
      </c:catAx>
      <c:valAx>
        <c:axId val="255973040"/>
        <c:scaling>
          <c:orientation val="minMax"/>
          <c:max val="40"/>
          <c:min val="-4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5.8228395061728395E-3"/>
              <c:y val="1.513843941028407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55972480"/>
        <c:crosses val="autoZero"/>
        <c:crossBetween val="between"/>
        <c:majorUnit val="20"/>
      </c:valAx>
      <c:valAx>
        <c:axId val="255973600"/>
        <c:scaling>
          <c:orientation val="minMax"/>
        </c:scaling>
        <c:delete val="1"/>
        <c:axPos val="r"/>
        <c:numFmt formatCode="General" sourceLinked="1"/>
        <c:majorTickMark val="out"/>
        <c:minorTickMark val="none"/>
        <c:tickLblPos val="nextTo"/>
        <c:crossAx val="255974160"/>
        <c:crosses val="max"/>
        <c:crossBetween val="between"/>
      </c:valAx>
      <c:catAx>
        <c:axId val="255974160"/>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55973600"/>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4301820987654318"/>
          <c:y val="9.7099167978412407E-2"/>
          <c:w val="0.7456351851851852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3A331-E51C-433B-B400-E4AB42279668}">
  <ds:schemaRefs>
    <ds:schemaRef ds:uri="http://schemas.microsoft.com/sharepoint/v3/contenttype/forms"/>
  </ds:schemaRefs>
</ds:datastoreItem>
</file>

<file path=customXml/itemProps2.xml><?xml version="1.0" encoding="utf-8"?>
<ds:datastoreItem xmlns:ds="http://schemas.openxmlformats.org/officeDocument/2006/customXml" ds:itemID="{BBAC46FC-E450-4A0E-A8DC-D0559AC30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0AF039-4907-44F4-9163-8CBD2D9FEF44}">
  <ds:schemaRefs>
    <ds:schemaRef ds:uri="http://schemas.microsoft.com/office/2006/metadata/longProperties"/>
  </ds:schemaRefs>
</ds:datastoreItem>
</file>

<file path=customXml/itemProps4.xml><?xml version="1.0" encoding="utf-8"?>
<ds:datastoreItem xmlns:ds="http://schemas.openxmlformats.org/officeDocument/2006/customXml" ds:itemID="{416CBCD4-A0D9-4779-82A0-880610C2D008}">
  <ds:schemaRef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purl.org/dc/dcmitype/"/>
    <ds:schemaRef ds:uri="2886d22a-1eb9-406b-961e-e52bb60f5915"/>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4463D393-A86E-48FE-A47C-966673B0F313}">
  <ds:schemaRefs>
    <ds:schemaRef ds:uri="http://schemas.microsoft.com/sharepoint/events"/>
  </ds:schemaRefs>
</ds:datastoreItem>
</file>

<file path=customXml/itemProps6.xml><?xml version="1.0" encoding="utf-8"?>
<ds:datastoreItem xmlns:ds="http://schemas.openxmlformats.org/officeDocument/2006/customXml" ds:itemID="{0AE0E76D-1D59-4E58-978F-991F6459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9467</Words>
  <Characters>53962</Characters>
  <Application>Microsoft Office Word</Application>
  <DocSecurity>0</DocSecurity>
  <Lines>449</Lines>
  <Paragraphs>126</Paragraphs>
  <ScaleCrop>false</ScaleCrop>
  <HeadingPairs>
    <vt:vector size="2" baseType="variant">
      <vt:variant>
        <vt:lpstr>Titolo</vt:lpstr>
      </vt:variant>
      <vt:variant>
        <vt:i4>1</vt:i4>
      </vt:variant>
    </vt:vector>
  </HeadingPairs>
  <TitlesOfParts>
    <vt:vector size="1" baseType="lpstr">
      <vt:lpstr>COMMERCIO CON L'ESTERO E PREZZI ALL'IMPORT</vt:lpstr>
    </vt:vector>
  </TitlesOfParts>
  <Company>HP</Company>
  <LinksUpToDate>false</LinksUpToDate>
  <CharactersWithSpaces>63303</CharactersWithSpaces>
  <SharedDoc>false</SharedDoc>
  <HLinks>
    <vt:vector size="108" baseType="variant">
      <vt:variant>
        <vt:i4>3670095</vt:i4>
      </vt:variant>
      <vt:variant>
        <vt:i4>51</vt:i4>
      </vt:variant>
      <vt:variant>
        <vt:i4>0</vt:i4>
      </vt:variant>
      <vt:variant>
        <vt:i4>5</vt:i4>
      </vt:variant>
      <vt:variant>
        <vt:lpwstr>https://www.istat.it/it/files/2018/05/nota_informativa_prezzi_import.pdf</vt:lpwstr>
      </vt:variant>
      <vt:variant>
        <vt:lpwstr/>
      </vt:variant>
      <vt:variant>
        <vt:i4>6881380</vt:i4>
      </vt:variant>
      <vt:variant>
        <vt:i4>48</vt:i4>
      </vt:variant>
      <vt:variant>
        <vt:i4>0</vt:i4>
      </vt:variant>
      <vt:variant>
        <vt:i4>5</vt:i4>
      </vt:variant>
      <vt:variant>
        <vt:lpwstr>http://www.istat.it/it/files/2015/11/Ricostruzione-serie-indici-2005-2009.pdf?title=Prezzi+all%27importazione+dei+prodotti+industriali+-+17%2Fnov%2F2015+-+Ricostruzione+serie.pdf</vt:lpwstr>
      </vt:variant>
      <vt:variant>
        <vt:lpwstr/>
      </vt:variant>
      <vt:variant>
        <vt:i4>7340158</vt:i4>
      </vt:variant>
      <vt:variant>
        <vt:i4>45</vt:i4>
      </vt:variant>
      <vt:variant>
        <vt:i4>0</vt:i4>
      </vt:variant>
      <vt:variant>
        <vt:i4>5</vt:i4>
      </vt:variant>
      <vt:variant>
        <vt:lpwstr>http://www.istat.it/it/files/2016/02/Prezzi-all-importazione-dei-prodotti-industriali-Nota-informativa.pdf?title=Prezzi+all%E2%80%99importazione+dei+prodotti+industriali+-+16%2Ffeb%2F2016+-+Nota+informativa.pdf</vt:lpwstr>
      </vt:variant>
      <vt:variant>
        <vt:lpwstr/>
      </vt:variant>
      <vt:variant>
        <vt:i4>5898331</vt:i4>
      </vt:variant>
      <vt:variant>
        <vt:i4>42</vt:i4>
      </vt:variant>
      <vt:variant>
        <vt:i4>0</vt:i4>
      </vt:variant>
      <vt:variant>
        <vt:i4>5</vt:i4>
      </vt:variant>
      <vt:variant>
        <vt:lpwstr>http://www.istat.it/it/archivio/45225</vt:lpwstr>
      </vt:variant>
      <vt:variant>
        <vt:lpwstr/>
      </vt:variant>
      <vt:variant>
        <vt:i4>852042</vt:i4>
      </vt:variant>
      <vt:variant>
        <vt:i4>39</vt:i4>
      </vt:variant>
      <vt:variant>
        <vt:i4>0</vt:i4>
      </vt:variant>
      <vt:variant>
        <vt:i4>5</vt:i4>
      </vt:variant>
      <vt:variant>
        <vt:lpwstr>https://www.istat.it/it/files/2011/03/testointegrale20080225.pdf</vt:lpwstr>
      </vt:variant>
      <vt:variant>
        <vt:lpwstr/>
      </vt:variant>
      <vt:variant>
        <vt:i4>7340157</vt:i4>
      </vt:variant>
      <vt:variant>
        <vt:i4>36</vt:i4>
      </vt:variant>
      <vt:variant>
        <vt:i4>0</vt:i4>
      </vt:variant>
      <vt:variant>
        <vt:i4>5</vt:i4>
      </vt:variant>
      <vt:variant>
        <vt:lpwstr>http://ec.europa.eu/eurostat/data/database</vt:lpwstr>
      </vt:variant>
      <vt:variant>
        <vt:lpwstr/>
      </vt:variant>
      <vt:variant>
        <vt:i4>3604535</vt:i4>
      </vt:variant>
      <vt:variant>
        <vt:i4>33</vt:i4>
      </vt:variant>
      <vt:variant>
        <vt:i4>0</vt:i4>
      </vt:variant>
      <vt:variant>
        <vt:i4>5</vt:i4>
      </vt:variant>
      <vt:variant>
        <vt:lpwstr>http://www.istat.it/it/archivio/esportazioni+delle+regioni</vt:lpwstr>
      </vt:variant>
      <vt:variant>
        <vt:lpwstr/>
      </vt:variant>
      <vt:variant>
        <vt:i4>1245267</vt:i4>
      </vt:variant>
      <vt:variant>
        <vt:i4>30</vt:i4>
      </vt:variant>
      <vt:variant>
        <vt:i4>0</vt:i4>
      </vt:variant>
      <vt:variant>
        <vt:i4>5</vt:i4>
      </vt:variant>
      <vt:variant>
        <vt:lpwstr>http://www.istat.it/it/archivio/commercio+estero+extra+ue</vt:lpwstr>
      </vt:variant>
      <vt:variant>
        <vt:lpwstr/>
      </vt:variant>
      <vt:variant>
        <vt:i4>4259923</vt:i4>
      </vt:variant>
      <vt:variant>
        <vt:i4>27</vt:i4>
      </vt:variant>
      <vt:variant>
        <vt:i4>0</vt:i4>
      </vt:variant>
      <vt:variant>
        <vt:i4>5</vt:i4>
      </vt:variant>
      <vt:variant>
        <vt:lpwstr>http://www.istat.it/it/archivio/commercio+estero+e+prezzi+import</vt:lpwstr>
      </vt:variant>
      <vt:variant>
        <vt:lpwstr/>
      </vt:variant>
      <vt:variant>
        <vt:i4>2359335</vt:i4>
      </vt:variant>
      <vt:variant>
        <vt:i4>24</vt:i4>
      </vt:variant>
      <vt:variant>
        <vt:i4>0</vt:i4>
      </vt:variant>
      <vt:variant>
        <vt:i4>5</vt:i4>
      </vt:variant>
      <vt:variant>
        <vt:lpwstr>http://www.istat.it/it/files/2016/07/scheda-CommercioEstero-e-prezzi-allimport-dei-prodotti-industriali.pdf</vt:lpwstr>
      </vt:variant>
      <vt:variant>
        <vt:lpwstr/>
      </vt:variant>
      <vt:variant>
        <vt:i4>2031617</vt:i4>
      </vt:variant>
      <vt:variant>
        <vt:i4>21</vt:i4>
      </vt:variant>
      <vt:variant>
        <vt:i4>0</vt:i4>
      </vt:variant>
      <vt:variant>
        <vt:i4>5</vt:i4>
      </vt:variant>
      <vt:variant>
        <vt:lpwstr>http://www.istat.it/it/congiuntura/revisioni</vt:lpwstr>
      </vt:variant>
      <vt:variant>
        <vt:lpwstr/>
      </vt:variant>
      <vt:variant>
        <vt:i4>1310812</vt:i4>
      </vt:variant>
      <vt:variant>
        <vt:i4>18</vt:i4>
      </vt:variant>
      <vt:variant>
        <vt:i4>0</vt:i4>
      </vt:variant>
      <vt:variant>
        <vt:i4>5</vt:i4>
      </vt:variant>
      <vt:variant>
        <vt:lpwstr>http://www.istat.it/it/informazioni/per-i-giornalisti/calendario/</vt:lpwstr>
      </vt:variant>
      <vt:variant>
        <vt:lpwstr/>
      </vt:variant>
      <vt:variant>
        <vt:i4>1900613</vt:i4>
      </vt:variant>
      <vt:variant>
        <vt:i4>15</vt:i4>
      </vt:variant>
      <vt:variant>
        <vt:i4>0</vt:i4>
      </vt:variant>
      <vt:variant>
        <vt:i4>5</vt:i4>
      </vt:variant>
      <vt:variant>
        <vt:lpwstr>https://www.coeweb.istat.it/</vt:lpwstr>
      </vt:variant>
      <vt:variant>
        <vt:lpwstr/>
      </vt:variant>
      <vt:variant>
        <vt:i4>6815848</vt:i4>
      </vt:variant>
      <vt:variant>
        <vt:i4>12</vt:i4>
      </vt:variant>
      <vt:variant>
        <vt:i4>0</vt:i4>
      </vt:variant>
      <vt:variant>
        <vt:i4>5</vt:i4>
      </vt:variant>
      <vt:variant>
        <vt:lpwstr>http://ec.europa.eu/eurostat/documents/3859598/5902521/KS-RA-07-015-EN.PDF</vt:lpwstr>
      </vt:variant>
      <vt:variant>
        <vt:lpwstr/>
      </vt:variant>
      <vt:variant>
        <vt:i4>5832811</vt:i4>
      </vt:variant>
      <vt:variant>
        <vt:i4>9</vt:i4>
      </vt:variant>
      <vt:variant>
        <vt:i4>0</vt:i4>
      </vt:variant>
      <vt:variant>
        <vt:i4>5</vt:i4>
      </vt:variant>
      <vt:variant>
        <vt:lpwstr>https://unstats.un.org/unsd/cr/registry/docs/i4_SNA.pdf</vt:lpwstr>
      </vt:variant>
      <vt:variant>
        <vt:lpwstr/>
      </vt:variant>
      <vt:variant>
        <vt:i4>1900613</vt:i4>
      </vt:variant>
      <vt:variant>
        <vt:i4>6</vt:i4>
      </vt:variant>
      <vt:variant>
        <vt:i4>0</vt:i4>
      </vt:variant>
      <vt:variant>
        <vt:i4>5</vt:i4>
      </vt:variant>
      <vt:variant>
        <vt:lpwstr>https://www.coeweb.istat.it/</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COMMERCIO CON L'ESTERO E PREZZI ALL'IMPORT</dc:title>
  <dc:subject/>
  <dc:creator>ISTAT</dc:creator>
  <cp:keywords/>
  <dc:description/>
  <cp:lastModifiedBy>Lidia Fagiolo</cp:lastModifiedBy>
  <cp:revision>2</cp:revision>
  <cp:lastPrinted>2022-04-13T12:11:00Z</cp:lastPrinted>
  <dcterms:created xsi:type="dcterms:W3CDTF">2022-04-20T05:29:00Z</dcterms:created>
  <dcterms:modified xsi:type="dcterms:W3CDTF">2022-04-20T05:29:00Z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2QYKZWF4TN2A-29-1413</vt:lpwstr>
  </property>
  <property fmtid="{D5CDD505-2E9C-101B-9397-08002B2CF9AE}" pid="3" name="_dlc_DocIdItemGuid">
    <vt:lpwstr>91d25d38-75ff-4036-8e43-5fa02ffec53a</vt:lpwstr>
  </property>
  <property fmtid="{D5CDD505-2E9C-101B-9397-08002B2CF9AE}" pid="4" name="_dlc_DocIdUrl">
    <vt:lpwstr>https://collaborazione.istat.it/siti/ed/ufficio_stampa/_layouts/DocIdRedir.aspx?ID=2QYKZWF4TN2A-29-1413, 2QYKZWF4TN2A-29-1413</vt:lpwstr>
  </property>
</Properties>
</file>