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FF271" w14:textId="470F354C" w:rsidR="00C143C7" w:rsidRDefault="00D578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FB60" wp14:editId="6B76C57E">
                <wp:simplePos x="0" y="0"/>
                <wp:positionH relativeFrom="column">
                  <wp:posOffset>4250055</wp:posOffset>
                </wp:positionH>
                <wp:positionV relativeFrom="paragraph">
                  <wp:posOffset>-209550</wp:posOffset>
                </wp:positionV>
                <wp:extent cx="1274445" cy="34480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AE0D" w14:textId="61A6CD69" w:rsidR="008A03D3" w:rsidRPr="00D963A1" w:rsidRDefault="00A24B61" w:rsidP="0056141B">
                            <w:pPr>
                              <w:spacing w:before="120"/>
                              <w:ind w:left="36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</w:t>
                            </w:r>
                            <w:r w:rsidR="00E36E8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</w:t>
                            </w:r>
                            <w:r w:rsidR="008A03D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 xml:space="preserve"> </w:t>
                            </w:r>
                            <w:r w:rsidR="00E36E8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aprile</w:t>
                            </w:r>
                            <w:r w:rsidR="008A03D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 xml:space="preserve"> </w:t>
                            </w:r>
                            <w:r w:rsidR="00A06AD0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202</w:t>
                            </w:r>
                            <w:r w:rsidR="00E36E8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B9FB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4.65pt;margin-top:-16.5pt;width:100.35pt;height:2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gUswIAALg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" filled="f" stroked="f">
                <v:textbox inset="1.5mm,,1.5mm">
                  <w:txbxContent>
                    <w:p w14:paraId="5B5CAE0D" w14:textId="61A6CD69" w:rsidR="008A03D3" w:rsidRPr="00D963A1" w:rsidRDefault="00A24B61" w:rsidP="0056141B">
                      <w:pPr>
                        <w:spacing w:before="120"/>
                        <w:ind w:left="360"/>
                        <w:jc w:val="both"/>
                        <w:rPr>
                          <w:rFonts w:ascii="Arial Narrow" w:hAnsi="Arial Narrow" w:cs="Arial"/>
                          <w:b/>
                          <w:color w:val="5F5F5F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5F5F5F"/>
                        </w:rPr>
                        <w:t>2</w:t>
                      </w:r>
                      <w:r w:rsidR="00E36E83">
                        <w:rPr>
                          <w:rFonts w:ascii="Arial Narrow" w:hAnsi="Arial Narrow" w:cs="Arial"/>
                          <w:b/>
                          <w:color w:val="5F5F5F"/>
                        </w:rPr>
                        <w:t>2</w:t>
                      </w:r>
                      <w:r w:rsidR="008A03D3">
                        <w:rPr>
                          <w:rFonts w:ascii="Arial Narrow" w:hAnsi="Arial Narrow" w:cs="Arial"/>
                          <w:b/>
                          <w:color w:val="5F5F5F"/>
                        </w:rPr>
                        <w:t xml:space="preserve"> </w:t>
                      </w:r>
                      <w:r w:rsidR="00E36E83">
                        <w:rPr>
                          <w:rFonts w:ascii="Arial Narrow" w:hAnsi="Arial Narrow" w:cs="Arial"/>
                          <w:b/>
                          <w:color w:val="5F5F5F"/>
                        </w:rPr>
                        <w:t>aprile</w:t>
                      </w:r>
                      <w:r w:rsidR="008A03D3">
                        <w:rPr>
                          <w:rFonts w:ascii="Arial Narrow" w:hAnsi="Arial Narrow" w:cs="Arial"/>
                          <w:b/>
                          <w:color w:val="5F5F5F"/>
                        </w:rPr>
                        <w:t xml:space="preserve"> </w:t>
                      </w:r>
                      <w:r w:rsidR="00A06AD0">
                        <w:rPr>
                          <w:rFonts w:ascii="Arial Narrow" w:hAnsi="Arial Narrow" w:cs="Arial"/>
                          <w:b/>
                          <w:color w:val="5F5F5F"/>
                        </w:rPr>
                        <w:t>202</w:t>
                      </w:r>
                      <w:r w:rsidR="00E36E83">
                        <w:rPr>
                          <w:rFonts w:ascii="Arial Narrow" w:hAnsi="Arial Narrow" w:cs="Arial"/>
                          <w:b/>
                          <w:color w:val="5F5F5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D7C6D5E" w14:textId="77777777" w:rsidR="00465480" w:rsidRDefault="00465480">
      <w:pPr>
        <w:rPr>
          <w:noProof/>
        </w:rPr>
      </w:pPr>
    </w:p>
    <w:p w14:paraId="29371D9E" w14:textId="77777777" w:rsidR="00465480" w:rsidRDefault="00465480">
      <w:pPr>
        <w:rPr>
          <w:noProof/>
        </w:rPr>
      </w:pPr>
    </w:p>
    <w:p w14:paraId="4277FF74" w14:textId="77777777" w:rsidR="00465480" w:rsidRDefault="00465480">
      <w:pPr>
        <w:rPr>
          <w:noProof/>
        </w:rPr>
      </w:pPr>
    </w:p>
    <w:p w14:paraId="108FE2CE" w14:textId="77777777" w:rsidR="00465480" w:rsidRDefault="00465480">
      <w:pPr>
        <w:rPr>
          <w:noProof/>
        </w:rPr>
      </w:pPr>
    </w:p>
    <w:p w14:paraId="7AFCAE42" w14:textId="77777777" w:rsidR="00465480" w:rsidRDefault="00465480">
      <w:pPr>
        <w:rPr>
          <w:noProof/>
        </w:rPr>
      </w:pPr>
    </w:p>
    <w:p w14:paraId="4AB6075F" w14:textId="77777777" w:rsidR="00465480" w:rsidRDefault="00465480"/>
    <w:p w14:paraId="45D4D5BB" w14:textId="77777777" w:rsidR="00C143C7" w:rsidRDefault="00C143C7" w:rsidP="006D620F">
      <w:pPr>
        <w:spacing w:after="120"/>
        <w:ind w:leftChars="1814" w:left="4354"/>
        <w:rPr>
          <w:rFonts w:ascii="Arial" w:hAnsi="Arial" w:cs="Arial"/>
          <w:sz w:val="18"/>
          <w:szCs w:val="18"/>
        </w:rPr>
      </w:pPr>
    </w:p>
    <w:p w14:paraId="11184A5E" w14:textId="453D22B2" w:rsidR="00C143C7" w:rsidRDefault="00C143C7">
      <w:pPr>
        <w:spacing w:after="120"/>
        <w:ind w:left="181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Anni 201</w:t>
      </w:r>
      <w:r w:rsidR="00E36E83">
        <w:rPr>
          <w:rFonts w:ascii="Arial" w:hAnsi="Arial" w:cs="Arial"/>
          <w:color w:val="000000"/>
          <w:sz w:val="28"/>
          <w:szCs w:val="28"/>
        </w:rPr>
        <w:t>8</w:t>
      </w:r>
      <w:r w:rsidR="00577660">
        <w:rPr>
          <w:rFonts w:ascii="Arial" w:hAnsi="Arial" w:cs="Arial"/>
          <w:color w:val="000000"/>
          <w:sz w:val="28"/>
          <w:szCs w:val="28"/>
        </w:rPr>
        <w:t>-202</w:t>
      </w:r>
      <w:r w:rsidR="00E36E83">
        <w:rPr>
          <w:rFonts w:ascii="Arial" w:hAnsi="Arial" w:cs="Arial"/>
          <w:color w:val="000000"/>
          <w:sz w:val="28"/>
          <w:szCs w:val="28"/>
        </w:rPr>
        <w:t>1</w:t>
      </w:r>
    </w:p>
    <w:p w14:paraId="6BE9AD0C" w14:textId="77777777" w:rsidR="00C143C7" w:rsidRPr="00AF70C4" w:rsidRDefault="007D1B53">
      <w:pPr>
        <w:spacing w:after="120"/>
        <w:ind w:left="1814"/>
        <w:rPr>
          <w:rFonts w:ascii="Arial Narrow" w:hAnsi="Arial Narrow" w:cs="Arial"/>
          <w:b/>
          <w:caps/>
          <w:color w:val="808080"/>
          <w:sz w:val="44"/>
          <w:szCs w:val="44"/>
        </w:rPr>
      </w:pPr>
      <w:r>
        <w:rPr>
          <w:rFonts w:ascii="Arial Narrow" w:hAnsi="Arial Narrow" w:cs="Arial"/>
          <w:b/>
          <w:caps/>
          <w:color w:val="808080"/>
          <w:sz w:val="44"/>
          <w:szCs w:val="44"/>
        </w:rPr>
        <w:t>NOtifica delL’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t>indebitamento netto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br/>
        <w:t xml:space="preserve">E del debito delle Amministrazioni pubbliche Secondo 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br/>
        <w:t>il Trattato di Maastricht</w:t>
      </w:r>
    </w:p>
    <w:p w14:paraId="7EA08856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6F9B497E" w14:textId="3D8B867A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L’Istat pubblica i principali dati della Notifica sull’</w:t>
      </w:r>
      <w:r>
        <w:rPr>
          <w:rFonts w:ascii="Arial" w:hAnsi="Arial" w:cs="Arial"/>
          <w:b/>
          <w:sz w:val="20"/>
          <w:szCs w:val="20"/>
        </w:rPr>
        <w:t>indebitamento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e sul </w:t>
      </w:r>
      <w:r>
        <w:rPr>
          <w:rFonts w:ascii="Arial" w:hAnsi="Arial" w:cs="Arial"/>
          <w:b/>
          <w:sz w:val="20"/>
          <w:szCs w:val="20"/>
        </w:rPr>
        <w:t>debito</w:t>
      </w:r>
      <w:r>
        <w:rPr>
          <w:rFonts w:ascii="Arial" w:hAnsi="Arial" w:cs="Arial"/>
          <w:sz w:val="20"/>
          <w:szCs w:val="20"/>
        </w:rPr>
        <w:t xml:space="preserve"> delle Amministrazioni Pubbliche (AP), riferiti al periodo 201</w:t>
      </w:r>
      <w:r w:rsidR="00E36E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trasmessi alla Commissione Europea in applicazione del </w:t>
      </w:r>
      <w:r>
        <w:rPr>
          <w:rFonts w:ascii="Arial" w:hAnsi="Arial" w:cs="Arial"/>
          <w:i/>
          <w:sz w:val="20"/>
          <w:szCs w:val="20"/>
        </w:rPr>
        <w:t>Protocollo sulla Procedura per i D</w:t>
      </w:r>
      <w:r w:rsidR="00A17754">
        <w:rPr>
          <w:rFonts w:ascii="Arial" w:hAnsi="Arial" w:cs="Arial"/>
          <w:i/>
          <w:sz w:val="20"/>
          <w:szCs w:val="20"/>
        </w:rPr>
        <w:t>isavanzi</w:t>
      </w:r>
      <w:r>
        <w:rPr>
          <w:rFonts w:ascii="Arial" w:hAnsi="Arial" w:cs="Arial"/>
          <w:i/>
          <w:sz w:val="20"/>
          <w:szCs w:val="20"/>
        </w:rPr>
        <w:t xml:space="preserve"> Eccessivi (PDE)</w:t>
      </w:r>
      <w:r w:rsidRPr="00715E6A">
        <w:rPr>
          <w:rFonts w:ascii="Arial" w:hAnsi="Arial" w:cs="Arial"/>
          <w:sz w:val="20"/>
          <w:szCs w:val="20"/>
        </w:rPr>
        <w:t xml:space="preserve"> </w:t>
      </w:r>
      <w:r w:rsidRPr="000D5F8C">
        <w:rPr>
          <w:rFonts w:ascii="Arial" w:hAnsi="Arial" w:cs="Arial"/>
          <w:sz w:val="20"/>
          <w:szCs w:val="20"/>
        </w:rPr>
        <w:t xml:space="preserve">annesso al </w:t>
      </w:r>
      <w:r w:rsidRPr="000D5F8C">
        <w:rPr>
          <w:rFonts w:ascii="Arial" w:hAnsi="Arial" w:cs="Arial"/>
          <w:i/>
          <w:sz w:val="20"/>
          <w:szCs w:val="20"/>
        </w:rPr>
        <w:t>Trattato di Maastricht</w:t>
      </w:r>
      <w:r w:rsidRPr="000D5F8C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  <w:r w:rsidRPr="00FA65ED">
        <w:rPr>
          <w:rFonts w:ascii="Arial" w:hAnsi="Arial" w:cs="Arial"/>
          <w:sz w:val="20"/>
          <w:szCs w:val="20"/>
        </w:rPr>
        <w:t>In base a</w:t>
      </w:r>
      <w:r>
        <w:rPr>
          <w:rFonts w:ascii="Arial" w:hAnsi="Arial" w:cs="Arial"/>
          <w:sz w:val="20"/>
          <w:szCs w:val="20"/>
        </w:rPr>
        <w:t>l</w:t>
      </w:r>
      <w:r w:rsidRPr="00FA65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FA65ED">
        <w:rPr>
          <w:rFonts w:ascii="Arial" w:hAnsi="Arial" w:cs="Arial"/>
          <w:sz w:val="20"/>
          <w:szCs w:val="20"/>
        </w:rPr>
        <w:t>rotocollo</w:t>
      </w:r>
      <w:r w:rsidR="007E6663">
        <w:rPr>
          <w:rFonts w:ascii="Arial" w:hAnsi="Arial" w:cs="Arial"/>
          <w:sz w:val="20"/>
          <w:szCs w:val="20"/>
        </w:rPr>
        <w:t>,</w:t>
      </w:r>
      <w:r w:rsidRPr="00FA65ED">
        <w:rPr>
          <w:rFonts w:ascii="Arial" w:hAnsi="Arial" w:cs="Arial"/>
          <w:sz w:val="20"/>
          <w:szCs w:val="20"/>
        </w:rPr>
        <w:t xml:space="preserve"> i Paesi europei devono comunicare due volte all’anno (entro il 31 Marzo e </w:t>
      </w:r>
      <w:r w:rsidR="007E6663">
        <w:rPr>
          <w:rFonts w:ascii="Arial" w:hAnsi="Arial" w:cs="Arial"/>
          <w:sz w:val="20"/>
          <w:szCs w:val="20"/>
        </w:rPr>
        <w:t xml:space="preserve">il </w:t>
      </w:r>
      <w:r w:rsidRPr="00FA65ED">
        <w:rPr>
          <w:rFonts w:ascii="Arial" w:hAnsi="Arial" w:cs="Arial"/>
          <w:sz w:val="20"/>
          <w:szCs w:val="20"/>
        </w:rPr>
        <w:t xml:space="preserve">30 Settembre) i livelli dell’indebitamento netto, del debito pubblico e di altre grandezze di finanza pubblica relative ai quattro anni precedenti, nonché le previsioni ufficiali degli stessi per l’anno in corso. </w:t>
      </w:r>
      <w:r>
        <w:rPr>
          <w:rFonts w:ascii="Arial" w:hAnsi="Arial" w:cs="Arial"/>
          <w:sz w:val="20"/>
          <w:szCs w:val="20"/>
        </w:rPr>
        <w:t xml:space="preserve">Sulla Notifica trasmessa </w:t>
      </w:r>
      <w:r w:rsidRPr="00133442">
        <w:rPr>
          <w:rFonts w:ascii="Arial" w:hAnsi="Arial" w:cs="Arial"/>
          <w:sz w:val="20"/>
          <w:szCs w:val="20"/>
        </w:rPr>
        <w:t>dall’Italia non sono state espresse riserve</w:t>
      </w:r>
      <w:r w:rsidRPr="0013344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33442">
        <w:rPr>
          <w:rFonts w:ascii="Arial" w:hAnsi="Arial" w:cs="Arial"/>
          <w:sz w:val="20"/>
          <w:szCs w:val="20"/>
        </w:rPr>
        <w:t>.</w:t>
      </w:r>
    </w:p>
    <w:p w14:paraId="335F6986" w14:textId="339A0CDD" w:rsidR="00C143C7" w:rsidRDefault="00C143C7" w:rsidP="000138DE">
      <w:pPr>
        <w:spacing w:before="120"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relativi a </w:t>
      </w:r>
      <w:r w:rsidRPr="00715E6A">
        <w:rPr>
          <w:rFonts w:ascii="Arial" w:hAnsi="Arial" w:cs="Arial"/>
          <w:b/>
          <w:sz w:val="20"/>
          <w:szCs w:val="20"/>
        </w:rPr>
        <w:t xml:space="preserve">indebitamento netto </w:t>
      </w:r>
      <w:r w:rsidRPr="00C77CCC">
        <w:rPr>
          <w:rFonts w:ascii="Arial" w:hAnsi="Arial" w:cs="Arial"/>
          <w:sz w:val="20"/>
          <w:szCs w:val="20"/>
        </w:rPr>
        <w:t xml:space="preserve">e </w:t>
      </w:r>
      <w:r w:rsidRPr="00715E6A">
        <w:rPr>
          <w:rFonts w:ascii="Arial" w:hAnsi="Arial" w:cs="Arial"/>
          <w:b/>
          <w:sz w:val="20"/>
          <w:szCs w:val="20"/>
        </w:rPr>
        <w:t xml:space="preserve">debito </w:t>
      </w:r>
      <w:r w:rsidRPr="00C77CCC">
        <w:rPr>
          <w:rFonts w:ascii="Arial" w:hAnsi="Arial" w:cs="Arial"/>
          <w:sz w:val="20"/>
          <w:szCs w:val="20"/>
        </w:rPr>
        <w:t>delle AP</w:t>
      </w:r>
      <w:r w:rsidRPr="0071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costituiscono</w:t>
      </w:r>
      <w:r w:rsidRPr="00715E6A">
        <w:rPr>
          <w:rFonts w:ascii="Arial" w:hAnsi="Arial" w:cs="Arial"/>
          <w:sz w:val="20"/>
          <w:szCs w:val="20"/>
        </w:rPr>
        <w:t xml:space="preserve"> le principali grandezze di riferimento per le politiche di convergenza per l’Unione </w:t>
      </w:r>
      <w:r w:rsidR="000A11A7">
        <w:rPr>
          <w:rFonts w:ascii="Arial" w:hAnsi="Arial" w:cs="Arial"/>
          <w:sz w:val="20"/>
          <w:szCs w:val="20"/>
        </w:rPr>
        <w:t>economi</w:t>
      </w:r>
      <w:r w:rsidR="008B4602">
        <w:rPr>
          <w:rFonts w:ascii="Arial" w:hAnsi="Arial" w:cs="Arial"/>
          <w:sz w:val="20"/>
          <w:szCs w:val="20"/>
        </w:rPr>
        <w:t>c</w:t>
      </w:r>
      <w:r w:rsidR="000A11A7">
        <w:rPr>
          <w:rFonts w:ascii="Arial" w:hAnsi="Arial" w:cs="Arial"/>
          <w:sz w:val="20"/>
          <w:szCs w:val="20"/>
        </w:rPr>
        <w:t xml:space="preserve">a e monetaria </w:t>
      </w:r>
      <w:r w:rsidRPr="00715E6A">
        <w:rPr>
          <w:rFonts w:ascii="Arial" w:hAnsi="Arial" w:cs="Arial"/>
          <w:sz w:val="20"/>
          <w:szCs w:val="20"/>
        </w:rPr>
        <w:t>(UE</w:t>
      </w:r>
      <w:r w:rsidR="003E1D32">
        <w:rPr>
          <w:rFonts w:ascii="Arial" w:hAnsi="Arial" w:cs="Arial"/>
          <w:sz w:val="20"/>
          <w:szCs w:val="20"/>
        </w:rPr>
        <w:t>M</w:t>
      </w:r>
      <w:r w:rsidRPr="00715E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</w:t>
      </w:r>
      <w:r w:rsidRPr="00715E6A">
        <w:rPr>
          <w:rFonts w:ascii="Arial" w:hAnsi="Arial" w:cs="Arial"/>
          <w:sz w:val="20"/>
          <w:szCs w:val="20"/>
        </w:rPr>
        <w:t xml:space="preserve"> sono stimati rispettivamente dall’Istat e dalla Banca d’Itali</w:t>
      </w:r>
      <w:r w:rsidRPr="00E74F5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Vengono inoltre forniti gli elementi di riconciliazione tra la variazione del debito delle AP e l’indebitamento netto e tra quest’ultimo e il fabbisogno del settore pubblico, calcolato dal Ministero dell’Economia e delle Finanze. Tutti i dati</w:t>
      </w:r>
      <w:r w:rsidR="007E66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riferiti ai consuntivi per gli anni 201</w:t>
      </w:r>
      <w:r w:rsidR="00E36E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Pr="00375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sono sottoposti al processo di verifica condotto da </w:t>
      </w:r>
      <w:proofErr w:type="spellStart"/>
      <w:r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 e coordinato, </w:t>
      </w:r>
      <w:r w:rsidR="00D9432D">
        <w:rPr>
          <w:rFonts w:ascii="Arial" w:hAnsi="Arial" w:cs="Arial"/>
          <w:sz w:val="20"/>
          <w:szCs w:val="20"/>
        </w:rPr>
        <w:t xml:space="preserve">a livello </w:t>
      </w:r>
      <w:r>
        <w:rPr>
          <w:rFonts w:ascii="Arial" w:hAnsi="Arial" w:cs="Arial"/>
          <w:sz w:val="20"/>
          <w:szCs w:val="20"/>
        </w:rPr>
        <w:t xml:space="preserve">nazionale, dall’Istat. Non sono, invece, qui </w:t>
      </w:r>
      <w:r w:rsidRPr="00A6263E">
        <w:rPr>
          <w:rFonts w:ascii="Arial" w:hAnsi="Arial" w:cs="Arial"/>
          <w:sz w:val="20"/>
          <w:szCs w:val="20"/>
        </w:rPr>
        <w:t xml:space="preserve">riportate le previsioni ufficiali </w:t>
      </w:r>
      <w:r w:rsidR="00D9432D" w:rsidRPr="00A6263E">
        <w:rPr>
          <w:rFonts w:ascii="Arial" w:hAnsi="Arial" w:cs="Arial"/>
          <w:sz w:val="20"/>
          <w:szCs w:val="20"/>
        </w:rPr>
        <w:t xml:space="preserve">elaborate dal Ministero dell’Economia e delle Finanze </w:t>
      </w:r>
      <w:r w:rsidRPr="00A6263E">
        <w:rPr>
          <w:rFonts w:ascii="Arial" w:hAnsi="Arial" w:cs="Arial"/>
          <w:sz w:val="20"/>
          <w:szCs w:val="20"/>
        </w:rPr>
        <w:t>per il 2</w:t>
      </w:r>
      <w:r w:rsidR="003129DE" w:rsidRPr="00A6263E">
        <w:rPr>
          <w:rFonts w:ascii="Arial" w:hAnsi="Arial" w:cs="Arial"/>
          <w:sz w:val="20"/>
          <w:szCs w:val="20"/>
        </w:rPr>
        <w:t>0</w:t>
      </w:r>
      <w:r w:rsidR="00A06AD0" w:rsidRPr="00A6263E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2</w:t>
      </w:r>
      <w:r w:rsidR="00D9432D"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sz w:val="20"/>
          <w:szCs w:val="20"/>
        </w:rPr>
        <w:t>non sono inserite in tale processo.</w:t>
      </w:r>
    </w:p>
    <w:p w14:paraId="6E60122B" w14:textId="56ECDC32" w:rsidR="00C143C7" w:rsidRPr="0092237B" w:rsidRDefault="00C143C7" w:rsidP="008170E5">
      <w:pPr>
        <w:pStyle w:val="Titolo1"/>
        <w:spacing w:before="120" w:after="120"/>
        <w:ind w:left="1843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>I dati dell’indebitamento netto delle Amministrazioni Pubbliche per gli anni 201</w:t>
      </w:r>
      <w:r w:rsidR="00E36E83">
        <w:rPr>
          <w:rFonts w:ascii="Arial" w:hAnsi="Arial" w:cs="Arial"/>
          <w:b w:val="0"/>
          <w:bCs w:val="0"/>
          <w:color w:val="auto"/>
          <w:sz w:val="20"/>
          <w:szCs w:val="20"/>
        </w:rPr>
        <w:t>8</w:t>
      </w: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>-20</w:t>
      </w:r>
      <w:r w:rsidR="00E36E83">
        <w:rPr>
          <w:rFonts w:ascii="Arial" w:hAnsi="Arial" w:cs="Arial"/>
          <w:b w:val="0"/>
          <w:bCs w:val="0"/>
          <w:color w:val="auto"/>
          <w:sz w:val="20"/>
          <w:szCs w:val="20"/>
        </w:rPr>
        <w:t>21</w:t>
      </w: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206870"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sono elaborati in conformità alle regole fissate dal regolamento Ue n.549/2013 (Sistema Europeo dei </w:t>
      </w:r>
      <w:r w:rsidR="00206870" w:rsidRPr="0092237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Conti - Sec 2010) entrato in vigore il 1° </w:t>
      </w:r>
      <w:r w:rsidR="00206870" w:rsidRPr="0012758F">
        <w:rPr>
          <w:rFonts w:ascii="Arial" w:hAnsi="Arial" w:cs="Arial"/>
          <w:b w:val="0"/>
          <w:bCs w:val="0"/>
          <w:color w:val="auto"/>
          <w:sz w:val="20"/>
          <w:szCs w:val="20"/>
        </w:rPr>
        <w:t>sette</w:t>
      </w:r>
      <w:r w:rsidR="00206870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>mbre 2014 e dal Manuale sul disavanzo e sul debito pubblico</w:t>
      </w:r>
      <w:r w:rsidR="00743606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edizione 201</w:t>
      </w:r>
      <w:r w:rsidR="00E414C4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>9</w:t>
      </w:r>
      <w:r w:rsidR="00206870" w:rsidRPr="001D113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; </w:t>
      </w:r>
      <w:r w:rsidR="00206870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essi </w:t>
      </w:r>
      <w:r w:rsidR="000B59F4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coincidono</w:t>
      </w:r>
      <w:r w:rsidR="00BB5D4A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9E143C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con quelli diffusi lo scorso</w:t>
      </w:r>
      <w:r w:rsidR="0092237B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45D6A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5 </w:t>
      </w:r>
      <w:r w:rsidR="000B7A40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aprile</w:t>
      </w:r>
      <w:r w:rsidR="001B5AC0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414C4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92237B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(</w:t>
      </w:r>
      <w:r w:rsidR="000B7A40" w:rsidRPr="006B2F5F">
        <w:rPr>
          <w:rStyle w:val="Collegamentoipertestuale"/>
          <w:rFonts w:ascii="Arial" w:hAnsi="Arial" w:cs="Arial"/>
          <w:b w:val="0"/>
          <w:bCs w:val="0"/>
          <w:sz w:val="20"/>
          <w:szCs w:val="20"/>
        </w:rPr>
        <w:t xml:space="preserve">https://www.istat.it/it/archivio/269044 </w:t>
      </w:r>
      <w:r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“</w:t>
      </w:r>
      <w:r w:rsidR="00E414C4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Conto trimestrale delle Amministrazioni pubbliche, reddito e risparmio delle famiglie e profitti delle società</w:t>
      </w:r>
      <w:r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”).</w:t>
      </w:r>
      <w:r w:rsidRPr="0092237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</w:p>
    <w:p w14:paraId="76A5E950" w14:textId="1A2ECDEF" w:rsidR="00C143C7" w:rsidRDefault="00C143C7" w:rsidP="0045205B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92237B">
        <w:rPr>
          <w:rFonts w:ascii="Arial" w:hAnsi="Arial" w:cs="Arial"/>
          <w:sz w:val="20"/>
          <w:szCs w:val="20"/>
        </w:rPr>
        <w:t>Nel 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 w:rsidRPr="0092237B">
        <w:rPr>
          <w:rFonts w:ascii="Arial" w:hAnsi="Arial" w:cs="Arial"/>
          <w:sz w:val="20"/>
          <w:szCs w:val="20"/>
        </w:rPr>
        <w:t xml:space="preserve"> l’indebitamento netto de</w:t>
      </w:r>
      <w:r w:rsidR="003165E6" w:rsidRPr="0092237B">
        <w:rPr>
          <w:rFonts w:ascii="Arial" w:hAnsi="Arial" w:cs="Arial"/>
          <w:sz w:val="20"/>
          <w:szCs w:val="20"/>
        </w:rPr>
        <w:t>lle Amministrazioni Pubbliche (</w:t>
      </w:r>
      <w:r w:rsidR="00B12CE1" w:rsidRPr="00B12CE1">
        <w:rPr>
          <w:rFonts w:ascii="Arial" w:hAnsi="Arial" w:cs="Arial"/>
          <w:sz w:val="20"/>
          <w:szCs w:val="20"/>
        </w:rPr>
        <w:t>-</w:t>
      </w:r>
      <w:r w:rsidR="00E36E83">
        <w:rPr>
          <w:rFonts w:ascii="Arial" w:hAnsi="Arial" w:cs="Arial"/>
          <w:sz w:val="20"/>
          <w:szCs w:val="20"/>
        </w:rPr>
        <w:t>12</w:t>
      </w:r>
      <w:r w:rsidR="00E45D6A">
        <w:rPr>
          <w:rFonts w:ascii="Arial" w:hAnsi="Arial" w:cs="Arial"/>
          <w:sz w:val="20"/>
          <w:szCs w:val="20"/>
        </w:rPr>
        <w:t>8.</w:t>
      </w:r>
      <w:r w:rsidR="00E36E83">
        <w:rPr>
          <w:rFonts w:ascii="Arial" w:hAnsi="Arial" w:cs="Arial"/>
          <w:sz w:val="20"/>
          <w:szCs w:val="20"/>
        </w:rPr>
        <w:t>3</w:t>
      </w:r>
      <w:r w:rsidR="00B5374C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7</w:t>
      </w:r>
      <w:r w:rsidR="00FC3314">
        <w:rPr>
          <w:rFonts w:ascii="Arial" w:hAnsi="Arial" w:cs="Arial"/>
          <w:sz w:val="20"/>
          <w:szCs w:val="20"/>
        </w:rPr>
        <w:t xml:space="preserve"> </w:t>
      </w:r>
      <w:r w:rsidRPr="0092237B">
        <w:rPr>
          <w:rFonts w:ascii="Arial" w:hAnsi="Arial" w:cs="Arial"/>
          <w:sz w:val="20"/>
          <w:szCs w:val="20"/>
        </w:rPr>
        <w:t>milioni di euro) è stato p</w:t>
      </w:r>
      <w:r>
        <w:rPr>
          <w:rFonts w:ascii="Arial" w:hAnsi="Arial" w:cs="Arial"/>
          <w:sz w:val="20"/>
          <w:szCs w:val="20"/>
        </w:rPr>
        <w:t xml:space="preserve">ari al </w:t>
      </w:r>
      <w:r w:rsidR="00E36E83">
        <w:rPr>
          <w:rFonts w:ascii="Arial" w:hAnsi="Arial" w:cs="Arial"/>
          <w:sz w:val="20"/>
          <w:szCs w:val="20"/>
        </w:rPr>
        <w:t>7</w:t>
      </w:r>
      <w:r w:rsidR="00E45D6A">
        <w:rPr>
          <w:rFonts w:ascii="Arial" w:hAnsi="Arial" w:cs="Arial"/>
          <w:sz w:val="20"/>
          <w:szCs w:val="20"/>
        </w:rPr>
        <w:t>,</w:t>
      </w:r>
      <w:r w:rsidR="00E36E8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% del </w:t>
      </w:r>
      <w:proofErr w:type="spellStart"/>
      <w:r>
        <w:rPr>
          <w:rFonts w:ascii="Arial" w:hAnsi="Arial" w:cs="Arial"/>
          <w:sz w:val="20"/>
          <w:szCs w:val="20"/>
        </w:rPr>
        <w:t>Pil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r w:rsidR="005D195A">
        <w:rPr>
          <w:rFonts w:ascii="Arial" w:hAnsi="Arial" w:cs="Arial"/>
          <w:sz w:val="20"/>
          <w:szCs w:val="20"/>
        </w:rPr>
        <w:t>diminuzione</w:t>
      </w:r>
      <w:r w:rsidR="003165E6">
        <w:rPr>
          <w:rFonts w:ascii="Arial" w:hAnsi="Arial" w:cs="Arial"/>
          <w:sz w:val="20"/>
          <w:szCs w:val="20"/>
        </w:rPr>
        <w:t xml:space="preserve"> di circa</w:t>
      </w:r>
      <w:r>
        <w:rPr>
          <w:rFonts w:ascii="Arial" w:hAnsi="Arial" w:cs="Arial"/>
          <w:sz w:val="20"/>
          <w:szCs w:val="20"/>
        </w:rPr>
        <w:t xml:space="preserve"> </w:t>
      </w:r>
      <w:r w:rsidR="00E45D6A">
        <w:rPr>
          <w:rFonts w:ascii="Arial" w:hAnsi="Arial" w:cs="Arial"/>
          <w:sz w:val="20"/>
          <w:szCs w:val="20"/>
        </w:rPr>
        <w:t>30,</w:t>
      </w:r>
      <w:r w:rsidR="00A765F8">
        <w:rPr>
          <w:rFonts w:ascii="Arial" w:hAnsi="Arial" w:cs="Arial"/>
          <w:sz w:val="20"/>
          <w:szCs w:val="20"/>
        </w:rPr>
        <w:t>7</w:t>
      </w:r>
      <w:r w:rsidR="009E143C">
        <w:rPr>
          <w:rFonts w:ascii="Arial" w:hAnsi="Arial" w:cs="Arial"/>
          <w:sz w:val="20"/>
          <w:szCs w:val="20"/>
        </w:rPr>
        <w:t xml:space="preserve"> </w:t>
      </w:r>
      <w:r w:rsidR="00E9496C">
        <w:rPr>
          <w:rFonts w:ascii="Arial" w:hAnsi="Arial" w:cs="Arial"/>
          <w:sz w:val="20"/>
          <w:szCs w:val="20"/>
        </w:rPr>
        <w:t xml:space="preserve">miliardi </w:t>
      </w:r>
      <w:r w:rsidR="00E36E83">
        <w:rPr>
          <w:rFonts w:ascii="Arial" w:hAnsi="Arial" w:cs="Arial"/>
          <w:sz w:val="20"/>
          <w:szCs w:val="20"/>
        </w:rPr>
        <w:t>rispetto al 2020</w:t>
      </w:r>
      <w:r>
        <w:rPr>
          <w:rFonts w:ascii="Arial" w:hAnsi="Arial" w:cs="Arial"/>
          <w:sz w:val="20"/>
          <w:szCs w:val="20"/>
        </w:rPr>
        <w:t xml:space="preserve"> (</w:t>
      </w:r>
      <w:r w:rsidR="005F624E">
        <w:rPr>
          <w:rFonts w:ascii="Arial" w:hAnsi="Arial" w:cs="Arial"/>
          <w:sz w:val="20"/>
          <w:szCs w:val="20"/>
        </w:rPr>
        <w:t>-</w:t>
      </w:r>
      <w:r w:rsidR="00E36E83">
        <w:rPr>
          <w:rFonts w:ascii="Arial" w:hAnsi="Arial" w:cs="Arial"/>
          <w:sz w:val="20"/>
          <w:szCs w:val="20"/>
        </w:rPr>
        <w:t>159</w:t>
      </w:r>
      <w:r w:rsidR="005F624E">
        <w:rPr>
          <w:rFonts w:ascii="Arial" w:hAnsi="Arial" w:cs="Arial"/>
          <w:sz w:val="20"/>
          <w:szCs w:val="20"/>
        </w:rPr>
        <w:t>.</w:t>
      </w:r>
      <w:r w:rsidR="00E36E83">
        <w:rPr>
          <w:rFonts w:ascii="Arial" w:hAnsi="Arial" w:cs="Arial"/>
          <w:sz w:val="20"/>
          <w:szCs w:val="20"/>
        </w:rPr>
        <w:t>022</w:t>
      </w:r>
      <w:r w:rsidR="00B12CE1" w:rsidRPr="00B12C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milioni di euro, corrispondente al</w:t>
      </w:r>
      <w:r w:rsidR="00D54CD3">
        <w:rPr>
          <w:rFonts w:ascii="Arial" w:hAnsi="Arial" w:cs="Arial"/>
          <w:sz w:val="20"/>
          <w:szCs w:val="20"/>
        </w:rPr>
        <w:t>l’</w:t>
      </w:r>
      <w:r w:rsidR="00E36E83">
        <w:rPr>
          <w:rFonts w:ascii="Arial" w:hAnsi="Arial" w:cs="Arial"/>
          <w:sz w:val="20"/>
          <w:szCs w:val="20"/>
        </w:rPr>
        <w:t>9</w:t>
      </w:r>
      <w:r w:rsidR="003E68F4">
        <w:rPr>
          <w:rFonts w:ascii="Arial" w:hAnsi="Arial" w:cs="Arial"/>
          <w:sz w:val="20"/>
          <w:szCs w:val="20"/>
        </w:rPr>
        <w:t>,</w:t>
      </w:r>
      <w:r w:rsidR="00E36E8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% del Pil). Il saldo primario (indebitamento netto al netto della spesa per interessi) è risultato </w:t>
      </w:r>
      <w:r w:rsidR="00240582">
        <w:rPr>
          <w:rFonts w:ascii="Arial" w:hAnsi="Arial" w:cs="Arial"/>
          <w:sz w:val="20"/>
          <w:szCs w:val="20"/>
        </w:rPr>
        <w:t>negativo</w:t>
      </w:r>
      <w:r>
        <w:rPr>
          <w:rFonts w:ascii="Arial" w:hAnsi="Arial" w:cs="Arial"/>
          <w:sz w:val="20"/>
          <w:szCs w:val="20"/>
        </w:rPr>
        <w:t xml:space="preserve"> </w:t>
      </w:r>
      <w:r w:rsidR="007B1CE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pari al</w:t>
      </w:r>
      <w:r w:rsidR="00E36E83">
        <w:rPr>
          <w:rFonts w:ascii="Arial" w:hAnsi="Arial" w:cs="Arial"/>
          <w:sz w:val="20"/>
          <w:szCs w:val="20"/>
        </w:rPr>
        <w:t xml:space="preserve"> -3</w:t>
      </w:r>
      <w:r w:rsidR="00E45D6A">
        <w:rPr>
          <w:rFonts w:ascii="Arial" w:hAnsi="Arial" w:cs="Arial"/>
          <w:sz w:val="20"/>
          <w:szCs w:val="20"/>
        </w:rPr>
        <w:t>,</w:t>
      </w:r>
      <w:r w:rsidR="00E36E8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del Pil</w:t>
      </w:r>
      <w:r w:rsidR="00943314">
        <w:rPr>
          <w:rFonts w:ascii="Arial" w:hAnsi="Arial" w:cs="Arial"/>
          <w:sz w:val="20"/>
          <w:szCs w:val="20"/>
        </w:rPr>
        <w:t>, con un</w:t>
      </w:r>
      <w:r w:rsidR="00D54CD3">
        <w:rPr>
          <w:rFonts w:ascii="Arial" w:hAnsi="Arial" w:cs="Arial"/>
          <w:sz w:val="20"/>
          <w:szCs w:val="20"/>
        </w:rPr>
        <w:t xml:space="preserve"> </w:t>
      </w:r>
      <w:r w:rsidR="00E36E83">
        <w:rPr>
          <w:rFonts w:ascii="Arial" w:hAnsi="Arial" w:cs="Arial"/>
          <w:sz w:val="20"/>
          <w:szCs w:val="20"/>
        </w:rPr>
        <w:t>miglioramento</w:t>
      </w:r>
      <w:r w:rsidR="00D54CD3">
        <w:rPr>
          <w:rFonts w:ascii="Arial" w:hAnsi="Arial" w:cs="Arial"/>
          <w:sz w:val="20"/>
          <w:szCs w:val="20"/>
        </w:rPr>
        <w:t xml:space="preserve"> </w:t>
      </w:r>
      <w:r w:rsidR="00F31505">
        <w:rPr>
          <w:rFonts w:ascii="Arial" w:hAnsi="Arial" w:cs="Arial"/>
          <w:sz w:val="20"/>
          <w:szCs w:val="20"/>
        </w:rPr>
        <w:t xml:space="preserve">di </w:t>
      </w:r>
      <w:r w:rsidR="00E36E83">
        <w:rPr>
          <w:rFonts w:ascii="Arial" w:hAnsi="Arial" w:cs="Arial"/>
          <w:sz w:val="20"/>
          <w:szCs w:val="20"/>
        </w:rPr>
        <w:t>2</w:t>
      </w:r>
      <w:r w:rsidR="00283DBD">
        <w:rPr>
          <w:rFonts w:ascii="Arial" w:hAnsi="Arial" w:cs="Arial"/>
          <w:sz w:val="20"/>
          <w:szCs w:val="20"/>
        </w:rPr>
        <w:t>,</w:t>
      </w:r>
      <w:r w:rsidR="00B5374C">
        <w:rPr>
          <w:rFonts w:ascii="Arial" w:hAnsi="Arial" w:cs="Arial"/>
          <w:sz w:val="20"/>
          <w:szCs w:val="20"/>
        </w:rPr>
        <w:t>4</w:t>
      </w:r>
      <w:r w:rsidR="00FC3314">
        <w:rPr>
          <w:rFonts w:ascii="Arial" w:hAnsi="Arial" w:cs="Arial"/>
          <w:sz w:val="20"/>
          <w:szCs w:val="20"/>
        </w:rPr>
        <w:t xml:space="preserve"> punti percentuali </w:t>
      </w:r>
      <w:r w:rsidR="00E36E83">
        <w:rPr>
          <w:rFonts w:ascii="Arial" w:hAnsi="Arial" w:cs="Arial"/>
          <w:sz w:val="20"/>
          <w:szCs w:val="20"/>
        </w:rPr>
        <w:t>rispetto al 2020</w:t>
      </w:r>
      <w:r w:rsidR="007B1C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La spesa per interessi</w:t>
      </w:r>
      <w:r w:rsidR="00444B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che secondo le </w:t>
      </w:r>
      <w:r w:rsidR="002C6693">
        <w:rPr>
          <w:rFonts w:ascii="Arial" w:hAnsi="Arial" w:cs="Arial"/>
          <w:sz w:val="20"/>
          <w:szCs w:val="20"/>
        </w:rPr>
        <w:t xml:space="preserve">attuali </w:t>
      </w:r>
      <w:r>
        <w:rPr>
          <w:rFonts w:ascii="Arial" w:hAnsi="Arial" w:cs="Arial"/>
          <w:sz w:val="20"/>
          <w:szCs w:val="20"/>
        </w:rPr>
        <w:t xml:space="preserve">regole </w:t>
      </w:r>
      <w:r w:rsidR="002C6693">
        <w:rPr>
          <w:rFonts w:ascii="Arial" w:hAnsi="Arial" w:cs="Arial"/>
          <w:sz w:val="20"/>
          <w:szCs w:val="20"/>
        </w:rPr>
        <w:t xml:space="preserve">di contabilizzazione </w:t>
      </w:r>
      <w:r>
        <w:rPr>
          <w:rFonts w:ascii="Arial" w:hAnsi="Arial" w:cs="Arial"/>
          <w:sz w:val="20"/>
          <w:szCs w:val="20"/>
        </w:rPr>
        <w:t>non comprende l’impatto delle operazioni di swap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B12CE1">
        <w:rPr>
          <w:rFonts w:ascii="Arial" w:hAnsi="Arial" w:cs="Arial"/>
          <w:sz w:val="20"/>
          <w:szCs w:val="20"/>
        </w:rPr>
        <w:t>, è stata pari al 3,</w:t>
      </w:r>
      <w:r w:rsidR="00F3150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% del Pil, </w:t>
      </w:r>
      <w:r w:rsidR="00E36E83">
        <w:rPr>
          <w:rFonts w:ascii="Arial" w:hAnsi="Arial" w:cs="Arial"/>
          <w:sz w:val="20"/>
          <w:szCs w:val="20"/>
        </w:rPr>
        <w:t xml:space="preserve">rimanendo invariata </w:t>
      </w:r>
      <w:r>
        <w:rPr>
          <w:rFonts w:ascii="Arial" w:hAnsi="Arial" w:cs="Arial"/>
          <w:sz w:val="20"/>
          <w:szCs w:val="20"/>
        </w:rPr>
        <w:t>rispetto al 20</w:t>
      </w:r>
      <w:r w:rsidR="00E36E8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5F49F44" w14:textId="42F19066" w:rsidR="00C143C7" w:rsidRDefault="00C143C7" w:rsidP="00B33AE1">
      <w:pPr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dati del debito delle Amministrazioni Pubbliche per gli anni 201</w:t>
      </w:r>
      <w:r w:rsidR="00044942">
        <w:rPr>
          <w:rFonts w:ascii="Arial" w:hAnsi="Arial" w:cs="Arial"/>
          <w:sz w:val="20"/>
          <w:szCs w:val="20"/>
        </w:rPr>
        <w:t>8-2021</w:t>
      </w:r>
      <w:r>
        <w:rPr>
          <w:rFonts w:ascii="Arial" w:hAnsi="Arial" w:cs="Arial"/>
          <w:sz w:val="20"/>
          <w:szCs w:val="20"/>
        </w:rPr>
        <w:t xml:space="preserve"> sono quelli pubblicati dalla Banca d’Italia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e sono anch’essi </w:t>
      </w:r>
      <w:r w:rsidRPr="009165FC">
        <w:rPr>
          <w:rFonts w:ascii="Arial" w:hAnsi="Arial" w:cs="Arial"/>
          <w:sz w:val="20"/>
          <w:szCs w:val="20"/>
        </w:rPr>
        <w:t xml:space="preserve">coerenti con il Sistema </w:t>
      </w:r>
      <w:r>
        <w:rPr>
          <w:rFonts w:ascii="Arial" w:hAnsi="Arial" w:cs="Arial"/>
          <w:sz w:val="20"/>
          <w:szCs w:val="20"/>
        </w:rPr>
        <w:t>E</w:t>
      </w:r>
      <w:r w:rsidRPr="009165FC">
        <w:rPr>
          <w:rFonts w:ascii="Arial" w:hAnsi="Arial" w:cs="Arial"/>
          <w:sz w:val="20"/>
          <w:szCs w:val="20"/>
        </w:rPr>
        <w:t xml:space="preserve">uropeo dei </w:t>
      </w:r>
      <w:r>
        <w:rPr>
          <w:rFonts w:ascii="Arial" w:hAnsi="Arial" w:cs="Arial"/>
          <w:sz w:val="20"/>
          <w:szCs w:val="20"/>
        </w:rPr>
        <w:t>Conti (Sec 2010). A</w:t>
      </w:r>
      <w:r w:rsidR="00BD31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fine 20</w:t>
      </w:r>
      <w:r w:rsidR="00B33AE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il debito pubblico, misurato al lordo </w:t>
      </w:r>
      <w:r w:rsidRPr="00464424">
        <w:rPr>
          <w:rFonts w:ascii="Arial" w:hAnsi="Arial" w:cs="Arial"/>
          <w:sz w:val="20"/>
          <w:szCs w:val="20"/>
        </w:rPr>
        <w:t>delle passività connesse con gli interventi di sostegno finanziario in favore di Stati Membri della UEM</w:t>
      </w:r>
      <w:r>
        <w:rPr>
          <w:rFonts w:ascii="Arial" w:hAnsi="Arial" w:cs="Arial"/>
          <w:sz w:val="20"/>
          <w:szCs w:val="20"/>
        </w:rPr>
        <w:t>, era pari a</w:t>
      </w:r>
      <w:r w:rsidR="009165E6">
        <w:rPr>
          <w:rFonts w:ascii="Arial" w:hAnsi="Arial" w:cs="Arial"/>
          <w:sz w:val="20"/>
          <w:szCs w:val="20"/>
        </w:rPr>
        <w:t xml:space="preserve"> </w:t>
      </w:r>
      <w:r w:rsidR="00B33AE1">
        <w:rPr>
          <w:rFonts w:ascii="Arial" w:hAnsi="Arial" w:cs="Arial"/>
          <w:sz w:val="20"/>
          <w:szCs w:val="20"/>
        </w:rPr>
        <w:t xml:space="preserve">2.677.910 </w:t>
      </w:r>
      <w:r>
        <w:rPr>
          <w:rFonts w:ascii="Arial" w:hAnsi="Arial" w:cs="Arial"/>
          <w:sz w:val="20"/>
          <w:szCs w:val="20"/>
        </w:rPr>
        <w:t>milioni di euro (1</w:t>
      </w:r>
      <w:r w:rsidR="00F31505">
        <w:rPr>
          <w:rFonts w:ascii="Arial" w:hAnsi="Arial" w:cs="Arial"/>
          <w:sz w:val="20"/>
          <w:szCs w:val="20"/>
        </w:rPr>
        <w:t>5</w:t>
      </w:r>
      <w:r w:rsidR="00B33AE1">
        <w:rPr>
          <w:rFonts w:ascii="Arial" w:hAnsi="Arial" w:cs="Arial"/>
          <w:sz w:val="20"/>
          <w:szCs w:val="20"/>
        </w:rPr>
        <w:t>0</w:t>
      </w:r>
      <w:r w:rsidR="00B12CE1">
        <w:rPr>
          <w:rFonts w:ascii="Arial" w:hAnsi="Arial" w:cs="Arial"/>
          <w:sz w:val="20"/>
          <w:szCs w:val="20"/>
        </w:rPr>
        <w:t>,</w:t>
      </w:r>
      <w:r w:rsidR="00B33AE1">
        <w:rPr>
          <w:rFonts w:ascii="Arial" w:hAnsi="Arial" w:cs="Arial"/>
          <w:sz w:val="20"/>
          <w:szCs w:val="20"/>
        </w:rPr>
        <w:t>8% del Pil). Rispetto al 2020</w:t>
      </w:r>
      <w:r>
        <w:rPr>
          <w:rFonts w:ascii="Arial" w:hAnsi="Arial" w:cs="Arial"/>
          <w:sz w:val="20"/>
          <w:szCs w:val="20"/>
        </w:rPr>
        <w:t xml:space="preserve"> il rapporto tr</w:t>
      </w:r>
      <w:r w:rsidR="00A06AD0">
        <w:rPr>
          <w:rFonts w:ascii="Arial" w:hAnsi="Arial" w:cs="Arial"/>
          <w:sz w:val="20"/>
          <w:szCs w:val="20"/>
        </w:rPr>
        <w:t xml:space="preserve">a il debito delle AP e il Pil </w:t>
      </w:r>
      <w:r w:rsidR="00527EFA">
        <w:rPr>
          <w:rFonts w:ascii="Arial" w:hAnsi="Arial" w:cs="Arial"/>
          <w:sz w:val="20"/>
          <w:szCs w:val="20"/>
        </w:rPr>
        <w:t xml:space="preserve">è </w:t>
      </w:r>
      <w:r w:rsidR="00B33AE1">
        <w:rPr>
          <w:rFonts w:ascii="Arial" w:hAnsi="Arial" w:cs="Arial"/>
          <w:sz w:val="20"/>
          <w:szCs w:val="20"/>
        </w:rPr>
        <w:t>diminuito</w:t>
      </w:r>
      <w:r w:rsidR="00527EFA">
        <w:rPr>
          <w:rFonts w:ascii="Arial" w:hAnsi="Arial" w:cs="Arial"/>
          <w:sz w:val="20"/>
          <w:szCs w:val="20"/>
        </w:rPr>
        <w:t xml:space="preserve"> di </w:t>
      </w:r>
      <w:r w:rsidR="00B33AE1">
        <w:rPr>
          <w:rFonts w:ascii="Arial" w:hAnsi="Arial" w:cs="Arial"/>
          <w:sz w:val="20"/>
          <w:szCs w:val="20"/>
        </w:rPr>
        <w:t>4,</w:t>
      </w:r>
      <w:r w:rsidR="00AC6459">
        <w:rPr>
          <w:rFonts w:ascii="Arial" w:hAnsi="Arial" w:cs="Arial"/>
          <w:sz w:val="20"/>
          <w:szCs w:val="20"/>
        </w:rPr>
        <w:t xml:space="preserve">5 </w:t>
      </w:r>
      <w:r w:rsidR="00527EFA">
        <w:rPr>
          <w:rFonts w:ascii="Arial" w:hAnsi="Arial" w:cs="Arial"/>
          <w:sz w:val="20"/>
          <w:szCs w:val="20"/>
        </w:rPr>
        <w:t>punti percentuali</w:t>
      </w:r>
      <w:r w:rsidRPr="00376002">
        <w:rPr>
          <w:rFonts w:ascii="Arial" w:hAnsi="Arial" w:cs="Arial"/>
          <w:sz w:val="20"/>
          <w:szCs w:val="20"/>
        </w:rPr>
        <w:t>.</w:t>
      </w:r>
    </w:p>
    <w:p w14:paraId="248EE1A0" w14:textId="77777777" w:rsidR="00C143C7" w:rsidRDefault="00C143C7">
      <w:pPr>
        <w:spacing w:after="120"/>
        <w:ind w:left="1814"/>
        <w:rPr>
          <w:rFonts w:ascii="Arial Narrow" w:hAnsi="Arial Narrow" w:cs="Arial"/>
          <w:b/>
          <w:caps/>
          <w:color w:val="808080"/>
          <w:sz w:val="20"/>
          <w:szCs w:val="20"/>
        </w:rPr>
      </w:pPr>
    </w:p>
    <w:p w14:paraId="18727C83" w14:textId="4D52AC84" w:rsidR="00C143C7" w:rsidRDefault="00C143C7">
      <w:pPr>
        <w:spacing w:after="120"/>
        <w:ind w:left="1814"/>
        <w:rPr>
          <w:rFonts w:ascii="Arial Narrow" w:hAnsi="Arial Narrow" w:cs="Arial"/>
          <w:caps/>
          <w:sz w:val="19"/>
          <w:szCs w:val="19"/>
        </w:rPr>
      </w:pPr>
      <w:r>
        <w:rPr>
          <w:rFonts w:ascii="Arial Narrow" w:hAnsi="Arial Narrow" w:cs="Arial"/>
          <w:b/>
          <w:caps/>
          <w:color w:val="808080"/>
          <w:sz w:val="20"/>
          <w:szCs w:val="20"/>
        </w:rPr>
        <w:t>Prospetto 1.  Principali aggregati di finanza pubblica</w:t>
      </w:r>
      <w:r>
        <w:rPr>
          <w:rFonts w:ascii="Arial Narrow" w:hAnsi="Arial Narrow" w:cs="Arial"/>
          <w:b/>
          <w:caps/>
          <w:color w:val="808080"/>
          <w:sz w:val="20"/>
          <w:szCs w:val="20"/>
        </w:rPr>
        <w:br/>
      </w:r>
      <w:r>
        <w:rPr>
          <w:rFonts w:ascii="Arial Narrow" w:hAnsi="Arial Narrow" w:cs="Arial"/>
          <w:caps/>
          <w:sz w:val="19"/>
          <w:szCs w:val="19"/>
        </w:rPr>
        <w:t>anni 201</w:t>
      </w:r>
      <w:r w:rsidR="00B33AE1">
        <w:rPr>
          <w:rFonts w:ascii="Arial Narrow" w:hAnsi="Arial Narrow" w:cs="Arial"/>
          <w:caps/>
          <w:sz w:val="19"/>
          <w:szCs w:val="19"/>
        </w:rPr>
        <w:t>8</w:t>
      </w:r>
      <w:r>
        <w:rPr>
          <w:rFonts w:ascii="Arial Narrow" w:hAnsi="Arial Narrow" w:cs="Arial"/>
          <w:caps/>
          <w:sz w:val="19"/>
          <w:szCs w:val="19"/>
        </w:rPr>
        <w:t>-20</w:t>
      </w:r>
      <w:r w:rsidR="00DC5F76">
        <w:rPr>
          <w:rFonts w:ascii="Arial Narrow" w:hAnsi="Arial Narrow" w:cs="Arial"/>
          <w:caps/>
          <w:sz w:val="19"/>
          <w:szCs w:val="19"/>
        </w:rPr>
        <w:t>2</w:t>
      </w:r>
      <w:r w:rsidR="00B33AE1">
        <w:rPr>
          <w:rFonts w:ascii="Arial Narrow" w:hAnsi="Arial Narrow" w:cs="Arial"/>
          <w:caps/>
          <w:sz w:val="19"/>
          <w:szCs w:val="19"/>
        </w:rPr>
        <w:t>1</w:t>
      </w:r>
      <w:r w:rsidRPr="00412804">
        <w:rPr>
          <w:rFonts w:ascii="Arial Narrow" w:hAnsi="Arial Narrow" w:cs="Arial"/>
          <w:sz w:val="19"/>
          <w:szCs w:val="19"/>
          <w:vertAlign w:val="superscript"/>
        </w:rPr>
        <w:t>(a)</w:t>
      </w:r>
      <w:r>
        <w:rPr>
          <w:rFonts w:ascii="Arial Narrow" w:hAnsi="Arial Narrow" w:cs="Arial"/>
          <w:caps/>
          <w:sz w:val="19"/>
          <w:szCs w:val="19"/>
        </w:rPr>
        <w:t xml:space="preserve">, </w:t>
      </w:r>
      <w:r>
        <w:rPr>
          <w:rFonts w:ascii="Arial Narrow" w:hAnsi="Arial Narrow" w:cs="Arial"/>
          <w:sz w:val="19"/>
          <w:szCs w:val="19"/>
        </w:rPr>
        <w:t>dati in milioni di euro e valori percentuali</w:t>
      </w:r>
      <w:r>
        <w:rPr>
          <w:rFonts w:ascii="Arial Narrow" w:hAnsi="Arial Narrow" w:cs="Arial"/>
          <w:caps/>
          <w:sz w:val="19"/>
          <w:szCs w:val="19"/>
        </w:rPr>
        <w:t xml:space="preserve"> </w:t>
      </w:r>
    </w:p>
    <w:tbl>
      <w:tblPr>
        <w:tblW w:w="8675" w:type="dxa"/>
        <w:tblInd w:w="1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1644"/>
        <w:gridCol w:w="1498"/>
        <w:gridCol w:w="146"/>
        <w:gridCol w:w="1644"/>
        <w:gridCol w:w="1644"/>
      </w:tblGrid>
      <w:tr w:rsidR="00B84218" w:rsidRPr="00D7743F" w14:paraId="76446016" w14:textId="77777777" w:rsidTr="00B33AE1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F68B4" w14:textId="77777777" w:rsidR="00B84218" w:rsidRPr="00D7743F" w:rsidRDefault="00B84218" w:rsidP="00D7743F">
            <w:pPr>
              <w:spacing w:before="40" w:after="20"/>
              <w:ind w:right="-7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7743F">
              <w:rPr>
                <w:rFonts w:ascii="Arial Narrow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0CDA7" w14:textId="3446A8A1" w:rsidR="00B84218" w:rsidRPr="0014320C" w:rsidRDefault="00B33AE1" w:rsidP="00D7743F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2018</w:t>
            </w:r>
            <w:r w:rsidR="00B84218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E8111" w14:textId="07DE917E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201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A5DB0" w14:textId="2E8C7ACD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91416" w14:textId="552410CB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DC5F7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</w:tr>
      <w:tr w:rsidR="007553E2" w:rsidRPr="009C551A" w14:paraId="059DD9F9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732DD" w14:textId="77777777" w:rsidR="007553E2" w:rsidRPr="00EC349D" w:rsidRDefault="007553E2" w:rsidP="007553E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EC349D">
              <w:rPr>
                <w:rFonts w:ascii="Arial Narrow" w:hAnsi="Arial Narrow"/>
                <w:sz w:val="18"/>
                <w:szCs w:val="18"/>
              </w:rPr>
              <w:t xml:space="preserve">Indebitamento netto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D72053" w14:textId="17314E5C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-38.726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1FFFA67" w14:textId="2FA81D0E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-27.671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360A9F" w14:textId="31BA3B01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-159.022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5842615C" w14:textId="67979A03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-128.327 </w:t>
            </w:r>
          </w:p>
        </w:tc>
      </w:tr>
      <w:tr w:rsidR="007553E2" w:rsidRPr="007553E2" w14:paraId="027451D2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FC6E1" w14:textId="77777777" w:rsidR="007553E2" w:rsidRPr="007553E2" w:rsidRDefault="007553E2" w:rsidP="007553E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3D59AA" w14:textId="53D23AAE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-2,2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FA5A3E1" w14:textId="0DC33F0C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-1,5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8CAF68" w14:textId="14AD381B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-9,6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3031D2E4" w14:textId="53503826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-7,2 </w:t>
            </w:r>
          </w:p>
        </w:tc>
      </w:tr>
      <w:tr w:rsidR="007553E2" w:rsidRPr="009C551A" w14:paraId="598751B8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38DDD" w14:textId="77777777" w:rsidR="007553E2" w:rsidRPr="00EC349D" w:rsidRDefault="007553E2" w:rsidP="007553E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EC349D">
              <w:rPr>
                <w:rFonts w:ascii="Arial Narrow" w:hAnsi="Arial Narrow"/>
                <w:sz w:val="18"/>
                <w:szCs w:val="18"/>
              </w:rPr>
              <w:t>Debito pubblico (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EC349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162BB2" w14:textId="0DD21E1F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2.381.509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4971AA3" w14:textId="5F9A2AD9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2.410.004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5CA49" w14:textId="1BAFEFF0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2.572.727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518E4203" w14:textId="26F350F1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2.677.910 </w:t>
            </w:r>
          </w:p>
        </w:tc>
      </w:tr>
      <w:tr w:rsidR="007553E2" w:rsidRPr="007553E2" w14:paraId="10FC6BBC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56D783" w14:textId="77777777" w:rsidR="007553E2" w:rsidRPr="007553E2" w:rsidRDefault="007553E2" w:rsidP="007553E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968400" w14:textId="7009DC7A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134,4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E52AB73" w14:textId="7D57CA6C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134,1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881E24" w14:textId="226AF566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155,3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74F909DD" w14:textId="647231DC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150,8 </w:t>
            </w:r>
          </w:p>
        </w:tc>
      </w:tr>
      <w:tr w:rsidR="007553E2" w:rsidRPr="00D7743F" w14:paraId="5C902359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DB5EE" w14:textId="77777777" w:rsidR="007553E2" w:rsidRPr="00D7743F" w:rsidRDefault="007553E2" w:rsidP="007553E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767280">
              <w:rPr>
                <w:rFonts w:ascii="Arial Narrow" w:hAnsi="Arial Narrow"/>
                <w:sz w:val="18"/>
                <w:szCs w:val="18"/>
              </w:rPr>
              <w:t>Interessi passivi</w:t>
            </w:r>
            <w:r w:rsidRPr="00D774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F952DE" w14:textId="3ABB5C42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64.596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DECB53D" w14:textId="668CA835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60.362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F1AD8A" w14:textId="05900F26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57.317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6E9B72CD" w14:textId="178581BA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62.863 </w:t>
            </w:r>
          </w:p>
        </w:tc>
      </w:tr>
      <w:tr w:rsidR="007553E2" w:rsidRPr="007553E2" w14:paraId="05AEBC89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A8F75C" w14:textId="77777777" w:rsidR="007553E2" w:rsidRPr="007553E2" w:rsidRDefault="007553E2" w:rsidP="007553E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2638BA" w14:textId="400C454A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3,6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E5AE2CF" w14:textId="561BF036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3,4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BBCB42" w14:textId="4562A866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3,5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72717552" w14:textId="475682DE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3,5 </w:t>
            </w:r>
          </w:p>
        </w:tc>
      </w:tr>
      <w:tr w:rsidR="007553E2" w:rsidRPr="009C551A" w14:paraId="62F0E30D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837D0F" w14:textId="77777777" w:rsidR="007553E2" w:rsidRPr="00767280" w:rsidRDefault="007553E2" w:rsidP="007553E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767280">
              <w:rPr>
                <w:rFonts w:ascii="Arial Narrow" w:hAnsi="Arial Narrow"/>
                <w:sz w:val="18"/>
                <w:szCs w:val="18"/>
              </w:rPr>
              <w:t>Saldo primario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15F26" w14:textId="5B852151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25.870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88BFF36" w14:textId="71683D26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33AE1">
              <w:rPr>
                <w:rFonts w:ascii="Arial Narrow" w:hAnsi="Arial Narrow"/>
                <w:sz w:val="18"/>
                <w:szCs w:val="18"/>
              </w:rPr>
              <w:t xml:space="preserve">32.691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CA7C41" w14:textId="31BC0AC6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-101.705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6C0DA7F2" w14:textId="1DBCD51F" w:rsidR="007553E2" w:rsidRPr="003E0E51" w:rsidRDefault="007553E2" w:rsidP="007553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53E2">
              <w:rPr>
                <w:rFonts w:ascii="Arial Narrow" w:hAnsi="Arial Narrow"/>
                <w:sz w:val="18"/>
                <w:szCs w:val="18"/>
              </w:rPr>
              <w:t xml:space="preserve">-65.464 </w:t>
            </w:r>
          </w:p>
        </w:tc>
      </w:tr>
      <w:tr w:rsidR="007553E2" w:rsidRPr="007553E2" w14:paraId="62F86F32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43588B" w14:textId="77777777" w:rsidR="007553E2" w:rsidRPr="007553E2" w:rsidRDefault="007553E2" w:rsidP="007553E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A898C7" w14:textId="3AD40583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1,5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6F9BA52" w14:textId="38162F02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1,8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6DC62F" w14:textId="34E72CD8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-6,1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0F58F695" w14:textId="3A0D09C9" w:rsidR="007553E2" w:rsidRPr="007553E2" w:rsidRDefault="007553E2" w:rsidP="007553E2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sz w:val="18"/>
                <w:szCs w:val="18"/>
              </w:rPr>
              <w:t xml:space="preserve">-3,7 </w:t>
            </w:r>
          </w:p>
        </w:tc>
      </w:tr>
      <w:tr w:rsidR="007553E2" w:rsidRPr="007553E2" w14:paraId="03D6485C" w14:textId="77777777" w:rsidTr="009716F9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FCEAC6D" w14:textId="77777777" w:rsidR="007553E2" w:rsidRPr="00910F51" w:rsidRDefault="007553E2" w:rsidP="007553E2">
            <w:pPr>
              <w:spacing w:before="40" w:after="20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910F5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6B9B493" w14:textId="01FA75B9" w:rsidR="007553E2" w:rsidRPr="003E0E51" w:rsidRDefault="007553E2" w:rsidP="007553E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3E0E5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1.736.593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D5169A7" w14:textId="3A553F35" w:rsidR="007553E2" w:rsidRPr="003E0E51" w:rsidRDefault="007553E2" w:rsidP="007553E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3E0E5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1.771.391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374F2E58" w14:textId="448F3D33" w:rsidR="007553E2" w:rsidRPr="007553E2" w:rsidRDefault="007553E2" w:rsidP="007553E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7553E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1.656.961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vAlign w:val="bottom"/>
          </w:tcPr>
          <w:p w14:paraId="73B1B76A" w14:textId="1295A046" w:rsidR="007553E2" w:rsidRPr="007553E2" w:rsidRDefault="007553E2" w:rsidP="007553E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7553E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1.775.436 </w:t>
            </w:r>
          </w:p>
        </w:tc>
      </w:tr>
      <w:tr w:rsidR="007E6663" w14:paraId="50BF5BAD" w14:textId="77777777" w:rsidTr="00B33AE1">
        <w:trPr>
          <w:gridAfter w:val="3"/>
          <w:wAfter w:w="3434" w:type="dxa"/>
          <w:trHeight w:val="254"/>
        </w:trPr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2A5CC" w14:textId="77777777" w:rsidR="007E6663" w:rsidRDefault="007E6663" w:rsidP="00774B90">
            <w:pPr>
              <w:ind w:right="-1111"/>
              <w:rPr>
                <w:rFonts w:ascii="Arial Narrow" w:hAnsi="Arial Narrow"/>
                <w:sz w:val="15"/>
                <w:szCs w:val="15"/>
              </w:rPr>
            </w:pPr>
            <w:r w:rsidRPr="00644EB1">
              <w:rPr>
                <w:rFonts w:ascii="Arial Narrow" w:hAnsi="Arial Narrow"/>
                <w:sz w:val="15"/>
                <w:szCs w:val="15"/>
              </w:rPr>
              <w:t>Fonti: per il Debito Pubblico Banca d'Italia</w:t>
            </w:r>
          </w:p>
        </w:tc>
      </w:tr>
    </w:tbl>
    <w:p w14:paraId="582CCA2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a) Eventuali mancate quadrature sono dovute agli arrotondamenti.</w:t>
      </w:r>
    </w:p>
    <w:p w14:paraId="4953E68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b) Dati definitivi.</w:t>
      </w:r>
    </w:p>
    <w:p w14:paraId="32BF90E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c) Dati provvisori.  </w:t>
      </w:r>
    </w:p>
    <w:p w14:paraId="7A26A8CF" w14:textId="4D5A4DCE" w:rsidR="00C143C7" w:rsidRDefault="00C143C7" w:rsidP="00F30AAD">
      <w:pPr>
        <w:pStyle w:val="Corpotesto"/>
        <w:ind w:left="1843" w:right="1332"/>
        <w:rPr>
          <w:rFonts w:ascii="Arial Narrow" w:hAnsi="Arial Narrow"/>
          <w:b w:val="0"/>
          <w:sz w:val="15"/>
          <w:szCs w:val="15"/>
          <w:lang w:eastAsia="it-IT"/>
        </w:rPr>
      </w:pPr>
      <w:r>
        <w:rPr>
          <w:rFonts w:ascii="Arial Narrow" w:hAnsi="Arial Narrow"/>
          <w:b w:val="0"/>
          <w:sz w:val="15"/>
          <w:szCs w:val="15"/>
          <w:lang w:eastAsia="it-IT"/>
        </w:rPr>
        <w:t>d</w:t>
      </w:r>
      <w:r w:rsidRPr="000569BE">
        <w:rPr>
          <w:rFonts w:ascii="Arial Narrow" w:hAnsi="Arial Narrow"/>
          <w:b w:val="0"/>
          <w:sz w:val="15"/>
          <w:szCs w:val="15"/>
          <w:lang w:eastAsia="it-IT"/>
        </w:rPr>
        <w:t xml:space="preserve">) </w:t>
      </w:r>
      <w:r>
        <w:rPr>
          <w:rFonts w:ascii="Arial Narrow" w:hAnsi="Arial Narrow"/>
          <w:b w:val="0"/>
          <w:sz w:val="15"/>
          <w:szCs w:val="15"/>
          <w:lang w:eastAsia="it-IT"/>
        </w:rPr>
        <w:t>Dati definitivi per gli anni 201</w:t>
      </w:r>
      <w:r w:rsidR="00B33AE1">
        <w:rPr>
          <w:rFonts w:ascii="Arial Narrow" w:hAnsi="Arial Narrow"/>
          <w:b w:val="0"/>
          <w:sz w:val="15"/>
          <w:szCs w:val="15"/>
          <w:lang w:eastAsia="it-IT"/>
        </w:rPr>
        <w:t>8</w:t>
      </w:r>
      <w:r w:rsidRPr="000569BE">
        <w:rPr>
          <w:rFonts w:ascii="Arial Narrow" w:hAnsi="Arial Narrow"/>
          <w:b w:val="0"/>
          <w:sz w:val="15"/>
          <w:szCs w:val="15"/>
          <w:lang w:eastAsia="it-IT"/>
        </w:rPr>
        <w:t>-20</w:t>
      </w:r>
      <w:r w:rsidR="00F51966">
        <w:rPr>
          <w:rFonts w:ascii="Arial Narrow" w:hAnsi="Arial Narrow"/>
          <w:b w:val="0"/>
          <w:sz w:val="15"/>
          <w:szCs w:val="15"/>
          <w:lang w:eastAsia="it-IT"/>
        </w:rPr>
        <w:t>2</w:t>
      </w:r>
      <w:r w:rsidR="00B33AE1">
        <w:rPr>
          <w:rFonts w:ascii="Arial Narrow" w:hAnsi="Arial Narrow"/>
          <w:b w:val="0"/>
          <w:sz w:val="15"/>
          <w:szCs w:val="15"/>
          <w:lang w:eastAsia="it-IT"/>
        </w:rPr>
        <w:t>1</w:t>
      </w:r>
      <w:r>
        <w:rPr>
          <w:rFonts w:ascii="Arial Narrow" w:hAnsi="Arial Narrow"/>
          <w:b w:val="0"/>
          <w:sz w:val="15"/>
          <w:szCs w:val="15"/>
          <w:lang w:eastAsia="it-IT"/>
        </w:rPr>
        <w:t>.</w:t>
      </w:r>
    </w:p>
    <w:p w14:paraId="38270490" w14:textId="77777777" w:rsidR="00C143C7" w:rsidRPr="00476700" w:rsidRDefault="00C143C7" w:rsidP="00774B90">
      <w:pPr>
        <w:pStyle w:val="Corpotesto"/>
        <w:spacing w:after="120"/>
        <w:ind w:left="1843" w:right="1332"/>
        <w:rPr>
          <w:rFonts w:ascii="Arial Narrow" w:hAnsi="Arial Narrow" w:cs="Arial"/>
          <w:b w:val="0"/>
          <w:color w:val="FF0000"/>
          <w:sz w:val="19"/>
          <w:szCs w:val="19"/>
        </w:rPr>
      </w:pPr>
    </w:p>
    <w:p w14:paraId="4BE6C96D" w14:textId="77777777" w:rsidR="00C143C7" w:rsidRDefault="00C143C7" w:rsidP="009C551A">
      <w:pPr>
        <w:spacing w:before="40" w:after="20"/>
        <w:rPr>
          <w:rFonts w:ascii="Arial Narrow" w:hAnsi="Arial Narrow" w:cs="Arial"/>
          <w:b/>
          <w:sz w:val="19"/>
          <w:szCs w:val="19"/>
        </w:rPr>
      </w:pPr>
    </w:p>
    <w:p w14:paraId="6FCA2E84" w14:textId="77777777" w:rsidR="00C143C7" w:rsidRPr="00EC349D" w:rsidRDefault="00C143C7" w:rsidP="00EC349D">
      <w:pPr>
        <w:spacing w:before="40" w:after="20"/>
        <w:rPr>
          <w:rFonts w:ascii="Arial Narrow" w:hAnsi="Arial Narrow"/>
          <w:b/>
          <w:sz w:val="18"/>
          <w:szCs w:val="18"/>
        </w:rPr>
      </w:pPr>
    </w:p>
    <w:p w14:paraId="3A676894" w14:textId="3A1407F0" w:rsidR="00C143C7" w:rsidRDefault="00D57827" w:rsidP="00021C7D">
      <w:pPr>
        <w:pStyle w:val="Corpotesto"/>
        <w:spacing w:after="120"/>
        <w:ind w:left="1800"/>
        <w:jc w:val="right"/>
        <w:rPr>
          <w:rFonts w:ascii="Arial Narrow" w:hAnsi="Arial Narrow"/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DE3AB" wp14:editId="0933DE88">
                <wp:simplePos x="0" y="0"/>
                <wp:positionH relativeFrom="column">
                  <wp:posOffset>1028700</wp:posOffset>
                </wp:positionH>
                <wp:positionV relativeFrom="paragraph">
                  <wp:posOffset>32385</wp:posOffset>
                </wp:positionV>
                <wp:extent cx="1143000" cy="1371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8EEA" w14:textId="5EAC9042" w:rsidR="008A03D3" w:rsidRDefault="008A03D3">
                            <w:pP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1. INDEBITAMENTO NETTO, SALDO PRIMARIO E INTERESSI PASSIVI SUL PIL.</w:t>
                            </w:r>
                            <w:r>
                              <w:rPr>
                                <w:rFonts w:ascii="Arial Narrow" w:hAnsi="Arial Narrow" w:cs="Arial"/>
                                <w:color w:val="5F5F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5F5F5F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1E567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</w:t>
                            </w:r>
                            <w:r w:rsidR="00FE2E7A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2</w:t>
                            </w:r>
                            <w:r w:rsidR="001E567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  <w:p w14:paraId="67F77980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  <w:p w14:paraId="1BFD232E" w14:textId="77777777" w:rsidR="008A03D3" w:rsidRDefault="008A03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9DE3AB" id="Text Box 2" o:spid="_x0000_s1027" type="#_x0000_t202" style="position:absolute;left:0;text-align:left;margin-left:81pt;margin-top:2.55pt;width:9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TAuQ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" filled="f" stroked="f">
                <v:textbox>
                  <w:txbxContent>
                    <w:p w14:paraId="1D808EEA" w14:textId="5EAC9042" w:rsidR="008A03D3" w:rsidRDefault="008A03D3">
                      <w:pPr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1. INDEBITAMENTO NETTO, SALDO PRIMARIO E INTERESSI PASSIVI SUL PIL.</w:t>
                      </w:r>
                      <w:r>
                        <w:rPr>
                          <w:rFonts w:ascii="Arial Narrow" w:hAnsi="Arial Narrow" w:cs="Arial"/>
                          <w:color w:val="5F5F5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5F5F5F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1E567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</w:t>
                      </w:r>
                      <w:r w:rsidR="00FE2E7A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2</w:t>
                      </w:r>
                      <w:r w:rsidR="001E567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  <w:p w14:paraId="67F77980" w14:textId="77777777" w:rsidR="008A03D3" w:rsidRDefault="008A03D3">
                      <w:pPr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  <w:p w14:paraId="1BFD232E" w14:textId="77777777" w:rsidR="008A03D3" w:rsidRDefault="008A03D3"/>
                  </w:txbxContent>
                </v:textbox>
              </v:shape>
            </w:pict>
          </mc:Fallback>
        </mc:AlternateContent>
      </w:r>
      <w:r w:rsidR="00C143C7">
        <w:rPr>
          <w:szCs w:val="19"/>
        </w:rPr>
        <w:tab/>
      </w:r>
      <w:r w:rsidR="00C143C7">
        <w:rPr>
          <w:szCs w:val="19"/>
        </w:rPr>
        <w:tab/>
      </w:r>
      <w:r w:rsidR="001E5675">
        <w:rPr>
          <w:noProof/>
          <w:lang w:eastAsia="it-IT"/>
        </w:rPr>
        <w:drawing>
          <wp:inline distT="0" distB="0" distL="0" distR="0" wp14:anchorId="2D814D7E" wp14:editId="65CAC7E6">
            <wp:extent cx="4268028" cy="1997351"/>
            <wp:effectExtent l="0" t="0" r="0" b="317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23BB87" w14:textId="77777777" w:rsidR="00C143C7" w:rsidRDefault="00C143C7" w:rsidP="00021C7D">
      <w:pPr>
        <w:ind w:firstLine="4111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(a) L’indebitamento è espresso con il segno positivo.</w:t>
      </w:r>
    </w:p>
    <w:p w14:paraId="71DDE1A3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682621E0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19EE6B5D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6A999238" w14:textId="77777777" w:rsidR="00C143C7" w:rsidRDefault="00C143C7" w:rsidP="00364945">
      <w:pPr>
        <w:pStyle w:val="Corpotesto"/>
        <w:spacing w:after="120"/>
        <w:jc w:val="left"/>
        <w:rPr>
          <w:rFonts w:ascii="Arial Narrow" w:hAnsi="Arial Narrow" w:cs="Arial"/>
          <w:b w:val="0"/>
          <w:sz w:val="19"/>
          <w:szCs w:val="19"/>
        </w:rPr>
      </w:pPr>
    </w:p>
    <w:p w14:paraId="208B5A78" w14:textId="77777777" w:rsidR="00492F73" w:rsidRDefault="00492F73" w:rsidP="00364945">
      <w:pPr>
        <w:pStyle w:val="Corpotesto"/>
        <w:spacing w:after="120"/>
        <w:jc w:val="left"/>
        <w:rPr>
          <w:rFonts w:ascii="Arial Narrow" w:hAnsi="Arial Narrow" w:cs="Arial"/>
          <w:b w:val="0"/>
          <w:sz w:val="19"/>
          <w:szCs w:val="19"/>
        </w:rPr>
      </w:pPr>
    </w:p>
    <w:p w14:paraId="1D1A6531" w14:textId="6C483DCD" w:rsidR="00C143C7" w:rsidRDefault="00095E44">
      <w:pPr>
        <w:spacing w:after="80"/>
        <w:ind w:left="1797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77D77D" wp14:editId="540BAEFA">
            <wp:extent cx="4257675" cy="207645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578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E0E87" wp14:editId="76BA46E8">
                <wp:simplePos x="0" y="0"/>
                <wp:positionH relativeFrom="column">
                  <wp:posOffset>1019175</wp:posOffset>
                </wp:positionH>
                <wp:positionV relativeFrom="paragraph">
                  <wp:posOffset>138430</wp:posOffset>
                </wp:positionV>
                <wp:extent cx="1257300" cy="1197610"/>
                <wp:effectExtent l="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93F7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6C495CB2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5575FD11" w14:textId="2FA02D85" w:rsidR="008A03D3" w:rsidRDefault="008A03D3"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2. DEBITO PUBBLICO SUL PIL</w:t>
                            </w:r>
                            <w:r>
                              <w:rPr>
                                <w:rFonts w:ascii="Arial Narrow" w:hAnsi="Arial Narrow" w:cs="Arial"/>
                                <w:color w:val="808080"/>
                                <w:sz w:val="20"/>
                              </w:rPr>
                              <w:br/>
                            </w:r>
                            <w:r w:rsidR="00040B2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095E4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 w:rsidR="00093163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-202</w:t>
                            </w:r>
                            <w:r w:rsidR="00095E4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DE0E87" id="Text Box 3" o:spid="_x0000_s1028" type="#_x0000_t202" style="position:absolute;left:0;text-align:left;margin-left:80.25pt;margin-top:10.9pt;width:99pt;height:9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SuQ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" filled="f" stroked="f">
                <v:textbox>
                  <w:txbxContent>
                    <w:p w14:paraId="565093F7" w14:textId="77777777" w:rsidR="008A03D3" w:rsidRDefault="008A03D3">
                      <w:pP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</w:pPr>
                    </w:p>
                    <w:p w14:paraId="6C495CB2" w14:textId="77777777" w:rsidR="008A03D3" w:rsidRDefault="008A03D3">
                      <w:pP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</w:pPr>
                    </w:p>
                    <w:p w14:paraId="5575FD11" w14:textId="2FA02D85" w:rsidR="008A03D3" w:rsidRDefault="008A03D3"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2. DEBITO PUBBLICO SUL PIL</w:t>
                      </w:r>
                      <w:r>
                        <w:rPr>
                          <w:rFonts w:ascii="Arial Narrow" w:hAnsi="Arial Narrow" w:cs="Arial"/>
                          <w:color w:val="808080"/>
                          <w:sz w:val="20"/>
                        </w:rPr>
                        <w:br/>
                      </w:r>
                      <w:r w:rsidR="00040B2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095E4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 w:rsidR="00093163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-202</w:t>
                      </w:r>
                      <w:r w:rsidR="00095E4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</w:txbxContent>
                </v:textbox>
              </v:shape>
            </w:pict>
          </mc:Fallback>
        </mc:AlternateContent>
      </w:r>
      <w:r w:rsidR="00E774E2" w:rsidRPr="00E774E2">
        <w:rPr>
          <w:noProof/>
        </w:rPr>
        <w:t xml:space="preserve"> </w:t>
      </w:r>
    </w:p>
    <w:p w14:paraId="20C3CDFF" w14:textId="2A81C1C5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tavole della Notifica riportano le poste di raccordo tra gli aggregati di finanza pubblica, ovvero tra il fabbisogno complessivo delle AP elaborato dal Ministero dell’Economia e delle Finanze e l’indebitamento netto delle AP stimato dall’Istat (vedi allegato Tavola 2), nonché tra l’indebitamento netto e la variazione del debito calcolata dalla Banca d’Italia (vedi allegato Tavola 3). La riconciliazione tra tali aggregati costituisce un aspetto fondamentale della Procedura sui Disavanzi Eccessivi ed è elemento di garanzia dell’affidabilità delle stime di finanza pubblica. Il continuo processo di armonizzazione e integrazione delle diverse fonti dei dati consente di spiegare la maggior parte delle poste di raccordo tra gli aggregati sopra citati.</w:t>
      </w:r>
    </w:p>
    <w:p w14:paraId="12C26C1B" w14:textId="4F921037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Particolare importanza assume, a tale riguardo, il raccordo tra indebitamento netto e variazione del debito</w:t>
      </w:r>
      <w:r w:rsidR="00C16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si tratt</w:t>
      </w:r>
      <w:r w:rsidR="000320E1">
        <w:rPr>
          <w:rFonts w:ascii="Arial" w:hAnsi="Arial" w:cs="Arial"/>
          <w:sz w:val="20"/>
          <w:szCs w:val="20"/>
        </w:rPr>
        <w:t xml:space="preserve">a del cosiddetto “aggiustamento </w:t>
      </w:r>
      <w:r>
        <w:rPr>
          <w:rFonts w:ascii="Arial" w:hAnsi="Arial" w:cs="Arial"/>
          <w:sz w:val="20"/>
          <w:szCs w:val="20"/>
        </w:rPr>
        <w:t>stock</w:t>
      </w:r>
      <w:r w:rsidR="000320E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flussi”, costantemente monitorato dalla Commissione Europea. Le componenti dell’aggiustamento sono descritte in dettaglio nella nota metodologica.</w:t>
      </w:r>
    </w:p>
    <w:p w14:paraId="47BA11B0" w14:textId="6882968B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Prospetto 2 evidenzia il contributo dell’aggiustamento stock-flussi alla dinamica del rapporto debito/Pil negli anni 201</w:t>
      </w:r>
      <w:r w:rsidR="00FC46C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093163">
        <w:rPr>
          <w:rFonts w:ascii="Arial" w:hAnsi="Arial" w:cs="Arial"/>
          <w:sz w:val="20"/>
          <w:szCs w:val="20"/>
        </w:rPr>
        <w:t>2</w:t>
      </w:r>
      <w:r w:rsidR="00FC46C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8456A86" w14:textId="77777777" w:rsidR="00C143C7" w:rsidRDefault="00C143C7">
      <w:pPr>
        <w:spacing w:after="120"/>
        <w:ind w:left="1814"/>
        <w:rPr>
          <w:rFonts w:ascii="Arial Narrow" w:hAnsi="Arial Narrow" w:cs="Arial"/>
          <w:b/>
          <w:caps/>
          <w:color w:val="808080"/>
          <w:sz w:val="20"/>
          <w:szCs w:val="20"/>
        </w:rPr>
      </w:pPr>
    </w:p>
    <w:p w14:paraId="2A146B80" w14:textId="3F9EC408" w:rsidR="00C143C7" w:rsidRDefault="00C143C7">
      <w:pPr>
        <w:spacing w:after="120"/>
        <w:ind w:left="1814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b/>
          <w:caps/>
          <w:color w:val="808080"/>
          <w:sz w:val="20"/>
          <w:szCs w:val="20"/>
        </w:rPr>
        <w:t>Prospetto 2.  determinanti della variazione del debito sul pil.</w:t>
      </w:r>
      <w:r>
        <w:rPr>
          <w:rFonts w:ascii="Arial Narrow" w:hAnsi="Arial Narrow" w:cs="Arial"/>
          <w:b/>
          <w:caps/>
          <w:color w:val="808080"/>
          <w:sz w:val="20"/>
          <w:szCs w:val="20"/>
        </w:rPr>
        <w:br/>
      </w:r>
      <w:r w:rsidR="007D1B53">
        <w:rPr>
          <w:rFonts w:ascii="Arial Narrow" w:hAnsi="Arial Narrow" w:cs="Arial"/>
          <w:sz w:val="19"/>
          <w:szCs w:val="19"/>
        </w:rPr>
        <w:t>Anni</w:t>
      </w:r>
      <w:r w:rsidR="007D1B53">
        <w:rPr>
          <w:rFonts w:ascii="Arial Narrow" w:hAnsi="Arial Narrow" w:cs="Arial"/>
          <w:caps/>
          <w:sz w:val="19"/>
          <w:szCs w:val="19"/>
        </w:rPr>
        <w:t xml:space="preserve"> </w:t>
      </w:r>
      <w:r>
        <w:rPr>
          <w:rFonts w:ascii="Arial Narrow" w:hAnsi="Arial Narrow" w:cs="Arial"/>
          <w:caps/>
          <w:sz w:val="19"/>
          <w:szCs w:val="19"/>
        </w:rPr>
        <w:t>201</w:t>
      </w:r>
      <w:r w:rsidR="00FC46C9">
        <w:rPr>
          <w:rFonts w:ascii="Arial Narrow" w:hAnsi="Arial Narrow" w:cs="Arial"/>
          <w:caps/>
          <w:sz w:val="19"/>
          <w:szCs w:val="19"/>
        </w:rPr>
        <w:t>8</w:t>
      </w:r>
      <w:r>
        <w:rPr>
          <w:rFonts w:ascii="Arial Narrow" w:hAnsi="Arial Narrow" w:cs="Arial"/>
          <w:caps/>
          <w:sz w:val="19"/>
          <w:szCs w:val="19"/>
        </w:rPr>
        <w:t>-20</w:t>
      </w:r>
      <w:r w:rsidR="00093163">
        <w:rPr>
          <w:rFonts w:ascii="Arial Narrow" w:hAnsi="Arial Narrow" w:cs="Arial"/>
          <w:caps/>
          <w:sz w:val="19"/>
          <w:szCs w:val="19"/>
        </w:rPr>
        <w:t>2</w:t>
      </w:r>
      <w:r w:rsidR="00FC46C9">
        <w:rPr>
          <w:rFonts w:ascii="Arial Narrow" w:hAnsi="Arial Narrow" w:cs="Arial"/>
          <w:caps/>
          <w:sz w:val="19"/>
          <w:szCs w:val="19"/>
        </w:rPr>
        <w:t>1</w:t>
      </w:r>
      <w:r w:rsidRPr="0095655D">
        <w:rPr>
          <w:rFonts w:ascii="Arial Narrow" w:hAnsi="Arial Narrow" w:cs="Arial"/>
          <w:sz w:val="19"/>
          <w:szCs w:val="19"/>
          <w:vertAlign w:val="superscript"/>
        </w:rPr>
        <w:t>(a)</w:t>
      </w:r>
      <w:r>
        <w:rPr>
          <w:rFonts w:ascii="Arial Narrow" w:hAnsi="Arial Narrow" w:cs="Arial"/>
          <w:caps/>
          <w:sz w:val="19"/>
          <w:szCs w:val="19"/>
        </w:rPr>
        <w:t xml:space="preserve">, </w:t>
      </w:r>
      <w:r>
        <w:rPr>
          <w:rFonts w:ascii="Arial Narrow" w:hAnsi="Arial Narrow" w:cs="Arial"/>
          <w:sz w:val="19"/>
          <w:szCs w:val="19"/>
        </w:rPr>
        <w:t>valori percentuali</w:t>
      </w:r>
    </w:p>
    <w:tbl>
      <w:tblPr>
        <w:tblW w:w="8732" w:type="dxa"/>
        <w:tblInd w:w="18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  <w:gridCol w:w="1179"/>
        <w:gridCol w:w="1180"/>
        <w:gridCol w:w="1179"/>
        <w:gridCol w:w="1180"/>
      </w:tblGrid>
      <w:tr w:rsidR="0014320C" w:rsidRPr="007D1B53" w14:paraId="24816B4B" w14:textId="77777777" w:rsidTr="0014320C">
        <w:trPr>
          <w:trHeight w:val="255"/>
        </w:trPr>
        <w:tc>
          <w:tcPr>
            <w:tcW w:w="4014" w:type="dxa"/>
            <w:shd w:val="clear" w:color="auto" w:fill="auto"/>
            <w:noWrap/>
            <w:vAlign w:val="center"/>
          </w:tcPr>
          <w:p w14:paraId="6C6CD8A7" w14:textId="77777777" w:rsidR="0014320C" w:rsidRPr="007D1B53" w:rsidRDefault="0014320C" w:rsidP="0014320C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 w:rsidRPr="007D1B53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26C05FA1" w14:textId="5D2EC2CC" w:rsidR="0014320C" w:rsidRPr="0014320C" w:rsidRDefault="00FC46C9" w:rsidP="0014320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2018</w:t>
            </w:r>
            <w:r w:rsidR="0014320C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D2158C3" w14:textId="3156C2AB" w:rsidR="0014320C" w:rsidRPr="0014320C" w:rsidRDefault="0014320C" w:rsidP="000931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201</w:t>
            </w:r>
            <w:r w:rsidR="00FC46C9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4357104C" w14:textId="3ED95A69" w:rsidR="0014320C" w:rsidRPr="0014320C" w:rsidRDefault="00FC46C9" w:rsidP="000931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2020</w:t>
            </w:r>
            <w:r w:rsidR="0014320C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(d)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E191D2E" w14:textId="28EE125C" w:rsidR="0014320C" w:rsidRPr="0014320C" w:rsidRDefault="0014320C" w:rsidP="00FC46C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93163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C46C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(d)</w:t>
            </w:r>
          </w:p>
        </w:tc>
      </w:tr>
      <w:tr w:rsidR="00FC46C9" w14:paraId="24809EB1" w14:textId="77777777" w:rsidTr="005F23B3">
        <w:trPr>
          <w:trHeight w:val="255"/>
        </w:trPr>
        <w:tc>
          <w:tcPr>
            <w:tcW w:w="4014" w:type="dxa"/>
            <w:noWrap/>
            <w:vAlign w:val="bottom"/>
          </w:tcPr>
          <w:p w14:paraId="13FDE036" w14:textId="77777777" w:rsidR="00FC46C9" w:rsidRDefault="00FC46C9" w:rsidP="00FC46C9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Indebitamento netto sul PIL (b)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0D8F216E" w14:textId="5506D66E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2,2</w:t>
            </w:r>
          </w:p>
        </w:tc>
        <w:tc>
          <w:tcPr>
            <w:tcW w:w="1180" w:type="dxa"/>
            <w:noWrap/>
            <w:vAlign w:val="bottom"/>
          </w:tcPr>
          <w:p w14:paraId="47023A13" w14:textId="4A4014F3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1,5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3B7ABED3" w14:textId="32AE304E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9,6</w:t>
            </w:r>
          </w:p>
        </w:tc>
        <w:tc>
          <w:tcPr>
            <w:tcW w:w="1180" w:type="dxa"/>
            <w:vAlign w:val="bottom"/>
          </w:tcPr>
          <w:p w14:paraId="6EF768E9" w14:textId="483DC998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7,2</w:t>
            </w:r>
          </w:p>
        </w:tc>
      </w:tr>
      <w:tr w:rsidR="00FC46C9" w:rsidRPr="00FC46C9" w14:paraId="67090C1B" w14:textId="77777777" w:rsidTr="005F23B3">
        <w:trPr>
          <w:trHeight w:val="255"/>
        </w:trPr>
        <w:tc>
          <w:tcPr>
            <w:tcW w:w="4014" w:type="dxa"/>
            <w:noWrap/>
            <w:vAlign w:val="bottom"/>
          </w:tcPr>
          <w:p w14:paraId="7554C371" w14:textId="77777777" w:rsidR="00FC46C9" w:rsidRPr="00FC46C9" w:rsidRDefault="00FC46C9" w:rsidP="00FC46C9">
            <w:pPr>
              <w:ind w:left="1730" w:hanging="173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46C9">
              <w:rPr>
                <w:rFonts w:ascii="Arial Narrow" w:hAnsi="Arial Narrow" w:cs="Arial"/>
                <w:i/>
                <w:sz w:val="18"/>
                <w:szCs w:val="18"/>
              </w:rPr>
              <w:t xml:space="preserve">     Saldo primario su PIL (b)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4FDAA968" w14:textId="566A29CF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-1,5</w:t>
            </w:r>
          </w:p>
        </w:tc>
        <w:tc>
          <w:tcPr>
            <w:tcW w:w="1180" w:type="dxa"/>
            <w:noWrap/>
            <w:vAlign w:val="bottom"/>
          </w:tcPr>
          <w:p w14:paraId="12A1CF3B" w14:textId="4FEDCBD4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-1,8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6497B2BE" w14:textId="0CFF6870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6,1</w:t>
            </w:r>
          </w:p>
        </w:tc>
        <w:tc>
          <w:tcPr>
            <w:tcW w:w="1180" w:type="dxa"/>
            <w:vAlign w:val="bottom"/>
          </w:tcPr>
          <w:p w14:paraId="2AB11896" w14:textId="2FE9A34C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3,7</w:t>
            </w:r>
          </w:p>
        </w:tc>
      </w:tr>
      <w:tr w:rsidR="00FC46C9" w:rsidRPr="00FC46C9" w14:paraId="36EB75F9" w14:textId="77777777" w:rsidTr="005F23B3">
        <w:trPr>
          <w:trHeight w:val="255"/>
        </w:trPr>
        <w:tc>
          <w:tcPr>
            <w:tcW w:w="4014" w:type="dxa"/>
            <w:noWrap/>
            <w:vAlign w:val="bottom"/>
          </w:tcPr>
          <w:p w14:paraId="61224AF0" w14:textId="77777777" w:rsidR="00FC46C9" w:rsidRPr="00FC46C9" w:rsidRDefault="00FC46C9" w:rsidP="00FC46C9">
            <w:pPr>
              <w:ind w:left="1730" w:hanging="173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46C9">
              <w:rPr>
                <w:rFonts w:ascii="Arial Narrow" w:hAnsi="Arial Narrow" w:cs="Arial"/>
                <w:i/>
                <w:sz w:val="18"/>
                <w:szCs w:val="18"/>
              </w:rPr>
              <w:t xml:space="preserve">     Interessi passivi su PIL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7BA1BEF0" w14:textId="5E6A97BD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3,6</w:t>
            </w:r>
          </w:p>
        </w:tc>
        <w:tc>
          <w:tcPr>
            <w:tcW w:w="1180" w:type="dxa"/>
            <w:noWrap/>
            <w:vAlign w:val="bottom"/>
          </w:tcPr>
          <w:p w14:paraId="0726F0A8" w14:textId="14F326B4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3,4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7BEB0D0F" w14:textId="4066E3A1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3,5</w:t>
            </w:r>
          </w:p>
        </w:tc>
        <w:tc>
          <w:tcPr>
            <w:tcW w:w="1180" w:type="dxa"/>
            <w:vAlign w:val="bottom"/>
          </w:tcPr>
          <w:p w14:paraId="0360E2DA" w14:textId="561ACB2C" w:rsidR="00FC46C9" w:rsidRPr="00FC46C9" w:rsidRDefault="00FC46C9" w:rsidP="00FC46C9">
            <w:pPr>
              <w:ind w:left="1730" w:hanging="173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C46C9">
              <w:rPr>
                <w:rFonts w:ascii="Arial Narrow" w:hAnsi="Arial Narrow"/>
                <w:i/>
                <w:sz w:val="18"/>
                <w:szCs w:val="18"/>
              </w:rPr>
              <w:t>3,5</w:t>
            </w:r>
          </w:p>
        </w:tc>
      </w:tr>
      <w:tr w:rsidR="00FC46C9" w14:paraId="0BC547A9" w14:textId="77777777" w:rsidTr="005F23B3">
        <w:trPr>
          <w:trHeight w:val="255"/>
        </w:trPr>
        <w:tc>
          <w:tcPr>
            <w:tcW w:w="4014" w:type="dxa"/>
            <w:noWrap/>
            <w:vAlign w:val="bottom"/>
          </w:tcPr>
          <w:p w14:paraId="0219B4D1" w14:textId="284DD8CE" w:rsidR="00FC46C9" w:rsidRDefault="00FC46C9" w:rsidP="00FC46C9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Aggiustamenti stock-flussi su PIL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2F3A63DC" w14:textId="3015BA48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0,7</w:t>
            </w:r>
          </w:p>
        </w:tc>
        <w:tc>
          <w:tcPr>
            <w:tcW w:w="1180" w:type="dxa"/>
            <w:noWrap/>
            <w:vAlign w:val="bottom"/>
          </w:tcPr>
          <w:p w14:paraId="6E15AFA9" w14:textId="04E69A20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5100D4D7" w14:textId="2D5ACFC6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0,2</w:t>
            </w:r>
          </w:p>
        </w:tc>
        <w:tc>
          <w:tcPr>
            <w:tcW w:w="1180" w:type="dxa"/>
            <w:vAlign w:val="bottom"/>
          </w:tcPr>
          <w:p w14:paraId="27F20C0E" w14:textId="5D1921AD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-1,3</w:t>
            </w:r>
          </w:p>
        </w:tc>
      </w:tr>
      <w:tr w:rsidR="00FC46C9" w14:paraId="4AC2E84C" w14:textId="77777777" w:rsidTr="005F23B3">
        <w:trPr>
          <w:trHeight w:val="255"/>
        </w:trPr>
        <w:tc>
          <w:tcPr>
            <w:tcW w:w="4014" w:type="dxa"/>
            <w:noWrap/>
            <w:vAlign w:val="bottom"/>
          </w:tcPr>
          <w:p w14:paraId="2A5AD851" w14:textId="77777777" w:rsidR="00FC46C9" w:rsidRDefault="00FC46C9" w:rsidP="00FC46C9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Rapporto tra la variazione del debito e il PIL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7A295E8F" w14:textId="07C1C73A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2,9</w:t>
            </w:r>
          </w:p>
        </w:tc>
        <w:tc>
          <w:tcPr>
            <w:tcW w:w="1180" w:type="dxa"/>
            <w:noWrap/>
            <w:vAlign w:val="bottom"/>
          </w:tcPr>
          <w:p w14:paraId="201D8A90" w14:textId="3C513C3E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1,6</w:t>
            </w:r>
          </w:p>
        </w:tc>
        <w:tc>
          <w:tcPr>
            <w:tcW w:w="1179" w:type="dxa"/>
            <w:shd w:val="clear" w:color="auto" w:fill="E6E6E6"/>
            <w:noWrap/>
            <w:vAlign w:val="bottom"/>
          </w:tcPr>
          <w:p w14:paraId="28597E78" w14:textId="7E0C905E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9,8</w:t>
            </w:r>
          </w:p>
        </w:tc>
        <w:tc>
          <w:tcPr>
            <w:tcW w:w="1180" w:type="dxa"/>
            <w:vAlign w:val="bottom"/>
          </w:tcPr>
          <w:p w14:paraId="0C55985D" w14:textId="2420C1F3" w:rsidR="00FC46C9" w:rsidRPr="00AF1443" w:rsidRDefault="00FC46C9" w:rsidP="00FC46C9">
            <w:pPr>
              <w:ind w:left="1730" w:hanging="173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46C9">
              <w:rPr>
                <w:rFonts w:ascii="Arial Narrow" w:hAnsi="Arial Narrow"/>
                <w:sz w:val="18"/>
                <w:szCs w:val="18"/>
              </w:rPr>
              <w:t>5,9</w:t>
            </w:r>
          </w:p>
        </w:tc>
      </w:tr>
    </w:tbl>
    <w:p w14:paraId="32569483" w14:textId="77777777" w:rsidR="00C143C7" w:rsidRDefault="00C143C7" w:rsidP="007D1B53">
      <w:pPr>
        <w:tabs>
          <w:tab w:val="left" w:pos="1395"/>
        </w:tabs>
        <w:rPr>
          <w:rFonts w:ascii="Arial Narrow" w:hAnsi="Arial Narrow" w:cs="Arial"/>
          <w:sz w:val="10"/>
          <w:szCs w:val="10"/>
        </w:rPr>
      </w:pPr>
    </w:p>
    <w:p w14:paraId="3E8C2475" w14:textId="77777777" w:rsidR="00C143C7" w:rsidRDefault="00C143C7">
      <w:pPr>
        <w:tabs>
          <w:tab w:val="left" w:pos="1395"/>
        </w:tabs>
        <w:ind w:left="1800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 w:cs="Arial"/>
          <w:sz w:val="15"/>
          <w:szCs w:val="15"/>
        </w:rPr>
        <w:t>a) Eventuali mancate quadrature sono dovute agli arrotondamenti.</w:t>
      </w:r>
    </w:p>
    <w:p w14:paraId="215F5F31" w14:textId="77777777" w:rsidR="00C143C7" w:rsidRDefault="00C143C7">
      <w:pPr>
        <w:tabs>
          <w:tab w:val="left" w:pos="1395"/>
        </w:tabs>
        <w:ind w:left="1800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 w:cs="Arial"/>
          <w:sz w:val="15"/>
          <w:szCs w:val="15"/>
        </w:rPr>
        <w:t>b)</w:t>
      </w:r>
      <w:r w:rsidR="00492F73">
        <w:rPr>
          <w:rFonts w:ascii="Arial Narrow" w:hAnsi="Arial Narrow" w:cs="Arial"/>
          <w:sz w:val="15"/>
          <w:szCs w:val="15"/>
        </w:rPr>
        <w:t xml:space="preserve"> Con segno opposto rispetto al p</w:t>
      </w:r>
      <w:r>
        <w:rPr>
          <w:rFonts w:ascii="Arial Narrow" w:hAnsi="Arial Narrow" w:cs="Arial"/>
          <w:sz w:val="15"/>
          <w:szCs w:val="15"/>
        </w:rPr>
        <w:t>rospetto 1.</w:t>
      </w:r>
    </w:p>
    <w:p w14:paraId="62D3A79A" w14:textId="77777777" w:rsidR="00C143C7" w:rsidRDefault="00C143C7" w:rsidP="0095655D">
      <w:pPr>
        <w:ind w:left="1800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c) Dati definitivi.  </w:t>
      </w:r>
    </w:p>
    <w:p w14:paraId="6CD19FC0" w14:textId="77777777" w:rsidR="00C143C7" w:rsidRDefault="00C143C7" w:rsidP="0095655D">
      <w:pPr>
        <w:ind w:left="1800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d) Dati provvisori.</w:t>
      </w:r>
    </w:p>
    <w:p w14:paraId="40EA7CAA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7EBD5F98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42094241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783F9126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39B06155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3E92BD8A" w14:textId="22ADF25D" w:rsidR="00C143C7" w:rsidRPr="001B0AAF" w:rsidRDefault="00F71BD6" w:rsidP="000345C7">
      <w:pPr>
        <w:ind w:left="1800"/>
        <w:jc w:val="right"/>
        <w:rPr>
          <w:szCs w:val="15"/>
        </w:rPr>
      </w:pPr>
      <w:r>
        <w:rPr>
          <w:noProof/>
        </w:rPr>
        <w:lastRenderedPageBreak/>
        <w:drawing>
          <wp:inline distT="0" distB="0" distL="0" distR="0" wp14:anchorId="06378BD7" wp14:editId="0379D4AA">
            <wp:extent cx="4066761" cy="2143954"/>
            <wp:effectExtent l="0" t="0" r="0" b="889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578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88FD7" wp14:editId="1C8AE33A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</wp:posOffset>
                </wp:positionV>
                <wp:extent cx="1257300" cy="1137920"/>
                <wp:effectExtent l="0" t="0" r="0" b="508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83BE" w14:textId="42CC366A" w:rsidR="008A03D3" w:rsidRDefault="008A03D3"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3. DETERMINANTI DELLA VARIAZIONE DEL DEBITO SUL PIL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F71BD6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</w:t>
                            </w:r>
                            <w:r w:rsidR="00310E6A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2</w:t>
                            </w:r>
                            <w:r w:rsidR="00F71BD6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688FD7" id="Text Box 4" o:spid="_x0000_s1029" type="#_x0000_t202" style="position:absolute;left:0;text-align:left;margin-left:81pt;margin-top:6.15pt;width:99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d/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" filled="f" stroked="f">
                <v:textbox>
                  <w:txbxContent>
                    <w:p w14:paraId="338083BE" w14:textId="42CC366A" w:rsidR="008A03D3" w:rsidRDefault="008A03D3"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3. DETERMINANTI DELLA VARIAZIONE DEL DEBITO SUL PIL</w:t>
                      </w:r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F71BD6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</w:t>
                      </w:r>
                      <w:r w:rsidR="00310E6A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2</w:t>
                      </w:r>
                      <w:r w:rsidR="00F71BD6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</w:txbxContent>
                </v:textbox>
              </v:shape>
            </w:pict>
          </mc:Fallback>
        </mc:AlternateContent>
      </w:r>
    </w:p>
    <w:p w14:paraId="1E7E31CC" w14:textId="77777777" w:rsidR="00D77638" w:rsidRDefault="00D77638" w:rsidP="00021C7D">
      <w:pPr>
        <w:ind w:left="4140" w:hanging="171"/>
        <w:rPr>
          <w:rFonts w:ascii="Arial Narrow" w:hAnsi="Arial Narrow"/>
          <w:sz w:val="15"/>
          <w:szCs w:val="15"/>
        </w:rPr>
      </w:pPr>
    </w:p>
    <w:p w14:paraId="6A4930B4" w14:textId="77777777" w:rsidR="00C143C7" w:rsidRPr="005C478D" w:rsidRDefault="00C143C7" w:rsidP="00021C7D">
      <w:pPr>
        <w:ind w:left="4140" w:hanging="171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  <w:r w:rsidRPr="005C478D">
        <w:rPr>
          <w:rFonts w:ascii="Arial Narrow" w:hAnsi="Arial Narrow"/>
          <w:sz w:val="15"/>
          <w:szCs w:val="15"/>
        </w:rPr>
        <w:t>(a) Con segno opposto rispetto a quello del prospetto 1 per permettere il confronto con la variazione del debito</w:t>
      </w:r>
      <w:r>
        <w:rPr>
          <w:rFonts w:ascii="Arial Narrow" w:hAnsi="Arial Narrow"/>
          <w:sz w:val="15"/>
          <w:szCs w:val="15"/>
        </w:rPr>
        <w:t>.</w:t>
      </w:r>
    </w:p>
    <w:p w14:paraId="14DE622E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32692AB2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97BA0C" w14:textId="77777777" w:rsidR="00C143C7" w:rsidRDefault="00C143C7">
      <w:pPr>
        <w:pStyle w:val="NormaleWeb"/>
        <w:ind w:left="181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2C9077E" w14:textId="77777777" w:rsidR="007D1B53" w:rsidRDefault="00C143C7">
      <w:pPr>
        <w:spacing w:after="120"/>
        <w:ind w:left="1825"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7D1B53" w:rsidRPr="007D1B53">
        <w:rPr>
          <w:rFonts w:ascii="Arial" w:hAnsi="Arial" w:cs="Arial"/>
          <w:b/>
          <w:szCs w:val="20"/>
        </w:rPr>
        <w:lastRenderedPageBreak/>
        <w:t>Nota metodologica</w:t>
      </w:r>
    </w:p>
    <w:p w14:paraId="55316243" w14:textId="77777777" w:rsidR="00C143C7" w:rsidRPr="007705EC" w:rsidRDefault="00C143C7">
      <w:pPr>
        <w:spacing w:after="120"/>
        <w:ind w:left="1825" w:hanging="11"/>
        <w:rPr>
          <w:rFonts w:ascii="Arial" w:hAnsi="Arial" w:cs="Arial"/>
          <w:b/>
          <w:sz w:val="4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9376FC" w14:textId="5113120E" w:rsidR="00C143C7" w:rsidRPr="00290558" w:rsidRDefault="00C143C7" w:rsidP="007905A8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tavole della Notifica sono state trasmesse alla Commissione Europea</w:t>
      </w:r>
      <w:r>
        <w:rPr>
          <w:rFonts w:ascii="Arial" w:hAnsi="Arial" w:cs="Arial"/>
          <w:sz w:val="20"/>
          <w:szCs w:val="20"/>
          <w:vertAlign w:val="superscript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lo scorso </w:t>
      </w:r>
      <w:r w:rsidR="00D27F1A">
        <w:rPr>
          <w:rFonts w:ascii="Arial" w:hAnsi="Arial" w:cs="Arial"/>
          <w:sz w:val="20"/>
          <w:szCs w:val="20"/>
        </w:rPr>
        <w:t>3</w:t>
      </w:r>
      <w:r w:rsidR="0097279C">
        <w:rPr>
          <w:rFonts w:ascii="Arial" w:hAnsi="Arial" w:cs="Arial"/>
          <w:sz w:val="20"/>
          <w:szCs w:val="20"/>
        </w:rPr>
        <w:t>1</w:t>
      </w:r>
      <w:r w:rsidR="00C77FA8">
        <w:rPr>
          <w:rFonts w:ascii="Arial" w:hAnsi="Arial" w:cs="Arial"/>
          <w:sz w:val="20"/>
          <w:szCs w:val="20"/>
        </w:rPr>
        <w:t xml:space="preserve"> </w:t>
      </w:r>
      <w:r w:rsidR="0097279C">
        <w:rPr>
          <w:rFonts w:ascii="Arial" w:hAnsi="Arial" w:cs="Arial"/>
          <w:sz w:val="20"/>
          <w:szCs w:val="20"/>
        </w:rPr>
        <w:t>Marzo</w:t>
      </w:r>
      <w:r w:rsidR="006763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applicazione del </w:t>
      </w:r>
      <w:r>
        <w:rPr>
          <w:rFonts w:ascii="Arial" w:hAnsi="Arial" w:cs="Arial"/>
          <w:i/>
          <w:sz w:val="20"/>
          <w:szCs w:val="20"/>
        </w:rPr>
        <w:t>Protocollo sulla Procedura per i Disavanzi Eccessivi (PDE)</w:t>
      </w:r>
      <w:r>
        <w:rPr>
          <w:rFonts w:ascii="Arial" w:hAnsi="Arial" w:cs="Arial"/>
          <w:sz w:val="20"/>
          <w:szCs w:val="20"/>
        </w:rPr>
        <w:t xml:space="preserve">, annesso al </w:t>
      </w:r>
      <w:r>
        <w:rPr>
          <w:rFonts w:ascii="Arial" w:hAnsi="Arial" w:cs="Arial"/>
          <w:i/>
          <w:sz w:val="20"/>
          <w:szCs w:val="20"/>
        </w:rPr>
        <w:t>Trattato di Maastricht</w:t>
      </w:r>
      <w:r>
        <w:rPr>
          <w:rFonts w:ascii="Arial" w:hAnsi="Arial" w:cs="Arial"/>
          <w:sz w:val="20"/>
          <w:szCs w:val="20"/>
          <w:vertAlign w:val="superscript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in base al quale i Paesi europei devono trasmettere due volte all’anno (entro il 31 Marzo e </w:t>
      </w:r>
      <w:r w:rsidR="005D052A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30 Settembre) i livelli dell’indebitamento netto, del debito pubblico e di altre grandezze di finanza pubblica relative ai quattro anni precedenti, nonché le previsioni ufficiali degli stessi per l’anno in corso. Le tavole approvate da </w:t>
      </w:r>
      <w:proofErr w:type="spellStart"/>
      <w:r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 a conclusione del processo di verifica che si svolge nei giorni immediatamente successivi alla trasmissione sono diffuse </w:t>
      </w:r>
      <w:r w:rsidRPr="007905A8">
        <w:rPr>
          <w:rFonts w:ascii="Arial" w:hAnsi="Arial" w:cs="Arial"/>
          <w:sz w:val="20"/>
          <w:szCs w:val="20"/>
        </w:rPr>
        <w:t xml:space="preserve">sul sito di </w:t>
      </w:r>
      <w:proofErr w:type="spellStart"/>
      <w:r w:rsidRPr="007905A8">
        <w:rPr>
          <w:rFonts w:ascii="Arial" w:hAnsi="Arial" w:cs="Arial"/>
          <w:sz w:val="20"/>
          <w:szCs w:val="20"/>
        </w:rPr>
        <w:t>Eurostat</w:t>
      </w:r>
      <w:proofErr w:type="spellEnd"/>
      <w:r w:rsidRPr="007905A8">
        <w:rPr>
          <w:rFonts w:ascii="Arial" w:hAnsi="Arial" w:cs="Arial"/>
          <w:sz w:val="20"/>
          <w:szCs w:val="20"/>
        </w:rPr>
        <w:t xml:space="preserve"> alla </w:t>
      </w:r>
      <w:r w:rsidRPr="00290558">
        <w:rPr>
          <w:rFonts w:ascii="Arial" w:hAnsi="Arial" w:cs="Arial"/>
          <w:sz w:val="20"/>
          <w:szCs w:val="20"/>
        </w:rPr>
        <w:t>pagina:</w:t>
      </w:r>
    </w:p>
    <w:p w14:paraId="4E4888CC" w14:textId="77777777" w:rsidR="009969CB" w:rsidRPr="009969CB" w:rsidRDefault="00FD60A4">
      <w:pPr>
        <w:spacing w:after="120"/>
        <w:ind w:left="1814"/>
        <w:jc w:val="both"/>
        <w:rPr>
          <w:rFonts w:ascii="Arial" w:hAnsi="Arial" w:cs="Arial"/>
          <w:sz w:val="18"/>
          <w:szCs w:val="18"/>
        </w:rPr>
      </w:pPr>
      <w:hyperlink r:id="rId11" w:history="1">
        <w:r w:rsidR="009969CB" w:rsidRPr="00290558">
          <w:rPr>
            <w:rStyle w:val="Collegamentoipertestuale"/>
            <w:rFonts w:ascii="Arial" w:hAnsi="Arial" w:cs="Arial"/>
            <w:sz w:val="18"/>
            <w:szCs w:val="18"/>
          </w:rPr>
          <w:t>http://ec.europa.eu/eurostat/web/government-finance-statistics/excessive-deficit-procedure/edp-notification-tables</w:t>
        </w:r>
      </w:hyperlink>
    </w:p>
    <w:p w14:paraId="4FB4DF7D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tavole contengono gli aggregati di finanza pubblica fondamentali per la </w:t>
      </w:r>
      <w:r>
        <w:rPr>
          <w:rFonts w:ascii="Arial" w:hAnsi="Arial" w:cs="Arial"/>
          <w:i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 dell’Unione Europea, compilati in base al Codice delle Buone Pratiche definito dall’</w:t>
      </w:r>
      <w:proofErr w:type="spellStart"/>
      <w:r>
        <w:rPr>
          <w:rFonts w:ascii="Arial" w:hAnsi="Arial" w:cs="Arial"/>
          <w:sz w:val="20"/>
          <w:szCs w:val="20"/>
        </w:rPr>
        <w:t>Ecofin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Consiglio Economico e Finanziario</w:t>
      </w:r>
      <w:r>
        <w:rPr>
          <w:rFonts w:ascii="Arial" w:hAnsi="Arial" w:cs="Arial"/>
          <w:sz w:val="20"/>
          <w:szCs w:val="20"/>
        </w:rPr>
        <w:t xml:space="preserve">) nel febbraio 2003. </w:t>
      </w:r>
    </w:p>
    <w:p w14:paraId="22F210D5" w14:textId="69D2BD39" w:rsidR="00C143C7" w:rsidRDefault="00C143C7" w:rsidP="00760A14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L’indebitamento netto </w:t>
      </w:r>
      <w:r>
        <w:rPr>
          <w:rFonts w:ascii="Arial" w:hAnsi="Arial" w:cs="Arial"/>
          <w:sz w:val="20"/>
          <w:szCs w:val="20"/>
        </w:rPr>
        <w:t>e il</w:t>
      </w:r>
      <w:r>
        <w:rPr>
          <w:rFonts w:ascii="Arial" w:hAnsi="Arial" w:cs="Arial"/>
          <w:b/>
          <w:sz w:val="20"/>
          <w:szCs w:val="20"/>
        </w:rPr>
        <w:t xml:space="preserve"> debito </w:t>
      </w:r>
      <w:r>
        <w:rPr>
          <w:rFonts w:ascii="Arial" w:hAnsi="Arial" w:cs="Arial"/>
          <w:sz w:val="20"/>
          <w:szCs w:val="20"/>
        </w:rPr>
        <w:t xml:space="preserve">delle AP, che rappresentano le principali grandezze di riferimento per le politiche di convergenza per l’Unione </w:t>
      </w:r>
      <w:r w:rsidR="000A11A7">
        <w:rPr>
          <w:rFonts w:ascii="Arial" w:hAnsi="Arial" w:cs="Arial"/>
          <w:sz w:val="20"/>
          <w:szCs w:val="20"/>
        </w:rPr>
        <w:t xml:space="preserve">economica e monetaria </w:t>
      </w:r>
      <w:r>
        <w:rPr>
          <w:rFonts w:ascii="Arial" w:hAnsi="Arial" w:cs="Arial"/>
          <w:sz w:val="20"/>
          <w:szCs w:val="20"/>
        </w:rPr>
        <w:t>(UE</w:t>
      </w:r>
      <w:r w:rsidR="00C14C7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), sono stimati rispettivamente dall’Istat e dalla Banca d’Italia.</w:t>
      </w:r>
    </w:p>
    <w:p w14:paraId="3B7C7693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FE5125">
        <w:rPr>
          <w:rFonts w:ascii="Arial" w:hAnsi="Arial" w:cs="Arial"/>
          <w:sz w:val="20"/>
          <w:szCs w:val="20"/>
        </w:rPr>
        <w:t xml:space="preserve">metodologia di costruzione degli aggregati segue le regole e le definizioni armonizzate a livello europeo e contenute nel </w:t>
      </w:r>
      <w:r w:rsidR="000D200A">
        <w:rPr>
          <w:rFonts w:ascii="Arial" w:hAnsi="Arial" w:cs="Arial"/>
          <w:sz w:val="20"/>
          <w:szCs w:val="20"/>
        </w:rPr>
        <w:t>S</w:t>
      </w:r>
      <w:r w:rsidRPr="00FE5125">
        <w:rPr>
          <w:rFonts w:ascii="Arial" w:hAnsi="Arial" w:cs="Arial"/>
          <w:sz w:val="20"/>
          <w:szCs w:val="20"/>
        </w:rPr>
        <w:t xml:space="preserve">istema </w:t>
      </w:r>
      <w:r w:rsidR="000D200A">
        <w:rPr>
          <w:rFonts w:ascii="Arial" w:hAnsi="Arial" w:cs="Arial"/>
          <w:sz w:val="20"/>
          <w:szCs w:val="20"/>
        </w:rPr>
        <w:t xml:space="preserve">Europeo </w:t>
      </w:r>
      <w:r w:rsidRPr="00FE5125">
        <w:rPr>
          <w:rFonts w:ascii="Arial" w:hAnsi="Arial" w:cs="Arial"/>
          <w:sz w:val="20"/>
          <w:szCs w:val="20"/>
        </w:rPr>
        <w:t>dei conti (Sec</w:t>
      </w:r>
      <w:r>
        <w:rPr>
          <w:rFonts w:ascii="Arial" w:hAnsi="Arial" w:cs="Arial"/>
          <w:sz w:val="20"/>
          <w:szCs w:val="20"/>
        </w:rPr>
        <w:t xml:space="preserve"> </w:t>
      </w:r>
      <w:r w:rsidRPr="00FE5125">
        <w:rPr>
          <w:rFonts w:ascii="Arial" w:hAnsi="Arial" w:cs="Arial"/>
          <w:sz w:val="20"/>
          <w:szCs w:val="20"/>
        </w:rPr>
        <w:t>2010)</w:t>
      </w:r>
      <w:r w:rsidRPr="00FE5125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FE51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Con riferimento al debito pubblico i principi di valutazione nell’ambito della procedura PDE si discostano da quelli del Sec 2010 in quanto prevedono che quest’ultimo sia calcolato al valore facciale e non a quello di mercato. In allegato si forniscono le principali tavole trasmesse dall’Istat alla Commissione Europea ai fini della </w:t>
      </w:r>
      <w:r>
        <w:rPr>
          <w:rFonts w:ascii="Arial" w:hAnsi="Arial" w:cs="Arial"/>
          <w:i/>
          <w:sz w:val="20"/>
          <w:szCs w:val="20"/>
        </w:rPr>
        <w:t>Procedura per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Disavanzi Eccessivi</w:t>
      </w:r>
      <w:r>
        <w:rPr>
          <w:rFonts w:ascii="Arial" w:hAnsi="Arial" w:cs="Arial"/>
          <w:sz w:val="20"/>
          <w:szCs w:val="20"/>
        </w:rPr>
        <w:t xml:space="preserve"> (PDE) (Tavole 1-3).</w:t>
      </w:r>
    </w:p>
    <w:p w14:paraId="30DDABE9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aggregati notificati alla Commissione, indebitamento netto, fabbisogno e debito pubblico, </w:t>
      </w:r>
      <w:r w:rsidR="00240129">
        <w:rPr>
          <w:rFonts w:ascii="Arial" w:hAnsi="Arial" w:cs="Arial"/>
          <w:sz w:val="20"/>
          <w:szCs w:val="20"/>
        </w:rPr>
        <w:t xml:space="preserve">sono </w:t>
      </w:r>
      <w:r>
        <w:rPr>
          <w:rFonts w:ascii="Arial" w:hAnsi="Arial" w:cs="Arial"/>
          <w:sz w:val="20"/>
          <w:szCs w:val="20"/>
        </w:rPr>
        <w:t>elaborati</w:t>
      </w:r>
      <w:r w:rsidR="00240129">
        <w:rPr>
          <w:rFonts w:ascii="Arial" w:hAnsi="Arial" w:cs="Arial"/>
          <w:sz w:val="20"/>
          <w:szCs w:val="20"/>
        </w:rPr>
        <w:t xml:space="preserve">, rispettivamente, </w:t>
      </w:r>
      <w:r>
        <w:rPr>
          <w:rFonts w:ascii="Arial" w:hAnsi="Arial" w:cs="Arial"/>
          <w:sz w:val="20"/>
          <w:szCs w:val="20"/>
        </w:rPr>
        <w:t>dall’Istat, dal Ministero dell’Economia e delle Finanze e dalla Banca d’Italia a partire da basi informative diverse</w:t>
      </w:r>
      <w:r w:rsidR="00240129">
        <w:rPr>
          <w:rFonts w:ascii="Arial" w:hAnsi="Arial" w:cs="Arial"/>
          <w:sz w:val="20"/>
          <w:szCs w:val="20"/>
        </w:rPr>
        <w:t xml:space="preserve">. Essi </w:t>
      </w:r>
      <w:r>
        <w:rPr>
          <w:rFonts w:ascii="Arial" w:hAnsi="Arial" w:cs="Arial"/>
          <w:sz w:val="20"/>
          <w:szCs w:val="20"/>
        </w:rPr>
        <w:t>sono raccordati a meno di una discrepanza di carattere statistico</w:t>
      </w:r>
      <w:r w:rsidR="00240129">
        <w:rPr>
          <w:rFonts w:ascii="Arial" w:hAnsi="Arial" w:cs="Arial"/>
          <w:sz w:val="20"/>
          <w:szCs w:val="20"/>
        </w:rPr>
        <w:t xml:space="preserve"> che è mantenuta su livelli </w:t>
      </w:r>
      <w:r w:rsidR="00240129" w:rsidRPr="00B61E29">
        <w:rPr>
          <w:rFonts w:ascii="Arial" w:hAnsi="Arial" w:cs="Arial"/>
          <w:sz w:val="20"/>
          <w:szCs w:val="20"/>
        </w:rPr>
        <w:t>contenut</w:t>
      </w:r>
      <w:r w:rsidR="00240129">
        <w:rPr>
          <w:rFonts w:ascii="Arial" w:hAnsi="Arial" w:cs="Arial"/>
          <w:sz w:val="20"/>
          <w:szCs w:val="20"/>
        </w:rPr>
        <w:t xml:space="preserve">i attraverso </w:t>
      </w:r>
      <w:r w:rsidR="001A57D1">
        <w:rPr>
          <w:rFonts w:ascii="Arial" w:hAnsi="Arial" w:cs="Arial"/>
          <w:sz w:val="20"/>
          <w:szCs w:val="20"/>
        </w:rPr>
        <w:t xml:space="preserve">una costante </w:t>
      </w:r>
      <w:r>
        <w:rPr>
          <w:rFonts w:ascii="Arial" w:hAnsi="Arial" w:cs="Arial"/>
          <w:sz w:val="20"/>
          <w:szCs w:val="20"/>
        </w:rPr>
        <w:t>collaborazione, finalizzat</w:t>
      </w:r>
      <w:r w:rsidR="001A57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all’armonizzazione e integrazion</w:t>
      </w:r>
      <w:r w:rsidR="00F7453F">
        <w:rPr>
          <w:rFonts w:ascii="Arial" w:hAnsi="Arial" w:cs="Arial"/>
          <w:sz w:val="20"/>
          <w:szCs w:val="20"/>
        </w:rPr>
        <w:t>e de</w:t>
      </w:r>
      <w:r w:rsidR="001A57D1">
        <w:rPr>
          <w:rFonts w:ascii="Arial" w:hAnsi="Arial" w:cs="Arial"/>
          <w:sz w:val="20"/>
          <w:szCs w:val="20"/>
        </w:rPr>
        <w:t>i rispettivi</w:t>
      </w:r>
      <w:r w:rsidR="00F7453F">
        <w:rPr>
          <w:rFonts w:ascii="Arial" w:hAnsi="Arial" w:cs="Arial"/>
          <w:sz w:val="20"/>
          <w:szCs w:val="20"/>
        </w:rPr>
        <w:t xml:space="preserve"> process</w:t>
      </w:r>
      <w:r w:rsidR="001A57D1">
        <w:rPr>
          <w:rFonts w:ascii="Arial" w:hAnsi="Arial" w:cs="Arial"/>
          <w:sz w:val="20"/>
          <w:szCs w:val="20"/>
        </w:rPr>
        <w:t>i</w:t>
      </w:r>
      <w:r w:rsidR="00F7453F">
        <w:rPr>
          <w:rFonts w:ascii="Arial" w:hAnsi="Arial" w:cs="Arial"/>
          <w:sz w:val="20"/>
          <w:szCs w:val="20"/>
        </w:rPr>
        <w:t xml:space="preserve"> statistic</w:t>
      </w:r>
      <w:r w:rsidR="001A57D1">
        <w:rPr>
          <w:rFonts w:ascii="Arial" w:hAnsi="Arial" w:cs="Arial"/>
          <w:sz w:val="20"/>
          <w:szCs w:val="20"/>
        </w:rPr>
        <w:t>i</w:t>
      </w:r>
      <w:r w:rsidR="00F7453F">
        <w:rPr>
          <w:rFonts w:ascii="Arial" w:hAnsi="Arial" w:cs="Arial"/>
          <w:sz w:val="20"/>
          <w:szCs w:val="20"/>
        </w:rPr>
        <w:t xml:space="preserve"> di</w:t>
      </w:r>
      <w:r w:rsidR="001A57D1">
        <w:rPr>
          <w:rFonts w:ascii="Arial" w:hAnsi="Arial" w:cs="Arial"/>
          <w:sz w:val="20"/>
          <w:szCs w:val="20"/>
        </w:rPr>
        <w:t xml:space="preserve"> contabilizzazione</w:t>
      </w:r>
      <w:r w:rsidRPr="00B61E29">
        <w:rPr>
          <w:rFonts w:ascii="Arial" w:hAnsi="Arial" w:cs="Arial"/>
          <w:sz w:val="20"/>
          <w:szCs w:val="20"/>
        </w:rPr>
        <w:t>.</w:t>
      </w:r>
    </w:p>
    <w:p w14:paraId="4318E090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</w:p>
    <w:p w14:paraId="2C6BC2C4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Tavola 1</w:t>
      </w:r>
    </w:p>
    <w:p w14:paraId="3D1B937F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tavola 1</w:t>
      </w:r>
      <w:r>
        <w:rPr>
          <w:rFonts w:ascii="Arial" w:hAnsi="Arial" w:cs="Arial"/>
          <w:sz w:val="20"/>
          <w:szCs w:val="20"/>
        </w:rPr>
        <w:t xml:space="preserve"> presenta, per il totale delle AP, gli aggregati rilevanti ai fini della valutazione delle posizioni di bilancio dei Paesi. Per questi valgono i seguenti criteri di registrazione: </w:t>
      </w:r>
    </w:p>
    <w:p w14:paraId="65F6551D" w14:textId="77777777" w:rsidR="00C143C7" w:rsidRDefault="00C143C7">
      <w:pPr>
        <w:numPr>
          <w:ilvl w:val="0"/>
          <w:numId w:val="13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b/>
          <w:sz w:val="20"/>
          <w:szCs w:val="20"/>
        </w:rPr>
        <w:t xml:space="preserve">indebitamento netto </w:t>
      </w:r>
      <w:r w:rsidRPr="00D939B2">
        <w:rPr>
          <w:rFonts w:ascii="Arial" w:hAnsi="Arial" w:cs="Arial"/>
          <w:sz w:val="20"/>
          <w:szCs w:val="20"/>
        </w:rPr>
        <w:t>elaborato secondo le regole previste dal Sec 2010</w:t>
      </w:r>
      <w:r>
        <w:rPr>
          <w:rFonts w:ascii="Arial" w:hAnsi="Arial" w:cs="Arial"/>
          <w:sz w:val="20"/>
          <w:szCs w:val="20"/>
        </w:rPr>
        <w:t xml:space="preserve">;  </w:t>
      </w:r>
    </w:p>
    <w:p w14:paraId="362C1B8B" w14:textId="77777777" w:rsidR="00C143C7" w:rsidRDefault="00C143C7">
      <w:pPr>
        <w:numPr>
          <w:ilvl w:val="0"/>
          <w:numId w:val="13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debito pubblico</w:t>
      </w:r>
      <w:r>
        <w:rPr>
          <w:rFonts w:ascii="Arial" w:hAnsi="Arial" w:cs="Arial"/>
          <w:sz w:val="20"/>
          <w:szCs w:val="20"/>
        </w:rPr>
        <w:t xml:space="preserve"> </w:t>
      </w:r>
      <w:r w:rsidRPr="00DC45D4">
        <w:rPr>
          <w:rFonts w:ascii="Arial" w:hAnsi="Arial" w:cs="Arial"/>
          <w:sz w:val="20"/>
          <w:szCs w:val="20"/>
        </w:rPr>
        <w:t xml:space="preserve">è la somma delle passività finanziarie delle AP, in essere al 31 dicembre di ciascun anno, valutate al </w:t>
      </w:r>
      <w:r w:rsidR="00266951">
        <w:rPr>
          <w:rFonts w:ascii="Arial" w:hAnsi="Arial" w:cs="Arial"/>
          <w:sz w:val="20"/>
          <w:szCs w:val="20"/>
        </w:rPr>
        <w:t xml:space="preserve">loro </w:t>
      </w:r>
      <w:r w:rsidRPr="00DC45D4">
        <w:rPr>
          <w:rFonts w:ascii="Arial" w:hAnsi="Arial" w:cs="Arial"/>
          <w:sz w:val="20"/>
          <w:szCs w:val="20"/>
        </w:rPr>
        <w:t xml:space="preserve">valore facciale. Il debito è considerato </w:t>
      </w:r>
      <w:r w:rsidR="006F71BE">
        <w:rPr>
          <w:rFonts w:ascii="Arial" w:hAnsi="Arial" w:cs="Arial"/>
          <w:sz w:val="20"/>
          <w:szCs w:val="20"/>
        </w:rPr>
        <w:t xml:space="preserve">in termini </w:t>
      </w:r>
      <w:r w:rsidRPr="00DC45D4">
        <w:rPr>
          <w:rFonts w:ascii="Arial" w:hAnsi="Arial" w:cs="Arial"/>
          <w:sz w:val="20"/>
          <w:szCs w:val="20"/>
        </w:rPr>
        <w:t>lord</w:t>
      </w:r>
      <w:r w:rsidR="006F71BE">
        <w:rPr>
          <w:rFonts w:ascii="Arial" w:hAnsi="Arial" w:cs="Arial"/>
          <w:sz w:val="20"/>
          <w:szCs w:val="20"/>
        </w:rPr>
        <w:t>i</w:t>
      </w:r>
      <w:r w:rsidRPr="00DC45D4">
        <w:rPr>
          <w:rFonts w:ascii="Arial" w:hAnsi="Arial" w:cs="Arial"/>
          <w:sz w:val="20"/>
          <w:szCs w:val="20"/>
        </w:rPr>
        <w:t>, in quanto non vengono sottratte le attività detenute dalle AP (ed emesse da soggetti esterni alle AP), e consolidat</w:t>
      </w:r>
      <w:r w:rsidR="006F71BE">
        <w:rPr>
          <w:rFonts w:ascii="Arial" w:hAnsi="Arial" w:cs="Arial"/>
          <w:sz w:val="20"/>
          <w:szCs w:val="20"/>
        </w:rPr>
        <w:t>i</w:t>
      </w:r>
      <w:r w:rsidRPr="00DC45D4">
        <w:rPr>
          <w:rFonts w:ascii="Arial" w:hAnsi="Arial" w:cs="Arial"/>
          <w:sz w:val="20"/>
          <w:szCs w:val="20"/>
        </w:rPr>
        <w:t xml:space="preserve">, in quanto al suo interno vengono annullate le passività che costituiscono attività di altri enti delle </w:t>
      </w:r>
      <w:r>
        <w:rPr>
          <w:rFonts w:ascii="Arial" w:hAnsi="Arial" w:cs="Arial"/>
          <w:sz w:val="20"/>
          <w:szCs w:val="20"/>
        </w:rPr>
        <w:t>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</w:t>
      </w:r>
    </w:p>
    <w:p w14:paraId="55296D73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Inoltre, esso esclude gli strumenti finanziari derivati, le passività imputate per garanzie standardizzate e le altre passività legate a semplici sfasamenti temporali nei pagamenti (debiti commerciali, altre differenze tra pagamenti per cassa e per competenza, ecc.).</w:t>
      </w:r>
    </w:p>
    <w:p w14:paraId="3158B955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strumenti finanziari inclusi nel debito pubblico sono:</w:t>
      </w:r>
    </w:p>
    <w:p w14:paraId="33CAC294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monete e depositi;</w:t>
      </w:r>
    </w:p>
    <w:p w14:paraId="0497734C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titoli a breve e a lungo termine;</w:t>
      </w:r>
    </w:p>
    <w:p w14:paraId="412EE1AF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prestiti a breve e a lungo termine.</w:t>
      </w:r>
    </w:p>
    <w:p w14:paraId="3E94BD75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</w:p>
    <w:p w14:paraId="6B3504E6" w14:textId="77777777" w:rsidR="00C143C7" w:rsidRDefault="00C143C7">
      <w:pPr>
        <w:numPr>
          <w:ilvl w:val="0"/>
          <w:numId w:val="14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>
        <w:rPr>
          <w:rFonts w:ascii="Arial" w:hAnsi="Arial" w:cs="Arial"/>
          <w:b/>
          <w:sz w:val="20"/>
          <w:szCs w:val="20"/>
        </w:rPr>
        <w:t xml:space="preserve">interessi passivi </w:t>
      </w:r>
      <w:r>
        <w:rPr>
          <w:rFonts w:ascii="Arial" w:hAnsi="Arial" w:cs="Arial"/>
          <w:sz w:val="20"/>
          <w:szCs w:val="20"/>
        </w:rPr>
        <w:t>sono calcolati in base al principio di competenza economica, secondo quanto previsto dal Sec 2010, con l’esclusione dei flussi netti connessi a derivati finanziari;</w:t>
      </w:r>
    </w:p>
    <w:p w14:paraId="6C09CBC3" w14:textId="77777777" w:rsidR="00C143C7" w:rsidRDefault="00C143C7">
      <w:pPr>
        <w:numPr>
          <w:ilvl w:val="0"/>
          <w:numId w:val="14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>
        <w:rPr>
          <w:rFonts w:ascii="Arial" w:hAnsi="Arial" w:cs="Arial"/>
          <w:b/>
          <w:sz w:val="20"/>
          <w:szCs w:val="20"/>
        </w:rPr>
        <w:t>investimenti</w:t>
      </w:r>
      <w:r>
        <w:rPr>
          <w:rFonts w:ascii="Arial" w:hAnsi="Arial" w:cs="Arial"/>
          <w:sz w:val="20"/>
          <w:szCs w:val="20"/>
        </w:rPr>
        <w:t xml:space="preserve"> fissi lordi e il </w:t>
      </w:r>
      <w:r>
        <w:rPr>
          <w:rFonts w:ascii="Arial" w:hAnsi="Arial" w:cs="Arial"/>
          <w:b/>
          <w:sz w:val="20"/>
          <w:szCs w:val="20"/>
        </w:rPr>
        <w:t>Prodotto Interno Lordo (Pil)</w:t>
      </w:r>
      <w:r>
        <w:rPr>
          <w:rFonts w:ascii="Arial" w:hAnsi="Arial" w:cs="Arial"/>
          <w:sz w:val="20"/>
          <w:szCs w:val="20"/>
        </w:rPr>
        <w:t xml:space="preserve"> sono calcolati in base alle metodologie previste dal Sec 2010.</w:t>
      </w:r>
    </w:p>
    <w:p w14:paraId="4EDADA5F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3CF842F5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Tavola 2</w:t>
      </w:r>
    </w:p>
    <w:p w14:paraId="1B2D7FAE" w14:textId="77777777" w:rsidR="00C143C7" w:rsidRDefault="00C143C7">
      <w:pPr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tavola 2</w:t>
      </w:r>
      <w:r>
        <w:rPr>
          <w:rFonts w:ascii="Arial" w:hAnsi="Arial" w:cs="Arial"/>
          <w:sz w:val="20"/>
          <w:szCs w:val="20"/>
        </w:rPr>
        <w:t xml:space="preserve"> presenta il raccordo tra fabbisogno complessivo del settore pubblico e indebitamento netto delle 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. </w:t>
      </w:r>
    </w:p>
    <w:p w14:paraId="3B880569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fabbisogno complessivo è il saldo dei conti consolidati di cassa degli enti appartenenti al settore pubblico, compilato dal Ministero dell’Economia e delle Finanze e misura l’eccedenza delle erogazioni sugli incassi con riferimento al complesso delle operazioni correnti, in conto capitale e finanziarie.</w:t>
      </w:r>
    </w:p>
    <w:p w14:paraId="6C4466C2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passaggio dall’uno all’altro aggregato è pertanto spiegato dalle seguenti poste:</w:t>
      </w:r>
    </w:p>
    <w:p w14:paraId="1727039C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partite finanziarie attive comprese nel fabbisogno (variazioni), </w:t>
      </w:r>
    </w:p>
    <w:p w14:paraId="4EC23723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differenza tra valutazioni per competenza e per cassa,</w:t>
      </w:r>
    </w:p>
    <w:p w14:paraId="0BCA0DCA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riclassificazioni di operazioni.</w:t>
      </w:r>
    </w:p>
    <w:p w14:paraId="617FAA37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variazioni delle partite finanziarie attive</w:t>
      </w:r>
      <w:r w:rsidRPr="00021C7D">
        <w:rPr>
          <w:rStyle w:val="Rimandonotaapidipagina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, vanno sottratte nel passaggio all’indebitamento in quanto questo ultimo non le contiene. Esse comprendono: i prestiti erogati a soggetti esterni alle Amministrazioni Pubbliche, l’acquisizione di quote di partecipazioni in società pubbliche, nonché altre partite, la cui componente principale, soprattutto negli ultimi anni, è costituita dai flussi netti connessi a derivati finanziari e dai depositi bancari. Tali partite riducono o aumentano il fabbisogno, ma non hanno alcun impatto sull’indebitamento che è un saldo di natura economica;</w:t>
      </w:r>
    </w:p>
    <w:p w14:paraId="79B1E3C8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differenza tra valutazioni per competenza e per cassa</w:t>
      </w:r>
      <w:r>
        <w:rPr>
          <w:rFonts w:ascii="Arial" w:hAnsi="Arial" w:cs="Arial"/>
          <w:sz w:val="20"/>
          <w:szCs w:val="20"/>
        </w:rPr>
        <w:t xml:space="preserve"> è dovuta al diverso momento di registrazione delle operazioni nei due aggregati. Mentre il fabbisogno registra le operazioni secondo il principio della cassa, l’indebitamento le registra per competenza economica. </w:t>
      </w:r>
    </w:p>
    <w:p w14:paraId="387C6DC3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poste di riclassificazione</w:t>
      </w:r>
      <w:r>
        <w:rPr>
          <w:rFonts w:ascii="Arial" w:hAnsi="Arial" w:cs="Arial"/>
          <w:sz w:val="20"/>
          <w:szCs w:val="20"/>
        </w:rPr>
        <w:t xml:space="preserve"> includono le partite di aggiustamento dovute alle differenze di registrazione delle operazioni nei due aggregati.</w:t>
      </w:r>
    </w:p>
    <w:p w14:paraId="188BA04B" w14:textId="0DC7CFD9" w:rsidR="00C143C7" w:rsidRDefault="00C143C7" w:rsidP="00523A40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 esse rappresentano alcune voci non incluse nel fabbisogno (ad esempio le cancellazioni di debiti, gli investimenti realizzati mediante contratti di partenariato pubblico</w:t>
      </w:r>
      <w:r w:rsidR="00994F8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privato </w:t>
      </w:r>
      <w:r w:rsidR="000D200A">
        <w:rPr>
          <w:rFonts w:ascii="Arial" w:hAnsi="Arial" w:cs="Arial"/>
          <w:sz w:val="20"/>
          <w:szCs w:val="20"/>
        </w:rPr>
        <w:t>-PPP</w:t>
      </w:r>
      <w:r>
        <w:rPr>
          <w:rFonts w:ascii="Arial" w:hAnsi="Arial" w:cs="Arial"/>
          <w:sz w:val="20"/>
          <w:szCs w:val="20"/>
        </w:rPr>
        <w:t>, ecc</w:t>
      </w:r>
      <w:r w:rsidRPr="00DE4F07">
        <w:rPr>
          <w:rFonts w:ascii="Arial" w:hAnsi="Arial" w:cs="Arial"/>
          <w:sz w:val="20"/>
          <w:szCs w:val="20"/>
        </w:rPr>
        <w:t xml:space="preserve">.) ed altre voci relative a </w:t>
      </w:r>
      <w:r w:rsidR="001D1FC2" w:rsidRPr="00D5721F">
        <w:rPr>
          <w:rFonts w:ascii="Arial" w:hAnsi="Arial" w:cs="Arial"/>
          <w:sz w:val="20"/>
          <w:szCs w:val="20"/>
        </w:rPr>
        <w:t xml:space="preserve">1) </w:t>
      </w:r>
      <w:r w:rsidRPr="00DE4F07">
        <w:rPr>
          <w:rFonts w:ascii="Arial" w:hAnsi="Arial" w:cs="Arial"/>
          <w:sz w:val="20"/>
          <w:szCs w:val="20"/>
        </w:rPr>
        <w:t xml:space="preserve">partite </w:t>
      </w:r>
      <w:r w:rsidR="001D1FC2" w:rsidRPr="00D5721F">
        <w:rPr>
          <w:rFonts w:ascii="Arial" w:hAnsi="Arial" w:cs="Arial"/>
          <w:sz w:val="20"/>
          <w:szCs w:val="20"/>
        </w:rPr>
        <w:t>registrate</w:t>
      </w:r>
      <w:r w:rsidRPr="00DE4F07">
        <w:rPr>
          <w:rFonts w:ascii="Arial" w:hAnsi="Arial" w:cs="Arial"/>
          <w:sz w:val="20"/>
          <w:szCs w:val="20"/>
        </w:rPr>
        <w:t xml:space="preserve"> come finanziarie nel fabbisogno (e pertanto incluse in quest’ultimo), ma riclassificate come economiche in Contabilità Nazionale e</w:t>
      </w:r>
      <w:r w:rsidR="001D1FC2" w:rsidRPr="00D5721F">
        <w:rPr>
          <w:rFonts w:ascii="Arial" w:hAnsi="Arial" w:cs="Arial"/>
          <w:sz w:val="20"/>
          <w:szCs w:val="20"/>
        </w:rPr>
        <w:t xml:space="preserve"> 2) operazioni registrate come economiche nel fabbisogno e riclassificate come finanziarie nel deficit</w:t>
      </w:r>
      <w:r w:rsidRPr="00DE4F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91178A" w14:textId="77777777" w:rsidR="00C143C7" w:rsidRPr="00F562D2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primo tipo fanno parte ad esempio gli apporti di capitale a imprese pubbliche effettuati a copertura di perdite correnti o accumulate e non in vista di accrescere i profitti futuri. Secondo il Sec 2010, tali apporti vanno registrati come spese per trasferimenti in conto capitale. A questo fine </w:t>
      </w:r>
      <w:r w:rsidRPr="00F562D2">
        <w:rPr>
          <w:rFonts w:ascii="Arial" w:hAnsi="Arial" w:cs="Arial"/>
          <w:sz w:val="20"/>
          <w:szCs w:val="20"/>
        </w:rPr>
        <w:t>sono stati riclassificati alcuni apporti a società pubbliche locali.</w:t>
      </w:r>
    </w:p>
    <w:p w14:paraId="3C40EF1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F562D2">
        <w:rPr>
          <w:rFonts w:ascii="Arial" w:hAnsi="Arial" w:cs="Arial"/>
          <w:sz w:val="20"/>
          <w:szCs w:val="20"/>
        </w:rPr>
        <w:t>Al secondo tipo appartengono ad esempio i dividendi distribuiti nell’ambito di operazioni di privatizzazione.</w:t>
      </w:r>
      <w:r>
        <w:rPr>
          <w:rFonts w:ascii="Arial" w:hAnsi="Arial" w:cs="Arial"/>
          <w:sz w:val="20"/>
          <w:szCs w:val="20"/>
        </w:rPr>
        <w:br/>
      </w:r>
    </w:p>
    <w:p w14:paraId="2221E72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09AE99AB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0A49F351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520814C2" w14:textId="77777777" w:rsidR="00C143C7" w:rsidRDefault="00C143C7">
      <w:pPr>
        <w:tabs>
          <w:tab w:val="num" w:pos="1800"/>
        </w:tabs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Tavola 3</w:t>
      </w:r>
    </w:p>
    <w:p w14:paraId="1B11485F" w14:textId="53A4302F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 xml:space="preserve">tavola 3 </w:t>
      </w:r>
      <w:r>
        <w:rPr>
          <w:rFonts w:ascii="Arial" w:hAnsi="Arial" w:cs="Arial"/>
          <w:sz w:val="20"/>
          <w:szCs w:val="20"/>
        </w:rPr>
        <w:t>evidenzia tutte le componenti dell’aggiustamento stock-flussi</w:t>
      </w:r>
      <w:r w:rsidR="00577C77"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sz w:val="20"/>
          <w:szCs w:val="20"/>
        </w:rPr>
        <w:t xml:space="preserve">rappresenta la differenza tra la variazione del debito pubblico e l’indebitamento netto delle AP. </w:t>
      </w:r>
    </w:p>
    <w:p w14:paraId="01121B97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B25B79">
        <w:rPr>
          <w:rFonts w:ascii="Arial" w:hAnsi="Arial" w:cs="Arial"/>
          <w:sz w:val="20"/>
          <w:szCs w:val="20"/>
        </w:rPr>
        <w:t>La disaggregazione di tale posta risulta importante in quanto dà conto delle componenti della variazione del debito diverse dalle entrate e dalle uscite considerate nell’indebitamento netto delle 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 xml:space="preserve">. Si noti che nella tavola 3 l’aggiustamento stock-flussi è disaggregato nelle varie componenti, a meno di una discrepanza statistica. </w:t>
      </w:r>
    </w:p>
    <w:p w14:paraId="2EB91060" w14:textId="77777777" w:rsidR="00C143C7" w:rsidRDefault="00C143C7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componenti principali sono:</w:t>
      </w:r>
    </w:p>
    <w:p w14:paraId="0CB60646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E1B9A">
        <w:rPr>
          <w:rFonts w:ascii="Arial" w:hAnsi="Arial" w:cs="Arial"/>
          <w:sz w:val="20"/>
          <w:szCs w:val="20"/>
        </w:rPr>
        <w:tab/>
      </w:r>
      <w:r w:rsidR="005E1B9A" w:rsidRPr="00021C7D">
        <w:rPr>
          <w:rFonts w:ascii="Arial" w:hAnsi="Arial" w:cs="Arial"/>
          <w:b/>
          <w:sz w:val="20"/>
          <w:szCs w:val="20"/>
        </w:rPr>
        <w:t>l’</w:t>
      </w:r>
      <w:r>
        <w:rPr>
          <w:rFonts w:ascii="Arial" w:hAnsi="Arial" w:cs="Arial"/>
          <w:b/>
          <w:sz w:val="20"/>
          <w:szCs w:val="20"/>
        </w:rPr>
        <w:t>acquisizione netta di attività finanziarie</w:t>
      </w:r>
      <w:r>
        <w:rPr>
          <w:rFonts w:ascii="Arial" w:hAnsi="Arial" w:cs="Arial"/>
          <w:sz w:val="20"/>
          <w:szCs w:val="20"/>
        </w:rPr>
        <w:t>;</w:t>
      </w:r>
    </w:p>
    <w:p w14:paraId="3E1B70C7" w14:textId="77777777" w:rsidR="00C143C7" w:rsidRDefault="005E1B9A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</w:t>
      </w:r>
      <w:r w:rsidR="00C143C7">
        <w:rPr>
          <w:rFonts w:ascii="Arial" w:hAnsi="Arial" w:cs="Arial"/>
          <w:b/>
          <w:sz w:val="20"/>
          <w:szCs w:val="20"/>
        </w:rPr>
        <w:t>altre poste di aggiustamento</w:t>
      </w:r>
      <w:r w:rsidR="00C143C7">
        <w:rPr>
          <w:rFonts w:ascii="Arial" w:hAnsi="Arial" w:cs="Arial"/>
          <w:sz w:val="20"/>
          <w:szCs w:val="20"/>
        </w:rPr>
        <w:t>.</w:t>
      </w:r>
    </w:p>
    <w:p w14:paraId="3DC24D1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tavola 3 allegata a questa nota ripropone lo schema della tavola 3 della Notifica.</w:t>
      </w:r>
    </w:p>
    <w:p w14:paraId="6214FFFD" w14:textId="77777777" w:rsidR="00C143C7" w:rsidRDefault="00C143C7">
      <w:pPr>
        <w:numPr>
          <w:ilvl w:val="0"/>
          <w:numId w:val="16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L’acquisizione netta delle attività finanziarie</w:t>
      </w:r>
      <w:r>
        <w:rPr>
          <w:rFonts w:ascii="Arial" w:hAnsi="Arial" w:cs="Arial"/>
          <w:sz w:val="20"/>
          <w:szCs w:val="20"/>
        </w:rPr>
        <w:t xml:space="preserve"> determina </w:t>
      </w:r>
      <w:r>
        <w:rPr>
          <w:rFonts w:ascii="Arial" w:hAnsi="Arial" w:cs="Arial"/>
          <w:b/>
          <w:sz w:val="20"/>
          <w:szCs w:val="20"/>
        </w:rPr>
        <w:t xml:space="preserve">variazioni </w:t>
      </w:r>
      <w:r>
        <w:rPr>
          <w:rFonts w:ascii="Arial" w:hAnsi="Arial" w:cs="Arial"/>
          <w:sz w:val="20"/>
          <w:szCs w:val="20"/>
        </w:rPr>
        <w:t>del debito, ma non dell’indebitamento. Le attività finanziarie sono disaggregate secondo il Sec 2010:</w:t>
      </w:r>
    </w:p>
    <w:p w14:paraId="5AAD7E6D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Monete e depositi</w:t>
      </w:r>
    </w:p>
    <w:p w14:paraId="4CD7FC8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Titoli a breve e a lungo termine</w:t>
      </w:r>
    </w:p>
    <w:p w14:paraId="1500AF14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Prestiti a breve termine</w:t>
      </w:r>
    </w:p>
    <w:p w14:paraId="56493D6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Prestiti a lungo termine</w:t>
      </w:r>
    </w:p>
    <w:p w14:paraId="52C64A0D" w14:textId="77777777" w:rsidR="00C143C7" w:rsidRDefault="00C143C7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Concessioni</w:t>
      </w:r>
    </w:p>
    <w:p w14:paraId="1C13AB31" w14:textId="77777777" w:rsidR="00C143C7" w:rsidRDefault="00C143C7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Rimborsi</w:t>
      </w:r>
    </w:p>
    <w:p w14:paraId="399B41C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Azioni e partecipazioni</w:t>
      </w:r>
    </w:p>
    <w:p w14:paraId="14384EDC" w14:textId="77777777" w:rsidR="006B60AB" w:rsidRDefault="006B60AB" w:rsidP="006B60AB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 w:rsidRPr="005F295C">
        <w:rPr>
          <w:rFonts w:ascii="Arial" w:hAnsi="Arial" w:cs="Arial"/>
          <w:sz w:val="20"/>
          <w:szCs w:val="20"/>
        </w:rPr>
        <w:t>Investimenti netti di portafoglio</w:t>
      </w:r>
    </w:p>
    <w:p w14:paraId="4F360B4A" w14:textId="77777777" w:rsidR="006B60AB" w:rsidRDefault="006B60AB">
      <w:pPr>
        <w:numPr>
          <w:ilvl w:val="0"/>
          <w:numId w:val="4"/>
        </w:numPr>
        <w:tabs>
          <w:tab w:val="num" w:pos="180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 w:rsidRPr="006B60AB">
        <w:rPr>
          <w:rFonts w:ascii="Arial" w:hAnsi="Arial" w:cs="Arial"/>
          <w:sz w:val="20"/>
          <w:szCs w:val="20"/>
        </w:rPr>
        <w:t>Azioni e partecipazioni diverse da investimenti di portafoglio</w:t>
      </w:r>
    </w:p>
    <w:p w14:paraId="675BE6A7" w14:textId="77777777" w:rsidR="00C143C7" w:rsidRDefault="006B60AB" w:rsidP="00021C7D">
      <w:pPr>
        <w:tabs>
          <w:tab w:val="left" w:pos="2520"/>
        </w:tabs>
        <w:spacing w:after="120"/>
        <w:ind w:left="21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43C7">
        <w:rPr>
          <w:rFonts w:ascii="Arial" w:hAnsi="Arial" w:cs="Arial"/>
          <w:sz w:val="20"/>
          <w:szCs w:val="20"/>
        </w:rPr>
        <w:t>Acquisizioni</w:t>
      </w:r>
    </w:p>
    <w:p w14:paraId="4BAC8D87" w14:textId="77777777" w:rsidR="00C143C7" w:rsidRDefault="006B60AB" w:rsidP="00021C7D">
      <w:pPr>
        <w:tabs>
          <w:tab w:val="left" w:pos="2520"/>
        </w:tabs>
        <w:spacing w:after="120"/>
        <w:ind w:left="21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43C7">
        <w:rPr>
          <w:rFonts w:ascii="Arial" w:hAnsi="Arial" w:cs="Arial"/>
          <w:sz w:val="20"/>
          <w:szCs w:val="20"/>
        </w:rPr>
        <w:t>Dismissioni</w:t>
      </w:r>
    </w:p>
    <w:p w14:paraId="35BE4D5C" w14:textId="77777777" w:rsidR="00C143C7" w:rsidRDefault="00C143C7" w:rsidP="00554475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Derivati finanziari</w:t>
      </w:r>
    </w:p>
    <w:p w14:paraId="60AA89AD" w14:textId="77777777" w:rsidR="00C143C7" w:rsidRDefault="00C143C7" w:rsidP="00554475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Attività generate da differenze competenza–cassa sulle entrate</w:t>
      </w:r>
    </w:p>
    <w:p w14:paraId="0970A817" w14:textId="77777777" w:rsidR="00C143C7" w:rsidRDefault="00C143C7" w:rsidP="00554475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Altre attività finanziarie</w:t>
      </w:r>
      <w:r w:rsidR="00746FD0">
        <w:rPr>
          <w:rFonts w:ascii="Arial" w:hAnsi="Arial" w:cs="Arial"/>
          <w:sz w:val="20"/>
          <w:szCs w:val="20"/>
        </w:rPr>
        <w:t>.</w:t>
      </w:r>
    </w:p>
    <w:p w14:paraId="41ED1F98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differenza con le partite finanziarie attive che compaiono nella tavola 2 è dovuta alle poste di riclassificazione (la classificazione delle partite finanziarie nella tavola 3 segue esattamente il Sec 2010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), nonché alle disponibilità liquide del Tesoro presso la Banca d’Italia e agli introiti di privatizzazioni.</w:t>
      </w:r>
    </w:p>
    <w:p w14:paraId="40E1EE9F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Tali poste sono compilate dalla Banca d’Italia, con l’eccezione della differenza competenza-cassa sulle entrate che è </w:t>
      </w:r>
      <w:r w:rsidR="00444B06">
        <w:rPr>
          <w:rFonts w:ascii="Arial" w:hAnsi="Arial" w:cs="Arial"/>
          <w:sz w:val="20"/>
          <w:szCs w:val="20"/>
        </w:rPr>
        <w:t xml:space="preserve">elaborata </w:t>
      </w:r>
      <w:r>
        <w:rPr>
          <w:rFonts w:ascii="Arial" w:hAnsi="Arial" w:cs="Arial"/>
          <w:sz w:val="20"/>
          <w:szCs w:val="20"/>
        </w:rPr>
        <w:t>dall’Istat. Esse sono riportate su base consolidata, cioè con l’esclusione di quelle attività che costituiscono al tempo stesso passività delle Amministrazioni Pubbliche. I dati corrispondono esattamente alle attività del conto finanziario delle Amministrazioni Pubbliche trasmesso a</w:t>
      </w:r>
      <w:r w:rsidR="005E1B9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 su base annuale e trimestrale.</w:t>
      </w:r>
    </w:p>
    <w:p w14:paraId="368C32E3" w14:textId="77777777" w:rsidR="00C143C7" w:rsidRDefault="00C143C7" w:rsidP="0035369F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voce Azioni e partecipazioni risulta composta da Investimenti netti di portafoglio e da Azioni e partecipazioni diverse da investimenti di portafoglio che include, dal lato delle acquisizioni, il valore degli apporti di capitale a imprese pubbliche effettuati dalle AP e, dal lato delle dismissioni, il valore delle privatizzazioni operate dalle AP.</w:t>
      </w:r>
    </w:p>
    <w:p w14:paraId="3B89023C" w14:textId="19B1EDB2" w:rsidR="001B32DF" w:rsidRDefault="00C143C7" w:rsidP="0027674D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2375B2">
        <w:rPr>
          <w:rFonts w:ascii="Arial" w:hAnsi="Arial" w:cs="Arial"/>
          <w:sz w:val="20"/>
          <w:szCs w:val="20"/>
        </w:rPr>
        <w:t xml:space="preserve">La voce Derivati finanziari riporta i flussi netti connessi a derivati finanziari: per esempio, il saldo tra pagamenti in entrata e in uscita scambiati tra le parti nell’ambito di contratti </w:t>
      </w:r>
      <w:r w:rsidRPr="00D5721F">
        <w:rPr>
          <w:rFonts w:ascii="Arial" w:hAnsi="Arial" w:cs="Arial"/>
          <w:i/>
          <w:sz w:val="20"/>
          <w:szCs w:val="20"/>
        </w:rPr>
        <w:t>swap</w:t>
      </w:r>
      <w:r w:rsidRPr="002375B2">
        <w:rPr>
          <w:rFonts w:ascii="Arial" w:hAnsi="Arial" w:cs="Arial"/>
          <w:sz w:val="20"/>
          <w:szCs w:val="20"/>
        </w:rPr>
        <w:t xml:space="preserve"> e</w:t>
      </w:r>
      <w:r w:rsidRPr="00FD60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D60A4">
        <w:rPr>
          <w:rFonts w:ascii="Arial" w:hAnsi="Arial" w:cs="Arial"/>
          <w:i/>
          <w:sz w:val="20"/>
          <w:szCs w:val="20"/>
        </w:rPr>
        <w:t>forward</w:t>
      </w:r>
      <w:proofErr w:type="spellEnd"/>
      <w:r w:rsidRPr="00D5721F">
        <w:rPr>
          <w:rFonts w:ascii="Arial" w:hAnsi="Arial" w:cs="Arial"/>
          <w:i/>
          <w:sz w:val="20"/>
          <w:szCs w:val="20"/>
        </w:rPr>
        <w:t xml:space="preserve"> rate </w:t>
      </w:r>
      <w:proofErr w:type="spellStart"/>
      <w:r w:rsidRPr="00D5721F">
        <w:rPr>
          <w:rFonts w:ascii="Arial" w:hAnsi="Arial" w:cs="Arial"/>
          <w:i/>
          <w:sz w:val="20"/>
          <w:szCs w:val="20"/>
        </w:rPr>
        <w:t>agreement</w:t>
      </w:r>
      <w:proofErr w:type="spellEnd"/>
      <w:r w:rsidRPr="002375B2">
        <w:rPr>
          <w:rFonts w:ascii="Arial" w:hAnsi="Arial" w:cs="Arial"/>
          <w:sz w:val="20"/>
          <w:szCs w:val="20"/>
        </w:rPr>
        <w:t xml:space="preserve">. Il Regolamento (UE) N. 220/2014, che </w:t>
      </w:r>
      <w:bookmarkStart w:id="0" w:name="_GoBack"/>
      <w:bookmarkEnd w:id="0"/>
      <w:r w:rsidRPr="002375B2">
        <w:rPr>
          <w:rFonts w:ascii="Arial" w:hAnsi="Arial" w:cs="Arial"/>
          <w:sz w:val="20"/>
          <w:szCs w:val="20"/>
        </w:rPr>
        <w:t xml:space="preserve">aggiorna le definizioni della Notifica in base al </w:t>
      </w:r>
      <w:r w:rsidRPr="002375B2">
        <w:rPr>
          <w:rFonts w:ascii="Arial" w:hAnsi="Arial" w:cs="Arial"/>
          <w:sz w:val="20"/>
          <w:szCs w:val="20"/>
        </w:rPr>
        <w:lastRenderedPageBreak/>
        <w:t>Sec</w:t>
      </w:r>
      <w:r>
        <w:rPr>
          <w:rFonts w:ascii="Arial" w:hAnsi="Arial" w:cs="Arial"/>
          <w:sz w:val="20"/>
          <w:szCs w:val="20"/>
        </w:rPr>
        <w:t xml:space="preserve"> </w:t>
      </w:r>
      <w:r w:rsidRPr="002375B2">
        <w:rPr>
          <w:rFonts w:ascii="Arial" w:hAnsi="Arial" w:cs="Arial"/>
          <w:sz w:val="20"/>
          <w:szCs w:val="20"/>
        </w:rPr>
        <w:t>2010, prevede che essi siano trattati come operazioni finanziarie senza alcun im</w:t>
      </w:r>
      <w:r>
        <w:rPr>
          <w:rFonts w:ascii="Arial" w:hAnsi="Arial" w:cs="Arial"/>
          <w:sz w:val="20"/>
          <w:szCs w:val="20"/>
        </w:rPr>
        <w:t>patto sul calcolo del</w:t>
      </w:r>
      <w:r w:rsidR="005E1B9A">
        <w:rPr>
          <w:rFonts w:ascii="Arial" w:hAnsi="Arial" w:cs="Arial"/>
          <w:sz w:val="20"/>
          <w:szCs w:val="20"/>
        </w:rPr>
        <w:t>l’indebitamento</w:t>
      </w:r>
      <w:r>
        <w:rPr>
          <w:rFonts w:ascii="Arial" w:hAnsi="Arial" w:cs="Arial"/>
          <w:sz w:val="20"/>
          <w:szCs w:val="20"/>
        </w:rPr>
        <w:t>.</w:t>
      </w:r>
      <w:r w:rsidR="00290558">
        <w:rPr>
          <w:rFonts w:ascii="Arial" w:hAnsi="Arial" w:cs="Arial"/>
          <w:sz w:val="20"/>
          <w:szCs w:val="20"/>
        </w:rPr>
        <w:t xml:space="preserve"> </w:t>
      </w:r>
    </w:p>
    <w:p w14:paraId="1227947C" w14:textId="77777777" w:rsidR="00C143C7" w:rsidRDefault="00C143C7" w:rsidP="0027674D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6B60AB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generate da differenze competenza–cassa sulle entrate sono costituite per la maggior parte da crediti formatisi con riferimento alle imposte dichiarate ma non ancora versate, ai contributi sociali effettivi, ecc.</w:t>
      </w:r>
      <w:r w:rsidRPr="002C25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Infine </w:t>
      </w:r>
      <w:r w:rsidR="005E1B9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="005E1B9A">
        <w:rPr>
          <w:rFonts w:ascii="Arial" w:hAnsi="Arial" w:cs="Arial"/>
          <w:sz w:val="20"/>
          <w:szCs w:val="20"/>
        </w:rPr>
        <w:t xml:space="preserve">Altre </w:t>
      </w:r>
      <w:r>
        <w:rPr>
          <w:rFonts w:ascii="Arial" w:hAnsi="Arial" w:cs="Arial"/>
          <w:sz w:val="20"/>
          <w:szCs w:val="20"/>
        </w:rPr>
        <w:t>attività finanziarie includono le attività per assicurazioni, pensioni ecc</w:t>
      </w:r>
      <w:r w:rsidR="008A03D3">
        <w:rPr>
          <w:rFonts w:ascii="Arial" w:hAnsi="Arial" w:cs="Arial"/>
          <w:sz w:val="20"/>
          <w:szCs w:val="20"/>
        </w:rPr>
        <w:t>.</w:t>
      </w:r>
    </w:p>
    <w:p w14:paraId="137826FA" w14:textId="77777777" w:rsidR="00C143C7" w:rsidRPr="00AD3A5E" w:rsidRDefault="00C143C7" w:rsidP="0027674D">
      <w:pPr>
        <w:numPr>
          <w:ilvl w:val="0"/>
          <w:numId w:val="16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021C7D">
        <w:rPr>
          <w:rFonts w:ascii="Arial" w:hAnsi="Arial" w:cs="Arial"/>
          <w:b/>
          <w:sz w:val="20"/>
          <w:szCs w:val="20"/>
        </w:rPr>
        <w:t>Le altre poste di aggiustamento</w:t>
      </w:r>
      <w:r w:rsidRPr="002375B2">
        <w:rPr>
          <w:rFonts w:ascii="Arial" w:hAnsi="Arial" w:cs="Arial"/>
          <w:sz w:val="20"/>
          <w:szCs w:val="20"/>
        </w:rPr>
        <w:t xml:space="preserve"> includono: le passività nette in strumenti derivati </w:t>
      </w:r>
      <w:r w:rsidR="006B60AB">
        <w:rPr>
          <w:rFonts w:ascii="Arial" w:hAnsi="Arial" w:cs="Arial"/>
          <w:sz w:val="20"/>
          <w:szCs w:val="20"/>
        </w:rPr>
        <w:t>(</w:t>
      </w:r>
      <w:r w:rsidRPr="002375B2">
        <w:rPr>
          <w:rFonts w:ascii="Arial" w:hAnsi="Arial" w:cs="Arial"/>
          <w:sz w:val="20"/>
          <w:szCs w:val="20"/>
        </w:rPr>
        <w:t xml:space="preserve">questa riga, analoga a quella </w:t>
      </w:r>
      <w:r w:rsidR="001B32DF">
        <w:rPr>
          <w:rFonts w:ascii="Arial" w:hAnsi="Arial" w:cs="Arial"/>
          <w:sz w:val="20"/>
          <w:szCs w:val="20"/>
        </w:rPr>
        <w:t>d</w:t>
      </w:r>
      <w:r w:rsidRPr="002375B2">
        <w:rPr>
          <w:rFonts w:ascii="Arial" w:hAnsi="Arial" w:cs="Arial"/>
          <w:sz w:val="20"/>
          <w:szCs w:val="20"/>
        </w:rPr>
        <w:t xml:space="preserve">ella precedente sezione dedicata alle attività finanziarie, riporta le </w:t>
      </w:r>
      <w:r w:rsidR="001B32DF">
        <w:rPr>
          <w:rFonts w:ascii="Arial" w:hAnsi="Arial" w:cs="Arial"/>
          <w:sz w:val="20"/>
          <w:szCs w:val="20"/>
        </w:rPr>
        <w:t xml:space="preserve">variazioni delle </w:t>
      </w:r>
      <w:r w:rsidRPr="002375B2">
        <w:rPr>
          <w:rFonts w:ascii="Arial" w:hAnsi="Arial" w:cs="Arial"/>
          <w:sz w:val="20"/>
          <w:szCs w:val="20"/>
        </w:rPr>
        <w:t>passività</w:t>
      </w:r>
      <w:r w:rsidR="001B32DF">
        <w:rPr>
          <w:rFonts w:ascii="Arial" w:hAnsi="Arial" w:cs="Arial"/>
          <w:sz w:val="20"/>
          <w:szCs w:val="20"/>
        </w:rPr>
        <w:t xml:space="preserve"> in strumenti derivati</w:t>
      </w:r>
      <w:r w:rsidRPr="002375B2">
        <w:rPr>
          <w:rFonts w:ascii="Arial" w:hAnsi="Arial" w:cs="Arial"/>
          <w:sz w:val="20"/>
          <w:szCs w:val="20"/>
        </w:rPr>
        <w:t xml:space="preserve"> generate da operazioni particolari come il riacquisto di </w:t>
      </w:r>
      <w:proofErr w:type="spellStart"/>
      <w:r w:rsidRPr="00021C7D">
        <w:rPr>
          <w:rFonts w:ascii="Arial" w:hAnsi="Arial" w:cs="Arial"/>
          <w:i/>
          <w:sz w:val="20"/>
          <w:szCs w:val="20"/>
        </w:rPr>
        <w:t>swaption</w:t>
      </w:r>
      <w:proofErr w:type="spellEnd"/>
      <w:r w:rsidRPr="002375B2">
        <w:rPr>
          <w:rFonts w:ascii="Arial" w:hAnsi="Arial" w:cs="Arial"/>
          <w:sz w:val="20"/>
          <w:szCs w:val="20"/>
        </w:rPr>
        <w:t>, la cancellazione di contratti derivati, la ristrutturazione di derivati</w:t>
      </w:r>
      <w:r w:rsidR="00444B06">
        <w:rPr>
          <w:rFonts w:ascii="Arial" w:hAnsi="Arial" w:cs="Arial"/>
          <w:sz w:val="20"/>
          <w:szCs w:val="20"/>
        </w:rPr>
        <w:t>,</w:t>
      </w:r>
      <w:r w:rsidRPr="002375B2">
        <w:rPr>
          <w:rFonts w:ascii="Arial" w:hAnsi="Arial" w:cs="Arial"/>
          <w:sz w:val="20"/>
          <w:szCs w:val="20"/>
        </w:rPr>
        <w:t xml:space="preserve"> ecc.</w:t>
      </w:r>
      <w:r w:rsidR="006B60AB">
        <w:rPr>
          <w:rFonts w:ascii="Arial" w:hAnsi="Arial" w:cs="Arial"/>
          <w:sz w:val="20"/>
          <w:szCs w:val="20"/>
        </w:rPr>
        <w:t>)</w:t>
      </w:r>
      <w:r w:rsidRPr="002375B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5C478D">
        <w:rPr>
          <w:rFonts w:ascii="Arial" w:hAnsi="Arial" w:cs="Arial"/>
          <w:sz w:val="20"/>
          <w:szCs w:val="20"/>
        </w:rPr>
        <w:t>la differen</w:t>
      </w:r>
      <w:r>
        <w:rPr>
          <w:rFonts w:ascii="Arial" w:hAnsi="Arial" w:cs="Arial"/>
          <w:sz w:val="20"/>
          <w:szCs w:val="20"/>
        </w:rPr>
        <w:t>za competenza-cassa sulle uscite; le passività per garanzie standard</w:t>
      </w:r>
      <w:r w:rsidR="00994F8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>gli aggiustamenti dovuti ad effetti di valutazione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>delle passività finanziarie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l</w:t>
      </w:r>
      <w:r w:rsidRPr="00AD3A5E">
        <w:rPr>
          <w:rFonts w:ascii="Arial" w:hAnsi="Arial" w:cs="Arial"/>
          <w:sz w:val="20"/>
          <w:szCs w:val="20"/>
        </w:rPr>
        <w:t>e altre variazioni di volume.</w:t>
      </w:r>
    </w:p>
    <w:p w14:paraId="037BF4B4" w14:textId="10E8BB86" w:rsidR="00994F86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aggiustamenti dovuti agli effetti di valutazione </w:t>
      </w:r>
      <w:r w:rsidRPr="00AD3A5E">
        <w:rPr>
          <w:rFonts w:ascii="Arial" w:hAnsi="Arial" w:cs="Arial"/>
          <w:sz w:val="20"/>
          <w:szCs w:val="20"/>
        </w:rPr>
        <w:t>delle passività finanziarie</w:t>
      </w:r>
      <w:r>
        <w:rPr>
          <w:rFonts w:ascii="Arial" w:hAnsi="Arial" w:cs="Arial"/>
          <w:sz w:val="20"/>
          <w:szCs w:val="20"/>
        </w:rPr>
        <w:t xml:space="preserve"> sono legati al fatto che il debito pubblico è valutato al valore facciale e non al valore di mercato. Esso pertanto esclude gli interessi maturati ma non pagati</w:t>
      </w:r>
      <w:r w:rsidR="00BD376E">
        <w:rPr>
          <w:rFonts w:ascii="Arial" w:hAnsi="Arial" w:cs="Arial"/>
          <w:sz w:val="20"/>
          <w:szCs w:val="20"/>
        </w:rPr>
        <w:t xml:space="preserve"> (tranne nel caso della loro capitalizzazione)</w:t>
      </w:r>
      <w:r>
        <w:rPr>
          <w:rFonts w:ascii="Arial" w:hAnsi="Arial" w:cs="Arial"/>
          <w:sz w:val="20"/>
          <w:szCs w:val="20"/>
        </w:rPr>
        <w:t xml:space="preserve">, gli scarti o premi di emissione sui titoli e la differenza tra il valore </w:t>
      </w:r>
      <w:r w:rsidR="00BD376E">
        <w:rPr>
          <w:rFonts w:ascii="Arial" w:hAnsi="Arial" w:cs="Arial"/>
          <w:sz w:val="20"/>
          <w:szCs w:val="20"/>
        </w:rPr>
        <w:t xml:space="preserve">facciale </w:t>
      </w:r>
      <w:r>
        <w:rPr>
          <w:rFonts w:ascii="Arial" w:hAnsi="Arial" w:cs="Arial"/>
          <w:sz w:val="20"/>
          <w:szCs w:val="20"/>
        </w:rPr>
        <w:t>e il valore di rimborso per i titoli rimborsati prima della scadenza.</w:t>
      </w:r>
      <w:r w:rsidR="00994F86">
        <w:rPr>
          <w:rFonts w:ascii="Arial" w:hAnsi="Arial" w:cs="Arial"/>
          <w:sz w:val="20"/>
          <w:szCs w:val="20"/>
        </w:rPr>
        <w:t xml:space="preserve"> </w:t>
      </w:r>
    </w:p>
    <w:p w14:paraId="4567537D" w14:textId="74DF23E3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differenza competenza-cassa sugli interessi è dovuta al fatto che il debito esclude tutti gli interessi maturati ma non pagati</w:t>
      </w:r>
      <w:r w:rsidR="00BD376E">
        <w:rPr>
          <w:rFonts w:ascii="Arial" w:hAnsi="Arial" w:cs="Arial"/>
          <w:sz w:val="20"/>
          <w:szCs w:val="20"/>
        </w:rPr>
        <w:t xml:space="preserve"> (tranne nel caso della loro capitalizzazione) </w:t>
      </w:r>
      <w:r>
        <w:rPr>
          <w:rFonts w:ascii="Arial" w:hAnsi="Arial" w:cs="Arial"/>
          <w:sz w:val="20"/>
          <w:szCs w:val="20"/>
        </w:rPr>
        <w:t>che sono</w:t>
      </w:r>
      <w:r w:rsidR="00BD376E">
        <w:rPr>
          <w:rFonts w:ascii="Arial" w:hAnsi="Arial" w:cs="Arial"/>
          <w:sz w:val="20"/>
          <w:szCs w:val="20"/>
        </w:rPr>
        <w:t xml:space="preserve"> invece</w:t>
      </w:r>
      <w:r>
        <w:rPr>
          <w:rFonts w:ascii="Arial" w:hAnsi="Arial" w:cs="Arial"/>
          <w:sz w:val="20"/>
          <w:szCs w:val="20"/>
        </w:rPr>
        <w:t xml:space="preserve"> contabilizzati nell’indebitamento</w:t>
      </w:r>
      <w:r w:rsidR="00BD376E">
        <w:rPr>
          <w:rFonts w:ascii="Arial" w:hAnsi="Arial" w:cs="Arial"/>
          <w:sz w:val="20"/>
          <w:szCs w:val="20"/>
        </w:rPr>
        <w:t xml:space="preserve"> netto</w:t>
      </w:r>
      <w:r>
        <w:rPr>
          <w:rFonts w:ascii="Arial" w:hAnsi="Arial" w:cs="Arial"/>
          <w:sz w:val="20"/>
          <w:szCs w:val="20"/>
        </w:rPr>
        <w:t>.</w:t>
      </w:r>
    </w:p>
    <w:p w14:paraId="27FAC1CC" w14:textId="2F70A20B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calcolo degli interessi di competenza viene fatto in base al criterio “</w:t>
      </w:r>
      <w:r>
        <w:rPr>
          <w:rFonts w:ascii="Arial" w:hAnsi="Arial" w:cs="Arial"/>
          <w:i/>
          <w:sz w:val="20"/>
          <w:szCs w:val="20"/>
        </w:rPr>
        <w:t xml:space="preserve">full </w:t>
      </w:r>
      <w:proofErr w:type="spellStart"/>
      <w:r>
        <w:rPr>
          <w:rFonts w:ascii="Arial" w:hAnsi="Arial" w:cs="Arial"/>
          <w:i/>
          <w:sz w:val="20"/>
          <w:szCs w:val="20"/>
        </w:rPr>
        <w:t>accrual</w:t>
      </w:r>
      <w:proofErr w:type="spellEnd"/>
      <w:r>
        <w:rPr>
          <w:rFonts w:ascii="Arial" w:hAnsi="Arial" w:cs="Arial"/>
          <w:sz w:val="20"/>
          <w:szCs w:val="20"/>
        </w:rPr>
        <w:t>”, che riflette un approccio di tipo “continuo” al calcolo dell’onere del debito, non influenzato dalle scadenze dei pagamenti ma come un flusso economico continuamente rigenerato. Il calcolo della differenza competenza-cassa sugli interessi è effettuato dall’Istat sulla base delle seguenti fonti:</w:t>
      </w:r>
    </w:p>
    <w:p w14:paraId="59E96B5A" w14:textId="77777777" w:rsidR="00C143C7" w:rsidRDefault="00C143C7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risparmio postale le informazioni della Cassa Depositi e Prestiti;</w:t>
      </w:r>
    </w:p>
    <w:p w14:paraId="6AC83708" w14:textId="77777777" w:rsidR="00C143C7" w:rsidRDefault="00C143C7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titoli del debito pubblico le informazioni del Ministero dell’Economia e delle Finanze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.</w:t>
      </w:r>
    </w:p>
    <w:p w14:paraId="1DF417DB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posta include gli aggiustamenti dovuti ai </w:t>
      </w:r>
      <w:r>
        <w:rPr>
          <w:rFonts w:ascii="Arial" w:hAnsi="Arial" w:cs="Arial"/>
          <w:i/>
          <w:sz w:val="20"/>
          <w:szCs w:val="20"/>
        </w:rPr>
        <w:t xml:space="preserve">capital </w:t>
      </w:r>
      <w:proofErr w:type="spellStart"/>
      <w:r>
        <w:rPr>
          <w:rFonts w:ascii="Arial" w:hAnsi="Arial" w:cs="Arial"/>
          <w:i/>
          <w:sz w:val="20"/>
          <w:szCs w:val="20"/>
        </w:rPr>
        <w:t>uplift</w:t>
      </w:r>
      <w:proofErr w:type="spellEnd"/>
      <w:r>
        <w:rPr>
          <w:rFonts w:ascii="Arial" w:hAnsi="Arial" w:cs="Arial"/>
          <w:sz w:val="20"/>
          <w:szCs w:val="20"/>
        </w:rPr>
        <w:t xml:space="preserve"> relativi ai titoli di stato indicizzati.</w:t>
      </w:r>
    </w:p>
    <w:p w14:paraId="23D05313" w14:textId="32751617" w:rsidR="00C143C7" w:rsidRDefault="00C143C7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emissioni di debito sotto o sopra la pari e i rimborsi sopra o sotto la pari, calcolati dal Ministero dell’Economia e delle Finanze (Dipartimento del Tesoro), registrano </w:t>
      </w:r>
      <w:r w:rsidR="00BD376E">
        <w:rPr>
          <w:rFonts w:ascii="Arial" w:hAnsi="Arial" w:cs="Arial"/>
          <w:sz w:val="20"/>
          <w:szCs w:val="20"/>
        </w:rPr>
        <w:t xml:space="preserve">rispettivamente </w:t>
      </w:r>
      <w:r>
        <w:rPr>
          <w:rFonts w:ascii="Arial" w:hAnsi="Arial" w:cs="Arial"/>
          <w:sz w:val="20"/>
          <w:szCs w:val="20"/>
        </w:rPr>
        <w:t xml:space="preserve">gli scarti o i premi all’emissione e gli scarti o i premi al rimborso dei titoli del debito pubblico. Le rivalutazioni/svalutazioni di passività in valuta, calcolati anch’essi dal Ministero dell’Economia e delle Finanze, registrano le variazioni del valore del debito dovute a movimenti nei tassi di cambio per quegli strumenti denominati in valute diverse dall’euro. La variazione dei tassi di cambio non ha alcun impatto sull’indebitamento, ma ha un impatto sul debito. </w:t>
      </w:r>
    </w:p>
    <w:p w14:paraId="0A0FC9B6" w14:textId="314A76BD" w:rsidR="00C143C7" w:rsidRDefault="00C143C7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altre variazioni di volume di passività finanziarie calcolate dalla Banca d’Italia sono dovute a variazioni dello stock di debito, che non hanno però alcun impatto sull’indebitamento.</w:t>
      </w:r>
    </w:p>
    <w:p w14:paraId="10BA0C60" w14:textId="682924E7" w:rsidR="00095046" w:rsidRDefault="00095046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2B49494D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1DE7277D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4D65BF36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139BE429" w14:textId="35064A86" w:rsidR="00095046" w:rsidRP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color w:val="99CC00"/>
        </w:rPr>
      </w:pPr>
      <w:r w:rsidRPr="00095046">
        <w:rPr>
          <w:rFonts w:ascii="Arial" w:hAnsi="Arial" w:cs="Arial"/>
          <w:color w:val="99CC00"/>
          <w:sz w:val="36"/>
          <w:szCs w:val="36"/>
        </w:rPr>
        <w:t>Per chiarimenti tecnici e metodologici</w:t>
      </w:r>
    </w:p>
    <w:tbl>
      <w:tblPr>
        <w:tblW w:w="9814" w:type="dxa"/>
        <w:shd w:val="clear" w:color="auto" w:fill="FD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095046" w14:paraId="41E0B2BF" w14:textId="77777777" w:rsidTr="00095046">
        <w:trPr>
          <w:trHeight w:val="1134"/>
        </w:trPr>
        <w:tc>
          <w:tcPr>
            <w:tcW w:w="4851" w:type="dxa"/>
            <w:tcBorders>
              <w:top w:val="dotted" w:sz="8" w:space="0" w:color="808080"/>
              <w:left w:val="nil"/>
              <w:bottom w:val="nil"/>
              <w:right w:val="nil"/>
            </w:tcBorders>
            <w:shd w:val="clear" w:color="auto" w:fill="FDFDFC"/>
            <w:tcMar>
              <w:top w:w="170" w:type="dxa"/>
              <w:left w:w="0" w:type="dxa"/>
              <w:bottom w:w="0" w:type="dxa"/>
              <w:right w:w="0" w:type="dxa"/>
            </w:tcMar>
            <w:hideMark/>
          </w:tcPr>
          <w:p w14:paraId="5E8CC47F" w14:textId="77777777" w:rsidR="00095046" w:rsidRPr="00C756CE" w:rsidRDefault="00095046" w:rsidP="00095046">
            <w:pPr>
              <w:pStyle w:val="NormaleWeb"/>
              <w:shd w:val="clear" w:color="auto" w:fill="FDFDFC"/>
              <w:spacing w:before="0" w:beforeAutospacing="0" w:after="0" w:afterAutospacing="0"/>
              <w:rPr>
                <w:rFonts w:ascii="Arial" w:hAnsi="Arial" w:cs="Arial"/>
                <w:color w:val="99CC00"/>
                <w:sz w:val="28"/>
                <w:szCs w:val="28"/>
              </w:rPr>
            </w:pPr>
            <w:r w:rsidRPr="00C756CE">
              <w:rPr>
                <w:rFonts w:ascii="Arial" w:hAnsi="Arial" w:cs="Arial"/>
                <w:color w:val="99CC00"/>
                <w:sz w:val="28"/>
                <w:szCs w:val="28"/>
              </w:rPr>
              <w:t>Marinella Cosco</w:t>
            </w:r>
          </w:p>
          <w:p w14:paraId="595B208A" w14:textId="77777777" w:rsidR="00095046" w:rsidRDefault="00095046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tel.+39 06 4673.3189</w:t>
            </w:r>
          </w:p>
          <w:p w14:paraId="17FC3743" w14:textId="77777777" w:rsidR="00095046" w:rsidRDefault="00FD60A4">
            <w:pPr>
              <w:pStyle w:val="NormaleWeb"/>
              <w:spacing w:before="0" w:beforeAutospacing="0" w:after="0" w:afterAutospacing="0"/>
            </w:pPr>
            <w:hyperlink r:id="rId12" w:tgtFrame="_blank" w:history="1">
              <w:r w:rsidR="00095046">
                <w:rPr>
                  <w:rStyle w:val="Collegamentoipertestuale"/>
                  <w:color w:val="00008B"/>
                </w:rPr>
                <w:t>cosco@istat.it</w:t>
              </w:r>
            </w:hyperlink>
          </w:p>
        </w:tc>
      </w:tr>
    </w:tbl>
    <w:p w14:paraId="0D79AC5B" w14:textId="77777777" w:rsidR="00095046" w:rsidRDefault="00095046" w:rsidP="001738AA">
      <w:pPr>
        <w:tabs>
          <w:tab w:val="num" w:pos="18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sectPr w:rsidR="00095046" w:rsidSect="00052042">
      <w:headerReference w:type="default" r:id="rId13"/>
      <w:footerReference w:type="default" r:id="rId14"/>
      <w:headerReference w:type="first" r:id="rId15"/>
      <w:pgSz w:w="11906" w:h="16838"/>
      <w:pgMar w:top="567" w:right="680" w:bottom="680" w:left="68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0C29" w14:textId="77777777" w:rsidR="004941A0" w:rsidRDefault="004941A0">
      <w:r>
        <w:separator/>
      </w:r>
    </w:p>
  </w:endnote>
  <w:endnote w:type="continuationSeparator" w:id="0">
    <w:p w14:paraId="5256E3C1" w14:textId="77777777" w:rsidR="004941A0" w:rsidRDefault="004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779C" w14:textId="2B7D8A69" w:rsidR="008A03D3" w:rsidRDefault="00B317DB" w:rsidP="00B317DB">
    <w:pPr>
      <w:pStyle w:val="Pidipagina"/>
      <w:framePr w:wrap="around" w:vAnchor="text" w:hAnchor="page" w:x="751" w:y="1"/>
      <w:ind w:left="720"/>
      <w:rPr>
        <w:rFonts w:ascii="Arial" w:hAnsi="Arial" w:cs="Arial"/>
        <w:b/>
        <w:color w:val="003366"/>
      </w:rPr>
    </w:pPr>
    <w:r>
      <w:rPr>
        <w:rFonts w:ascii="Arial" w:hAnsi="Arial" w:cs="Arial"/>
        <w:b/>
        <w:bCs/>
        <w:noProof/>
        <w:sz w:val="20"/>
        <w:szCs w:val="16"/>
      </w:rPr>
      <w:drawing>
        <wp:inline distT="0" distB="0" distL="0" distR="0" wp14:anchorId="2EEA05EA" wp14:editId="62F1BFAB">
          <wp:extent cx="497205" cy="146050"/>
          <wp:effectExtent l="0" t="0" r="0" b="0"/>
          <wp:docPr id="37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3D3" w:rsidRPr="00364945">
      <w:rPr>
        <w:rStyle w:val="Numeropagina"/>
        <w:rFonts w:ascii="Arial" w:hAnsi="Arial" w:cs="Arial"/>
        <w:b/>
        <w:color w:val="9BBB59"/>
      </w:rPr>
      <w:t>|</w:t>
    </w:r>
    <w:r w:rsidR="008A03D3">
      <w:rPr>
        <w:rStyle w:val="Numeropagina"/>
        <w:rFonts w:ascii="Arial" w:hAnsi="Arial" w:cs="Arial"/>
        <w:color w:val="808080"/>
      </w:rPr>
      <w:t xml:space="preserve">  </w: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begin"/>
    </w:r>
    <w:r w:rsidR="008A03D3" w:rsidRPr="00465480">
      <w:rPr>
        <w:rStyle w:val="Numeropagina"/>
        <w:rFonts w:ascii="Arial" w:hAnsi="Arial" w:cs="Arial"/>
        <w:b/>
        <w:color w:val="92D050"/>
      </w:rPr>
      <w:instrText xml:space="preserve">PAGE  </w:instrTex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separate"/>
    </w:r>
    <w:r w:rsidR="00FD60A4">
      <w:rPr>
        <w:rStyle w:val="Numeropagina"/>
        <w:rFonts w:ascii="Arial" w:hAnsi="Arial" w:cs="Arial"/>
        <w:b/>
        <w:noProof/>
        <w:color w:val="92D050"/>
      </w:rPr>
      <w:t>8</w: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end"/>
    </w:r>
  </w:p>
  <w:p w14:paraId="2A7B7A28" w14:textId="77777777" w:rsidR="008A03D3" w:rsidRDefault="008A03D3">
    <w:pPr>
      <w:pStyle w:val="Pidipagina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82050" w14:textId="77777777" w:rsidR="004941A0" w:rsidRDefault="004941A0">
      <w:r>
        <w:separator/>
      </w:r>
    </w:p>
  </w:footnote>
  <w:footnote w:type="continuationSeparator" w:id="0">
    <w:p w14:paraId="6F739F7E" w14:textId="77777777" w:rsidR="004941A0" w:rsidRDefault="004941A0">
      <w:r>
        <w:continuationSeparator/>
      </w:r>
    </w:p>
  </w:footnote>
  <w:footnote w:id="1">
    <w:p w14:paraId="59A01F62" w14:textId="77777777" w:rsidR="008A03D3" w:rsidRPr="000B64DF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 w:rsidRPr="000B64DF">
        <w:rPr>
          <w:rFonts w:ascii="Arial" w:hAnsi="Arial" w:cs="Arial"/>
          <w:sz w:val="16"/>
          <w:szCs w:val="16"/>
        </w:rPr>
        <w:t xml:space="preserve"> </w:t>
      </w:r>
      <w:r w:rsidRPr="000B64DF">
        <w:rPr>
          <w:rFonts w:ascii="Arial" w:hAnsi="Arial" w:cs="Arial"/>
          <w:sz w:val="16"/>
          <w:szCs w:val="16"/>
          <w:lang w:eastAsia="en-US"/>
        </w:rPr>
        <w:t xml:space="preserve">Il Protocollo, in attuazione dell’art. 104 C del Trattato stesso, fissa i valori limite che possono assumere l’indebitamento e il debito pubblico: </w:t>
      </w:r>
    </w:p>
    <w:p w14:paraId="6EE0DB46" w14:textId="77777777" w:rsidR="008A03D3" w:rsidRPr="000B64DF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Fonts w:ascii="Arial" w:hAnsi="Arial" w:cs="Arial"/>
          <w:sz w:val="16"/>
          <w:szCs w:val="16"/>
          <w:lang w:eastAsia="en-US"/>
        </w:rPr>
        <w:t>- il 3% per il rapporto tra indebitamento pubblico, previsto o effettivo, e il prodotto interno lordo</w:t>
      </w:r>
      <w:r w:rsidRPr="000B64DF">
        <w:rPr>
          <w:rFonts w:ascii="Arial" w:hAnsi="Arial" w:cs="Arial"/>
          <w:sz w:val="16"/>
          <w:szCs w:val="16"/>
        </w:rPr>
        <w:t xml:space="preserve"> </w:t>
      </w:r>
      <w:r w:rsidRPr="000B64DF">
        <w:rPr>
          <w:rFonts w:ascii="Arial" w:hAnsi="Arial" w:cs="Arial"/>
          <w:sz w:val="16"/>
          <w:szCs w:val="16"/>
          <w:lang w:eastAsia="en-US"/>
        </w:rPr>
        <w:t>ai prezzi di mercato (Pil);</w:t>
      </w:r>
    </w:p>
    <w:p w14:paraId="4349031E" w14:textId="77777777" w:rsidR="008A03D3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Fonts w:ascii="Arial" w:hAnsi="Arial" w:cs="Arial"/>
          <w:sz w:val="16"/>
          <w:szCs w:val="16"/>
          <w:lang w:eastAsia="en-US"/>
        </w:rPr>
        <w:t>- il 60% per il rapporto tra il debito pubblico e il prodotto interno lordo ai prezzi di mercato.</w:t>
      </w:r>
    </w:p>
    <w:p w14:paraId="630964F2" w14:textId="77777777" w:rsidR="008A03D3" w:rsidRDefault="008A03D3" w:rsidP="004B639A">
      <w:pPr>
        <w:spacing w:after="120"/>
        <w:ind w:left="1814"/>
        <w:jc w:val="both"/>
      </w:pPr>
      <w:r>
        <w:rPr>
          <w:rFonts w:ascii="Arial" w:hAnsi="Arial" w:cs="Arial"/>
          <w:sz w:val="16"/>
          <w:szCs w:val="16"/>
          <w:lang w:eastAsia="en-US"/>
        </w:rPr>
        <w:t xml:space="preserve">Le tavole della Notifica trasmesse da ogni Paese sono reperibili sul sito di </w:t>
      </w:r>
      <w:proofErr w:type="spellStart"/>
      <w:r>
        <w:rPr>
          <w:rFonts w:ascii="Arial" w:hAnsi="Arial" w:cs="Arial"/>
          <w:sz w:val="16"/>
          <w:szCs w:val="16"/>
          <w:lang w:eastAsia="en-US"/>
        </w:rPr>
        <w:t>Eurostat</w:t>
      </w:r>
      <w:proofErr w:type="spellEnd"/>
      <w:r>
        <w:rPr>
          <w:rFonts w:ascii="Arial" w:hAnsi="Arial" w:cs="Arial"/>
          <w:sz w:val="16"/>
          <w:szCs w:val="16"/>
          <w:lang w:eastAsia="en-US"/>
        </w:rPr>
        <w:t xml:space="preserve"> alla pagina </w:t>
      </w:r>
      <w:hyperlink r:id="rId1" w:history="1">
        <w:r w:rsidRPr="004B639A">
          <w:rPr>
            <w:rStyle w:val="Collegamentoipertestuale"/>
            <w:rFonts w:ascii="Arial" w:hAnsi="Arial" w:cs="Arial"/>
            <w:sz w:val="16"/>
            <w:szCs w:val="16"/>
          </w:rPr>
          <w:t>http://ec.europa.eu/eurostat/web/government-finance-statistics/excessive-deficit-procedure/edp-notification-tables</w:t>
        </w:r>
      </w:hyperlink>
    </w:p>
  </w:footnote>
  <w:footnote w:id="2">
    <w:p w14:paraId="7A7289F4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Style w:val="Rimandonotaapidipagina"/>
          <w:rFonts w:ascii="Arial" w:hAnsi="Arial" w:cs="Arial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 xml:space="preserve">Il termine </w:t>
      </w:r>
      <w:r w:rsidR="001C22BD">
        <w:rPr>
          <w:rFonts w:ascii="Arial" w:hAnsi="Arial" w:cs="Arial"/>
          <w:sz w:val="16"/>
          <w:szCs w:val="16"/>
          <w:lang w:eastAsia="en-US"/>
        </w:rPr>
        <w:t xml:space="preserve">“riserve” è definito nell’art. 15 </w:t>
      </w:r>
      <w:r>
        <w:rPr>
          <w:rFonts w:ascii="Arial" w:hAnsi="Arial" w:cs="Arial"/>
          <w:sz w:val="16"/>
          <w:szCs w:val="16"/>
          <w:lang w:eastAsia="en-US"/>
        </w:rPr>
        <w:t>del R</w:t>
      </w:r>
      <w:r w:rsidR="001C22BD">
        <w:rPr>
          <w:rFonts w:ascii="Arial" w:hAnsi="Arial" w:cs="Arial"/>
          <w:sz w:val="16"/>
          <w:szCs w:val="16"/>
          <w:lang w:eastAsia="en-US"/>
        </w:rPr>
        <w:t>egolamento del Consiglio n. 479</w:t>
      </w:r>
      <w:r>
        <w:rPr>
          <w:rFonts w:ascii="Arial" w:hAnsi="Arial" w:cs="Arial"/>
          <w:sz w:val="16"/>
          <w:szCs w:val="16"/>
          <w:lang w:eastAsia="en-US"/>
        </w:rPr>
        <w:t>/</w:t>
      </w:r>
      <w:r w:rsidR="001C22BD">
        <w:rPr>
          <w:rFonts w:ascii="Arial" w:hAnsi="Arial" w:cs="Arial"/>
          <w:sz w:val="16"/>
          <w:szCs w:val="16"/>
          <w:lang w:eastAsia="en-US"/>
        </w:rPr>
        <w:t>2009</w:t>
      </w:r>
      <w:r>
        <w:rPr>
          <w:rFonts w:ascii="Arial" w:hAnsi="Arial" w:cs="Arial"/>
          <w:sz w:val="16"/>
          <w:szCs w:val="16"/>
          <w:lang w:eastAsia="en-US"/>
        </w:rPr>
        <w:t>. La Commissione (</w:t>
      </w:r>
      <w:proofErr w:type="spellStart"/>
      <w:r>
        <w:rPr>
          <w:rFonts w:ascii="Arial" w:hAnsi="Arial" w:cs="Arial"/>
          <w:sz w:val="16"/>
          <w:szCs w:val="16"/>
          <w:lang w:eastAsia="en-US"/>
        </w:rPr>
        <w:t>Eurostat</w:t>
      </w:r>
      <w:proofErr w:type="spellEnd"/>
      <w:r>
        <w:rPr>
          <w:rFonts w:ascii="Arial" w:hAnsi="Arial" w:cs="Arial"/>
          <w:sz w:val="16"/>
          <w:szCs w:val="16"/>
          <w:lang w:eastAsia="en-US"/>
        </w:rPr>
        <w:t>) esprime riserve quando sussistono dubbi sulla qualità dei dati comunicati.</w:t>
      </w:r>
    </w:p>
  </w:footnote>
  <w:footnote w:id="3">
    <w:p w14:paraId="17234104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 ricorda che la spesa per interessi è al netto anche dei SIFIM (Servizi di Intermediazione Finanziaria Indirettamente Misurati), secondo le metodologie di calcolo della Contabilità nazionale.</w:t>
      </w:r>
    </w:p>
  </w:footnote>
  <w:footnote w:id="4">
    <w:p w14:paraId="3E81F52B" w14:textId="7FE50DBB" w:rsidR="008A03D3" w:rsidRPr="005E0813" w:rsidRDefault="008A03D3">
      <w:pPr>
        <w:pStyle w:val="Testonotaapidipagina"/>
        <w:ind w:left="1800"/>
      </w:pPr>
      <w:r w:rsidRPr="00AF446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446B">
        <w:rPr>
          <w:rFonts w:ascii="Arial" w:hAnsi="Arial" w:cs="Arial"/>
          <w:sz w:val="16"/>
          <w:szCs w:val="16"/>
        </w:rPr>
        <w:t xml:space="preserve"> </w:t>
      </w:r>
      <w:r w:rsidRPr="00C77FA8">
        <w:rPr>
          <w:rFonts w:ascii="Arial" w:hAnsi="Arial" w:cs="Arial"/>
          <w:sz w:val="16"/>
          <w:szCs w:val="16"/>
        </w:rPr>
        <w:t xml:space="preserve">Cfr. </w:t>
      </w:r>
      <w:r w:rsidR="005E0813" w:rsidRPr="00C77FA8">
        <w:rPr>
          <w:rFonts w:ascii="Arial" w:hAnsi="Arial" w:cs="Arial"/>
          <w:sz w:val="16"/>
          <w:szCs w:val="16"/>
        </w:rPr>
        <w:t xml:space="preserve">Banca d’Italia, “Finanza pubblica: fabbisogno e debito – </w:t>
      </w:r>
      <w:r w:rsidR="00337032">
        <w:rPr>
          <w:rFonts w:ascii="Arial" w:hAnsi="Arial" w:cs="Arial"/>
          <w:sz w:val="16"/>
          <w:szCs w:val="16"/>
        </w:rPr>
        <w:t>febbraio</w:t>
      </w:r>
      <w:r w:rsidR="00BC0839" w:rsidRPr="00C77FA8">
        <w:rPr>
          <w:rFonts w:ascii="Arial" w:hAnsi="Arial" w:cs="Arial"/>
          <w:sz w:val="16"/>
          <w:szCs w:val="16"/>
        </w:rPr>
        <w:t xml:space="preserve"> </w:t>
      </w:r>
      <w:r w:rsidR="00DD790F" w:rsidRPr="00C77FA8">
        <w:rPr>
          <w:rFonts w:ascii="Arial" w:hAnsi="Arial" w:cs="Arial"/>
          <w:sz w:val="16"/>
          <w:szCs w:val="16"/>
        </w:rPr>
        <w:t>202</w:t>
      </w:r>
      <w:r w:rsidR="00337032">
        <w:rPr>
          <w:rFonts w:ascii="Arial" w:hAnsi="Arial" w:cs="Arial"/>
          <w:sz w:val="16"/>
          <w:szCs w:val="16"/>
        </w:rPr>
        <w:t>2</w:t>
      </w:r>
      <w:r w:rsidR="005E0813" w:rsidRPr="00C77FA8">
        <w:rPr>
          <w:rFonts w:ascii="Arial" w:hAnsi="Arial" w:cs="Arial"/>
          <w:sz w:val="16"/>
          <w:szCs w:val="16"/>
        </w:rPr>
        <w:t>”</w:t>
      </w:r>
      <w:r w:rsidR="009C3724" w:rsidRPr="00C77FA8">
        <w:rPr>
          <w:rFonts w:ascii="Arial" w:hAnsi="Arial" w:cs="Arial"/>
          <w:sz w:val="16"/>
          <w:szCs w:val="16"/>
        </w:rPr>
        <w:t>, 1</w:t>
      </w:r>
      <w:r w:rsidR="00BC0839" w:rsidRPr="00C77FA8">
        <w:rPr>
          <w:rFonts w:ascii="Arial" w:hAnsi="Arial" w:cs="Arial"/>
          <w:sz w:val="16"/>
          <w:szCs w:val="16"/>
        </w:rPr>
        <w:t>5</w:t>
      </w:r>
      <w:r w:rsidR="009F003A" w:rsidRPr="00C77FA8">
        <w:rPr>
          <w:rFonts w:ascii="Arial" w:hAnsi="Arial" w:cs="Arial"/>
          <w:sz w:val="16"/>
          <w:szCs w:val="16"/>
        </w:rPr>
        <w:t xml:space="preserve"> </w:t>
      </w:r>
      <w:r w:rsidR="00044942">
        <w:rPr>
          <w:rFonts w:ascii="Arial" w:hAnsi="Arial" w:cs="Arial"/>
          <w:sz w:val="16"/>
          <w:szCs w:val="16"/>
        </w:rPr>
        <w:t>aprile</w:t>
      </w:r>
      <w:r w:rsidR="002C5FA3" w:rsidRPr="00C77FA8">
        <w:rPr>
          <w:rFonts w:ascii="Arial" w:hAnsi="Arial" w:cs="Arial"/>
          <w:sz w:val="16"/>
          <w:szCs w:val="16"/>
        </w:rPr>
        <w:t xml:space="preserve"> </w:t>
      </w:r>
      <w:r w:rsidR="009F003A" w:rsidRPr="00C77FA8">
        <w:rPr>
          <w:rFonts w:ascii="Arial" w:hAnsi="Arial" w:cs="Arial"/>
          <w:sz w:val="16"/>
          <w:szCs w:val="16"/>
        </w:rPr>
        <w:t>20</w:t>
      </w:r>
      <w:r w:rsidR="00DD790F" w:rsidRPr="00C77FA8">
        <w:rPr>
          <w:rFonts w:ascii="Arial" w:hAnsi="Arial" w:cs="Arial"/>
          <w:sz w:val="16"/>
          <w:szCs w:val="16"/>
        </w:rPr>
        <w:t>2</w:t>
      </w:r>
      <w:r w:rsidR="00044942">
        <w:rPr>
          <w:rFonts w:ascii="Arial" w:hAnsi="Arial" w:cs="Arial"/>
          <w:sz w:val="16"/>
          <w:szCs w:val="16"/>
        </w:rPr>
        <w:t>2</w:t>
      </w:r>
    </w:p>
  </w:footnote>
  <w:footnote w:id="5">
    <w:p w14:paraId="1AA74DBD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Style w:val="Rimandonotaapidipagina"/>
          <w:rFonts w:ascii="Arial" w:hAnsi="Arial" w:cs="Arial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 xml:space="preserve">Ufficio Statistico delle Comunità Europee - </w:t>
      </w:r>
      <w:proofErr w:type="spellStart"/>
      <w:r>
        <w:rPr>
          <w:rFonts w:ascii="Arial" w:hAnsi="Arial" w:cs="Arial"/>
          <w:sz w:val="16"/>
          <w:szCs w:val="16"/>
          <w:lang w:eastAsia="en-US"/>
        </w:rPr>
        <w:t>Eurostat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1F5DFA58" w14:textId="77777777" w:rsidR="008A03D3" w:rsidRDefault="008A03D3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 xml:space="preserve">Il Protocollo, in attuazione dell’art. 104 C del Trattato stesso, fissa i valori limite che possono assumere l’indebitamento e il debito pubblico: </w:t>
      </w:r>
    </w:p>
    <w:p w14:paraId="7359BBA9" w14:textId="77777777" w:rsidR="008A03D3" w:rsidRDefault="008A03D3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 il 3% per il rapporto tra indebitamento pubblico, previsto o effettivo, e il prodotto interno lordo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ai prezzi di mercato (Pil);</w:t>
      </w:r>
    </w:p>
    <w:p w14:paraId="54813D5A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Fonts w:ascii="Arial" w:hAnsi="Arial" w:cs="Arial"/>
          <w:sz w:val="16"/>
          <w:szCs w:val="16"/>
          <w:lang w:eastAsia="en-US"/>
        </w:rPr>
        <w:t>- il 60% per il rapporto tra il debito pubblico e il prodotto interno lordo ai prezzi di mercato.</w:t>
      </w:r>
    </w:p>
  </w:footnote>
  <w:footnote w:id="7">
    <w:p w14:paraId="7D1B8261" w14:textId="77777777" w:rsidR="008A03D3" w:rsidRDefault="008A03D3">
      <w:pPr>
        <w:pStyle w:val="Testonotaapidipagina"/>
        <w:ind w:left="1800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Cfr. Regolamento n. 549/2013.</w:t>
      </w:r>
    </w:p>
  </w:footnote>
  <w:footnote w:id="8">
    <w:p w14:paraId="2365B787" w14:textId="77777777" w:rsidR="008A03D3" w:rsidRDefault="008A03D3">
      <w:pPr>
        <w:pStyle w:val="Testonotaapidipagina"/>
        <w:ind w:left="1800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Ad esempio, non sono inclusi nel debito i Bot nel portafoglio degli enti di previdenza.</w:t>
      </w:r>
    </w:p>
  </w:footnote>
  <w:footnote w:id="9">
    <w:p w14:paraId="103E8C4A" w14:textId="77777777" w:rsidR="008A03D3" w:rsidRDefault="008A03D3">
      <w:pPr>
        <w:autoSpaceDE w:val="0"/>
        <w:autoSpaceDN w:val="0"/>
        <w:adjustRightInd w:val="0"/>
        <w:ind w:left="1800"/>
        <w:jc w:val="both"/>
      </w:pPr>
      <w:r w:rsidRPr="00011F4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11F47">
        <w:rPr>
          <w:rFonts w:ascii="Arial" w:hAnsi="Arial" w:cs="Arial"/>
          <w:sz w:val="16"/>
          <w:szCs w:val="16"/>
        </w:rPr>
        <w:t xml:space="preserve"> </w:t>
      </w:r>
      <w:r w:rsidRPr="00DB6BF7">
        <w:rPr>
          <w:rFonts w:ascii="Arial" w:hAnsi="Arial" w:cs="Arial"/>
          <w:sz w:val="16"/>
          <w:szCs w:val="16"/>
        </w:rPr>
        <w:t xml:space="preserve">Il campo di osservazione dell’indebitamento netto delle AP e quello del fabbisogno del settore pubblico </w:t>
      </w:r>
      <w:r w:rsidR="00433C1C">
        <w:rPr>
          <w:rFonts w:ascii="Arial" w:hAnsi="Arial" w:cs="Arial"/>
          <w:sz w:val="16"/>
          <w:szCs w:val="16"/>
        </w:rPr>
        <w:t xml:space="preserve">non </w:t>
      </w:r>
      <w:r w:rsidRPr="00BD241E">
        <w:rPr>
          <w:rFonts w:ascii="Arial" w:hAnsi="Arial" w:cs="Arial"/>
          <w:sz w:val="16"/>
          <w:szCs w:val="16"/>
        </w:rPr>
        <w:t xml:space="preserve">sono </w:t>
      </w:r>
      <w:r w:rsidR="00433C1C" w:rsidRPr="00BD241E">
        <w:rPr>
          <w:rFonts w:ascii="Arial" w:hAnsi="Arial" w:cs="Arial"/>
          <w:sz w:val="16"/>
          <w:szCs w:val="16"/>
        </w:rPr>
        <w:t>perfettamente</w:t>
      </w:r>
      <w:r w:rsidRPr="00BD241E">
        <w:rPr>
          <w:rFonts w:ascii="Arial" w:hAnsi="Arial" w:cs="Arial"/>
          <w:sz w:val="16"/>
          <w:szCs w:val="16"/>
        </w:rPr>
        <w:t xml:space="preserve"> coincidenti.</w:t>
      </w:r>
      <w:r w:rsidRPr="00DB6BF7">
        <w:rPr>
          <w:rFonts w:ascii="Arial" w:hAnsi="Arial" w:cs="Arial"/>
          <w:sz w:val="16"/>
          <w:szCs w:val="16"/>
        </w:rPr>
        <w:t xml:space="preserve"> Il conto economico consolidato delle AP è compilato con riferimento all’insieme di enti contenuti nell’elenco delle AP definito dall’Istat e pubblicato annualmente sulla Gazzetta Ufficiale. Il fabbisogno fa riferimento all’insieme di Enti che trasmettono al </w:t>
      </w:r>
      <w:proofErr w:type="spellStart"/>
      <w:r w:rsidRPr="00DB6BF7">
        <w:rPr>
          <w:rFonts w:ascii="Arial" w:hAnsi="Arial" w:cs="Arial"/>
          <w:sz w:val="16"/>
          <w:szCs w:val="16"/>
        </w:rPr>
        <w:t>Mef</w:t>
      </w:r>
      <w:proofErr w:type="spellEnd"/>
      <w:r w:rsidRPr="00DB6BF7">
        <w:rPr>
          <w:rFonts w:ascii="Arial" w:hAnsi="Arial" w:cs="Arial"/>
          <w:sz w:val="16"/>
          <w:szCs w:val="16"/>
        </w:rPr>
        <w:t xml:space="preserve"> il conto di cassa e ad alcuni enti minori (enti non consolidati) il cui saldo è ottenuto, con le voci residuali dei trasferimenti provenienti dagli altri enti (consolidati).</w:t>
      </w:r>
    </w:p>
  </w:footnote>
  <w:footnote w:id="10">
    <w:p w14:paraId="4A98A8FB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Il fabbisogno calcolato dal Ministero dell’Economia e delle Finanze (dal lato della formazione) esclude sia la variazione delle disponibilità liquide del Tesoro presso la Banca d’Italia, sia le dismissioni di azioni e partecipazioni (privatizzazioni). </w:t>
      </w:r>
    </w:p>
  </w:footnote>
  <w:footnote w:id="11">
    <w:p w14:paraId="5D978491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 sua volta l’indebitamento può essere disaggregato nelle due componenti costituite dal saldo primario e dalla spesa per interessi, entrambe fondamentali nello spiegare la dinamica del debito.</w:t>
      </w:r>
    </w:p>
  </w:footnote>
  <w:footnote w:id="12">
    <w:p w14:paraId="18C59149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 tratta infatti delle stesse partite finanziarie che compaiono nel conto finanziario delle Amministrazioni Pubbliche.</w:t>
      </w:r>
    </w:p>
  </w:footnote>
  <w:footnote w:id="13">
    <w:p w14:paraId="6E63527E" w14:textId="77777777" w:rsidR="008A03D3" w:rsidRDefault="008A03D3" w:rsidP="009E19DF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La base informativa e la metodologia di calcolo applicata sono a cura del Dipartimento del Tesoro del Ministero dell’Economia e delle Finanze.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2C16" w14:textId="77777777" w:rsidR="008A03D3" w:rsidRDefault="008A03D3">
    <w:pPr>
      <w:pStyle w:val="Intestazione"/>
    </w:pPr>
    <w:r>
      <w:rPr>
        <w:noProof/>
      </w:rPr>
      <w:drawing>
        <wp:inline distT="0" distB="0" distL="0" distR="0" wp14:anchorId="69D94BBA" wp14:editId="503B1C86">
          <wp:extent cx="1828800" cy="668655"/>
          <wp:effectExtent l="0" t="0" r="0" b="0"/>
          <wp:docPr id="5" name="Immagine 5" descr="noti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noti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8795" w14:textId="7E9A6916" w:rsidR="00465480" w:rsidRDefault="00052042">
    <w:pPr>
      <w:pStyle w:val="Intestazione"/>
    </w:pPr>
    <w:r w:rsidRPr="00465480">
      <w:rPr>
        <w:noProof/>
      </w:rPr>
      <w:drawing>
        <wp:anchor distT="0" distB="0" distL="114300" distR="114300" simplePos="0" relativeHeight="251662336" behindDoc="0" locked="0" layoutInCell="1" allowOverlap="1" wp14:anchorId="3B9678B5" wp14:editId="56B2D996">
          <wp:simplePos x="0" y="0"/>
          <wp:positionH relativeFrom="column">
            <wp:posOffset>47625</wp:posOffset>
          </wp:positionH>
          <wp:positionV relativeFrom="paragraph">
            <wp:posOffset>-57785</wp:posOffset>
          </wp:positionV>
          <wp:extent cx="5477256" cy="1162685"/>
          <wp:effectExtent l="0" t="0" r="0" b="0"/>
          <wp:wrapNone/>
          <wp:docPr id="38" name="Immagin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4000" r="18403" b="5127"/>
                  <a:stretch/>
                </pic:blipFill>
                <pic:spPr bwMode="auto">
                  <a:xfrm>
                    <a:off x="0" y="0"/>
                    <a:ext cx="5477256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B2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9F9B45" wp14:editId="04BE7C10">
              <wp:simplePos x="0" y="0"/>
              <wp:positionH relativeFrom="column">
                <wp:posOffset>44450</wp:posOffset>
              </wp:positionH>
              <wp:positionV relativeFrom="paragraph">
                <wp:posOffset>1155700</wp:posOffset>
              </wp:positionV>
              <wp:extent cx="6619875" cy="0"/>
              <wp:effectExtent l="0" t="0" r="9525" b="127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EE9B75C" id="Connettore 1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91pt" to="524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" strokecolor="#7f7f7f [1612]"/>
          </w:pict>
        </mc:Fallback>
      </mc:AlternateContent>
    </w:r>
    <w:r w:rsidR="00465480" w:rsidRPr="0046548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1D455" wp14:editId="4107D254">
              <wp:simplePos x="0" y="0"/>
              <wp:positionH relativeFrom="column">
                <wp:posOffset>5572125</wp:posOffset>
              </wp:positionH>
              <wp:positionV relativeFrom="paragraph">
                <wp:posOffset>457835</wp:posOffset>
              </wp:positionV>
              <wp:extent cx="994410" cy="701675"/>
              <wp:effectExtent l="0" t="0" r="0" b="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4410" cy="70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0262C" w14:textId="77777777" w:rsidR="00465480" w:rsidRPr="00F73BDE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http://</w:t>
                          </w:r>
                          <w:r w:rsidRPr="00F73BDE"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www.istat.it</w:t>
                          </w:r>
                        </w:p>
                        <w:p w14:paraId="1B656BCF" w14:textId="77777777" w:rsidR="00465480" w:rsidRPr="00B367ED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F73BD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Pr="00F73BDE"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el. +39 06 4673.2243/4</w:t>
                          </w:r>
                        </w:p>
                        <w:p w14:paraId="1CE5A790" w14:textId="77777777" w:rsidR="00465480" w:rsidRPr="00B367ED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 w:rsidRPr="00B367ED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ufficio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Pr="00B367ED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tampa@istat.it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291D455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30" type="#_x0000_t202" style="position:absolute;margin-left:438.75pt;margin-top:36.05pt;width:78.3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" fillcolor="white [3201]" stroked="f" strokeweight=".5pt">
              <v:textbox inset="0,0,0,0">
                <w:txbxContent>
                  <w:p w14:paraId="7B20262C" w14:textId="77777777" w:rsidR="00465480" w:rsidRPr="00F73BDE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http://</w:t>
                    </w:r>
                    <w:r w:rsidRPr="00F73BDE"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www.istat.it</w:t>
                    </w:r>
                  </w:p>
                  <w:p w14:paraId="1B656BCF" w14:textId="77777777" w:rsidR="00465480" w:rsidRPr="00B367ED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F73BDE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t>Press Office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t</w:t>
                    </w:r>
                    <w:r w:rsidRPr="00F73BDE"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el. +39 06 4673.2243/4</w:t>
                    </w:r>
                  </w:p>
                  <w:p w14:paraId="1CE5A790" w14:textId="77777777" w:rsidR="00465480" w:rsidRPr="00B367ED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 w:rsidRPr="00B367ED"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ufficio</w:t>
                    </w:r>
                    <w:r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s</w:t>
                    </w:r>
                    <w:r w:rsidRPr="00B367ED"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tampa@istat.it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62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C7F44D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60C3F"/>
    <w:multiLevelType w:val="hybridMultilevel"/>
    <w:tmpl w:val="0E0AFEC2"/>
    <w:lvl w:ilvl="0" w:tplc="0410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66"/>
        </w:tabs>
        <w:ind w:left="6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86"/>
        </w:tabs>
        <w:ind w:left="71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06"/>
        </w:tabs>
        <w:ind w:left="7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26"/>
        </w:tabs>
        <w:ind w:left="8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46"/>
        </w:tabs>
        <w:ind w:left="93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66"/>
        </w:tabs>
        <w:ind w:left="10066" w:hanging="360"/>
      </w:pPr>
      <w:rPr>
        <w:rFonts w:ascii="Wingdings" w:hAnsi="Wingdings" w:hint="default"/>
      </w:rPr>
    </w:lvl>
  </w:abstractNum>
  <w:abstractNum w:abstractNumId="2" w15:restartNumberingAfterBreak="0">
    <w:nsid w:val="0A9B1739"/>
    <w:multiLevelType w:val="multilevel"/>
    <w:tmpl w:val="4B4277DE"/>
    <w:lvl w:ilvl="0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3" w15:restartNumberingAfterBreak="0">
    <w:nsid w:val="0DE40E86"/>
    <w:multiLevelType w:val="multilevel"/>
    <w:tmpl w:val="C7E408F2"/>
    <w:lvl w:ilvl="0">
      <w:start w:val="1"/>
      <w:numFmt w:val="bullet"/>
      <w:lvlText w:val=""/>
      <w:lvlJc w:val="left"/>
      <w:pPr>
        <w:tabs>
          <w:tab w:val="num" w:pos="2500"/>
        </w:tabs>
        <w:ind w:left="2160"/>
      </w:pPr>
      <w:rPr>
        <w:rFonts w:ascii="Wingdings" w:hAnsi="Wingdings" w:hint="default"/>
        <w:b w:val="0"/>
        <w:i w:val="0"/>
        <w:color w:val="800000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D72091"/>
    <w:multiLevelType w:val="hybridMultilevel"/>
    <w:tmpl w:val="A3FEEB98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06D3E"/>
    <w:multiLevelType w:val="hybridMultilevel"/>
    <w:tmpl w:val="0C9AD104"/>
    <w:lvl w:ilvl="0" w:tplc="3DA69D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FD609F6"/>
    <w:multiLevelType w:val="hybridMultilevel"/>
    <w:tmpl w:val="899A6C1A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D03AE786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abstractNum w:abstractNumId="7" w15:restartNumberingAfterBreak="0">
    <w:nsid w:val="21A435B6"/>
    <w:multiLevelType w:val="hybridMultilevel"/>
    <w:tmpl w:val="0DD4C1D6"/>
    <w:lvl w:ilvl="0" w:tplc="1CCC0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6B5"/>
    <w:multiLevelType w:val="hybridMultilevel"/>
    <w:tmpl w:val="9A322072"/>
    <w:lvl w:ilvl="0" w:tplc="A4A49286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9" w15:restartNumberingAfterBreak="0">
    <w:nsid w:val="27866F73"/>
    <w:multiLevelType w:val="hybridMultilevel"/>
    <w:tmpl w:val="9062A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AE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A281E"/>
    <w:multiLevelType w:val="hybridMultilevel"/>
    <w:tmpl w:val="7592DE5E"/>
    <w:lvl w:ilvl="0" w:tplc="0410000F">
      <w:start w:val="1"/>
      <w:numFmt w:val="decimal"/>
      <w:lvlText w:val="%1."/>
      <w:lvlJc w:val="left"/>
      <w:pPr>
        <w:ind w:left="253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94" w:hanging="180"/>
      </w:pPr>
      <w:rPr>
        <w:rFonts w:cs="Times New Roman"/>
      </w:rPr>
    </w:lvl>
  </w:abstractNum>
  <w:abstractNum w:abstractNumId="11" w15:restartNumberingAfterBreak="0">
    <w:nsid w:val="2A424DCC"/>
    <w:multiLevelType w:val="hybridMultilevel"/>
    <w:tmpl w:val="B5922BE0"/>
    <w:lvl w:ilvl="0" w:tplc="0410000F">
      <w:start w:val="1"/>
      <w:numFmt w:val="decimal"/>
      <w:lvlText w:val="%1."/>
      <w:lvlJc w:val="left"/>
      <w:pPr>
        <w:ind w:left="21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34" w:hanging="180"/>
      </w:pPr>
      <w:rPr>
        <w:rFonts w:cs="Times New Roman"/>
      </w:rPr>
    </w:lvl>
  </w:abstractNum>
  <w:abstractNum w:abstractNumId="12" w15:restartNumberingAfterBreak="0">
    <w:nsid w:val="2A912C5D"/>
    <w:multiLevelType w:val="hybridMultilevel"/>
    <w:tmpl w:val="45CAAC7C"/>
    <w:lvl w:ilvl="0" w:tplc="38965332">
      <w:start w:val="1"/>
      <w:numFmt w:val="bullet"/>
      <w:lvlText w:val="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13" w15:restartNumberingAfterBreak="0">
    <w:nsid w:val="2B8126B3"/>
    <w:multiLevelType w:val="hybridMultilevel"/>
    <w:tmpl w:val="B9020034"/>
    <w:lvl w:ilvl="0" w:tplc="4D866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1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0F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E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4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AA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84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4C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2F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7C3AFB"/>
    <w:multiLevelType w:val="hybridMultilevel"/>
    <w:tmpl w:val="1FDC877E"/>
    <w:lvl w:ilvl="0" w:tplc="0796413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70F7"/>
    <w:multiLevelType w:val="multilevel"/>
    <w:tmpl w:val="45CAAC7C"/>
    <w:lvl w:ilvl="0">
      <w:start w:val="1"/>
      <w:numFmt w:val="bullet"/>
      <w:lvlText w:val="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16" w15:restartNumberingAfterBreak="0">
    <w:nsid w:val="45EC3701"/>
    <w:multiLevelType w:val="hybridMultilevel"/>
    <w:tmpl w:val="C7E408F2"/>
    <w:lvl w:ilvl="0" w:tplc="5BE261E4">
      <w:start w:val="1"/>
      <w:numFmt w:val="bullet"/>
      <w:lvlText w:val=""/>
      <w:lvlJc w:val="left"/>
      <w:pPr>
        <w:tabs>
          <w:tab w:val="num" w:pos="2500"/>
        </w:tabs>
        <w:ind w:left="2160"/>
      </w:pPr>
      <w:rPr>
        <w:rFonts w:ascii="Wingdings" w:hAnsi="Wingdings" w:hint="default"/>
        <w:b w:val="0"/>
        <w:i w:val="0"/>
        <w:color w:val="8000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6184A96"/>
    <w:multiLevelType w:val="hybridMultilevel"/>
    <w:tmpl w:val="32A07A54"/>
    <w:lvl w:ilvl="0" w:tplc="0410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8" w15:restartNumberingAfterBreak="0">
    <w:nsid w:val="4DD93A6E"/>
    <w:multiLevelType w:val="hybridMultilevel"/>
    <w:tmpl w:val="781AEFA4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523053BF"/>
    <w:multiLevelType w:val="hybridMultilevel"/>
    <w:tmpl w:val="4FCE29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87463F"/>
    <w:multiLevelType w:val="hybridMultilevel"/>
    <w:tmpl w:val="4D0422BA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625016B"/>
    <w:multiLevelType w:val="hybridMultilevel"/>
    <w:tmpl w:val="8BCCA79C"/>
    <w:lvl w:ilvl="0" w:tplc="ACC23ECC">
      <w:start w:val="1"/>
      <w:numFmt w:val="decimal"/>
      <w:lvlText w:val="%1)"/>
      <w:lvlJc w:val="left"/>
      <w:pPr>
        <w:ind w:left="21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34" w:hanging="180"/>
      </w:pPr>
      <w:rPr>
        <w:rFonts w:cs="Times New Roman"/>
      </w:rPr>
    </w:lvl>
  </w:abstractNum>
  <w:abstractNum w:abstractNumId="22" w15:restartNumberingAfterBreak="0">
    <w:nsid w:val="5BF22496"/>
    <w:multiLevelType w:val="hybridMultilevel"/>
    <w:tmpl w:val="F0AA58D0"/>
    <w:lvl w:ilvl="0" w:tplc="DF1859A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3" w15:restartNumberingAfterBreak="0">
    <w:nsid w:val="5D8E4C2D"/>
    <w:multiLevelType w:val="multilevel"/>
    <w:tmpl w:val="369A3638"/>
    <w:lvl w:ilvl="0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4" w15:restartNumberingAfterBreak="0">
    <w:nsid w:val="5E2F6CB8"/>
    <w:multiLevelType w:val="hybridMultilevel"/>
    <w:tmpl w:val="A73643F4"/>
    <w:lvl w:ilvl="0" w:tplc="420A00A2">
      <w:start w:val="4"/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6C0434BE"/>
    <w:multiLevelType w:val="hybridMultilevel"/>
    <w:tmpl w:val="4B4277DE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6" w15:restartNumberingAfterBreak="0">
    <w:nsid w:val="718F59ED"/>
    <w:multiLevelType w:val="hybridMultilevel"/>
    <w:tmpl w:val="369A3638"/>
    <w:lvl w:ilvl="0" w:tplc="CD664856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7" w15:restartNumberingAfterBreak="0">
    <w:nsid w:val="73566B59"/>
    <w:multiLevelType w:val="hybridMultilevel"/>
    <w:tmpl w:val="1A826A68"/>
    <w:lvl w:ilvl="0" w:tplc="3792655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 w15:restartNumberingAfterBreak="0">
    <w:nsid w:val="749708FE"/>
    <w:multiLevelType w:val="hybridMultilevel"/>
    <w:tmpl w:val="5456E8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525180"/>
    <w:multiLevelType w:val="hybridMultilevel"/>
    <w:tmpl w:val="D01A2EC2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D03AE786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"/>
  </w:num>
  <w:num w:numId="5">
    <w:abstractNumId w:val="19"/>
  </w:num>
  <w:num w:numId="6">
    <w:abstractNumId w:val="28"/>
  </w:num>
  <w:num w:numId="7">
    <w:abstractNumId w:val="27"/>
  </w:num>
  <w:num w:numId="8">
    <w:abstractNumId w:val="16"/>
  </w:num>
  <w:num w:numId="9">
    <w:abstractNumId w:val="3"/>
  </w:num>
  <w:num w:numId="10">
    <w:abstractNumId w:val="25"/>
  </w:num>
  <w:num w:numId="11">
    <w:abstractNumId w:val="2"/>
  </w:num>
  <w:num w:numId="12">
    <w:abstractNumId w:val="12"/>
  </w:num>
  <w:num w:numId="13">
    <w:abstractNumId w:val="29"/>
  </w:num>
  <w:num w:numId="14">
    <w:abstractNumId w:val="6"/>
  </w:num>
  <w:num w:numId="15">
    <w:abstractNumId w:val="18"/>
  </w:num>
  <w:num w:numId="16">
    <w:abstractNumId w:val="4"/>
  </w:num>
  <w:num w:numId="17">
    <w:abstractNumId w:val="15"/>
  </w:num>
  <w:num w:numId="18">
    <w:abstractNumId w:val="26"/>
  </w:num>
  <w:num w:numId="19">
    <w:abstractNumId w:val="23"/>
  </w:num>
  <w:num w:numId="20">
    <w:abstractNumId w:val="8"/>
  </w:num>
  <w:num w:numId="21">
    <w:abstractNumId w:val="14"/>
  </w:num>
  <w:num w:numId="22">
    <w:abstractNumId w:val="5"/>
  </w:num>
  <w:num w:numId="23">
    <w:abstractNumId w:val="24"/>
  </w:num>
  <w:num w:numId="24">
    <w:abstractNumId w:val="22"/>
  </w:num>
  <w:num w:numId="25">
    <w:abstractNumId w:val="17"/>
  </w:num>
  <w:num w:numId="26">
    <w:abstractNumId w:val="10"/>
  </w:num>
  <w:num w:numId="27">
    <w:abstractNumId w:val="21"/>
  </w:num>
  <w:num w:numId="28">
    <w:abstractNumId w:val="11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0"/>
    <w:rsid w:val="0000167D"/>
    <w:rsid w:val="00002DC6"/>
    <w:rsid w:val="0000578F"/>
    <w:rsid w:val="00010CFC"/>
    <w:rsid w:val="00011F47"/>
    <w:rsid w:val="00013799"/>
    <w:rsid w:val="000138DE"/>
    <w:rsid w:val="00016BE3"/>
    <w:rsid w:val="00020648"/>
    <w:rsid w:val="0002077C"/>
    <w:rsid w:val="00021C7D"/>
    <w:rsid w:val="00022711"/>
    <w:rsid w:val="0002662E"/>
    <w:rsid w:val="00026B66"/>
    <w:rsid w:val="00027ACE"/>
    <w:rsid w:val="000320E1"/>
    <w:rsid w:val="000345C7"/>
    <w:rsid w:val="00040B25"/>
    <w:rsid w:val="00044942"/>
    <w:rsid w:val="00044C99"/>
    <w:rsid w:val="00044EB2"/>
    <w:rsid w:val="0004745A"/>
    <w:rsid w:val="00050558"/>
    <w:rsid w:val="00052042"/>
    <w:rsid w:val="000527FA"/>
    <w:rsid w:val="0005498E"/>
    <w:rsid w:val="000565E6"/>
    <w:rsid w:val="000569BE"/>
    <w:rsid w:val="000603A9"/>
    <w:rsid w:val="00061275"/>
    <w:rsid w:val="00061833"/>
    <w:rsid w:val="00063AF8"/>
    <w:rsid w:val="000656A1"/>
    <w:rsid w:val="00065A2F"/>
    <w:rsid w:val="00070BDA"/>
    <w:rsid w:val="00072289"/>
    <w:rsid w:val="000732B3"/>
    <w:rsid w:val="00073BBF"/>
    <w:rsid w:val="00077E56"/>
    <w:rsid w:val="00085546"/>
    <w:rsid w:val="00086A18"/>
    <w:rsid w:val="00091897"/>
    <w:rsid w:val="00093163"/>
    <w:rsid w:val="00095046"/>
    <w:rsid w:val="000953E6"/>
    <w:rsid w:val="0009547E"/>
    <w:rsid w:val="00095E44"/>
    <w:rsid w:val="000A0638"/>
    <w:rsid w:val="000A10BE"/>
    <w:rsid w:val="000A11A7"/>
    <w:rsid w:val="000A19A8"/>
    <w:rsid w:val="000A21DE"/>
    <w:rsid w:val="000A3FC9"/>
    <w:rsid w:val="000B59F4"/>
    <w:rsid w:val="000B5B34"/>
    <w:rsid w:val="000B64DF"/>
    <w:rsid w:val="000B7556"/>
    <w:rsid w:val="000B76DD"/>
    <w:rsid w:val="000B7A40"/>
    <w:rsid w:val="000D06ED"/>
    <w:rsid w:val="000D200A"/>
    <w:rsid w:val="000D25DB"/>
    <w:rsid w:val="000D5F8C"/>
    <w:rsid w:val="000E163D"/>
    <w:rsid w:val="000E4A68"/>
    <w:rsid w:val="000F0C4F"/>
    <w:rsid w:val="00101F1C"/>
    <w:rsid w:val="00102D47"/>
    <w:rsid w:val="00103B25"/>
    <w:rsid w:val="0011091E"/>
    <w:rsid w:val="00113A5F"/>
    <w:rsid w:val="00117C9A"/>
    <w:rsid w:val="0012068B"/>
    <w:rsid w:val="00121FEC"/>
    <w:rsid w:val="001223EC"/>
    <w:rsid w:val="0012758F"/>
    <w:rsid w:val="00130C4A"/>
    <w:rsid w:val="00133442"/>
    <w:rsid w:val="00140877"/>
    <w:rsid w:val="00141C1D"/>
    <w:rsid w:val="0014320C"/>
    <w:rsid w:val="001455A7"/>
    <w:rsid w:val="00150A9E"/>
    <w:rsid w:val="00152214"/>
    <w:rsid w:val="001602CB"/>
    <w:rsid w:val="00166D28"/>
    <w:rsid w:val="001712B3"/>
    <w:rsid w:val="00171531"/>
    <w:rsid w:val="001738AA"/>
    <w:rsid w:val="00176FD9"/>
    <w:rsid w:val="00177F1B"/>
    <w:rsid w:val="00183B59"/>
    <w:rsid w:val="0018637F"/>
    <w:rsid w:val="0019084C"/>
    <w:rsid w:val="00190F37"/>
    <w:rsid w:val="00192CD7"/>
    <w:rsid w:val="001A086B"/>
    <w:rsid w:val="001A2D88"/>
    <w:rsid w:val="001A40F2"/>
    <w:rsid w:val="001A57D1"/>
    <w:rsid w:val="001A66E7"/>
    <w:rsid w:val="001B0242"/>
    <w:rsid w:val="001B0AAF"/>
    <w:rsid w:val="001B1D1B"/>
    <w:rsid w:val="001B32DF"/>
    <w:rsid w:val="001B3E24"/>
    <w:rsid w:val="001B4CB2"/>
    <w:rsid w:val="001B5AC0"/>
    <w:rsid w:val="001C0602"/>
    <w:rsid w:val="001C22BD"/>
    <w:rsid w:val="001C28D6"/>
    <w:rsid w:val="001D1137"/>
    <w:rsid w:val="001D1FC2"/>
    <w:rsid w:val="001D39CD"/>
    <w:rsid w:val="001D5E92"/>
    <w:rsid w:val="001E0B3D"/>
    <w:rsid w:val="001E5675"/>
    <w:rsid w:val="001F101A"/>
    <w:rsid w:val="001F3318"/>
    <w:rsid w:val="001F4D4C"/>
    <w:rsid w:val="002022AE"/>
    <w:rsid w:val="0020454B"/>
    <w:rsid w:val="00204DE6"/>
    <w:rsid w:val="00205E89"/>
    <w:rsid w:val="00206870"/>
    <w:rsid w:val="00211EAA"/>
    <w:rsid w:val="0021217E"/>
    <w:rsid w:val="002156A3"/>
    <w:rsid w:val="00216BC1"/>
    <w:rsid w:val="00223F08"/>
    <w:rsid w:val="00225726"/>
    <w:rsid w:val="002375B2"/>
    <w:rsid w:val="00240129"/>
    <w:rsid w:val="00240582"/>
    <w:rsid w:val="002415D0"/>
    <w:rsid w:val="00243424"/>
    <w:rsid w:val="00245E5B"/>
    <w:rsid w:val="00246ADE"/>
    <w:rsid w:val="00250E00"/>
    <w:rsid w:val="00251067"/>
    <w:rsid w:val="00254A35"/>
    <w:rsid w:val="00257D4D"/>
    <w:rsid w:val="00260514"/>
    <w:rsid w:val="00266951"/>
    <w:rsid w:val="0027425D"/>
    <w:rsid w:val="002760DC"/>
    <w:rsid w:val="0027674D"/>
    <w:rsid w:val="00277E4A"/>
    <w:rsid w:val="00283BFE"/>
    <w:rsid w:val="00283DBD"/>
    <w:rsid w:val="002904D2"/>
    <w:rsid w:val="00290558"/>
    <w:rsid w:val="002923FF"/>
    <w:rsid w:val="002A03DB"/>
    <w:rsid w:val="002B1B26"/>
    <w:rsid w:val="002C0E7D"/>
    <w:rsid w:val="002C1401"/>
    <w:rsid w:val="002C2577"/>
    <w:rsid w:val="002C5E89"/>
    <w:rsid w:val="002C5FA3"/>
    <w:rsid w:val="002C6693"/>
    <w:rsid w:val="002D6025"/>
    <w:rsid w:val="002E1241"/>
    <w:rsid w:val="002E72BB"/>
    <w:rsid w:val="002E7638"/>
    <w:rsid w:val="002F1DA1"/>
    <w:rsid w:val="002F305C"/>
    <w:rsid w:val="002F3E38"/>
    <w:rsid w:val="002F7EBF"/>
    <w:rsid w:val="003023E3"/>
    <w:rsid w:val="00310E6A"/>
    <w:rsid w:val="003129DE"/>
    <w:rsid w:val="00314206"/>
    <w:rsid w:val="003143CF"/>
    <w:rsid w:val="003150B5"/>
    <w:rsid w:val="003165E6"/>
    <w:rsid w:val="00316E1C"/>
    <w:rsid w:val="00320B75"/>
    <w:rsid w:val="003228F1"/>
    <w:rsid w:val="00323347"/>
    <w:rsid w:val="00323F03"/>
    <w:rsid w:val="00326FFC"/>
    <w:rsid w:val="00330BE4"/>
    <w:rsid w:val="00332539"/>
    <w:rsid w:val="00333D9D"/>
    <w:rsid w:val="00337032"/>
    <w:rsid w:val="00344577"/>
    <w:rsid w:val="00350FB5"/>
    <w:rsid w:val="0035369F"/>
    <w:rsid w:val="003550B2"/>
    <w:rsid w:val="00360247"/>
    <w:rsid w:val="00364945"/>
    <w:rsid w:val="003711B4"/>
    <w:rsid w:val="00373555"/>
    <w:rsid w:val="0037596E"/>
    <w:rsid w:val="00376002"/>
    <w:rsid w:val="00377745"/>
    <w:rsid w:val="003846A2"/>
    <w:rsid w:val="00384E1C"/>
    <w:rsid w:val="0038774B"/>
    <w:rsid w:val="00387F36"/>
    <w:rsid w:val="00396521"/>
    <w:rsid w:val="003A1AFF"/>
    <w:rsid w:val="003A5AA8"/>
    <w:rsid w:val="003A7DAF"/>
    <w:rsid w:val="003B1F91"/>
    <w:rsid w:val="003B7317"/>
    <w:rsid w:val="003D2169"/>
    <w:rsid w:val="003D22A5"/>
    <w:rsid w:val="003D71B3"/>
    <w:rsid w:val="003E0E51"/>
    <w:rsid w:val="003E1D32"/>
    <w:rsid w:val="003E68F4"/>
    <w:rsid w:val="003F0EE5"/>
    <w:rsid w:val="003F5218"/>
    <w:rsid w:val="00402395"/>
    <w:rsid w:val="00403A4D"/>
    <w:rsid w:val="0040792A"/>
    <w:rsid w:val="00412804"/>
    <w:rsid w:val="00413896"/>
    <w:rsid w:val="004213A4"/>
    <w:rsid w:val="00423C7C"/>
    <w:rsid w:val="00423F60"/>
    <w:rsid w:val="00427B71"/>
    <w:rsid w:val="0043028F"/>
    <w:rsid w:val="00432EE6"/>
    <w:rsid w:val="00433C1C"/>
    <w:rsid w:val="00434089"/>
    <w:rsid w:val="00434F9E"/>
    <w:rsid w:val="004369D9"/>
    <w:rsid w:val="004403B1"/>
    <w:rsid w:val="00442002"/>
    <w:rsid w:val="00444B06"/>
    <w:rsid w:val="004450C7"/>
    <w:rsid w:val="00445503"/>
    <w:rsid w:val="004500BF"/>
    <w:rsid w:val="0045205B"/>
    <w:rsid w:val="00453CF9"/>
    <w:rsid w:val="00455283"/>
    <w:rsid w:val="00461A9F"/>
    <w:rsid w:val="00464424"/>
    <w:rsid w:val="00464DC5"/>
    <w:rsid w:val="00465480"/>
    <w:rsid w:val="004735BC"/>
    <w:rsid w:val="00475CBC"/>
    <w:rsid w:val="00476700"/>
    <w:rsid w:val="00492F73"/>
    <w:rsid w:val="00494106"/>
    <w:rsid w:val="004941A0"/>
    <w:rsid w:val="004A6405"/>
    <w:rsid w:val="004B1D25"/>
    <w:rsid w:val="004B2837"/>
    <w:rsid w:val="004B39BB"/>
    <w:rsid w:val="004B4CA0"/>
    <w:rsid w:val="004B639A"/>
    <w:rsid w:val="004C1BA3"/>
    <w:rsid w:val="004C4BFA"/>
    <w:rsid w:val="004C6074"/>
    <w:rsid w:val="004D04F2"/>
    <w:rsid w:val="004D075A"/>
    <w:rsid w:val="004D1170"/>
    <w:rsid w:val="004D2E19"/>
    <w:rsid w:val="004E2B4F"/>
    <w:rsid w:val="004F053B"/>
    <w:rsid w:val="004F4886"/>
    <w:rsid w:val="004F729C"/>
    <w:rsid w:val="004F7681"/>
    <w:rsid w:val="004F7D90"/>
    <w:rsid w:val="004F7EB4"/>
    <w:rsid w:val="00504ECD"/>
    <w:rsid w:val="00506F15"/>
    <w:rsid w:val="00510970"/>
    <w:rsid w:val="00514443"/>
    <w:rsid w:val="00515D09"/>
    <w:rsid w:val="00523A40"/>
    <w:rsid w:val="00527EFA"/>
    <w:rsid w:val="0053218D"/>
    <w:rsid w:val="005423FE"/>
    <w:rsid w:val="00547A02"/>
    <w:rsid w:val="00552082"/>
    <w:rsid w:val="005526D5"/>
    <w:rsid w:val="00554475"/>
    <w:rsid w:val="00554842"/>
    <w:rsid w:val="00554BDD"/>
    <w:rsid w:val="00557355"/>
    <w:rsid w:val="00560523"/>
    <w:rsid w:val="00560DA2"/>
    <w:rsid w:val="0056141B"/>
    <w:rsid w:val="005617C9"/>
    <w:rsid w:val="00562754"/>
    <w:rsid w:val="00565901"/>
    <w:rsid w:val="005730FB"/>
    <w:rsid w:val="00576DFF"/>
    <w:rsid w:val="00577660"/>
    <w:rsid w:val="0057779D"/>
    <w:rsid w:val="00577C77"/>
    <w:rsid w:val="005833A2"/>
    <w:rsid w:val="00583C07"/>
    <w:rsid w:val="00587B92"/>
    <w:rsid w:val="005A1F9C"/>
    <w:rsid w:val="005A2DD0"/>
    <w:rsid w:val="005B11C2"/>
    <w:rsid w:val="005B3EE6"/>
    <w:rsid w:val="005B6116"/>
    <w:rsid w:val="005B6BDD"/>
    <w:rsid w:val="005C478D"/>
    <w:rsid w:val="005C5A22"/>
    <w:rsid w:val="005C7619"/>
    <w:rsid w:val="005D052A"/>
    <w:rsid w:val="005D0AE1"/>
    <w:rsid w:val="005D195A"/>
    <w:rsid w:val="005D3168"/>
    <w:rsid w:val="005D458A"/>
    <w:rsid w:val="005D5AC3"/>
    <w:rsid w:val="005D7035"/>
    <w:rsid w:val="005E0813"/>
    <w:rsid w:val="005E1B9A"/>
    <w:rsid w:val="005E314C"/>
    <w:rsid w:val="005E3589"/>
    <w:rsid w:val="005E3F28"/>
    <w:rsid w:val="005E72F3"/>
    <w:rsid w:val="005E794B"/>
    <w:rsid w:val="005F624E"/>
    <w:rsid w:val="00601573"/>
    <w:rsid w:val="00604D50"/>
    <w:rsid w:val="00605A49"/>
    <w:rsid w:val="00610464"/>
    <w:rsid w:val="00622EEE"/>
    <w:rsid w:val="006312B9"/>
    <w:rsid w:val="00632D86"/>
    <w:rsid w:val="00642839"/>
    <w:rsid w:val="00644EB1"/>
    <w:rsid w:val="006601DA"/>
    <w:rsid w:val="006605A2"/>
    <w:rsid w:val="00660CAB"/>
    <w:rsid w:val="006723F2"/>
    <w:rsid w:val="00673315"/>
    <w:rsid w:val="006743BD"/>
    <w:rsid w:val="00676395"/>
    <w:rsid w:val="00680F2A"/>
    <w:rsid w:val="00682CBE"/>
    <w:rsid w:val="00683A6D"/>
    <w:rsid w:val="00684056"/>
    <w:rsid w:val="0068558F"/>
    <w:rsid w:val="00696E4D"/>
    <w:rsid w:val="006A15AB"/>
    <w:rsid w:val="006A18AD"/>
    <w:rsid w:val="006A1EDE"/>
    <w:rsid w:val="006A6BEF"/>
    <w:rsid w:val="006A7348"/>
    <w:rsid w:val="006B2F5F"/>
    <w:rsid w:val="006B60AB"/>
    <w:rsid w:val="006C484D"/>
    <w:rsid w:val="006C5A83"/>
    <w:rsid w:val="006C7716"/>
    <w:rsid w:val="006D10A9"/>
    <w:rsid w:val="006D1570"/>
    <w:rsid w:val="006D1E35"/>
    <w:rsid w:val="006D3BB5"/>
    <w:rsid w:val="006D620F"/>
    <w:rsid w:val="006D645F"/>
    <w:rsid w:val="006E05A2"/>
    <w:rsid w:val="006E10EB"/>
    <w:rsid w:val="006E20C3"/>
    <w:rsid w:val="006E374A"/>
    <w:rsid w:val="006E6B41"/>
    <w:rsid w:val="006F0418"/>
    <w:rsid w:val="006F71BE"/>
    <w:rsid w:val="00701F40"/>
    <w:rsid w:val="00705577"/>
    <w:rsid w:val="00707469"/>
    <w:rsid w:val="00715E6A"/>
    <w:rsid w:val="0071732B"/>
    <w:rsid w:val="00717DB6"/>
    <w:rsid w:val="007216E0"/>
    <w:rsid w:val="007256C2"/>
    <w:rsid w:val="00726CC7"/>
    <w:rsid w:val="00727651"/>
    <w:rsid w:val="0073020A"/>
    <w:rsid w:val="00730D05"/>
    <w:rsid w:val="00730D9E"/>
    <w:rsid w:val="007319F0"/>
    <w:rsid w:val="00733B9F"/>
    <w:rsid w:val="00743323"/>
    <w:rsid w:val="00743606"/>
    <w:rsid w:val="00745182"/>
    <w:rsid w:val="00746FD0"/>
    <w:rsid w:val="00751B6E"/>
    <w:rsid w:val="007532C5"/>
    <w:rsid w:val="00753553"/>
    <w:rsid w:val="007552FA"/>
    <w:rsid w:val="007553E2"/>
    <w:rsid w:val="0075673A"/>
    <w:rsid w:val="00760A14"/>
    <w:rsid w:val="00762EA2"/>
    <w:rsid w:val="00764125"/>
    <w:rsid w:val="00767280"/>
    <w:rsid w:val="00767EAE"/>
    <w:rsid w:val="00767F1C"/>
    <w:rsid w:val="007705EC"/>
    <w:rsid w:val="0077195B"/>
    <w:rsid w:val="007722BD"/>
    <w:rsid w:val="00773BBA"/>
    <w:rsid w:val="00774B90"/>
    <w:rsid w:val="007905A8"/>
    <w:rsid w:val="007972DA"/>
    <w:rsid w:val="0079760A"/>
    <w:rsid w:val="007A0820"/>
    <w:rsid w:val="007B13DF"/>
    <w:rsid w:val="007B1CE9"/>
    <w:rsid w:val="007B5D98"/>
    <w:rsid w:val="007B611F"/>
    <w:rsid w:val="007B78C2"/>
    <w:rsid w:val="007C3F02"/>
    <w:rsid w:val="007C4CE5"/>
    <w:rsid w:val="007C5D91"/>
    <w:rsid w:val="007C76FD"/>
    <w:rsid w:val="007D0846"/>
    <w:rsid w:val="007D1B53"/>
    <w:rsid w:val="007E2FAC"/>
    <w:rsid w:val="007E6663"/>
    <w:rsid w:val="007F417C"/>
    <w:rsid w:val="0080553B"/>
    <w:rsid w:val="008109EF"/>
    <w:rsid w:val="008170E5"/>
    <w:rsid w:val="008230E6"/>
    <w:rsid w:val="00826978"/>
    <w:rsid w:val="00826B83"/>
    <w:rsid w:val="00833358"/>
    <w:rsid w:val="00846A96"/>
    <w:rsid w:val="00846AE8"/>
    <w:rsid w:val="008515D2"/>
    <w:rsid w:val="008516C9"/>
    <w:rsid w:val="0085252A"/>
    <w:rsid w:val="00855F93"/>
    <w:rsid w:val="00857DDD"/>
    <w:rsid w:val="00881DE8"/>
    <w:rsid w:val="008827A6"/>
    <w:rsid w:val="00884C97"/>
    <w:rsid w:val="0089043F"/>
    <w:rsid w:val="008923E0"/>
    <w:rsid w:val="00897D5B"/>
    <w:rsid w:val="008A03D3"/>
    <w:rsid w:val="008B0895"/>
    <w:rsid w:val="008B4602"/>
    <w:rsid w:val="008C2063"/>
    <w:rsid w:val="008C4F80"/>
    <w:rsid w:val="008C5636"/>
    <w:rsid w:val="008D0C65"/>
    <w:rsid w:val="008D5FAD"/>
    <w:rsid w:val="008E4376"/>
    <w:rsid w:val="008E7F52"/>
    <w:rsid w:val="008F0015"/>
    <w:rsid w:val="008F6A6C"/>
    <w:rsid w:val="0090174C"/>
    <w:rsid w:val="00902A2B"/>
    <w:rsid w:val="00910979"/>
    <w:rsid w:val="00910F51"/>
    <w:rsid w:val="0091557E"/>
    <w:rsid w:val="009165E6"/>
    <w:rsid w:val="009165FC"/>
    <w:rsid w:val="009213A7"/>
    <w:rsid w:val="0092237B"/>
    <w:rsid w:val="00931BD5"/>
    <w:rsid w:val="00932E64"/>
    <w:rsid w:val="00934B2A"/>
    <w:rsid w:val="0094032A"/>
    <w:rsid w:val="00943314"/>
    <w:rsid w:val="00943C2A"/>
    <w:rsid w:val="009501E0"/>
    <w:rsid w:val="00950431"/>
    <w:rsid w:val="00954A6D"/>
    <w:rsid w:val="0095655D"/>
    <w:rsid w:val="00957681"/>
    <w:rsid w:val="0097279C"/>
    <w:rsid w:val="009801CA"/>
    <w:rsid w:val="009933A9"/>
    <w:rsid w:val="00993FCB"/>
    <w:rsid w:val="00994F86"/>
    <w:rsid w:val="00995CDD"/>
    <w:rsid w:val="009969CB"/>
    <w:rsid w:val="009A0970"/>
    <w:rsid w:val="009B3242"/>
    <w:rsid w:val="009B7967"/>
    <w:rsid w:val="009C100E"/>
    <w:rsid w:val="009C1A22"/>
    <w:rsid w:val="009C3724"/>
    <w:rsid w:val="009C551A"/>
    <w:rsid w:val="009C6495"/>
    <w:rsid w:val="009C6C6D"/>
    <w:rsid w:val="009C6E16"/>
    <w:rsid w:val="009D1727"/>
    <w:rsid w:val="009E0396"/>
    <w:rsid w:val="009E143C"/>
    <w:rsid w:val="009E1886"/>
    <w:rsid w:val="009E19DF"/>
    <w:rsid w:val="009E534D"/>
    <w:rsid w:val="009E73AB"/>
    <w:rsid w:val="009F003A"/>
    <w:rsid w:val="009F36A3"/>
    <w:rsid w:val="009F45D5"/>
    <w:rsid w:val="00A00711"/>
    <w:rsid w:val="00A01F4A"/>
    <w:rsid w:val="00A02055"/>
    <w:rsid w:val="00A057C3"/>
    <w:rsid w:val="00A06AD0"/>
    <w:rsid w:val="00A11AB9"/>
    <w:rsid w:val="00A13DE3"/>
    <w:rsid w:val="00A15DA4"/>
    <w:rsid w:val="00A17754"/>
    <w:rsid w:val="00A17FD3"/>
    <w:rsid w:val="00A24B61"/>
    <w:rsid w:val="00A27106"/>
    <w:rsid w:val="00A27A00"/>
    <w:rsid w:val="00A33F69"/>
    <w:rsid w:val="00A35069"/>
    <w:rsid w:val="00A36914"/>
    <w:rsid w:val="00A43CAE"/>
    <w:rsid w:val="00A506E7"/>
    <w:rsid w:val="00A54108"/>
    <w:rsid w:val="00A564DB"/>
    <w:rsid w:val="00A56D06"/>
    <w:rsid w:val="00A60300"/>
    <w:rsid w:val="00A6263E"/>
    <w:rsid w:val="00A62BBA"/>
    <w:rsid w:val="00A746DE"/>
    <w:rsid w:val="00A74D16"/>
    <w:rsid w:val="00A765F8"/>
    <w:rsid w:val="00A81D03"/>
    <w:rsid w:val="00A8390F"/>
    <w:rsid w:val="00A861AA"/>
    <w:rsid w:val="00A9395D"/>
    <w:rsid w:val="00A961D4"/>
    <w:rsid w:val="00AA0D88"/>
    <w:rsid w:val="00AA28FA"/>
    <w:rsid w:val="00AA4AD7"/>
    <w:rsid w:val="00AA6656"/>
    <w:rsid w:val="00AA684D"/>
    <w:rsid w:val="00AB5C60"/>
    <w:rsid w:val="00AB70F0"/>
    <w:rsid w:val="00AC50D5"/>
    <w:rsid w:val="00AC6459"/>
    <w:rsid w:val="00AC6AD4"/>
    <w:rsid w:val="00AC7580"/>
    <w:rsid w:val="00AD3A5E"/>
    <w:rsid w:val="00AE0354"/>
    <w:rsid w:val="00AE32BF"/>
    <w:rsid w:val="00AE335D"/>
    <w:rsid w:val="00AE6E0F"/>
    <w:rsid w:val="00AF0A06"/>
    <w:rsid w:val="00AF1443"/>
    <w:rsid w:val="00AF2F3A"/>
    <w:rsid w:val="00AF446B"/>
    <w:rsid w:val="00AF50CA"/>
    <w:rsid w:val="00AF70C4"/>
    <w:rsid w:val="00B00D36"/>
    <w:rsid w:val="00B00F9C"/>
    <w:rsid w:val="00B05D77"/>
    <w:rsid w:val="00B10978"/>
    <w:rsid w:val="00B12CE1"/>
    <w:rsid w:val="00B15CCA"/>
    <w:rsid w:val="00B215A1"/>
    <w:rsid w:val="00B21CE0"/>
    <w:rsid w:val="00B234F8"/>
    <w:rsid w:val="00B25810"/>
    <w:rsid w:val="00B25B79"/>
    <w:rsid w:val="00B2693B"/>
    <w:rsid w:val="00B27E5C"/>
    <w:rsid w:val="00B317DB"/>
    <w:rsid w:val="00B33513"/>
    <w:rsid w:val="00B33AE1"/>
    <w:rsid w:val="00B34469"/>
    <w:rsid w:val="00B34C17"/>
    <w:rsid w:val="00B409BC"/>
    <w:rsid w:val="00B40D52"/>
    <w:rsid w:val="00B5374C"/>
    <w:rsid w:val="00B61E29"/>
    <w:rsid w:val="00B65B5B"/>
    <w:rsid w:val="00B65C23"/>
    <w:rsid w:val="00B65CC0"/>
    <w:rsid w:val="00B6691A"/>
    <w:rsid w:val="00B6736B"/>
    <w:rsid w:val="00B7293B"/>
    <w:rsid w:val="00B80080"/>
    <w:rsid w:val="00B84218"/>
    <w:rsid w:val="00B92B2F"/>
    <w:rsid w:val="00B93B58"/>
    <w:rsid w:val="00B96751"/>
    <w:rsid w:val="00BA7861"/>
    <w:rsid w:val="00BB3984"/>
    <w:rsid w:val="00BB5D4A"/>
    <w:rsid w:val="00BC0839"/>
    <w:rsid w:val="00BC4A5E"/>
    <w:rsid w:val="00BC5159"/>
    <w:rsid w:val="00BC70E2"/>
    <w:rsid w:val="00BD241E"/>
    <w:rsid w:val="00BD2926"/>
    <w:rsid w:val="00BD2B9E"/>
    <w:rsid w:val="00BD312B"/>
    <w:rsid w:val="00BD376E"/>
    <w:rsid w:val="00BD46B8"/>
    <w:rsid w:val="00BD7C75"/>
    <w:rsid w:val="00BE1125"/>
    <w:rsid w:val="00BE1CE6"/>
    <w:rsid w:val="00BE2A1D"/>
    <w:rsid w:val="00BF7DDF"/>
    <w:rsid w:val="00C03531"/>
    <w:rsid w:val="00C0417B"/>
    <w:rsid w:val="00C05B75"/>
    <w:rsid w:val="00C143C7"/>
    <w:rsid w:val="00C14C71"/>
    <w:rsid w:val="00C15AC7"/>
    <w:rsid w:val="00C16754"/>
    <w:rsid w:val="00C168CE"/>
    <w:rsid w:val="00C16BA5"/>
    <w:rsid w:val="00C17297"/>
    <w:rsid w:val="00C23760"/>
    <w:rsid w:val="00C247E9"/>
    <w:rsid w:val="00C258A0"/>
    <w:rsid w:val="00C428B5"/>
    <w:rsid w:val="00C457EA"/>
    <w:rsid w:val="00C46694"/>
    <w:rsid w:val="00C46967"/>
    <w:rsid w:val="00C60F7D"/>
    <w:rsid w:val="00C61024"/>
    <w:rsid w:val="00C63041"/>
    <w:rsid w:val="00C748EC"/>
    <w:rsid w:val="00C756CE"/>
    <w:rsid w:val="00C763B7"/>
    <w:rsid w:val="00C77CCC"/>
    <w:rsid w:val="00C77FA8"/>
    <w:rsid w:val="00C8621C"/>
    <w:rsid w:val="00C87C2F"/>
    <w:rsid w:val="00C92A3F"/>
    <w:rsid w:val="00CA3E76"/>
    <w:rsid w:val="00CA7117"/>
    <w:rsid w:val="00CB15D8"/>
    <w:rsid w:val="00CB2E85"/>
    <w:rsid w:val="00CB3249"/>
    <w:rsid w:val="00CB6220"/>
    <w:rsid w:val="00CC1AB5"/>
    <w:rsid w:val="00CC5E91"/>
    <w:rsid w:val="00CD004E"/>
    <w:rsid w:val="00CD0483"/>
    <w:rsid w:val="00CD132C"/>
    <w:rsid w:val="00CD52C6"/>
    <w:rsid w:val="00CD6A53"/>
    <w:rsid w:val="00CE23BE"/>
    <w:rsid w:val="00CE24B0"/>
    <w:rsid w:val="00CE44A4"/>
    <w:rsid w:val="00CE47D9"/>
    <w:rsid w:val="00CE6B92"/>
    <w:rsid w:val="00CF47F4"/>
    <w:rsid w:val="00D06C17"/>
    <w:rsid w:val="00D06FE4"/>
    <w:rsid w:val="00D07B70"/>
    <w:rsid w:val="00D16FA6"/>
    <w:rsid w:val="00D214BD"/>
    <w:rsid w:val="00D2478A"/>
    <w:rsid w:val="00D24BDC"/>
    <w:rsid w:val="00D263AB"/>
    <w:rsid w:val="00D279E5"/>
    <w:rsid w:val="00D27F1A"/>
    <w:rsid w:val="00D34622"/>
    <w:rsid w:val="00D449B7"/>
    <w:rsid w:val="00D512A8"/>
    <w:rsid w:val="00D535B0"/>
    <w:rsid w:val="00D54CD3"/>
    <w:rsid w:val="00D5721F"/>
    <w:rsid w:val="00D57827"/>
    <w:rsid w:val="00D6081B"/>
    <w:rsid w:val="00D6169D"/>
    <w:rsid w:val="00D720F8"/>
    <w:rsid w:val="00D736F7"/>
    <w:rsid w:val="00D73BCC"/>
    <w:rsid w:val="00D76256"/>
    <w:rsid w:val="00D7743F"/>
    <w:rsid w:val="00D77638"/>
    <w:rsid w:val="00D81387"/>
    <w:rsid w:val="00D90FEA"/>
    <w:rsid w:val="00D9100F"/>
    <w:rsid w:val="00D91DA4"/>
    <w:rsid w:val="00D939B2"/>
    <w:rsid w:val="00D9432D"/>
    <w:rsid w:val="00D963A1"/>
    <w:rsid w:val="00DA2E28"/>
    <w:rsid w:val="00DA586D"/>
    <w:rsid w:val="00DB0FCB"/>
    <w:rsid w:val="00DB235A"/>
    <w:rsid w:val="00DB4690"/>
    <w:rsid w:val="00DB6BF7"/>
    <w:rsid w:val="00DC19D4"/>
    <w:rsid w:val="00DC45D4"/>
    <w:rsid w:val="00DC4A06"/>
    <w:rsid w:val="00DC5F76"/>
    <w:rsid w:val="00DC6C3A"/>
    <w:rsid w:val="00DC7851"/>
    <w:rsid w:val="00DD2503"/>
    <w:rsid w:val="00DD2611"/>
    <w:rsid w:val="00DD476E"/>
    <w:rsid w:val="00DD54FA"/>
    <w:rsid w:val="00DD790F"/>
    <w:rsid w:val="00DE4393"/>
    <w:rsid w:val="00DE4F07"/>
    <w:rsid w:val="00DF36A0"/>
    <w:rsid w:val="00DF54D8"/>
    <w:rsid w:val="00E042D6"/>
    <w:rsid w:val="00E164E7"/>
    <w:rsid w:val="00E21085"/>
    <w:rsid w:val="00E218B5"/>
    <w:rsid w:val="00E2208E"/>
    <w:rsid w:val="00E2712D"/>
    <w:rsid w:val="00E27676"/>
    <w:rsid w:val="00E31607"/>
    <w:rsid w:val="00E32D39"/>
    <w:rsid w:val="00E36E83"/>
    <w:rsid w:val="00E40D3D"/>
    <w:rsid w:val="00E414C4"/>
    <w:rsid w:val="00E45D6A"/>
    <w:rsid w:val="00E5171B"/>
    <w:rsid w:val="00E6672B"/>
    <w:rsid w:val="00E727A4"/>
    <w:rsid w:val="00E74F57"/>
    <w:rsid w:val="00E751D5"/>
    <w:rsid w:val="00E774E2"/>
    <w:rsid w:val="00E80C53"/>
    <w:rsid w:val="00E80D60"/>
    <w:rsid w:val="00E82167"/>
    <w:rsid w:val="00E837A9"/>
    <w:rsid w:val="00E87BE5"/>
    <w:rsid w:val="00E87E33"/>
    <w:rsid w:val="00E9496C"/>
    <w:rsid w:val="00EA0A47"/>
    <w:rsid w:val="00EB3626"/>
    <w:rsid w:val="00EB4612"/>
    <w:rsid w:val="00EC349D"/>
    <w:rsid w:val="00EC5B45"/>
    <w:rsid w:val="00ED368A"/>
    <w:rsid w:val="00ED3D3D"/>
    <w:rsid w:val="00ED6797"/>
    <w:rsid w:val="00EF3958"/>
    <w:rsid w:val="00EF478E"/>
    <w:rsid w:val="00EF741A"/>
    <w:rsid w:val="00F00DC6"/>
    <w:rsid w:val="00F0116F"/>
    <w:rsid w:val="00F04D8D"/>
    <w:rsid w:val="00F070F9"/>
    <w:rsid w:val="00F21BE5"/>
    <w:rsid w:val="00F2745D"/>
    <w:rsid w:val="00F274C7"/>
    <w:rsid w:val="00F30AAD"/>
    <w:rsid w:val="00F31505"/>
    <w:rsid w:val="00F42B6E"/>
    <w:rsid w:val="00F45C46"/>
    <w:rsid w:val="00F51966"/>
    <w:rsid w:val="00F54C3A"/>
    <w:rsid w:val="00F562D2"/>
    <w:rsid w:val="00F5680A"/>
    <w:rsid w:val="00F6774A"/>
    <w:rsid w:val="00F71BD6"/>
    <w:rsid w:val="00F72B69"/>
    <w:rsid w:val="00F7453F"/>
    <w:rsid w:val="00F7510E"/>
    <w:rsid w:val="00F91460"/>
    <w:rsid w:val="00F94562"/>
    <w:rsid w:val="00FA16E5"/>
    <w:rsid w:val="00FA3648"/>
    <w:rsid w:val="00FA5582"/>
    <w:rsid w:val="00FA6020"/>
    <w:rsid w:val="00FA6466"/>
    <w:rsid w:val="00FA65ED"/>
    <w:rsid w:val="00FA7D74"/>
    <w:rsid w:val="00FB31AC"/>
    <w:rsid w:val="00FB3987"/>
    <w:rsid w:val="00FB4FFF"/>
    <w:rsid w:val="00FB5BE2"/>
    <w:rsid w:val="00FB69E6"/>
    <w:rsid w:val="00FC3314"/>
    <w:rsid w:val="00FC39F9"/>
    <w:rsid w:val="00FC4514"/>
    <w:rsid w:val="00FC46C9"/>
    <w:rsid w:val="00FC7F81"/>
    <w:rsid w:val="00FD1380"/>
    <w:rsid w:val="00FD3CEE"/>
    <w:rsid w:val="00FD4BEB"/>
    <w:rsid w:val="00FD60A4"/>
    <w:rsid w:val="00FD78EE"/>
    <w:rsid w:val="00FE1383"/>
    <w:rsid w:val="00FE2E7A"/>
    <w:rsid w:val="00FE3F3F"/>
    <w:rsid w:val="00FE427C"/>
    <w:rsid w:val="00FE4BE3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70362"/>
  <w15:docId w15:val="{06546A59-873E-48F1-BC66-33DDAA2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B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38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138DE"/>
    <w:rPr>
      <w:rFonts w:ascii="Cambria" w:hAnsi="Cambria" w:cs="Times New Roman"/>
      <w:b/>
      <w:bCs/>
      <w:color w:val="365F91"/>
      <w:sz w:val="28"/>
      <w:szCs w:val="28"/>
    </w:rPr>
  </w:style>
  <w:style w:type="paragraph" w:styleId="Testonotaapidipagina">
    <w:name w:val="footnote text"/>
    <w:aliases w:val="Carattere"/>
    <w:basedOn w:val="Normale"/>
    <w:link w:val="TestonotaapidipaginaCarattere"/>
    <w:uiPriority w:val="99"/>
    <w:semiHidden/>
    <w:rsid w:val="00FE4BE3"/>
    <w:rPr>
      <w:sz w:val="20"/>
      <w:szCs w:val="20"/>
    </w:rPr>
  </w:style>
  <w:style w:type="character" w:customStyle="1" w:styleId="TestonotaapidipaginaCarattere">
    <w:name w:val="Testo nota a piè di pagina Carattere"/>
    <w:aliases w:val="Carattere Carattere"/>
    <w:link w:val="Testonotaapidipagina"/>
    <w:uiPriority w:val="99"/>
    <w:semiHidden/>
    <w:locked/>
    <w:rsid w:val="006C5A8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FE4BE3"/>
    <w:rPr>
      <w:rFonts w:cs="Times New Roman"/>
      <w:vertAlign w:val="superscript"/>
    </w:rPr>
  </w:style>
  <w:style w:type="character" w:customStyle="1" w:styleId="CarattereCarattereCarattere">
    <w:name w:val="Carattere Carattere Carattere"/>
    <w:uiPriority w:val="99"/>
    <w:rsid w:val="00FE4BE3"/>
    <w:rPr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FE4BE3"/>
    <w:pPr>
      <w:suppressAutoHyphens/>
      <w:jc w:val="both"/>
    </w:pPr>
    <w:rPr>
      <w:b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6C5A83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FE4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C5A8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E4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64945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E4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C5A83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rsid w:val="00FE4BE3"/>
    <w:pPr>
      <w:spacing w:before="100" w:beforeAutospacing="1" w:after="100" w:afterAutospacing="1"/>
    </w:pPr>
  </w:style>
  <w:style w:type="character" w:styleId="Numeropagina">
    <w:name w:val="page number"/>
    <w:uiPriority w:val="99"/>
    <w:rsid w:val="000569BE"/>
    <w:rPr>
      <w:rFonts w:cs="Times New Roman"/>
    </w:rPr>
  </w:style>
  <w:style w:type="character" w:styleId="Collegamentoipertestuale">
    <w:name w:val="Hyperlink"/>
    <w:uiPriority w:val="99"/>
    <w:rsid w:val="00565901"/>
    <w:rPr>
      <w:rFonts w:cs="Times New Roman"/>
      <w:color w:val="0000FF"/>
      <w:u w:val="single"/>
    </w:rPr>
  </w:style>
  <w:style w:type="paragraph" w:customStyle="1" w:styleId="Sfondoacolori-Colore11">
    <w:name w:val="Sfondo a colori - Colore 11"/>
    <w:hidden/>
    <w:uiPriority w:val="99"/>
    <w:semiHidden/>
    <w:rsid w:val="005C478D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9969CB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E1B9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84C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4C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4C9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4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4C97"/>
    <w:rPr>
      <w:b/>
      <w:bCs/>
    </w:rPr>
  </w:style>
  <w:style w:type="character" w:customStyle="1" w:styleId="object">
    <w:name w:val="object"/>
    <w:basedOn w:val="Carpredefinitoparagrafo"/>
    <w:rsid w:val="0009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a.sciandra@istat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web/government-finance-statistics/excessive-deficit-procedure/edp-notification-tab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government-finance-statistics/excessive-deficit-procedure/edp-notification-tab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collaborazione.istat.it/siti/ed/ufficio_stampa/Note%20stampa%20e%20comunicati/LAYOUT%20E%20FORMAT/TESTATINE/testatine_Info.png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bosnia\Bosnia2\PA\Notifica\Note%20per%20la%20stampa\Elab\Figure%20e%20prospetti_22%2004%202022_coll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bosnia\Bosnia2\PA\Notifica\Note%20per%20la%20stampa\Elab\Figure%20e%20prospetti_22%2004%202022_col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bosnia\Bosnia2\PA\Notifica\Note%20per%20la%20stampa\Elab\Figure%20e%20prospetti_22%2004%202022_col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959641255605385E-2"/>
          <c:y val="5.8536724792122692E-2"/>
          <c:w val="0.90807174887892372"/>
          <c:h val="0.68780651630744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'prospetto 1'!$A$29</c:f>
              <c:strCache>
                <c:ptCount val="1"/>
                <c:pt idx="0">
                  <c:v>Indebitamento netto sul PIL (a)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3.0688866545401238E-3"/>
                  <c:y val="-1.245692937738434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94452592699005E-3"/>
                  <c:y val="-1.752323911297377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9478513976320688E-3"/>
                  <c:y val="-8.40154026484360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7505624687296201E-3"/>
                  <c:y val="-6.95763372718822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5739910313901344"/>
                  <c:y val="0.1902443555743987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19E-4826-B82B-DEC5D09BBC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1'!$B$29:$E$29</c:f>
              <c:numCache>
                <c:formatCode>0.0</c:formatCode>
                <c:ptCount val="4"/>
                <c:pt idx="0">
                  <c:v>2.1861912828741614</c:v>
                </c:pt>
                <c:pt idx="1">
                  <c:v>1.5401580444495699</c:v>
                </c:pt>
                <c:pt idx="2">
                  <c:v>9.5972101209159639</c:v>
                </c:pt>
                <c:pt idx="3">
                  <c:v>7.2279131814578097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19E-4826-B82B-DEC5D09BBC93}"/>
            </c:ext>
          </c:extLst>
        </c:ser>
        <c:ser>
          <c:idx val="1"/>
          <c:order val="1"/>
          <c:tx>
            <c:strRef>
              <c:f>'prospetto 1'!$A$30</c:f>
              <c:strCache>
                <c:ptCount val="1"/>
                <c:pt idx="0">
                  <c:v>Saldo primario su PIL</c:v>
                </c:pt>
              </c:strCache>
            </c:strRef>
          </c:tx>
          <c:spPr>
            <a:solidFill>
              <a:srgbClr val="C0C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5755661720392913E-3"/>
                  <c:y val="-1.03801816833404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757107035592921E-3"/>
                  <c:y val="-1.244420069537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387538953150657E-3"/>
                  <c:y val="1.34579647254308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610964215009407E-4"/>
                  <c:y val="1.48311930328099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19E-4826-B82B-DEC5D09BBC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1'!$B$30:$E$30</c:f>
              <c:numCache>
                <c:formatCode>0.0</c:formatCode>
                <c:ptCount val="4"/>
                <c:pt idx="0">
                  <c:v>1.4604340362535391</c:v>
                </c:pt>
                <c:pt idx="1">
                  <c:v>1.819569463738242</c:v>
                </c:pt>
                <c:pt idx="2">
                  <c:v>-6.1380453984213386</c:v>
                </c:pt>
                <c:pt idx="3">
                  <c:v>-3.6872061426700498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19E-4826-B82B-DEC5D09BBC93}"/>
            </c:ext>
          </c:extLst>
        </c:ser>
        <c:ser>
          <c:idx val="2"/>
          <c:order val="2"/>
          <c:tx>
            <c:strRef>
              <c:f>'prospetto 1'!$A$31</c:f>
              <c:strCache>
                <c:ptCount val="1"/>
                <c:pt idx="0">
                  <c:v>Interessi passivi su PIL</c:v>
                </c:pt>
              </c:strCache>
            </c:strRef>
          </c:tx>
          <c:spPr>
            <a:solidFill>
              <a:srgbClr val="80808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5.0620410024081804E-4"/>
                  <c:y val="-1.702260560666338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173079275212101E-3"/>
                  <c:y val="-1.047668642931697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275556099440052E-3"/>
                  <c:y val="-7.95514783475922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881142146738374E-3"/>
                  <c:y val="-1.4894634451540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19E-4826-B82B-DEC5D09BBC9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19E-4826-B82B-DEC5D09BBC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1'!$B$31:$E$31</c:f>
              <c:numCache>
                <c:formatCode>0.0</c:formatCode>
                <c:ptCount val="4"/>
                <c:pt idx="0">
                  <c:v>3.6466253191277005</c:v>
                </c:pt>
                <c:pt idx="1">
                  <c:v>3.3597275081878117</c:v>
                </c:pt>
                <c:pt idx="2">
                  <c:v>3.4591647224946254</c:v>
                </c:pt>
                <c:pt idx="3">
                  <c:v>3.5407070387877595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19E-4826-B82B-DEC5D09BB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953152"/>
        <c:axId val="2953712"/>
      </c:barChart>
      <c:catAx>
        <c:axId val="295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295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37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2953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1211233125007356E-2"/>
          <c:y val="0.85368567953396057"/>
          <c:w val="0.9036161623294845"/>
          <c:h val="0.1073206580884706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248512759789135E-2"/>
          <c:y val="5.5045871559633031E-2"/>
          <c:w val="0.87919655165633659"/>
          <c:h val="0.71100917431192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'prospetto 1'!$A$34</c:f>
              <c:strCache>
                <c:ptCount val="1"/>
                <c:pt idx="0">
                  <c:v>Debito pubblico sul PIL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3311064112746362E-3"/>
                  <c:y val="-3.34363938452647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5D-4747-B8EF-2850A54E0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7955691780138359E-3"/>
                  <c:y val="-4.4236557586264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5D-4747-B8EF-2850A54E0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987375739106036E-3"/>
                  <c:y val="-5.04871294757879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5D-4747-B8EF-2850A54E0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465365487049412E-5"/>
                  <c:y val="5.327843193912689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5D-4747-B8EF-2850A54E01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85682513812818561"/>
                  <c:y val="5.045871559633027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5D-4747-B8EF-2850A54E013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1'!$B$33:$E$33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1'!$B$34:$E$34</c:f>
              <c:numCache>
                <c:formatCode>0.0</c:formatCode>
                <c:ptCount val="4"/>
                <c:pt idx="0">
                  <c:v>134.44288308533993</c:v>
                </c:pt>
                <c:pt idx="1">
                  <c:v>134.1399677552543</c:v>
                </c:pt>
                <c:pt idx="2">
                  <c:v>155.26785276198765</c:v>
                </c:pt>
                <c:pt idx="3">
                  <c:v>150.83110834046209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45D-4747-B8EF-2850A54E0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5952"/>
        <c:axId val="2956512"/>
      </c:barChart>
      <c:catAx>
        <c:axId val="295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2956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65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2955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63621577504154"/>
          <c:y val="0.8991143538250379"/>
          <c:w val="0.47205012125162205"/>
          <c:h val="7.3396903368730282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767521084121875E-2"/>
          <c:y val="5.9091040241122696E-2"/>
          <c:w val="0.9186056942742713"/>
          <c:h val="0.68181969508987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'Figura 3'!$A$7</c:f>
              <c:strCache>
                <c:ptCount val="1"/>
                <c:pt idx="0">
                  <c:v>     Saldo primario su PIL (a)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689565690418489E-3"/>
                  <c:y val="2.12703212709038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0848537735522539E-3"/>
                  <c:y val="2.52096687486225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3'!$B$7:$E$7</c:f>
              <c:numCache>
                <c:formatCode>0.0</c:formatCode>
                <c:ptCount val="4"/>
                <c:pt idx="0">
                  <c:v>-1.4604340362535391</c:v>
                </c:pt>
                <c:pt idx="1">
                  <c:v>-1.819569463738242</c:v>
                </c:pt>
                <c:pt idx="2">
                  <c:v>6.1380453984213386</c:v>
                </c:pt>
                <c:pt idx="3">
                  <c:v>3.6872061426700498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7A-4A28-9959-5F33851A3BFF}"/>
            </c:ext>
          </c:extLst>
        </c:ser>
        <c:ser>
          <c:idx val="1"/>
          <c:order val="1"/>
          <c:tx>
            <c:strRef>
              <c:f>'Figura 3'!$A$8</c:f>
              <c:strCache>
                <c:ptCount val="1"/>
                <c:pt idx="0">
                  <c:v>    Interessi passivi su PIL</c:v>
                </c:pt>
              </c:strCache>
            </c:strRef>
          </c:tx>
          <c:spPr>
            <a:solidFill>
              <a:srgbClr val="C0C0C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4.127391974895415E-4"/>
                  <c:y val="1.47049229924098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19696570579996E-3"/>
                  <c:y val="8.967856927995185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3'!$B$8:$E$8</c:f>
              <c:numCache>
                <c:formatCode>0.0</c:formatCode>
                <c:ptCount val="4"/>
                <c:pt idx="0">
                  <c:v>3.6466253191277005</c:v>
                </c:pt>
                <c:pt idx="1">
                  <c:v>3.3597275081878117</c:v>
                </c:pt>
                <c:pt idx="2">
                  <c:v>3.4591647224946254</c:v>
                </c:pt>
                <c:pt idx="3">
                  <c:v>3.5407070387877595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07A-4A28-9959-5F33851A3BFF}"/>
            </c:ext>
          </c:extLst>
        </c:ser>
        <c:ser>
          <c:idx val="2"/>
          <c:order val="2"/>
          <c:tx>
            <c:strRef>
              <c:f>'Figura 3'!$A$9</c:f>
              <c:strCache>
                <c:ptCount val="1"/>
                <c:pt idx="0">
                  <c:v>Aggiustamenti stock flussi su PIL</c:v>
                </c:pt>
              </c:strCache>
            </c:strRef>
          </c:tx>
          <c:spPr>
            <a:solidFill>
              <a:srgbClr val="969696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2628096529673345E-3"/>
                  <c:y val="2.88695942580529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39386120172588E-3"/>
                  <c:y val="-3.376463222368174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997279128329325E-3"/>
                  <c:y val="2.08032328716364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193324219207643E-3"/>
                  <c:y val="8.327104266043487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3'!$B$9:$E$9</c:f>
              <c:numCache>
                <c:formatCode>0.0</c:formatCode>
                <c:ptCount val="4"/>
                <c:pt idx="0">
                  <c:v>0.7297089428918917</c:v>
                </c:pt>
                <c:pt idx="1">
                  <c:v>4.5846849814358492E-2</c:v>
                </c:pt>
                <c:pt idx="2">
                  <c:v>0.22337886468882395</c:v>
                </c:pt>
                <c:pt idx="3">
                  <c:v>-1.303561286903884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07A-4A28-9959-5F33851A3BFF}"/>
            </c:ext>
          </c:extLst>
        </c:ser>
        <c:ser>
          <c:idx val="3"/>
          <c:order val="3"/>
          <c:tx>
            <c:strRef>
              <c:f>'Figura 3'!$A$10</c:f>
              <c:strCache>
                <c:ptCount val="1"/>
                <c:pt idx="0">
                  <c:v>Variazione del debito su PIL</c:v>
                </c:pt>
              </c:strCache>
            </c:strRef>
          </c:tx>
          <c:spPr>
            <a:solidFill>
              <a:srgbClr val="80808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2.9497983683106702E-3"/>
                  <c:y val="1.02335791370275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07A-4A28-9959-5F33851A3B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3'!$B$10:$E$10</c:f>
              <c:numCache>
                <c:formatCode>0.0</c:formatCode>
                <c:ptCount val="4"/>
                <c:pt idx="0">
                  <c:v>2.9159002257660531</c:v>
                </c:pt>
                <c:pt idx="1">
                  <c:v>1.5860048942639284</c:v>
                </c:pt>
                <c:pt idx="2">
                  <c:v>9.8205889856047879</c:v>
                </c:pt>
                <c:pt idx="3">
                  <c:v>5.9243518945539257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07A-4A28-9959-5F33851A3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47616"/>
        <c:axId val="121048176"/>
      </c:barChart>
      <c:catAx>
        <c:axId val="12104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21048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0481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21047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038290774400865"/>
          <c:y val="0.85457170126461468"/>
          <c:w val="0.70796698309907524"/>
          <c:h val="0.1318224767358625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0.00146</cdr:x>
      <cdr:y>0.02451</cdr:y>
    </cdr:from>
    <cdr:to>
      <cdr:x>1</cdr:x>
      <cdr:y>0.09301</cdr:y>
    </cdr:to>
    <cdr:pic>
      <cdr:nvPicPr>
        <cdr:cNvPr id="55297" name="Picture 1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5114580" cy="133483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0.01116</cdr:x>
      <cdr:y>0.25688</cdr:y>
    </cdr:from>
    <cdr:to>
      <cdr:x>0.92627</cdr:x>
      <cdr:y>0.31652</cdr:y>
    </cdr:to>
    <cdr:pic>
      <cdr:nvPicPr>
        <cdr:cNvPr id="45057" name="Picture 1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38030"/>
          <a:ext cx="3904945" cy="123923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008E-3006-4BFD-9E2F-7CE268F0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Cosco</dc:creator>
  <cp:lastModifiedBy>Marinella Cosco</cp:lastModifiedBy>
  <cp:revision>5</cp:revision>
  <cp:lastPrinted>2022-04-20T13:08:00Z</cp:lastPrinted>
  <dcterms:created xsi:type="dcterms:W3CDTF">2022-04-21T08:58:00Z</dcterms:created>
  <dcterms:modified xsi:type="dcterms:W3CDTF">2022-04-21T09:50:00Z</dcterms:modified>
</cp:coreProperties>
</file>